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9D5D0" w14:textId="77777777" w:rsidR="007B79E6" w:rsidRPr="00F60AC1" w:rsidRDefault="00AF30FA" w:rsidP="007F4F1E">
      <w:pPr>
        <w:rPr>
          <w:rFonts w:cstheme="minorHAnsi"/>
          <w:b/>
          <w:szCs w:val="24"/>
          <w:lang w:val="en-GB"/>
        </w:rPr>
      </w:pPr>
      <w:bookmarkStart w:id="0" w:name="_GoBack"/>
      <w:bookmarkEnd w:id="0"/>
      <w:r w:rsidRPr="00F60AC1">
        <w:rPr>
          <w:rFonts w:cstheme="minorHAnsi"/>
          <w:b/>
          <w:szCs w:val="24"/>
          <w:lang w:val="en-GB"/>
        </w:rPr>
        <w:t xml:space="preserve">Technical Assistance as a Tool for Implementing and Expanding IP Treaty Obligations </w:t>
      </w:r>
    </w:p>
    <w:p w14:paraId="177C4596" w14:textId="77777777" w:rsidR="007B79E6" w:rsidRPr="00F60AC1" w:rsidRDefault="007B79E6" w:rsidP="00293EA9">
      <w:pPr>
        <w:rPr>
          <w:rFonts w:cstheme="minorHAnsi"/>
          <w:szCs w:val="24"/>
          <w:lang w:val="en-GB"/>
        </w:rPr>
      </w:pPr>
    </w:p>
    <w:p w14:paraId="158647BD" w14:textId="25A0C64E" w:rsidR="007B79E6" w:rsidRPr="00F60AC1" w:rsidRDefault="00AF30FA" w:rsidP="007F4F1E">
      <w:pPr>
        <w:rPr>
          <w:rFonts w:cstheme="minorHAnsi"/>
          <w:szCs w:val="24"/>
          <w:lang w:val="en-GB"/>
        </w:rPr>
      </w:pPr>
      <w:r w:rsidRPr="00F60AC1">
        <w:rPr>
          <w:rFonts w:cstheme="minorHAnsi"/>
          <w:szCs w:val="24"/>
          <w:lang w:val="en-GB"/>
        </w:rPr>
        <w:t>Daniel Opoku Acquah</w:t>
      </w:r>
    </w:p>
    <w:p w14:paraId="5B7AD2A2" w14:textId="2F5CF3E7" w:rsidR="007B79E6" w:rsidRDefault="007B79E6">
      <w:pPr>
        <w:rPr>
          <w:rFonts w:cstheme="minorHAnsi"/>
          <w:b/>
          <w:szCs w:val="24"/>
          <w:lang w:val="en-GB"/>
        </w:rPr>
      </w:pPr>
    </w:p>
    <w:p w14:paraId="23150E6B" w14:textId="77777777" w:rsidR="00A741DD" w:rsidRPr="00F60AC1" w:rsidRDefault="00A741DD" w:rsidP="00A741DD">
      <w:pPr>
        <w:rPr>
          <w:rFonts w:cstheme="minorHAnsi"/>
          <w:b/>
          <w:szCs w:val="24"/>
          <w:lang w:val="en-GB"/>
        </w:rPr>
      </w:pPr>
      <w:r w:rsidRPr="00F60AC1">
        <w:rPr>
          <w:rFonts w:cstheme="minorHAnsi"/>
          <w:b/>
          <w:szCs w:val="24"/>
          <w:lang w:val="en-GB"/>
        </w:rPr>
        <w:t>Abstract</w:t>
      </w:r>
    </w:p>
    <w:p w14:paraId="583EFB4C" w14:textId="33046851" w:rsidR="00FE3967" w:rsidRDefault="00FE3967" w:rsidP="00FE3967">
      <w:pPr>
        <w:rPr>
          <w:rFonts w:cs="Times New Roman"/>
          <w:color w:val="000000" w:themeColor="text1"/>
          <w:szCs w:val="24"/>
        </w:rPr>
      </w:pPr>
      <w:r>
        <w:rPr>
          <w:rFonts w:cs="Times New Roman"/>
          <w:color w:val="000000" w:themeColor="text1"/>
          <w:szCs w:val="24"/>
          <w:lang w:val="en-GB"/>
        </w:rPr>
        <w:t>This chapter</w:t>
      </w:r>
      <w:r>
        <w:rPr>
          <w:rFonts w:cs="Times New Roman"/>
          <w:color w:val="000000" w:themeColor="text1"/>
          <w:szCs w:val="24"/>
        </w:rPr>
        <w:t xml:space="preserve"> examine</w:t>
      </w:r>
      <w:r w:rsidRPr="007428DB">
        <w:rPr>
          <w:rFonts w:cs="Times New Roman"/>
          <w:color w:val="000000" w:themeColor="text1"/>
          <w:szCs w:val="24"/>
        </w:rPr>
        <w:t>s critically</w:t>
      </w:r>
      <w:r>
        <w:rPr>
          <w:rFonts w:cs="Times New Roman"/>
          <w:color w:val="000000" w:themeColor="text1"/>
          <w:szCs w:val="24"/>
          <w:lang w:val="en-GB"/>
        </w:rPr>
        <w:t xml:space="preserve"> </w:t>
      </w:r>
      <w:r w:rsidRPr="007428DB">
        <w:rPr>
          <w:rFonts w:cs="Times New Roman"/>
          <w:color w:val="000000" w:themeColor="text1"/>
          <w:szCs w:val="24"/>
          <w:lang w:val="en-GB"/>
        </w:rPr>
        <w:t>the role of technical assistance in the implementation and expansion of intellectual property</w:t>
      </w:r>
      <w:r>
        <w:rPr>
          <w:rFonts w:cs="Times New Roman"/>
          <w:color w:val="000000" w:themeColor="text1"/>
          <w:szCs w:val="24"/>
          <w:lang w:val="en-GB"/>
        </w:rPr>
        <w:t xml:space="preserve"> (IP) norms</w:t>
      </w:r>
      <w:r w:rsidRPr="007428DB">
        <w:rPr>
          <w:rFonts w:cs="Times New Roman"/>
          <w:color w:val="000000" w:themeColor="text1"/>
          <w:szCs w:val="24"/>
          <w:lang w:val="en-GB"/>
        </w:rPr>
        <w:t xml:space="preserve"> in</w:t>
      </w:r>
      <w:r w:rsidRPr="007428DB">
        <w:rPr>
          <w:rFonts w:cs="Times New Roman"/>
          <w:color w:val="000000" w:themeColor="text1"/>
          <w:szCs w:val="24"/>
        </w:rPr>
        <w:t xml:space="preserve"> Africa</w:t>
      </w:r>
      <w:r w:rsidRPr="007428DB">
        <w:rPr>
          <w:rFonts w:cs="Times New Roman"/>
          <w:color w:val="000000" w:themeColor="text1"/>
          <w:szCs w:val="24"/>
          <w:lang w:val="en-GB"/>
        </w:rPr>
        <w:t xml:space="preserve"> using the protection of plant variety as an illustrative example</w:t>
      </w:r>
      <w:r w:rsidRPr="00511A79">
        <w:rPr>
          <w:rFonts w:cs="Times New Roman"/>
          <w:color w:val="000000" w:themeColor="text1"/>
          <w:szCs w:val="24"/>
          <w:lang w:val="en-GB"/>
        </w:rPr>
        <w:t xml:space="preserve">. </w:t>
      </w:r>
      <w:r w:rsidRPr="00511A79">
        <w:rPr>
          <w:rFonts w:cs="Times New Roman"/>
          <w:color w:val="00000A"/>
          <w:szCs w:val="24"/>
          <w:lang w:val="en-GB"/>
        </w:rPr>
        <w:t xml:space="preserve">It </w:t>
      </w:r>
      <w:r w:rsidRPr="00511A79">
        <w:rPr>
          <w:rFonts w:cs="Times New Roman"/>
          <w:color w:val="000000" w:themeColor="text1"/>
          <w:szCs w:val="24"/>
          <w:lang w:val="en-GB"/>
        </w:rPr>
        <w:t>focuses mainly on technical assistance from the World Inte</w:t>
      </w:r>
      <w:r>
        <w:rPr>
          <w:rFonts w:cs="Times New Roman"/>
          <w:color w:val="000000" w:themeColor="text1"/>
          <w:szCs w:val="24"/>
          <w:lang w:val="en-GB"/>
        </w:rPr>
        <w:t>llectual Property Organization</w:t>
      </w:r>
      <w:r w:rsidRPr="00511A79">
        <w:rPr>
          <w:rFonts w:cs="Times New Roman"/>
          <w:color w:val="000000" w:themeColor="text1"/>
          <w:szCs w:val="24"/>
          <w:lang w:val="en-GB"/>
        </w:rPr>
        <w:t xml:space="preserve"> and the International Union for the Protection of</w:t>
      </w:r>
      <w:r>
        <w:rPr>
          <w:rFonts w:cs="Times New Roman"/>
          <w:color w:val="000000" w:themeColor="text1"/>
          <w:szCs w:val="24"/>
          <w:lang w:val="en-GB"/>
        </w:rPr>
        <w:t xml:space="preserve"> New Varieties of Plants. R</w:t>
      </w:r>
      <w:r>
        <w:rPr>
          <w:rFonts w:cs="Times New Roman"/>
          <w:color w:val="00000A"/>
          <w:szCs w:val="24"/>
          <w:lang w:val="en-GB"/>
        </w:rPr>
        <w:t>elying</w:t>
      </w:r>
      <w:r w:rsidRPr="00511A79">
        <w:rPr>
          <w:rFonts w:cs="Times New Roman"/>
          <w:color w:val="00000A"/>
          <w:szCs w:val="24"/>
          <w:lang w:val="en-GB"/>
        </w:rPr>
        <w:t xml:space="preserve"> on Third World A</w:t>
      </w:r>
      <w:r>
        <w:rPr>
          <w:rFonts w:cs="Times New Roman"/>
          <w:color w:val="00000A"/>
          <w:szCs w:val="24"/>
          <w:lang w:val="en-GB"/>
        </w:rPr>
        <w:t>pproaches to International Law</w:t>
      </w:r>
      <w:r w:rsidRPr="00511A79">
        <w:rPr>
          <w:rFonts w:cs="Times New Roman"/>
          <w:color w:val="00000A"/>
          <w:szCs w:val="24"/>
          <w:lang w:val="en-GB"/>
        </w:rPr>
        <w:t xml:space="preserve"> scholarship and doctrine</w:t>
      </w:r>
      <w:r>
        <w:rPr>
          <w:rFonts w:cs="Times New Roman"/>
          <w:color w:val="00000A"/>
          <w:szCs w:val="24"/>
          <w:lang w:val="en-GB"/>
        </w:rPr>
        <w:t>,</w:t>
      </w:r>
      <w:r>
        <w:rPr>
          <w:rFonts w:cs="Times New Roman"/>
          <w:color w:val="000000" w:themeColor="text1"/>
          <w:szCs w:val="24"/>
          <w:lang w:val="en-GB"/>
        </w:rPr>
        <w:t xml:space="preserve"> it traces the origins of IP technical assistance and its role in </w:t>
      </w:r>
      <w:r w:rsidRPr="007428DB">
        <w:rPr>
          <w:rFonts w:cs="Times New Roman"/>
          <w:color w:val="000000" w:themeColor="text1"/>
          <w:szCs w:val="24"/>
          <w:lang w:val="en-GB"/>
        </w:rPr>
        <w:t xml:space="preserve">the </w:t>
      </w:r>
      <w:r>
        <w:rPr>
          <w:rFonts w:cs="Times New Roman"/>
          <w:color w:val="000000" w:themeColor="text1"/>
          <w:szCs w:val="24"/>
          <w:lang w:val="en-GB"/>
        </w:rPr>
        <w:t xml:space="preserve">institution of IP norms and </w:t>
      </w:r>
      <w:r w:rsidRPr="007428DB">
        <w:rPr>
          <w:rFonts w:cs="Times New Roman"/>
          <w:color w:val="000000" w:themeColor="text1"/>
          <w:szCs w:val="24"/>
          <w:lang w:val="en-GB"/>
        </w:rPr>
        <w:t>pro</w:t>
      </w:r>
      <w:r>
        <w:rPr>
          <w:rFonts w:cs="Times New Roman"/>
          <w:color w:val="000000" w:themeColor="text1"/>
          <w:szCs w:val="24"/>
          <w:lang w:val="en-GB"/>
        </w:rPr>
        <w:t>tection in Africa. It further discusses the fragmented and</w:t>
      </w:r>
      <w:r w:rsidR="00887D97">
        <w:rPr>
          <w:rFonts w:cs="Times New Roman"/>
          <w:color w:val="000000" w:themeColor="text1"/>
          <w:szCs w:val="24"/>
          <w:lang w:val="en-GB"/>
        </w:rPr>
        <w:t xml:space="preserve"> complex regime of IP laws in Africa</w:t>
      </w:r>
      <w:r>
        <w:rPr>
          <w:rFonts w:cs="Times New Roman"/>
          <w:color w:val="000000" w:themeColor="text1"/>
          <w:szCs w:val="24"/>
          <w:lang w:val="en-GB"/>
        </w:rPr>
        <w:t xml:space="preserve"> and finally, the place of technical assistance in the burgeonin</w:t>
      </w:r>
      <w:r w:rsidR="00D1158A">
        <w:rPr>
          <w:rFonts w:cs="Times New Roman"/>
          <w:color w:val="000000" w:themeColor="text1"/>
          <w:szCs w:val="24"/>
          <w:lang w:val="en-GB"/>
        </w:rPr>
        <w:t>g plant variety regime o</w:t>
      </w:r>
      <w:r w:rsidR="00887D97">
        <w:rPr>
          <w:rFonts w:cs="Times New Roman"/>
          <w:color w:val="000000" w:themeColor="text1"/>
          <w:szCs w:val="24"/>
          <w:lang w:val="en-GB"/>
        </w:rPr>
        <w:t>n the continent</w:t>
      </w:r>
      <w:r w:rsidRPr="007428DB">
        <w:rPr>
          <w:rFonts w:cs="Times New Roman"/>
          <w:color w:val="000000" w:themeColor="text1"/>
          <w:szCs w:val="24"/>
          <w:lang w:val="en-GB"/>
        </w:rPr>
        <w:t xml:space="preserve">. </w:t>
      </w:r>
      <w:r>
        <w:rPr>
          <w:rFonts w:cs="Times New Roman"/>
          <w:color w:val="000000" w:themeColor="text1"/>
          <w:szCs w:val="24"/>
          <w:lang w:val="en-GB"/>
        </w:rPr>
        <w:t>The central claim is</w:t>
      </w:r>
      <w:r>
        <w:rPr>
          <w:rFonts w:cs="Times New Roman"/>
          <w:color w:val="000000" w:themeColor="text1"/>
          <w:szCs w:val="24"/>
        </w:rPr>
        <w:t xml:space="preserve"> that technical assistance</w:t>
      </w:r>
      <w:r w:rsidRPr="007428DB">
        <w:rPr>
          <w:rFonts w:cs="Times New Roman"/>
          <w:color w:val="000000" w:themeColor="text1"/>
          <w:szCs w:val="24"/>
        </w:rPr>
        <w:t xml:space="preserve"> should be seen </w:t>
      </w:r>
      <w:r w:rsidRPr="007428DB">
        <w:rPr>
          <w:rFonts w:cs="Times New Roman"/>
          <w:color w:val="000000" w:themeColor="text1"/>
          <w:szCs w:val="24"/>
          <w:lang w:val="en-GB"/>
        </w:rPr>
        <w:t xml:space="preserve">as </w:t>
      </w:r>
      <w:r w:rsidRPr="007428DB">
        <w:rPr>
          <w:rFonts w:cs="Times New Roman"/>
          <w:color w:val="000000" w:themeColor="text1"/>
          <w:szCs w:val="24"/>
        </w:rPr>
        <w:t>a vector of ideas and practices that have progressively led to the systemic integration of African cou</w:t>
      </w:r>
      <w:r>
        <w:rPr>
          <w:rFonts w:cs="Times New Roman"/>
          <w:color w:val="000000" w:themeColor="text1"/>
          <w:szCs w:val="24"/>
        </w:rPr>
        <w:t>ntries into the international IP</w:t>
      </w:r>
      <w:r w:rsidRPr="007428DB">
        <w:rPr>
          <w:rFonts w:cs="Times New Roman"/>
          <w:color w:val="000000" w:themeColor="text1"/>
          <w:szCs w:val="24"/>
        </w:rPr>
        <w:t xml:space="preserve"> system (adherence overdrive) and the curious case of countries inadvertently neglecting the flexibilities inherent in the </w:t>
      </w:r>
      <w:r>
        <w:rPr>
          <w:rFonts w:cs="Times New Roman"/>
          <w:color w:val="000000" w:themeColor="text1"/>
          <w:szCs w:val="24"/>
        </w:rPr>
        <w:t>IP</w:t>
      </w:r>
      <w:r w:rsidRPr="007428DB">
        <w:rPr>
          <w:rFonts w:cs="Times New Roman"/>
          <w:color w:val="000000" w:themeColor="text1"/>
          <w:szCs w:val="24"/>
        </w:rPr>
        <w:t xml:space="preserve"> sys</w:t>
      </w:r>
      <w:r>
        <w:rPr>
          <w:rFonts w:cs="Times New Roman"/>
          <w:color w:val="000000" w:themeColor="text1"/>
          <w:szCs w:val="24"/>
        </w:rPr>
        <w:t>tem when formulating national</w:t>
      </w:r>
      <w:r w:rsidRPr="007428DB">
        <w:rPr>
          <w:rFonts w:cs="Times New Roman"/>
          <w:color w:val="000000" w:themeColor="text1"/>
          <w:szCs w:val="24"/>
        </w:rPr>
        <w:t xml:space="preserve"> laws and policy (compliance overdrive).</w:t>
      </w:r>
    </w:p>
    <w:p w14:paraId="1C05BC49" w14:textId="77777777" w:rsidR="00A741DD" w:rsidRPr="00FE3967" w:rsidRDefault="00A741DD">
      <w:pPr>
        <w:rPr>
          <w:rFonts w:cstheme="minorHAnsi"/>
          <w:b/>
          <w:szCs w:val="24"/>
        </w:rPr>
      </w:pPr>
    </w:p>
    <w:p w14:paraId="378EAD36" w14:textId="65D382D4" w:rsidR="007317C8" w:rsidRPr="00F60AC1" w:rsidRDefault="00EB1AFB">
      <w:pPr>
        <w:rPr>
          <w:rFonts w:cstheme="minorHAnsi"/>
          <w:b/>
          <w:szCs w:val="24"/>
          <w:lang w:val="en-GB"/>
        </w:rPr>
      </w:pPr>
      <w:r w:rsidRPr="00F60AC1">
        <w:rPr>
          <w:rFonts w:cstheme="minorHAnsi"/>
          <w:b/>
          <w:szCs w:val="24"/>
          <w:lang w:val="en-GB"/>
        </w:rPr>
        <w:t>Table of Contents</w:t>
      </w:r>
    </w:p>
    <w:p w14:paraId="7E4EF9E5" w14:textId="36D5C233" w:rsidR="00BD7C25" w:rsidRPr="00F60AC1" w:rsidRDefault="00BD7C25">
      <w:pPr>
        <w:rPr>
          <w:rFonts w:cstheme="minorHAnsi"/>
          <w:b/>
          <w:szCs w:val="24"/>
          <w:lang w:val="en-GB"/>
        </w:rPr>
      </w:pPr>
    </w:p>
    <w:p w14:paraId="750719D2" w14:textId="492B8895" w:rsidR="00BD7C25" w:rsidRPr="00F60AC1" w:rsidRDefault="00BD7C25" w:rsidP="005123F9">
      <w:pPr>
        <w:pStyle w:val="TOC1"/>
        <w:tabs>
          <w:tab w:val="right" w:leader="dot" w:pos="9017"/>
        </w:tabs>
        <w:spacing w:after="0"/>
        <w:rPr>
          <w:rFonts w:asciiTheme="minorHAnsi" w:eastAsiaTheme="minorEastAsia" w:hAnsiTheme="minorHAnsi"/>
          <w:noProof/>
          <w:szCs w:val="24"/>
          <w:lang w:val="en-GB" w:eastAsia="de-DE"/>
        </w:rPr>
      </w:pPr>
      <w:r w:rsidRPr="00F60AC1">
        <w:rPr>
          <w:rFonts w:cstheme="minorHAnsi"/>
          <w:bCs/>
          <w:szCs w:val="24"/>
          <w:lang w:val="en-GB"/>
        </w:rPr>
        <w:fldChar w:fldCharType="begin"/>
      </w:r>
      <w:r w:rsidRPr="00F60AC1">
        <w:rPr>
          <w:rFonts w:cstheme="minorHAnsi"/>
          <w:bCs/>
          <w:szCs w:val="24"/>
          <w:lang w:val="en-GB"/>
        </w:rPr>
        <w:instrText xml:space="preserve"> TOC \o "1-3" \h \z \t "IP Ebene 1;1;IP Ebene 2;2" </w:instrText>
      </w:r>
      <w:r w:rsidRPr="00F60AC1">
        <w:rPr>
          <w:rFonts w:cstheme="minorHAnsi"/>
          <w:bCs/>
          <w:szCs w:val="24"/>
          <w:lang w:val="en-GB"/>
        </w:rPr>
        <w:fldChar w:fldCharType="separate"/>
      </w:r>
      <w:hyperlink w:anchor="_Toc86845099" w:history="1">
        <w:r w:rsidRPr="00F60AC1">
          <w:rPr>
            <w:rStyle w:val="Hyperlink"/>
            <w:noProof/>
            <w:lang w:val="en-GB"/>
          </w:rPr>
          <w:t>A. Introduction</w:t>
        </w:r>
        <w:r w:rsidRPr="00F60AC1">
          <w:rPr>
            <w:noProof/>
            <w:webHidden/>
            <w:lang w:val="en-GB"/>
          </w:rPr>
          <w:tab/>
        </w:r>
        <w:r w:rsidRPr="00F60AC1">
          <w:rPr>
            <w:noProof/>
            <w:webHidden/>
            <w:lang w:val="en-GB"/>
          </w:rPr>
          <w:fldChar w:fldCharType="begin"/>
        </w:r>
        <w:r w:rsidRPr="00F60AC1">
          <w:rPr>
            <w:noProof/>
            <w:webHidden/>
            <w:lang w:val="en-GB"/>
          </w:rPr>
          <w:instrText xml:space="preserve"> PAGEREF _Toc86845099 \h </w:instrText>
        </w:r>
        <w:r w:rsidRPr="00F60AC1">
          <w:rPr>
            <w:noProof/>
            <w:webHidden/>
            <w:lang w:val="en-GB"/>
          </w:rPr>
        </w:r>
        <w:r w:rsidRPr="00F60AC1">
          <w:rPr>
            <w:noProof/>
            <w:webHidden/>
            <w:lang w:val="en-GB"/>
          </w:rPr>
          <w:fldChar w:fldCharType="separate"/>
        </w:r>
        <w:r w:rsidR="005123F9">
          <w:rPr>
            <w:noProof/>
            <w:webHidden/>
            <w:lang w:val="en-GB"/>
          </w:rPr>
          <w:t>1</w:t>
        </w:r>
        <w:r w:rsidRPr="00F60AC1">
          <w:rPr>
            <w:noProof/>
            <w:webHidden/>
            <w:lang w:val="en-GB"/>
          </w:rPr>
          <w:fldChar w:fldCharType="end"/>
        </w:r>
      </w:hyperlink>
    </w:p>
    <w:p w14:paraId="2C76797D" w14:textId="104C9FED" w:rsidR="00BD7C25" w:rsidRPr="00F60AC1" w:rsidRDefault="00F006F0" w:rsidP="005123F9">
      <w:pPr>
        <w:pStyle w:val="TOC1"/>
        <w:tabs>
          <w:tab w:val="right" w:leader="dot" w:pos="9017"/>
        </w:tabs>
        <w:spacing w:after="0"/>
        <w:rPr>
          <w:rFonts w:asciiTheme="minorHAnsi" w:eastAsiaTheme="minorEastAsia" w:hAnsiTheme="minorHAnsi"/>
          <w:noProof/>
          <w:szCs w:val="24"/>
          <w:lang w:val="en-GB" w:eastAsia="de-DE"/>
        </w:rPr>
      </w:pPr>
      <w:hyperlink w:anchor="_Toc86845100" w:history="1">
        <w:r w:rsidR="00BD7C25" w:rsidRPr="00F60AC1">
          <w:rPr>
            <w:rStyle w:val="Hyperlink"/>
            <w:noProof/>
            <w:lang w:val="en-GB"/>
          </w:rPr>
          <w:t>B. The Roots of IP Technical Assistance and Third World Approaches to International Law</w:t>
        </w:r>
        <w:r w:rsidR="00BD7C25" w:rsidRPr="00F60AC1">
          <w:rPr>
            <w:noProof/>
            <w:webHidden/>
            <w:lang w:val="en-GB"/>
          </w:rPr>
          <w:tab/>
        </w:r>
        <w:r w:rsidR="00BD7C25" w:rsidRPr="00F60AC1">
          <w:rPr>
            <w:noProof/>
            <w:webHidden/>
            <w:lang w:val="en-GB"/>
          </w:rPr>
          <w:fldChar w:fldCharType="begin"/>
        </w:r>
        <w:r w:rsidR="00BD7C25" w:rsidRPr="00F60AC1">
          <w:rPr>
            <w:noProof/>
            <w:webHidden/>
            <w:lang w:val="en-GB"/>
          </w:rPr>
          <w:instrText xml:space="preserve"> PAGEREF _Toc86845100 \h </w:instrText>
        </w:r>
        <w:r w:rsidR="00BD7C25" w:rsidRPr="00F60AC1">
          <w:rPr>
            <w:noProof/>
            <w:webHidden/>
            <w:lang w:val="en-GB"/>
          </w:rPr>
        </w:r>
        <w:r w:rsidR="00BD7C25" w:rsidRPr="00F60AC1">
          <w:rPr>
            <w:noProof/>
            <w:webHidden/>
            <w:lang w:val="en-GB"/>
          </w:rPr>
          <w:fldChar w:fldCharType="separate"/>
        </w:r>
        <w:r w:rsidR="005123F9">
          <w:rPr>
            <w:noProof/>
            <w:webHidden/>
            <w:lang w:val="en-GB"/>
          </w:rPr>
          <w:t>3</w:t>
        </w:r>
        <w:r w:rsidR="00BD7C25" w:rsidRPr="00F60AC1">
          <w:rPr>
            <w:noProof/>
            <w:webHidden/>
            <w:lang w:val="en-GB"/>
          </w:rPr>
          <w:fldChar w:fldCharType="end"/>
        </w:r>
      </w:hyperlink>
    </w:p>
    <w:p w14:paraId="581F6EF9" w14:textId="755DDCE3" w:rsidR="00BD7C25" w:rsidRPr="00F60AC1" w:rsidRDefault="00F006F0" w:rsidP="005123F9">
      <w:pPr>
        <w:pStyle w:val="TOC1"/>
        <w:tabs>
          <w:tab w:val="right" w:leader="dot" w:pos="9017"/>
        </w:tabs>
        <w:spacing w:after="0"/>
        <w:rPr>
          <w:rFonts w:asciiTheme="minorHAnsi" w:eastAsiaTheme="minorEastAsia" w:hAnsiTheme="minorHAnsi"/>
          <w:noProof/>
          <w:szCs w:val="24"/>
          <w:lang w:val="en-GB" w:eastAsia="de-DE"/>
        </w:rPr>
      </w:pPr>
      <w:hyperlink w:anchor="_Toc86845101" w:history="1">
        <w:r w:rsidR="00BD7C25" w:rsidRPr="00F60AC1">
          <w:rPr>
            <w:rStyle w:val="Hyperlink"/>
            <w:noProof/>
            <w:lang w:val="en-GB"/>
          </w:rPr>
          <w:t>C. WIPO’s Technical Assistance and the Complex and Fragmented Regime of IP laws in Africa</w:t>
        </w:r>
        <w:r w:rsidR="00BD7C25" w:rsidRPr="00F60AC1">
          <w:rPr>
            <w:noProof/>
            <w:webHidden/>
            <w:lang w:val="en-GB"/>
          </w:rPr>
          <w:tab/>
        </w:r>
        <w:r w:rsidR="00BD7C25" w:rsidRPr="00F60AC1">
          <w:rPr>
            <w:noProof/>
            <w:webHidden/>
            <w:lang w:val="en-GB"/>
          </w:rPr>
          <w:fldChar w:fldCharType="begin"/>
        </w:r>
        <w:r w:rsidR="00BD7C25" w:rsidRPr="00F60AC1">
          <w:rPr>
            <w:noProof/>
            <w:webHidden/>
            <w:lang w:val="en-GB"/>
          </w:rPr>
          <w:instrText xml:space="preserve"> PAGEREF _Toc86845101 \h </w:instrText>
        </w:r>
        <w:r w:rsidR="00BD7C25" w:rsidRPr="00F60AC1">
          <w:rPr>
            <w:noProof/>
            <w:webHidden/>
            <w:lang w:val="en-GB"/>
          </w:rPr>
        </w:r>
        <w:r w:rsidR="00BD7C25" w:rsidRPr="00F60AC1">
          <w:rPr>
            <w:noProof/>
            <w:webHidden/>
            <w:lang w:val="en-GB"/>
          </w:rPr>
          <w:fldChar w:fldCharType="separate"/>
        </w:r>
        <w:r w:rsidR="005123F9">
          <w:rPr>
            <w:noProof/>
            <w:webHidden/>
            <w:lang w:val="en-GB"/>
          </w:rPr>
          <w:t>6</w:t>
        </w:r>
        <w:r w:rsidR="00BD7C25" w:rsidRPr="00F60AC1">
          <w:rPr>
            <w:noProof/>
            <w:webHidden/>
            <w:lang w:val="en-GB"/>
          </w:rPr>
          <w:fldChar w:fldCharType="end"/>
        </w:r>
      </w:hyperlink>
    </w:p>
    <w:p w14:paraId="48F139FF" w14:textId="6A55D6CD" w:rsidR="00BD7C25" w:rsidRPr="00F60AC1" w:rsidRDefault="00F006F0" w:rsidP="005123F9">
      <w:pPr>
        <w:pStyle w:val="TOC2"/>
        <w:tabs>
          <w:tab w:val="right" w:leader="dot" w:pos="9017"/>
        </w:tabs>
        <w:spacing w:after="0"/>
        <w:rPr>
          <w:rFonts w:asciiTheme="minorHAnsi" w:eastAsiaTheme="minorEastAsia" w:hAnsiTheme="minorHAnsi"/>
          <w:noProof/>
          <w:szCs w:val="24"/>
          <w:lang w:val="en-GB" w:eastAsia="de-DE"/>
        </w:rPr>
      </w:pPr>
      <w:hyperlink w:anchor="_Toc86845102" w:history="1">
        <w:r w:rsidR="00BD7C25" w:rsidRPr="00F60AC1">
          <w:rPr>
            <w:rStyle w:val="Hyperlink"/>
            <w:noProof/>
            <w:lang w:val="en-GB"/>
          </w:rPr>
          <w:t>I. The Formation of OAPI</w:t>
        </w:r>
        <w:r w:rsidR="00BD7C25" w:rsidRPr="00F60AC1">
          <w:rPr>
            <w:noProof/>
            <w:webHidden/>
            <w:lang w:val="en-GB"/>
          </w:rPr>
          <w:tab/>
        </w:r>
        <w:r w:rsidR="00BD7C25" w:rsidRPr="00F60AC1">
          <w:rPr>
            <w:noProof/>
            <w:webHidden/>
            <w:lang w:val="en-GB"/>
          </w:rPr>
          <w:fldChar w:fldCharType="begin"/>
        </w:r>
        <w:r w:rsidR="00BD7C25" w:rsidRPr="00F60AC1">
          <w:rPr>
            <w:noProof/>
            <w:webHidden/>
            <w:lang w:val="en-GB"/>
          </w:rPr>
          <w:instrText xml:space="preserve"> PAGEREF _Toc86845102 \h </w:instrText>
        </w:r>
        <w:r w:rsidR="00BD7C25" w:rsidRPr="00F60AC1">
          <w:rPr>
            <w:noProof/>
            <w:webHidden/>
            <w:lang w:val="en-GB"/>
          </w:rPr>
        </w:r>
        <w:r w:rsidR="00BD7C25" w:rsidRPr="00F60AC1">
          <w:rPr>
            <w:noProof/>
            <w:webHidden/>
            <w:lang w:val="en-GB"/>
          </w:rPr>
          <w:fldChar w:fldCharType="separate"/>
        </w:r>
        <w:r w:rsidR="005123F9">
          <w:rPr>
            <w:noProof/>
            <w:webHidden/>
            <w:lang w:val="en-GB"/>
          </w:rPr>
          <w:t>9</w:t>
        </w:r>
        <w:r w:rsidR="00BD7C25" w:rsidRPr="00F60AC1">
          <w:rPr>
            <w:noProof/>
            <w:webHidden/>
            <w:lang w:val="en-GB"/>
          </w:rPr>
          <w:fldChar w:fldCharType="end"/>
        </w:r>
      </w:hyperlink>
    </w:p>
    <w:p w14:paraId="694AC8EC" w14:textId="31DEB749" w:rsidR="00BD7C25" w:rsidRPr="00F60AC1" w:rsidRDefault="00F006F0" w:rsidP="005123F9">
      <w:pPr>
        <w:pStyle w:val="TOC2"/>
        <w:tabs>
          <w:tab w:val="right" w:leader="dot" w:pos="9017"/>
        </w:tabs>
        <w:spacing w:after="0"/>
        <w:rPr>
          <w:rFonts w:asciiTheme="minorHAnsi" w:eastAsiaTheme="minorEastAsia" w:hAnsiTheme="minorHAnsi"/>
          <w:noProof/>
          <w:szCs w:val="24"/>
          <w:lang w:val="en-GB" w:eastAsia="de-DE"/>
        </w:rPr>
      </w:pPr>
      <w:hyperlink w:anchor="_Toc86845103" w:history="1">
        <w:r w:rsidR="00BD7C25" w:rsidRPr="00F60AC1">
          <w:rPr>
            <w:rStyle w:val="Hyperlink"/>
            <w:noProof/>
            <w:lang w:val="en-GB"/>
          </w:rPr>
          <w:t>II. The Formation of ARIPO and the Reception of International Norms</w:t>
        </w:r>
        <w:r w:rsidR="00BD7C25" w:rsidRPr="00F60AC1">
          <w:rPr>
            <w:noProof/>
            <w:webHidden/>
            <w:lang w:val="en-GB"/>
          </w:rPr>
          <w:tab/>
        </w:r>
        <w:r w:rsidR="00BD7C25" w:rsidRPr="00F60AC1">
          <w:rPr>
            <w:noProof/>
            <w:webHidden/>
            <w:lang w:val="en-GB"/>
          </w:rPr>
          <w:fldChar w:fldCharType="begin"/>
        </w:r>
        <w:r w:rsidR="00BD7C25" w:rsidRPr="00F60AC1">
          <w:rPr>
            <w:noProof/>
            <w:webHidden/>
            <w:lang w:val="en-GB"/>
          </w:rPr>
          <w:instrText xml:space="preserve"> PAGEREF _Toc86845103 \h </w:instrText>
        </w:r>
        <w:r w:rsidR="00BD7C25" w:rsidRPr="00F60AC1">
          <w:rPr>
            <w:noProof/>
            <w:webHidden/>
            <w:lang w:val="en-GB"/>
          </w:rPr>
        </w:r>
        <w:r w:rsidR="00BD7C25" w:rsidRPr="00F60AC1">
          <w:rPr>
            <w:noProof/>
            <w:webHidden/>
            <w:lang w:val="en-GB"/>
          </w:rPr>
          <w:fldChar w:fldCharType="separate"/>
        </w:r>
        <w:r w:rsidR="005123F9">
          <w:rPr>
            <w:noProof/>
            <w:webHidden/>
            <w:lang w:val="en-GB"/>
          </w:rPr>
          <w:t>12</w:t>
        </w:r>
        <w:r w:rsidR="00BD7C25" w:rsidRPr="00F60AC1">
          <w:rPr>
            <w:noProof/>
            <w:webHidden/>
            <w:lang w:val="en-GB"/>
          </w:rPr>
          <w:fldChar w:fldCharType="end"/>
        </w:r>
      </w:hyperlink>
    </w:p>
    <w:p w14:paraId="750AE50A" w14:textId="6EF8ACEC" w:rsidR="00BD7C25" w:rsidRPr="00F60AC1" w:rsidRDefault="00F006F0" w:rsidP="005123F9">
      <w:pPr>
        <w:pStyle w:val="TOC2"/>
        <w:tabs>
          <w:tab w:val="right" w:leader="dot" w:pos="9017"/>
        </w:tabs>
        <w:spacing w:after="0"/>
        <w:rPr>
          <w:rFonts w:asciiTheme="minorHAnsi" w:eastAsiaTheme="minorEastAsia" w:hAnsiTheme="minorHAnsi"/>
          <w:noProof/>
          <w:szCs w:val="24"/>
          <w:lang w:val="en-GB" w:eastAsia="de-DE"/>
        </w:rPr>
      </w:pPr>
      <w:hyperlink w:anchor="_Toc86845104" w:history="1">
        <w:r w:rsidR="00BD7C25" w:rsidRPr="00F60AC1">
          <w:rPr>
            <w:rStyle w:val="Hyperlink"/>
            <w:noProof/>
            <w:lang w:val="en-GB"/>
          </w:rPr>
          <w:t>III. The Continental (African Union) Level</w:t>
        </w:r>
        <w:r w:rsidR="00BD7C25" w:rsidRPr="00F60AC1">
          <w:rPr>
            <w:noProof/>
            <w:webHidden/>
            <w:lang w:val="en-GB"/>
          </w:rPr>
          <w:tab/>
        </w:r>
        <w:r w:rsidR="00BD7C25" w:rsidRPr="00F60AC1">
          <w:rPr>
            <w:noProof/>
            <w:webHidden/>
            <w:lang w:val="en-GB"/>
          </w:rPr>
          <w:fldChar w:fldCharType="begin"/>
        </w:r>
        <w:r w:rsidR="00BD7C25" w:rsidRPr="00F60AC1">
          <w:rPr>
            <w:noProof/>
            <w:webHidden/>
            <w:lang w:val="en-GB"/>
          </w:rPr>
          <w:instrText xml:space="preserve"> PAGEREF _Toc86845104 \h </w:instrText>
        </w:r>
        <w:r w:rsidR="00BD7C25" w:rsidRPr="00F60AC1">
          <w:rPr>
            <w:noProof/>
            <w:webHidden/>
            <w:lang w:val="en-GB"/>
          </w:rPr>
        </w:r>
        <w:r w:rsidR="00BD7C25" w:rsidRPr="00F60AC1">
          <w:rPr>
            <w:noProof/>
            <w:webHidden/>
            <w:lang w:val="en-GB"/>
          </w:rPr>
          <w:fldChar w:fldCharType="separate"/>
        </w:r>
        <w:r w:rsidR="005123F9">
          <w:rPr>
            <w:noProof/>
            <w:webHidden/>
            <w:lang w:val="en-GB"/>
          </w:rPr>
          <w:t>16</w:t>
        </w:r>
        <w:r w:rsidR="00BD7C25" w:rsidRPr="00F60AC1">
          <w:rPr>
            <w:noProof/>
            <w:webHidden/>
            <w:lang w:val="en-GB"/>
          </w:rPr>
          <w:fldChar w:fldCharType="end"/>
        </w:r>
      </w:hyperlink>
    </w:p>
    <w:p w14:paraId="3E01B2A2" w14:textId="7983AF50" w:rsidR="00BD7C25" w:rsidRPr="00F60AC1" w:rsidRDefault="00F006F0" w:rsidP="005123F9">
      <w:pPr>
        <w:pStyle w:val="TOC1"/>
        <w:tabs>
          <w:tab w:val="right" w:leader="dot" w:pos="9017"/>
        </w:tabs>
        <w:spacing w:after="0"/>
        <w:rPr>
          <w:rFonts w:asciiTheme="minorHAnsi" w:eastAsiaTheme="minorEastAsia" w:hAnsiTheme="minorHAnsi"/>
          <w:noProof/>
          <w:szCs w:val="24"/>
          <w:lang w:val="en-GB" w:eastAsia="de-DE"/>
        </w:rPr>
      </w:pPr>
      <w:hyperlink w:anchor="_Toc86845105" w:history="1">
        <w:r w:rsidR="00BD7C25" w:rsidRPr="00F60AC1">
          <w:rPr>
            <w:rStyle w:val="Hyperlink"/>
            <w:noProof/>
            <w:lang w:val="en-GB"/>
          </w:rPr>
          <w:t>D. The Plant Variety Regime in Africa</w:t>
        </w:r>
        <w:r w:rsidR="00BD7C25" w:rsidRPr="00F60AC1">
          <w:rPr>
            <w:noProof/>
            <w:webHidden/>
            <w:lang w:val="en-GB"/>
          </w:rPr>
          <w:tab/>
        </w:r>
        <w:r w:rsidR="00BD7C25" w:rsidRPr="00F60AC1">
          <w:rPr>
            <w:noProof/>
            <w:webHidden/>
            <w:lang w:val="en-GB"/>
          </w:rPr>
          <w:fldChar w:fldCharType="begin"/>
        </w:r>
        <w:r w:rsidR="00BD7C25" w:rsidRPr="00F60AC1">
          <w:rPr>
            <w:noProof/>
            <w:webHidden/>
            <w:lang w:val="en-GB"/>
          </w:rPr>
          <w:instrText xml:space="preserve"> PAGEREF _Toc86845105 \h </w:instrText>
        </w:r>
        <w:r w:rsidR="00BD7C25" w:rsidRPr="00F60AC1">
          <w:rPr>
            <w:noProof/>
            <w:webHidden/>
            <w:lang w:val="en-GB"/>
          </w:rPr>
        </w:r>
        <w:r w:rsidR="00BD7C25" w:rsidRPr="00F60AC1">
          <w:rPr>
            <w:noProof/>
            <w:webHidden/>
            <w:lang w:val="en-GB"/>
          </w:rPr>
          <w:fldChar w:fldCharType="separate"/>
        </w:r>
        <w:r w:rsidR="005123F9">
          <w:rPr>
            <w:noProof/>
            <w:webHidden/>
            <w:lang w:val="en-GB"/>
          </w:rPr>
          <w:t>19</w:t>
        </w:r>
        <w:r w:rsidR="00BD7C25" w:rsidRPr="00F60AC1">
          <w:rPr>
            <w:noProof/>
            <w:webHidden/>
            <w:lang w:val="en-GB"/>
          </w:rPr>
          <w:fldChar w:fldCharType="end"/>
        </w:r>
      </w:hyperlink>
    </w:p>
    <w:p w14:paraId="622ED062" w14:textId="3AA04A2C" w:rsidR="00BD7C25" w:rsidRPr="00F60AC1" w:rsidRDefault="00F006F0" w:rsidP="005123F9">
      <w:pPr>
        <w:pStyle w:val="TOC2"/>
        <w:tabs>
          <w:tab w:val="right" w:leader="dot" w:pos="9017"/>
        </w:tabs>
        <w:spacing w:after="0"/>
        <w:rPr>
          <w:rFonts w:asciiTheme="minorHAnsi" w:eastAsiaTheme="minorEastAsia" w:hAnsiTheme="minorHAnsi"/>
          <w:noProof/>
          <w:szCs w:val="24"/>
          <w:lang w:val="en-GB" w:eastAsia="de-DE"/>
        </w:rPr>
      </w:pPr>
      <w:hyperlink w:anchor="_Toc86845106" w:history="1">
        <w:r w:rsidR="00BD7C25" w:rsidRPr="00F60AC1">
          <w:rPr>
            <w:rStyle w:val="Hyperlink"/>
            <w:noProof/>
            <w:lang w:val="en-GB"/>
          </w:rPr>
          <w:t>I. WIPO’s Agreement with UPOV: An Uptick in Plant Variety Protection</w:t>
        </w:r>
        <w:r w:rsidR="00BD7C25" w:rsidRPr="00F60AC1">
          <w:rPr>
            <w:noProof/>
            <w:webHidden/>
            <w:lang w:val="en-GB"/>
          </w:rPr>
          <w:tab/>
        </w:r>
        <w:r w:rsidR="00BD7C25" w:rsidRPr="00F60AC1">
          <w:rPr>
            <w:noProof/>
            <w:webHidden/>
            <w:lang w:val="en-GB"/>
          </w:rPr>
          <w:fldChar w:fldCharType="begin"/>
        </w:r>
        <w:r w:rsidR="00BD7C25" w:rsidRPr="00F60AC1">
          <w:rPr>
            <w:noProof/>
            <w:webHidden/>
            <w:lang w:val="en-GB"/>
          </w:rPr>
          <w:instrText xml:space="preserve"> PAGEREF _Toc86845106 \h </w:instrText>
        </w:r>
        <w:r w:rsidR="00BD7C25" w:rsidRPr="00F60AC1">
          <w:rPr>
            <w:noProof/>
            <w:webHidden/>
            <w:lang w:val="en-GB"/>
          </w:rPr>
        </w:r>
        <w:r w:rsidR="00BD7C25" w:rsidRPr="00F60AC1">
          <w:rPr>
            <w:noProof/>
            <w:webHidden/>
            <w:lang w:val="en-GB"/>
          </w:rPr>
          <w:fldChar w:fldCharType="separate"/>
        </w:r>
        <w:r w:rsidR="005123F9">
          <w:rPr>
            <w:noProof/>
            <w:webHidden/>
            <w:lang w:val="en-GB"/>
          </w:rPr>
          <w:t>19</w:t>
        </w:r>
        <w:r w:rsidR="00BD7C25" w:rsidRPr="00F60AC1">
          <w:rPr>
            <w:noProof/>
            <w:webHidden/>
            <w:lang w:val="en-GB"/>
          </w:rPr>
          <w:fldChar w:fldCharType="end"/>
        </w:r>
      </w:hyperlink>
    </w:p>
    <w:p w14:paraId="38FD3025" w14:textId="4DB373AB" w:rsidR="00BD7C25" w:rsidRPr="00F60AC1" w:rsidRDefault="00F006F0" w:rsidP="005123F9">
      <w:pPr>
        <w:pStyle w:val="TOC2"/>
        <w:tabs>
          <w:tab w:val="right" w:leader="dot" w:pos="9017"/>
        </w:tabs>
        <w:spacing w:after="0"/>
        <w:rPr>
          <w:rFonts w:asciiTheme="minorHAnsi" w:eastAsiaTheme="minorEastAsia" w:hAnsiTheme="minorHAnsi"/>
          <w:noProof/>
          <w:szCs w:val="24"/>
          <w:lang w:val="en-GB" w:eastAsia="de-DE"/>
        </w:rPr>
      </w:pPr>
      <w:hyperlink w:anchor="_Toc86845107" w:history="1">
        <w:r w:rsidR="00BD7C25" w:rsidRPr="00F60AC1">
          <w:rPr>
            <w:rStyle w:val="Hyperlink"/>
            <w:noProof/>
            <w:lang w:val="en-GB"/>
          </w:rPr>
          <w:t>II. The Protection of Plant Variety Under OAPI</w:t>
        </w:r>
        <w:r w:rsidR="00BD7C25" w:rsidRPr="00F60AC1">
          <w:rPr>
            <w:noProof/>
            <w:webHidden/>
            <w:lang w:val="en-GB"/>
          </w:rPr>
          <w:tab/>
        </w:r>
        <w:r w:rsidR="00BD7C25" w:rsidRPr="00F60AC1">
          <w:rPr>
            <w:noProof/>
            <w:webHidden/>
            <w:lang w:val="en-GB"/>
          </w:rPr>
          <w:fldChar w:fldCharType="begin"/>
        </w:r>
        <w:r w:rsidR="00BD7C25" w:rsidRPr="00F60AC1">
          <w:rPr>
            <w:noProof/>
            <w:webHidden/>
            <w:lang w:val="en-GB"/>
          </w:rPr>
          <w:instrText xml:space="preserve"> PAGEREF _Toc86845107 \h </w:instrText>
        </w:r>
        <w:r w:rsidR="00BD7C25" w:rsidRPr="00F60AC1">
          <w:rPr>
            <w:noProof/>
            <w:webHidden/>
            <w:lang w:val="en-GB"/>
          </w:rPr>
        </w:r>
        <w:r w:rsidR="00BD7C25" w:rsidRPr="00F60AC1">
          <w:rPr>
            <w:noProof/>
            <w:webHidden/>
            <w:lang w:val="en-GB"/>
          </w:rPr>
          <w:fldChar w:fldCharType="separate"/>
        </w:r>
        <w:r w:rsidR="005123F9">
          <w:rPr>
            <w:noProof/>
            <w:webHidden/>
            <w:lang w:val="en-GB"/>
          </w:rPr>
          <w:t>21</w:t>
        </w:r>
        <w:r w:rsidR="00BD7C25" w:rsidRPr="00F60AC1">
          <w:rPr>
            <w:noProof/>
            <w:webHidden/>
            <w:lang w:val="en-GB"/>
          </w:rPr>
          <w:fldChar w:fldCharType="end"/>
        </w:r>
      </w:hyperlink>
    </w:p>
    <w:p w14:paraId="642CCE89" w14:textId="51569AAC" w:rsidR="00BD7C25" w:rsidRPr="00F60AC1" w:rsidRDefault="00F006F0" w:rsidP="005123F9">
      <w:pPr>
        <w:pStyle w:val="TOC2"/>
        <w:tabs>
          <w:tab w:val="right" w:leader="dot" w:pos="9017"/>
        </w:tabs>
        <w:spacing w:after="0"/>
        <w:rPr>
          <w:rFonts w:asciiTheme="minorHAnsi" w:eastAsiaTheme="minorEastAsia" w:hAnsiTheme="minorHAnsi"/>
          <w:noProof/>
          <w:szCs w:val="24"/>
          <w:lang w:val="en-GB" w:eastAsia="de-DE"/>
        </w:rPr>
      </w:pPr>
      <w:hyperlink w:anchor="_Toc86845108" w:history="1">
        <w:r w:rsidR="00BD7C25" w:rsidRPr="00F60AC1">
          <w:rPr>
            <w:rStyle w:val="Hyperlink"/>
            <w:noProof/>
            <w:lang w:val="en-GB"/>
          </w:rPr>
          <w:t>III. Plant Variety Protection Under ARIPO and Others</w:t>
        </w:r>
        <w:r w:rsidR="00BD7C25" w:rsidRPr="00F60AC1">
          <w:rPr>
            <w:noProof/>
            <w:webHidden/>
            <w:lang w:val="en-GB"/>
          </w:rPr>
          <w:tab/>
        </w:r>
        <w:r w:rsidR="00BD7C25" w:rsidRPr="00F60AC1">
          <w:rPr>
            <w:noProof/>
            <w:webHidden/>
            <w:lang w:val="en-GB"/>
          </w:rPr>
          <w:fldChar w:fldCharType="begin"/>
        </w:r>
        <w:r w:rsidR="00BD7C25" w:rsidRPr="00F60AC1">
          <w:rPr>
            <w:noProof/>
            <w:webHidden/>
            <w:lang w:val="en-GB"/>
          </w:rPr>
          <w:instrText xml:space="preserve"> PAGEREF _Toc86845108 \h </w:instrText>
        </w:r>
        <w:r w:rsidR="00BD7C25" w:rsidRPr="00F60AC1">
          <w:rPr>
            <w:noProof/>
            <w:webHidden/>
            <w:lang w:val="en-GB"/>
          </w:rPr>
        </w:r>
        <w:r w:rsidR="00BD7C25" w:rsidRPr="00F60AC1">
          <w:rPr>
            <w:noProof/>
            <w:webHidden/>
            <w:lang w:val="en-GB"/>
          </w:rPr>
          <w:fldChar w:fldCharType="separate"/>
        </w:r>
        <w:r w:rsidR="005123F9">
          <w:rPr>
            <w:noProof/>
            <w:webHidden/>
            <w:lang w:val="en-GB"/>
          </w:rPr>
          <w:t>24</w:t>
        </w:r>
        <w:r w:rsidR="00BD7C25" w:rsidRPr="00F60AC1">
          <w:rPr>
            <w:noProof/>
            <w:webHidden/>
            <w:lang w:val="en-GB"/>
          </w:rPr>
          <w:fldChar w:fldCharType="end"/>
        </w:r>
      </w:hyperlink>
    </w:p>
    <w:p w14:paraId="25FC4878" w14:textId="2B586C9A" w:rsidR="00BD7C25" w:rsidRPr="00F60AC1" w:rsidRDefault="00F006F0" w:rsidP="005123F9">
      <w:pPr>
        <w:pStyle w:val="TOC1"/>
        <w:tabs>
          <w:tab w:val="right" w:leader="dot" w:pos="9017"/>
        </w:tabs>
        <w:spacing w:after="0"/>
        <w:rPr>
          <w:rFonts w:asciiTheme="minorHAnsi" w:eastAsiaTheme="minorEastAsia" w:hAnsiTheme="minorHAnsi"/>
          <w:noProof/>
          <w:szCs w:val="24"/>
          <w:lang w:val="en-GB" w:eastAsia="de-DE"/>
        </w:rPr>
      </w:pPr>
      <w:hyperlink w:anchor="_Toc86845109" w:history="1">
        <w:r w:rsidR="00BD7C25" w:rsidRPr="00F60AC1">
          <w:rPr>
            <w:rStyle w:val="Hyperlink"/>
            <w:noProof/>
            <w:lang w:val="en-GB"/>
          </w:rPr>
          <w:t>E. Conclusion</w:t>
        </w:r>
        <w:r w:rsidR="00BD7C25" w:rsidRPr="00F60AC1">
          <w:rPr>
            <w:noProof/>
            <w:webHidden/>
            <w:lang w:val="en-GB"/>
          </w:rPr>
          <w:tab/>
        </w:r>
        <w:r w:rsidR="00BD7C25" w:rsidRPr="00F60AC1">
          <w:rPr>
            <w:noProof/>
            <w:webHidden/>
            <w:lang w:val="en-GB"/>
          </w:rPr>
          <w:fldChar w:fldCharType="begin"/>
        </w:r>
        <w:r w:rsidR="00BD7C25" w:rsidRPr="00F60AC1">
          <w:rPr>
            <w:noProof/>
            <w:webHidden/>
            <w:lang w:val="en-GB"/>
          </w:rPr>
          <w:instrText xml:space="preserve"> PAGEREF _Toc86845109 \h </w:instrText>
        </w:r>
        <w:r w:rsidR="00BD7C25" w:rsidRPr="00F60AC1">
          <w:rPr>
            <w:noProof/>
            <w:webHidden/>
            <w:lang w:val="en-GB"/>
          </w:rPr>
        </w:r>
        <w:r w:rsidR="00BD7C25" w:rsidRPr="00F60AC1">
          <w:rPr>
            <w:noProof/>
            <w:webHidden/>
            <w:lang w:val="en-GB"/>
          </w:rPr>
          <w:fldChar w:fldCharType="separate"/>
        </w:r>
        <w:r w:rsidR="005123F9">
          <w:rPr>
            <w:noProof/>
            <w:webHidden/>
            <w:lang w:val="en-GB"/>
          </w:rPr>
          <w:t>27</w:t>
        </w:r>
        <w:r w:rsidR="00BD7C25" w:rsidRPr="00F60AC1">
          <w:rPr>
            <w:noProof/>
            <w:webHidden/>
            <w:lang w:val="en-GB"/>
          </w:rPr>
          <w:fldChar w:fldCharType="end"/>
        </w:r>
      </w:hyperlink>
    </w:p>
    <w:p w14:paraId="5285CEA6" w14:textId="1FAC4843" w:rsidR="00EB1AFB" w:rsidRPr="00F60AC1" w:rsidRDefault="00BD7C25" w:rsidP="005123F9">
      <w:pPr>
        <w:rPr>
          <w:rFonts w:cstheme="minorHAnsi"/>
          <w:bCs/>
          <w:szCs w:val="24"/>
          <w:lang w:val="en-GB"/>
        </w:rPr>
      </w:pPr>
      <w:r w:rsidRPr="00F60AC1">
        <w:rPr>
          <w:rFonts w:cstheme="minorHAnsi"/>
          <w:bCs/>
          <w:szCs w:val="24"/>
          <w:lang w:val="en-GB"/>
        </w:rPr>
        <w:fldChar w:fldCharType="end"/>
      </w:r>
    </w:p>
    <w:p w14:paraId="11EF7ACE" w14:textId="26F0F517" w:rsidR="007B79E6" w:rsidRPr="00F60AC1" w:rsidRDefault="00EB1AFB" w:rsidP="00EB1AFB">
      <w:pPr>
        <w:pStyle w:val="IPEbene1"/>
        <w:rPr>
          <w:lang w:val="en-GB"/>
        </w:rPr>
      </w:pPr>
      <w:bookmarkStart w:id="1" w:name="_Toc86845024"/>
      <w:bookmarkStart w:id="2" w:name="_Toc86845099"/>
      <w:r w:rsidRPr="00F60AC1">
        <w:rPr>
          <w:lang w:val="en-GB"/>
        </w:rPr>
        <w:t xml:space="preserve">A. </w:t>
      </w:r>
      <w:r w:rsidR="00AF30FA" w:rsidRPr="00F60AC1">
        <w:rPr>
          <w:lang w:val="en-GB"/>
        </w:rPr>
        <w:t>Introduction</w:t>
      </w:r>
      <w:bookmarkEnd w:id="1"/>
      <w:bookmarkEnd w:id="2"/>
    </w:p>
    <w:p w14:paraId="2B46DE2B" w14:textId="0E1CF7D6" w:rsidR="007B79E6" w:rsidRPr="00F60AC1" w:rsidRDefault="00AF30FA" w:rsidP="00EB1AFB">
      <w:pPr>
        <w:rPr>
          <w:lang w:val="en-GB"/>
        </w:rPr>
      </w:pPr>
      <w:r w:rsidRPr="00F60AC1">
        <w:rPr>
          <w:lang w:val="en-GB"/>
        </w:rPr>
        <w:t>In the late nineteenth century, when intellectual property (IP) was first harmonized at the international level,</w:t>
      </w:r>
      <w:r w:rsidRPr="00F60AC1">
        <w:rPr>
          <w:rStyle w:val="FootnoteReference"/>
          <w:rFonts w:cstheme="minorHAnsi"/>
          <w:color w:val="000000" w:themeColor="text1"/>
          <w:szCs w:val="24"/>
          <w:lang w:val="en-GB"/>
        </w:rPr>
        <w:footnoteReference w:id="1"/>
      </w:r>
      <w:r w:rsidRPr="00F60AC1">
        <w:rPr>
          <w:lang w:val="en-GB"/>
        </w:rPr>
        <w:t xml:space="preserve"> legal technical assistance was backstage. Through the agency of </w:t>
      </w:r>
      <w:r w:rsidRPr="00F60AC1">
        <w:rPr>
          <w:lang w:val="en-GB"/>
        </w:rPr>
        <w:lastRenderedPageBreak/>
        <w:t>colonialism,</w:t>
      </w:r>
      <w:r w:rsidRPr="00F60AC1">
        <w:rPr>
          <w:rStyle w:val="FootnoteReference"/>
          <w:rFonts w:cstheme="minorHAnsi"/>
          <w:color w:val="000000" w:themeColor="text1"/>
          <w:szCs w:val="24"/>
          <w:lang w:val="en-GB"/>
        </w:rPr>
        <w:footnoteReference w:id="2"/>
      </w:r>
      <w:r w:rsidRPr="00F60AC1">
        <w:rPr>
          <w:lang w:val="en-GB"/>
        </w:rPr>
        <w:t xml:space="preserve"> the contracting European countries to the Paris and the Berne Conventions</w:t>
      </w:r>
      <w:r w:rsidRPr="00F60AC1">
        <w:rPr>
          <w:rStyle w:val="FootnoteReference"/>
          <w:rFonts w:cstheme="minorHAnsi"/>
          <w:color w:val="000000" w:themeColor="text1"/>
          <w:szCs w:val="24"/>
          <w:lang w:val="en-GB"/>
        </w:rPr>
        <w:footnoteReference w:id="3"/>
      </w:r>
      <w:r w:rsidRPr="00F60AC1">
        <w:rPr>
          <w:lang w:val="en-GB"/>
        </w:rPr>
        <w:t xml:space="preserve"> decided to incorporate their colonies as </w:t>
      </w:r>
      <w:r w:rsidR="00CE5600" w:rsidRPr="00F60AC1">
        <w:rPr>
          <w:lang w:val="en-GB"/>
        </w:rPr>
        <w:t>“</w:t>
      </w:r>
      <w:r w:rsidRPr="00F60AC1">
        <w:rPr>
          <w:lang w:val="en-GB"/>
        </w:rPr>
        <w:t>countries of the Union</w:t>
      </w:r>
      <w:r w:rsidR="00CE5600" w:rsidRPr="00F60AC1">
        <w:rPr>
          <w:lang w:val="en-GB"/>
        </w:rPr>
        <w:t>”</w:t>
      </w:r>
      <w:r w:rsidRPr="00F60AC1">
        <w:rPr>
          <w:lang w:val="en-GB"/>
        </w:rPr>
        <w:t xml:space="preserve"> without being regarded members thereof.</w:t>
      </w:r>
      <w:r w:rsidRPr="00F60AC1">
        <w:rPr>
          <w:vertAlign w:val="superscript"/>
          <w:lang w:val="en-GB"/>
        </w:rPr>
        <w:footnoteReference w:id="4"/>
      </w:r>
      <w:r w:rsidRPr="00F60AC1">
        <w:rPr>
          <w:lang w:val="en-GB"/>
        </w:rPr>
        <w:t xml:space="preserve"> Specific provisions included in both treaties permitted the European powers to impose their IP rules on their colonies</w:t>
      </w:r>
      <w:r w:rsidRPr="00F60AC1">
        <w:rPr>
          <w:rStyle w:val="FootnoteReference"/>
          <w:rFonts w:cstheme="minorHAnsi"/>
          <w:color w:val="000000" w:themeColor="text1"/>
          <w:szCs w:val="24"/>
          <w:lang w:val="en-GB"/>
        </w:rPr>
        <w:footnoteReference w:id="5"/>
      </w:r>
      <w:r w:rsidRPr="00F60AC1">
        <w:rPr>
          <w:lang w:val="en-GB"/>
        </w:rPr>
        <w:t xml:space="preserve"> without any requirement for technical assistance.</w:t>
      </w:r>
      <w:r w:rsidRPr="00F60AC1">
        <w:rPr>
          <w:rStyle w:val="FootnoteReference"/>
          <w:rFonts w:cstheme="minorHAnsi"/>
          <w:color w:val="000000" w:themeColor="text1"/>
          <w:szCs w:val="24"/>
          <w:lang w:val="en-GB"/>
        </w:rPr>
        <w:footnoteReference w:id="6"/>
      </w:r>
      <w:r w:rsidRPr="00F60AC1">
        <w:rPr>
          <w:lang w:val="en-GB"/>
        </w:rPr>
        <w:t xml:space="preserve"> All this changed during the decolonization period in the 1950s and 60s when many European colonies in Africa and Asia became independent.</w:t>
      </w:r>
      <w:r w:rsidRPr="00F60AC1">
        <w:rPr>
          <w:rStyle w:val="FootnoteReference"/>
          <w:rFonts w:cstheme="minorHAnsi"/>
          <w:color w:val="000000" w:themeColor="text1"/>
          <w:szCs w:val="24"/>
          <w:lang w:val="en-GB"/>
        </w:rPr>
        <w:footnoteReference w:id="7"/>
      </w:r>
      <w:r w:rsidRPr="00F60AC1">
        <w:rPr>
          <w:lang w:val="en-GB"/>
        </w:rPr>
        <w:t xml:space="preserve"> All of a sudden, legal technical assistance gained currency. A</w:t>
      </w:r>
      <w:r w:rsidRPr="00F60AC1">
        <w:rPr>
          <w:rFonts w:eastAsia="TimesNewRomanPSMT"/>
          <w:lang w:val="en-GB"/>
        </w:rPr>
        <w:t>s newly independent states moved to carve national IP laws, the engineers of the post-war world economic order were faced with the question of how to move on.</w:t>
      </w:r>
      <w:r w:rsidRPr="00F60AC1">
        <w:rPr>
          <w:rStyle w:val="FootnoteReference"/>
          <w:rFonts w:eastAsia="TimesNewRomanPSMT" w:cstheme="minorHAnsi"/>
          <w:color w:val="000000" w:themeColor="text1"/>
          <w:szCs w:val="24"/>
          <w:lang w:val="en-GB"/>
        </w:rPr>
        <w:footnoteReference w:id="8"/>
      </w:r>
      <w:r w:rsidRPr="00F60AC1">
        <w:rPr>
          <w:rFonts w:eastAsia="TimesNewRomanPSMT"/>
          <w:lang w:val="en-GB"/>
        </w:rPr>
        <w:t xml:space="preserve"> </w:t>
      </w:r>
      <w:r w:rsidRPr="00F60AC1">
        <w:rPr>
          <w:lang w:val="en-GB"/>
        </w:rPr>
        <w:t>The decolonization process had exposed the numerous contracts between post-colonial states and private investors from European countries to the mercy of transnational law.</w:t>
      </w:r>
      <w:r w:rsidRPr="00F60AC1">
        <w:rPr>
          <w:vertAlign w:val="superscript"/>
          <w:lang w:val="en-GB"/>
        </w:rPr>
        <w:footnoteReference w:id="9"/>
      </w:r>
      <w:r w:rsidRPr="00F60AC1">
        <w:rPr>
          <w:lang w:val="en-GB"/>
        </w:rPr>
        <w:t xml:space="preserve"> Technical assistance, therefore, became a managerial tool to socialize these newly independent states to the international IP system to protect European (or Western) assets and interests. </w:t>
      </w:r>
    </w:p>
    <w:p w14:paraId="085C7907" w14:textId="77777777" w:rsidR="00EB1AFB" w:rsidRPr="00F60AC1" w:rsidRDefault="00EB1AFB" w:rsidP="00EB1AFB">
      <w:pPr>
        <w:rPr>
          <w:b/>
          <w:lang w:val="en-GB"/>
        </w:rPr>
      </w:pPr>
    </w:p>
    <w:p w14:paraId="58C5ED56" w14:textId="187EDB57" w:rsidR="007B79E6" w:rsidRPr="00F60AC1" w:rsidRDefault="00AF30FA">
      <w:pPr>
        <w:rPr>
          <w:rFonts w:cstheme="minorHAnsi"/>
          <w:color w:val="000000" w:themeColor="text1"/>
          <w:lang w:val="en-GB"/>
        </w:rPr>
      </w:pPr>
      <w:r w:rsidRPr="00F60AC1">
        <w:rPr>
          <w:rFonts w:cstheme="minorHAnsi"/>
          <w:color w:val="000000" w:themeColor="text1"/>
          <w:szCs w:val="24"/>
          <w:lang w:val="en-GB"/>
        </w:rPr>
        <w:t>The World Intellectual Property Organization (WIPO) played a principal role in this.</w:t>
      </w:r>
      <w:r w:rsidRPr="00F60AC1">
        <w:rPr>
          <w:rStyle w:val="FootnoteReference"/>
          <w:rFonts w:cstheme="minorHAnsi"/>
          <w:color w:val="000000" w:themeColor="text1"/>
          <w:szCs w:val="24"/>
          <w:lang w:val="en-GB"/>
        </w:rPr>
        <w:footnoteReference w:id="10"/>
      </w:r>
      <w:r w:rsidRPr="00F60AC1">
        <w:rPr>
          <w:rFonts w:cstheme="minorHAnsi"/>
          <w:color w:val="000000" w:themeColor="text1"/>
          <w:szCs w:val="24"/>
          <w:lang w:val="en-GB"/>
        </w:rPr>
        <w:t xml:space="preserve"> At the inception of the TRIPS Agreement, technical assistance received a new boost with the inclusion of a provision in the Agreement requiring developed countries to provide legal technical assistance in favour of the developing and Least Developed Countries (LDCs) based on mutually agreed terms and conditions.</w:t>
      </w:r>
      <w:r w:rsidRPr="00F60AC1">
        <w:rPr>
          <w:rStyle w:val="FootnoteReference"/>
          <w:rFonts w:cstheme="minorHAnsi"/>
          <w:color w:val="000000" w:themeColor="text1"/>
          <w:szCs w:val="24"/>
          <w:lang w:val="en-GB"/>
        </w:rPr>
        <w:footnoteReference w:id="11"/>
      </w:r>
      <w:r w:rsidRPr="00F60AC1">
        <w:rPr>
          <w:rFonts w:cstheme="minorHAnsi"/>
          <w:color w:val="000000" w:themeColor="text1"/>
          <w:szCs w:val="24"/>
          <w:lang w:val="en-GB"/>
        </w:rPr>
        <w:t xml:space="preserve"> The result is that today, technical assistance has become a powerful (albeit informal) tool for the implementation of the various IP regimes explored in the general introduction to this volume, mostly, in the global south. Relying on Third World Approaches to International Law (TWAIL) scholarship and doctrine, this chapter looks critically</w:t>
      </w:r>
      <w:r w:rsidRPr="00F60AC1">
        <w:rPr>
          <w:rFonts w:cstheme="minorHAnsi"/>
          <w:color w:val="00000A"/>
          <w:szCs w:val="24"/>
          <w:lang w:val="en-GB"/>
        </w:rPr>
        <w:t xml:space="preserve"> at the role of technical assistance in the institution and implementation of </w:t>
      </w:r>
      <w:r w:rsidRPr="00F60AC1">
        <w:rPr>
          <w:rFonts w:cstheme="minorHAnsi"/>
          <w:color w:val="00000A"/>
          <w:szCs w:val="24"/>
          <w:lang w:val="en-GB"/>
        </w:rPr>
        <w:lastRenderedPageBreak/>
        <w:t>international IP treaty obligations in</w:t>
      </w:r>
      <w:r w:rsidRPr="00F60AC1">
        <w:rPr>
          <w:rFonts w:cstheme="minorHAnsi"/>
          <w:color w:val="000000" w:themeColor="text1"/>
          <w:szCs w:val="24"/>
          <w:lang w:val="en-GB"/>
        </w:rPr>
        <w:t xml:space="preserve"> Africa</w:t>
      </w:r>
      <w:r w:rsidRPr="00F60AC1">
        <w:rPr>
          <w:rFonts w:cstheme="minorHAnsi"/>
          <w:color w:val="00000A"/>
          <w:szCs w:val="24"/>
          <w:lang w:val="en-GB"/>
        </w:rPr>
        <w:t xml:space="preserve"> using the protection of plant variety as an illustrative example. It focuses </w:t>
      </w:r>
      <w:r w:rsidRPr="00F60AC1">
        <w:rPr>
          <w:rFonts w:cstheme="minorHAnsi"/>
          <w:color w:val="000000" w:themeColor="text1"/>
          <w:szCs w:val="24"/>
          <w:lang w:val="en-GB"/>
        </w:rPr>
        <w:t>mainly on technical assistance from WIPO and the International Union for the Protection of New Varieties of Plants (UPOV).</w:t>
      </w:r>
      <w:r w:rsidRPr="00F60AC1">
        <w:rPr>
          <w:rStyle w:val="FootnoteReference"/>
          <w:rFonts w:cstheme="minorHAnsi"/>
          <w:color w:val="000000" w:themeColor="text1"/>
          <w:szCs w:val="24"/>
          <w:lang w:val="en-GB"/>
        </w:rPr>
        <w:footnoteReference w:id="12"/>
      </w:r>
    </w:p>
    <w:p w14:paraId="55B1693A" w14:textId="77777777" w:rsidR="00EB1AFB" w:rsidRPr="00F60AC1" w:rsidRDefault="00EB1AFB">
      <w:pPr>
        <w:rPr>
          <w:rFonts w:cstheme="minorHAnsi"/>
          <w:color w:val="000000"/>
          <w:lang w:val="en-GB"/>
        </w:rPr>
      </w:pPr>
    </w:p>
    <w:p w14:paraId="3C2EF4A7" w14:textId="121EC0FF" w:rsidR="007B79E6" w:rsidRPr="00F60AC1" w:rsidRDefault="00AF30FA">
      <w:pPr>
        <w:rPr>
          <w:rFonts w:cstheme="minorHAnsi"/>
          <w:color w:val="000000" w:themeColor="text1"/>
          <w:szCs w:val="24"/>
          <w:lang w:val="en-GB"/>
        </w:rPr>
      </w:pPr>
      <w:r w:rsidRPr="00F60AC1">
        <w:rPr>
          <w:rFonts w:cstheme="minorHAnsi"/>
          <w:color w:val="000000" w:themeColor="text1"/>
          <w:szCs w:val="24"/>
          <w:lang w:val="en-GB"/>
        </w:rPr>
        <w:t xml:space="preserve">My central claim is that technical assistance should be seen as a vector of ideas and practices that progressively led to the systemic integration of African countries into the international IP system (adherence overdrive) and the curious case of countries inadvertently neglecting the flexibilities inherent in the international IP system when formulating national IP laws and policy (compliance overdrive). </w:t>
      </w:r>
    </w:p>
    <w:p w14:paraId="40DEB1D5" w14:textId="77777777" w:rsidR="00EB1AFB" w:rsidRPr="00F60AC1" w:rsidRDefault="00EB1AFB">
      <w:pPr>
        <w:rPr>
          <w:rFonts w:cstheme="minorHAnsi"/>
          <w:color w:val="FF0000"/>
          <w:szCs w:val="24"/>
          <w:lang w:val="en-GB"/>
        </w:rPr>
      </w:pPr>
    </w:p>
    <w:p w14:paraId="706C8088" w14:textId="2AB2A497" w:rsidR="007B79E6" w:rsidRPr="00F60AC1" w:rsidRDefault="00AF30FA">
      <w:pPr>
        <w:rPr>
          <w:rFonts w:cstheme="minorHAnsi"/>
          <w:color w:val="000000"/>
          <w:szCs w:val="24"/>
          <w:lang w:val="en-GB"/>
        </w:rPr>
      </w:pPr>
      <w:r w:rsidRPr="00F60AC1">
        <w:rPr>
          <w:rFonts w:cstheme="minorHAnsi"/>
          <w:color w:val="000000" w:themeColor="text1"/>
          <w:szCs w:val="24"/>
          <w:lang w:val="en-GB"/>
        </w:rPr>
        <w:t xml:space="preserve">Besides the introduction and conclusion, this chapter is divided into three parts. Part </w:t>
      </w:r>
      <w:r w:rsidR="001521D8">
        <w:rPr>
          <w:rFonts w:cstheme="minorHAnsi"/>
          <w:color w:val="000000" w:themeColor="text1"/>
          <w:szCs w:val="24"/>
          <w:lang w:val="en-GB"/>
        </w:rPr>
        <w:t>B</w:t>
      </w:r>
      <w:r w:rsidRPr="00F60AC1">
        <w:rPr>
          <w:rFonts w:cstheme="minorHAnsi"/>
          <w:color w:val="000000" w:themeColor="text1"/>
          <w:szCs w:val="24"/>
          <w:lang w:val="en-GB"/>
        </w:rPr>
        <w:t xml:space="preserve"> explores the origins of IP technical assistance and the concept of TWAIL</w:t>
      </w:r>
      <w:r w:rsidRPr="00F60AC1">
        <w:rPr>
          <w:rFonts w:cstheme="minorHAnsi"/>
          <w:color w:val="00000A"/>
          <w:szCs w:val="24"/>
          <w:lang w:val="en-GB"/>
        </w:rPr>
        <w:t xml:space="preserve">. Part </w:t>
      </w:r>
      <w:r w:rsidR="001521D8">
        <w:rPr>
          <w:rFonts w:cstheme="minorHAnsi"/>
          <w:color w:val="00000A"/>
          <w:szCs w:val="24"/>
          <w:lang w:val="en-GB"/>
        </w:rPr>
        <w:t>C</w:t>
      </w:r>
      <w:r w:rsidRPr="00F60AC1">
        <w:rPr>
          <w:rFonts w:cstheme="minorHAnsi"/>
          <w:color w:val="00000A"/>
          <w:szCs w:val="24"/>
          <w:lang w:val="en-GB"/>
        </w:rPr>
        <w:t xml:space="preserve"> examines the role of WIPO in the development of IP laws in Africa through its technical assistance programme from the post-war period to the present. </w:t>
      </w:r>
      <w:r w:rsidRPr="00F60AC1">
        <w:rPr>
          <w:rFonts w:cstheme="minorHAnsi"/>
          <w:color w:val="000000" w:themeColor="text1"/>
          <w:szCs w:val="24"/>
          <w:lang w:val="en-GB"/>
        </w:rPr>
        <w:t xml:space="preserve">WIPO’s enduring relationship with the two regional IP organizations – the Organization Africaine de la Propriété Intellectuelle (OAPI), </w:t>
      </w:r>
      <w:r w:rsidRPr="00F60AC1">
        <w:rPr>
          <w:rStyle w:val="A1"/>
          <w:rFonts w:cstheme="minorHAnsi"/>
          <w:color w:val="000000" w:themeColor="text1"/>
          <w:sz w:val="24"/>
          <w:szCs w:val="24"/>
          <w:lang w:val="en-GB"/>
        </w:rPr>
        <w:t>comprised chiefly of Francophone African countries,</w:t>
      </w:r>
      <w:r w:rsidRPr="00F60AC1">
        <w:rPr>
          <w:rFonts w:cstheme="minorHAnsi"/>
          <w:color w:val="000000" w:themeColor="text1"/>
          <w:szCs w:val="24"/>
          <w:lang w:val="en-GB"/>
        </w:rPr>
        <w:t xml:space="preserve"> and the African Regional Intellectual Property Organization (ARIPO), comprised chiefly of Anglophone African countries will be highlighted – further shedding light on how WIPO influenced and conditioned the scope and content of African IP law both regionally and nationally. Part </w:t>
      </w:r>
      <w:r w:rsidR="001521D8">
        <w:rPr>
          <w:rFonts w:cstheme="minorHAnsi"/>
          <w:color w:val="000000" w:themeColor="text1"/>
          <w:szCs w:val="24"/>
          <w:lang w:val="en-GB"/>
        </w:rPr>
        <w:t>D</w:t>
      </w:r>
      <w:r w:rsidRPr="00F60AC1">
        <w:rPr>
          <w:rFonts w:cstheme="minorHAnsi"/>
          <w:color w:val="000000" w:themeColor="text1"/>
          <w:szCs w:val="24"/>
          <w:lang w:val="en-GB"/>
        </w:rPr>
        <w:t xml:space="preserve"> focuses narrowly on plant variety protection (PVP) in Africa – reviewing the extent to which WIPO and UPOV’s assistance in the area has led to a regime of PVP that has been criticized as unfavourable to the continent’s social and economic development. </w:t>
      </w:r>
    </w:p>
    <w:p w14:paraId="0D8BE7C2" w14:textId="77777777" w:rsidR="007B79E6" w:rsidRPr="00F60AC1" w:rsidRDefault="007B79E6">
      <w:pPr>
        <w:rPr>
          <w:rFonts w:cstheme="minorHAnsi"/>
          <w:color w:val="000000"/>
          <w:szCs w:val="24"/>
          <w:lang w:val="en-GB"/>
        </w:rPr>
      </w:pPr>
    </w:p>
    <w:p w14:paraId="4B46A4D0" w14:textId="75087B0C" w:rsidR="007B79E6" w:rsidRPr="00F60AC1" w:rsidRDefault="00EB1AFB" w:rsidP="00EB1AFB">
      <w:pPr>
        <w:pStyle w:val="IPEbene1"/>
        <w:rPr>
          <w:color w:val="00000A"/>
          <w:lang w:val="en-GB"/>
        </w:rPr>
      </w:pPr>
      <w:bookmarkStart w:id="3" w:name="_Toc86845025"/>
      <w:bookmarkStart w:id="4" w:name="_Toc86845100"/>
      <w:r w:rsidRPr="00F60AC1">
        <w:rPr>
          <w:lang w:val="en-GB"/>
        </w:rPr>
        <w:t xml:space="preserve">B. </w:t>
      </w:r>
      <w:r w:rsidR="00AF30FA" w:rsidRPr="00F60AC1">
        <w:rPr>
          <w:lang w:val="en-GB"/>
        </w:rPr>
        <w:t xml:space="preserve">The Roots of IP </w:t>
      </w:r>
      <w:r w:rsidR="00F62075" w:rsidRPr="00F60AC1">
        <w:rPr>
          <w:lang w:val="en-GB"/>
        </w:rPr>
        <w:t>T</w:t>
      </w:r>
      <w:r w:rsidR="00AF30FA" w:rsidRPr="00F60AC1">
        <w:rPr>
          <w:lang w:val="en-GB"/>
        </w:rPr>
        <w:t>echnical Assistance and Third World Approaches to International Law</w:t>
      </w:r>
      <w:bookmarkEnd w:id="3"/>
      <w:bookmarkEnd w:id="4"/>
    </w:p>
    <w:p w14:paraId="702DA743" w14:textId="61658261" w:rsidR="007B79E6" w:rsidRPr="00F60AC1" w:rsidRDefault="00AF30FA" w:rsidP="00EB1AFB">
      <w:pPr>
        <w:rPr>
          <w:lang w:val="en-GB"/>
        </w:rPr>
      </w:pPr>
      <w:r w:rsidRPr="00F60AC1">
        <w:rPr>
          <w:lang w:val="en-GB"/>
        </w:rPr>
        <w:t>The origins of IP technical assistance lay within the broader international law framework within which technical assistance evolved, and of which the international IP system is a part. Decolonization accelerated after World War II and this acceleration provided the setting for programmes of international technical assistance on an unprecedented scale.</w:t>
      </w:r>
      <w:r w:rsidRPr="00F60AC1">
        <w:rPr>
          <w:rStyle w:val="FootnoteReference"/>
          <w:rFonts w:asciiTheme="minorHAnsi" w:hAnsiTheme="minorHAnsi" w:cstheme="minorHAnsi"/>
          <w:color w:val="000000" w:themeColor="text1"/>
          <w:lang w:val="en-GB"/>
        </w:rPr>
        <w:footnoteReference w:id="13"/>
      </w:r>
      <w:r w:rsidRPr="00F60AC1">
        <w:rPr>
          <w:lang w:val="en-GB"/>
        </w:rPr>
        <w:t xml:space="preserve"> It is thus widely agreed that the post-war period marked the birth of the development paradigm</w:t>
      </w:r>
      <w:r w:rsidRPr="00F60AC1">
        <w:rPr>
          <w:rStyle w:val="FootnoteReference"/>
          <w:rFonts w:asciiTheme="minorHAnsi" w:hAnsiTheme="minorHAnsi" w:cstheme="minorHAnsi"/>
          <w:color w:val="000000" w:themeColor="text1"/>
          <w:lang w:val="en-GB"/>
        </w:rPr>
        <w:footnoteReference w:id="14"/>
      </w:r>
      <w:r w:rsidR="00EB1AFB" w:rsidRPr="00F60AC1">
        <w:rPr>
          <w:lang w:val="en-GB"/>
        </w:rPr>
        <w:t xml:space="preserve"> </w:t>
      </w:r>
      <w:r w:rsidRPr="00F60AC1">
        <w:rPr>
          <w:lang w:val="en-GB"/>
        </w:rPr>
        <w:t>– although an alternative description points to the inter-war period.</w:t>
      </w:r>
      <w:r w:rsidRPr="00F60AC1">
        <w:rPr>
          <w:rStyle w:val="FootnoteReference"/>
          <w:rFonts w:asciiTheme="minorHAnsi" w:hAnsiTheme="minorHAnsi" w:cstheme="minorHAnsi"/>
          <w:color w:val="000000" w:themeColor="text1"/>
          <w:lang w:val="en-GB"/>
        </w:rPr>
        <w:footnoteReference w:id="15"/>
      </w:r>
      <w:r w:rsidRPr="00F60AC1">
        <w:rPr>
          <w:lang w:val="en-GB"/>
        </w:rPr>
        <w:t xml:space="preserve"> Two contemporaneous development account for this. First, barely three years into its formation, the United Nations (UN) General Assembly passed two key resolutions that prepared the ground for a much-expanded approach to international technical assistance for economic development. </w:t>
      </w:r>
    </w:p>
    <w:p w14:paraId="22769E2B" w14:textId="77777777" w:rsidR="007B79E6" w:rsidRPr="00F60AC1" w:rsidRDefault="007B79E6" w:rsidP="00EB1AFB">
      <w:pPr>
        <w:rPr>
          <w:lang w:val="en-GB"/>
        </w:rPr>
      </w:pPr>
    </w:p>
    <w:p w14:paraId="3B9E8F98" w14:textId="3BC5B034" w:rsidR="007B79E6" w:rsidRPr="00F60AC1" w:rsidRDefault="00AF30FA" w:rsidP="00EB1AFB">
      <w:pPr>
        <w:rPr>
          <w:lang w:val="en-GB"/>
        </w:rPr>
      </w:pPr>
      <w:r w:rsidRPr="00F60AC1">
        <w:rPr>
          <w:lang w:val="en-GB"/>
        </w:rPr>
        <w:t xml:space="preserve">The first called upon the Economic and Social Council (ECOSOC) and the specialized agencies to </w:t>
      </w:r>
      <w:r w:rsidR="004B5056" w:rsidRPr="00F60AC1">
        <w:rPr>
          <w:lang w:val="en-GB"/>
        </w:rPr>
        <w:t>“</w:t>
      </w:r>
      <w:r w:rsidRPr="00F60AC1">
        <w:rPr>
          <w:lang w:val="en-GB"/>
        </w:rPr>
        <w:t xml:space="preserve">give further and urgent consideration to the whole problem of the economic development of under-developed countries in </w:t>
      </w:r>
      <w:r w:rsidRPr="00F60AC1">
        <w:rPr>
          <w:iCs/>
          <w:lang w:val="en-GB"/>
        </w:rPr>
        <w:t>all</w:t>
      </w:r>
      <w:r w:rsidRPr="00F60AC1">
        <w:rPr>
          <w:i/>
          <w:iCs/>
          <w:lang w:val="en-GB"/>
        </w:rPr>
        <w:t xml:space="preserve"> </w:t>
      </w:r>
      <w:r w:rsidRPr="00F60AC1">
        <w:rPr>
          <w:lang w:val="en-GB"/>
        </w:rPr>
        <w:t>its aspects.</w:t>
      </w:r>
      <w:r w:rsidR="002D0D77" w:rsidRPr="00F60AC1">
        <w:rPr>
          <w:lang w:val="en-GB"/>
        </w:rPr>
        <w:t>“</w:t>
      </w:r>
      <w:r w:rsidRPr="00F60AC1">
        <w:rPr>
          <w:lang w:val="en-GB"/>
        </w:rPr>
        <w:t xml:space="preserve"> The second amassed funds to enable the </w:t>
      </w:r>
      <w:r w:rsidRPr="00F60AC1">
        <w:rPr>
          <w:lang w:val="en-GB"/>
        </w:rPr>
        <w:lastRenderedPageBreak/>
        <w:t>Secretary-General to provide technical assistance to governments in connection with their economic development programmes.</w:t>
      </w:r>
      <w:r w:rsidRPr="00F60AC1">
        <w:rPr>
          <w:rStyle w:val="FootnoteReference"/>
          <w:rFonts w:asciiTheme="minorHAnsi" w:hAnsiTheme="minorHAnsi" w:cstheme="minorHAnsi"/>
          <w:lang w:val="en-GB"/>
        </w:rPr>
        <w:footnoteReference w:id="16"/>
      </w:r>
      <w:r w:rsidRPr="00F60AC1">
        <w:rPr>
          <w:lang w:val="en-GB"/>
        </w:rPr>
        <w:t xml:space="preserve"> In the years that followed, the United Nations General Assembly went on to establish an Expanded Programme of Technical Assistance (EPTA), comprising the UN and seven specialized agencies, and a Technical Assistance Board (TAB) to coordinate their work.</w:t>
      </w:r>
      <w:r w:rsidRPr="00F60AC1">
        <w:rPr>
          <w:rStyle w:val="FootnoteReference"/>
          <w:rFonts w:asciiTheme="minorHAnsi" w:hAnsiTheme="minorHAnsi" w:cstheme="minorHAnsi"/>
          <w:lang w:val="en-GB"/>
        </w:rPr>
        <w:footnoteReference w:id="17"/>
      </w:r>
      <w:r w:rsidRPr="00F60AC1">
        <w:rPr>
          <w:lang w:val="en-GB"/>
        </w:rPr>
        <w:t xml:space="preserve"> The EPTA extended to non-self-governing territories as well.</w:t>
      </w:r>
      <w:r w:rsidRPr="00F60AC1">
        <w:rPr>
          <w:rStyle w:val="FootnoteReference"/>
          <w:rFonts w:asciiTheme="minorHAnsi" w:hAnsiTheme="minorHAnsi" w:cstheme="minorHAnsi"/>
          <w:lang w:val="en-GB"/>
        </w:rPr>
        <w:footnoteReference w:id="18"/>
      </w:r>
    </w:p>
    <w:p w14:paraId="4CF787FE" w14:textId="77777777" w:rsidR="007B79E6" w:rsidRPr="00F60AC1" w:rsidRDefault="007B79E6" w:rsidP="00EB1AFB">
      <w:pPr>
        <w:rPr>
          <w:lang w:val="en-GB"/>
        </w:rPr>
      </w:pPr>
    </w:p>
    <w:p w14:paraId="4F2909F1" w14:textId="00FDAD7B" w:rsidR="007B79E6" w:rsidRPr="00F60AC1" w:rsidRDefault="00AF30FA">
      <w:pPr>
        <w:rPr>
          <w:rFonts w:cstheme="minorHAnsi"/>
          <w:color w:val="000000"/>
          <w:szCs w:val="24"/>
          <w:lang w:val="en-GB"/>
        </w:rPr>
      </w:pPr>
      <w:r w:rsidRPr="00F60AC1">
        <w:rPr>
          <w:rFonts w:cstheme="minorHAnsi"/>
          <w:color w:val="000000" w:themeColor="text1"/>
          <w:szCs w:val="24"/>
          <w:lang w:val="en-GB"/>
        </w:rPr>
        <w:t>Second, the development at the UN coincided with the election of Harry Truman as President of the United States who, in his inauguration speech in January 1949, proposed the Point Four Programme,</w:t>
      </w:r>
      <w:r w:rsidRPr="00F60AC1">
        <w:rPr>
          <w:rStyle w:val="FootnoteReference"/>
          <w:rFonts w:cstheme="minorHAnsi"/>
          <w:color w:val="000000" w:themeColor="text1"/>
          <w:szCs w:val="24"/>
          <w:lang w:val="en-GB"/>
        </w:rPr>
        <w:footnoteReference w:id="19"/>
      </w:r>
      <w:r w:rsidRPr="00F60AC1">
        <w:rPr>
          <w:rFonts w:cstheme="minorHAnsi"/>
          <w:color w:val="000000" w:themeColor="text1"/>
          <w:szCs w:val="24"/>
          <w:lang w:val="en-GB"/>
        </w:rPr>
        <w:t xml:space="preserve"> a worldwide programme of development through technical assistance, inviting other countries to </w:t>
      </w:r>
      <w:r w:rsidR="002D0D77" w:rsidRPr="00F60AC1">
        <w:rPr>
          <w:rFonts w:cstheme="minorHAnsi"/>
          <w:color w:val="000000" w:themeColor="text1"/>
          <w:szCs w:val="24"/>
          <w:lang w:val="en-GB"/>
        </w:rPr>
        <w:t>“</w:t>
      </w:r>
      <w:r w:rsidRPr="00F60AC1">
        <w:rPr>
          <w:rFonts w:cstheme="minorHAnsi"/>
          <w:color w:val="000000" w:themeColor="text1"/>
          <w:szCs w:val="24"/>
          <w:lang w:val="en-GB"/>
        </w:rPr>
        <w:t>pool their technological resources</w:t>
      </w:r>
      <w:r w:rsidR="002D0D77" w:rsidRPr="00F60AC1">
        <w:rPr>
          <w:rFonts w:cstheme="minorHAnsi"/>
          <w:color w:val="000000" w:themeColor="text1"/>
          <w:szCs w:val="24"/>
          <w:lang w:val="en-GB"/>
        </w:rPr>
        <w:t>“</w:t>
      </w:r>
      <w:r w:rsidRPr="00F60AC1">
        <w:rPr>
          <w:rFonts w:cstheme="minorHAnsi"/>
          <w:color w:val="000000" w:themeColor="text1"/>
          <w:szCs w:val="24"/>
          <w:lang w:val="en-GB"/>
        </w:rPr>
        <w:t xml:space="preserve"> in a cooperative enterprise in which all nations work together through the UN and its specialized agencies wherever practicable.</w:t>
      </w:r>
      <w:r w:rsidRPr="00F60AC1">
        <w:rPr>
          <w:rStyle w:val="FootnoteReference"/>
          <w:rFonts w:cstheme="minorHAnsi"/>
          <w:color w:val="000000" w:themeColor="text1"/>
          <w:szCs w:val="24"/>
          <w:lang w:val="en-GB"/>
        </w:rPr>
        <w:footnoteReference w:id="20"/>
      </w:r>
      <w:r w:rsidRPr="00F60AC1">
        <w:rPr>
          <w:rFonts w:cstheme="minorHAnsi"/>
          <w:color w:val="000000" w:themeColor="text1"/>
          <w:szCs w:val="24"/>
          <w:lang w:val="en-GB"/>
        </w:rPr>
        <w:t xml:space="preserve"> In parallel, both programmes facilitated the spread of technical assistance schemes in diverse areas</w:t>
      </w:r>
      <w:r w:rsidR="00133C5C" w:rsidRPr="00F60AC1">
        <w:rPr>
          <w:rFonts w:cstheme="minorHAnsi"/>
          <w:color w:val="000000" w:themeColor="text1"/>
          <w:szCs w:val="24"/>
          <w:lang w:val="en-GB"/>
        </w:rPr>
        <w:t xml:space="preserve"> </w:t>
      </w:r>
      <w:r w:rsidRPr="00F60AC1">
        <w:rPr>
          <w:rFonts w:cstheme="minorHAnsi"/>
          <w:color w:val="000000" w:themeColor="text1"/>
          <w:szCs w:val="24"/>
          <w:lang w:val="en-GB"/>
        </w:rPr>
        <w:t>– including the field of IP and public administration – to countries of the global south. During the post-war period, the development of the Third World was seen as critical. Efficiency in public administration and technological transfers were seen as ways to promote economic and social development in these countries.</w:t>
      </w:r>
      <w:r w:rsidRPr="00F60AC1">
        <w:rPr>
          <w:rStyle w:val="FootnoteReference"/>
          <w:rFonts w:cstheme="minorHAnsi"/>
          <w:color w:val="000000" w:themeColor="text1"/>
          <w:szCs w:val="24"/>
          <w:lang w:val="en-GB"/>
        </w:rPr>
        <w:footnoteReference w:id="21"/>
      </w:r>
      <w:r w:rsidRPr="00F60AC1">
        <w:rPr>
          <w:rFonts w:cstheme="minorHAnsi"/>
          <w:color w:val="000000" w:themeColor="text1"/>
          <w:szCs w:val="24"/>
          <w:lang w:val="en-GB"/>
        </w:rPr>
        <w:t xml:space="preserve"> An explicit assumption was that the USA and Western European nations had achieved a high level of development because of their efficient public administration policies and IP systems that fostered innovation. Therefore, what worked for the West should work for the rest.</w:t>
      </w:r>
      <w:r w:rsidRPr="00F60AC1">
        <w:rPr>
          <w:rFonts w:cstheme="minorHAnsi"/>
          <w:color w:val="000000" w:themeColor="text1"/>
          <w:szCs w:val="24"/>
          <w:vertAlign w:val="superscript"/>
          <w:lang w:val="en-GB"/>
        </w:rPr>
        <w:footnoteReference w:id="22"/>
      </w:r>
      <w:r w:rsidRPr="00F60AC1">
        <w:rPr>
          <w:rFonts w:cstheme="minorHAnsi"/>
          <w:color w:val="000000" w:themeColor="text1"/>
          <w:szCs w:val="24"/>
          <w:lang w:val="en-GB"/>
        </w:rPr>
        <w:t xml:space="preserve"> Technical assistance was packaged as a tool for development for the global south. </w:t>
      </w:r>
      <w:r w:rsidRPr="00F60AC1">
        <w:rPr>
          <w:rFonts w:eastAsia="TimesNewRomanPSMT" w:cstheme="minorHAnsi"/>
          <w:color w:val="000000" w:themeColor="text1"/>
          <w:szCs w:val="24"/>
          <w:lang w:val="en-GB"/>
        </w:rPr>
        <w:t>Yet, concerning the international IP system (and also the international investment regime),</w:t>
      </w:r>
      <w:r w:rsidRPr="00F60AC1">
        <w:rPr>
          <w:rStyle w:val="FootnoteReference"/>
          <w:rFonts w:eastAsia="TimesNewRomanPSMT" w:cstheme="minorHAnsi"/>
          <w:color w:val="000000" w:themeColor="text1"/>
          <w:szCs w:val="24"/>
          <w:lang w:val="en-GB"/>
        </w:rPr>
        <w:footnoteReference w:id="23"/>
      </w:r>
      <w:r w:rsidRPr="00F60AC1">
        <w:rPr>
          <w:rFonts w:eastAsia="TimesNewRomanPSMT" w:cstheme="minorHAnsi"/>
          <w:color w:val="000000" w:themeColor="text1"/>
          <w:szCs w:val="24"/>
          <w:lang w:val="en-GB"/>
        </w:rPr>
        <w:t xml:space="preserve"> good governance embodied the international minimum standards that IP and capital-exporting countries had perpetuated as a benchmark for all to adhere to.</w:t>
      </w:r>
      <w:r w:rsidRPr="00F60AC1">
        <w:rPr>
          <w:rStyle w:val="FootnoteReference"/>
          <w:rFonts w:eastAsia="TimesNewRomanPSMT" w:cstheme="minorHAnsi"/>
          <w:color w:val="000000" w:themeColor="text1"/>
          <w:szCs w:val="24"/>
          <w:lang w:val="en-GB"/>
        </w:rPr>
        <w:footnoteReference w:id="24"/>
      </w:r>
      <w:r w:rsidRPr="00F60AC1">
        <w:rPr>
          <w:rFonts w:eastAsia="TimesNewRomanPSMT" w:cstheme="minorHAnsi"/>
          <w:color w:val="000000" w:themeColor="text1"/>
          <w:szCs w:val="24"/>
          <w:lang w:val="en-GB"/>
        </w:rPr>
        <w:t xml:space="preserve"> Using narratives of development and good governance as a basis to deploy technical assistance amounted to framing political relations as apolitical.</w:t>
      </w:r>
      <w:r w:rsidRPr="00F60AC1">
        <w:rPr>
          <w:rStyle w:val="FootnoteReference"/>
          <w:rFonts w:eastAsia="TimesNewRomanPSMT" w:cstheme="minorHAnsi"/>
          <w:color w:val="000000" w:themeColor="text1"/>
          <w:szCs w:val="24"/>
          <w:lang w:val="en-GB"/>
        </w:rPr>
        <w:footnoteReference w:id="25"/>
      </w:r>
      <w:r w:rsidRPr="00F60AC1">
        <w:rPr>
          <w:rFonts w:eastAsia="TimesNewRomanPSMT" w:cstheme="minorHAnsi"/>
          <w:color w:val="000000" w:themeColor="text1"/>
          <w:szCs w:val="24"/>
          <w:lang w:val="en-GB"/>
        </w:rPr>
        <w:t xml:space="preserve"> </w:t>
      </w:r>
    </w:p>
    <w:p w14:paraId="746F4740" w14:textId="77777777" w:rsidR="007B79E6" w:rsidRPr="00F60AC1" w:rsidRDefault="007B79E6">
      <w:pPr>
        <w:rPr>
          <w:rFonts w:cstheme="minorHAnsi"/>
          <w:color w:val="000000"/>
          <w:szCs w:val="24"/>
          <w:lang w:val="en-GB"/>
        </w:rPr>
      </w:pPr>
    </w:p>
    <w:p w14:paraId="6C0D673F" w14:textId="77777777" w:rsidR="007B79E6" w:rsidRPr="00F60AC1" w:rsidRDefault="00AF30FA">
      <w:pPr>
        <w:rPr>
          <w:rFonts w:cstheme="minorHAnsi"/>
          <w:color w:val="000000"/>
          <w:szCs w:val="24"/>
          <w:lang w:val="en-GB"/>
        </w:rPr>
      </w:pPr>
      <w:r w:rsidRPr="00F60AC1">
        <w:rPr>
          <w:rFonts w:cstheme="minorHAnsi"/>
          <w:color w:val="000000" w:themeColor="text1"/>
          <w:szCs w:val="24"/>
          <w:lang w:val="en-GB"/>
        </w:rPr>
        <w:t>While the idea of providing technical assistance predates the formation of WIPO (WIPO was established in 1970 and became a UN specialized agency in 1974), its forerunner, the International Bureaux for the Protection of Intellectual Property (BIRPI), actively provided technical assistance according to the ethos of the time.</w:t>
      </w:r>
      <w:r w:rsidRPr="00F60AC1">
        <w:rPr>
          <w:rStyle w:val="FootnoteReference"/>
          <w:rFonts w:cstheme="minorHAnsi"/>
          <w:color w:val="000000" w:themeColor="text1"/>
          <w:szCs w:val="24"/>
          <w:lang w:val="en-GB"/>
        </w:rPr>
        <w:footnoteReference w:id="26"/>
      </w:r>
      <w:r w:rsidRPr="00F60AC1">
        <w:rPr>
          <w:rFonts w:cstheme="minorHAnsi"/>
          <w:color w:val="000000" w:themeColor="text1"/>
          <w:szCs w:val="24"/>
          <w:lang w:val="en-GB"/>
        </w:rPr>
        <w:t xml:space="preserve"> For instance, in 1969, BIRPI organized </w:t>
      </w:r>
      <w:r w:rsidRPr="00F60AC1">
        <w:rPr>
          <w:rFonts w:cstheme="minorHAnsi"/>
          <w:color w:val="000000" w:themeColor="text1"/>
          <w:szCs w:val="24"/>
          <w:lang w:val="en-GB"/>
        </w:rPr>
        <w:lastRenderedPageBreak/>
        <w:t>two industrial property seminars – one for Arab countries and the other for South American countries.</w:t>
      </w:r>
      <w:r w:rsidRPr="00F60AC1">
        <w:rPr>
          <w:rStyle w:val="FootnoteReference"/>
          <w:rFonts w:cstheme="minorHAnsi"/>
          <w:color w:val="000000" w:themeColor="text1"/>
          <w:szCs w:val="24"/>
          <w:lang w:val="en-GB"/>
        </w:rPr>
        <w:footnoteReference w:id="27"/>
      </w:r>
      <w:r w:rsidRPr="00F60AC1">
        <w:rPr>
          <w:rFonts w:cstheme="minorHAnsi"/>
          <w:color w:val="000000" w:themeColor="text1"/>
          <w:szCs w:val="24"/>
          <w:lang w:val="en-GB"/>
        </w:rPr>
        <w:t xml:space="preserve"> The objective for the meetings was to exchange views on questions concerning industrial property and its importance for developing countries, and on the application of the Paris Convention.</w:t>
      </w:r>
      <w:r w:rsidRPr="00F60AC1">
        <w:rPr>
          <w:rStyle w:val="FootnoteReference"/>
          <w:rFonts w:cstheme="minorHAnsi"/>
          <w:color w:val="000000" w:themeColor="text1"/>
          <w:szCs w:val="24"/>
          <w:lang w:val="en-GB"/>
        </w:rPr>
        <w:footnoteReference w:id="28"/>
      </w:r>
      <w:r w:rsidRPr="00F60AC1">
        <w:rPr>
          <w:rFonts w:cstheme="minorHAnsi"/>
          <w:color w:val="000000" w:themeColor="text1"/>
          <w:szCs w:val="24"/>
          <w:lang w:val="en-GB"/>
        </w:rPr>
        <w:t xml:space="preserve"> BIRPI also </w:t>
      </w:r>
      <w:r w:rsidRPr="00F60AC1">
        <w:rPr>
          <w:rFonts w:cstheme="minorHAnsi"/>
          <w:szCs w:val="24"/>
          <w:lang w:val="en-GB"/>
        </w:rPr>
        <w:t>drafted the Model Law for Developing Countries on Inventions in 1965</w:t>
      </w:r>
      <w:r w:rsidRPr="00F60AC1">
        <w:rPr>
          <w:rStyle w:val="FootnoteReference"/>
          <w:rFonts w:cstheme="minorHAnsi"/>
          <w:szCs w:val="24"/>
          <w:lang w:val="en-GB"/>
        </w:rPr>
        <w:footnoteReference w:id="29"/>
      </w:r>
      <w:r w:rsidRPr="00F60AC1">
        <w:rPr>
          <w:rFonts w:cstheme="minorHAnsi"/>
          <w:szCs w:val="24"/>
          <w:lang w:val="en-GB"/>
        </w:rPr>
        <w:t xml:space="preserve"> and subsequently, the Model Law on Industrial Designs, </w:t>
      </w:r>
      <w:r w:rsidRPr="00F60AC1">
        <w:rPr>
          <w:rFonts w:cstheme="minorHAnsi"/>
          <w:color w:val="000000" w:themeColor="text1"/>
          <w:szCs w:val="24"/>
          <w:lang w:val="en-GB"/>
        </w:rPr>
        <w:t>together with a commentary, which was submitted to a Committee of Experts from Developing Countries, meeting in Geneva from October 27 to 29, 1969.</w:t>
      </w:r>
      <w:r w:rsidRPr="00F60AC1">
        <w:rPr>
          <w:rStyle w:val="FootnoteReference"/>
          <w:rFonts w:cstheme="minorHAnsi"/>
          <w:color w:val="000000" w:themeColor="text1"/>
          <w:szCs w:val="24"/>
          <w:lang w:val="en-GB"/>
        </w:rPr>
        <w:footnoteReference w:id="30"/>
      </w:r>
      <w:r w:rsidRPr="00F60AC1">
        <w:rPr>
          <w:rFonts w:cstheme="minorHAnsi"/>
          <w:color w:val="000000" w:themeColor="text1"/>
          <w:szCs w:val="24"/>
          <w:lang w:val="en-GB"/>
        </w:rPr>
        <w:t xml:space="preserve"> </w:t>
      </w:r>
    </w:p>
    <w:p w14:paraId="593EC59C" w14:textId="77777777" w:rsidR="007B79E6" w:rsidRPr="00F60AC1" w:rsidRDefault="007B79E6">
      <w:pPr>
        <w:rPr>
          <w:rFonts w:cstheme="minorHAnsi"/>
          <w:color w:val="000000"/>
          <w:szCs w:val="24"/>
          <w:lang w:val="en-GB"/>
        </w:rPr>
      </w:pPr>
    </w:p>
    <w:p w14:paraId="582FD6E6" w14:textId="77777777" w:rsidR="007B79E6" w:rsidRPr="00F60AC1" w:rsidRDefault="00AF30FA">
      <w:pPr>
        <w:rPr>
          <w:rFonts w:cstheme="minorHAnsi"/>
          <w:color w:val="000000"/>
          <w:szCs w:val="24"/>
          <w:lang w:val="en-GB"/>
        </w:rPr>
      </w:pPr>
      <w:r w:rsidRPr="00F60AC1">
        <w:rPr>
          <w:rFonts w:cstheme="minorHAnsi"/>
          <w:color w:val="000000" w:themeColor="text1"/>
          <w:szCs w:val="24"/>
          <w:lang w:val="en-GB"/>
        </w:rPr>
        <w:t>Consequently, technical assistance was one of the seven functions envisaged for WIPO in its Convention.</w:t>
      </w:r>
      <w:r w:rsidRPr="00F60AC1">
        <w:rPr>
          <w:rStyle w:val="FootnoteReference"/>
          <w:rFonts w:cstheme="minorHAnsi"/>
          <w:color w:val="000000" w:themeColor="text1"/>
          <w:szCs w:val="24"/>
          <w:lang w:val="en-GB"/>
        </w:rPr>
        <w:footnoteReference w:id="31"/>
      </w:r>
      <w:r w:rsidRPr="00F60AC1">
        <w:rPr>
          <w:rFonts w:cstheme="minorHAnsi"/>
          <w:color w:val="000000" w:themeColor="text1"/>
          <w:szCs w:val="24"/>
          <w:lang w:val="en-GB"/>
        </w:rPr>
        <w:t xml:space="preserve"> Thus, while WIPO was to be a site for norm-making in IP, it was also to provide technical assistance for the modernization and development of the global south. The construction of modern states on a broadly Western model in the decolonized states can be seen as an axis that links the concept of technical assistance to TWAIL. </w:t>
      </w:r>
      <w:r w:rsidRPr="00F60AC1">
        <w:rPr>
          <w:rFonts w:cstheme="minorHAnsi"/>
          <w:szCs w:val="24"/>
          <w:lang w:val="en-GB"/>
        </w:rPr>
        <w:t>Technical assistance has often been criticized for introducing levels of IP protection that are inappropriate for the social and economic development of developing countries.</w:t>
      </w:r>
      <w:r w:rsidRPr="00F60AC1">
        <w:rPr>
          <w:rFonts w:cstheme="minorHAnsi"/>
          <w:szCs w:val="24"/>
          <w:vertAlign w:val="superscript"/>
          <w:lang w:val="en-GB"/>
        </w:rPr>
        <w:footnoteReference w:id="32"/>
      </w:r>
      <w:r w:rsidRPr="00F60AC1">
        <w:rPr>
          <w:rFonts w:cstheme="minorHAnsi"/>
          <w:szCs w:val="24"/>
          <w:lang w:val="en-GB"/>
        </w:rPr>
        <w:t xml:space="preserve"> </w:t>
      </w:r>
      <w:r w:rsidRPr="00F60AC1">
        <w:rPr>
          <w:rFonts w:cstheme="minorHAnsi"/>
          <w:color w:val="000000" w:themeColor="text1"/>
          <w:szCs w:val="24"/>
          <w:lang w:val="en-GB"/>
        </w:rPr>
        <w:t>In particular, it has been argued that the advice provided does not always fully take into account all the possible options and flexibilities to accommodate innovation, technological and other development objectives.</w:t>
      </w:r>
      <w:r w:rsidRPr="00F60AC1">
        <w:rPr>
          <w:rStyle w:val="FootnoteReference"/>
          <w:rFonts w:cstheme="minorHAnsi"/>
          <w:color w:val="000000" w:themeColor="text1"/>
          <w:szCs w:val="24"/>
          <w:lang w:val="en-GB"/>
        </w:rPr>
        <w:footnoteReference w:id="33"/>
      </w:r>
      <w:r w:rsidRPr="00F60AC1">
        <w:rPr>
          <w:rFonts w:cstheme="minorHAnsi"/>
          <w:color w:val="000000" w:themeColor="text1"/>
          <w:szCs w:val="24"/>
          <w:lang w:val="en-GB"/>
        </w:rPr>
        <w:t xml:space="preserve"> These criticisms relate primarily to the fact that the providers of technical assistance focus mainly on the promotion of the interest of IP holders, and do not integrate broader development concerns. This view of technical assistance has led to the criticism that it merely constitutes a reproduction of the dominant Western-constituted view of IP rights and, therefore, a political project rather than a technical provision or neutral measure.</w:t>
      </w:r>
      <w:r w:rsidRPr="00F60AC1">
        <w:rPr>
          <w:rStyle w:val="FootnoteReference"/>
          <w:rFonts w:cstheme="minorHAnsi"/>
          <w:color w:val="000000" w:themeColor="text1"/>
          <w:szCs w:val="24"/>
          <w:lang w:val="en-GB"/>
        </w:rPr>
        <w:footnoteReference w:id="34"/>
      </w:r>
      <w:r w:rsidRPr="00F60AC1">
        <w:rPr>
          <w:rFonts w:cstheme="minorHAnsi"/>
          <w:color w:val="000000" w:themeColor="text1"/>
          <w:szCs w:val="24"/>
          <w:lang w:val="en-GB"/>
        </w:rPr>
        <w:t xml:space="preserve"> </w:t>
      </w:r>
    </w:p>
    <w:p w14:paraId="3E541E9B" w14:textId="77777777" w:rsidR="007B79E6" w:rsidRPr="00F60AC1" w:rsidRDefault="007B79E6">
      <w:pPr>
        <w:rPr>
          <w:rFonts w:cstheme="minorHAnsi"/>
          <w:color w:val="000000"/>
          <w:szCs w:val="24"/>
          <w:lang w:val="en-GB"/>
        </w:rPr>
      </w:pPr>
    </w:p>
    <w:p w14:paraId="3C26ED1C" w14:textId="5EA3304F" w:rsidR="007B79E6" w:rsidRPr="00F60AC1" w:rsidRDefault="00AF30FA">
      <w:pPr>
        <w:rPr>
          <w:rFonts w:eastAsia="code2000" w:cstheme="minorHAnsi"/>
          <w:color w:val="000000" w:themeColor="text1"/>
          <w:szCs w:val="24"/>
          <w:lang w:val="en-GB"/>
        </w:rPr>
      </w:pPr>
      <w:r w:rsidRPr="00F60AC1">
        <w:rPr>
          <w:rFonts w:cstheme="minorHAnsi"/>
          <w:color w:val="000000" w:themeColor="text1"/>
          <w:szCs w:val="24"/>
          <w:lang w:val="en-GB"/>
        </w:rPr>
        <w:t xml:space="preserve">Looking at technical assistance this way resonates with the broader dialectic of TWAIL as a critical perspective to international law and policy. </w:t>
      </w:r>
      <w:r w:rsidRPr="00F60AC1">
        <w:rPr>
          <w:rFonts w:eastAsia="code2000" w:cstheme="minorHAnsi"/>
          <w:color w:val="000000" w:themeColor="text1"/>
          <w:szCs w:val="24"/>
          <w:lang w:val="en-GB"/>
        </w:rPr>
        <w:t>Historically, the Third World has viewed international law as a regime and discourse of domination</w:t>
      </w:r>
      <w:r w:rsidRPr="00F60AC1">
        <w:rPr>
          <w:rFonts w:cstheme="minorHAnsi"/>
          <w:color w:val="000000" w:themeColor="text1"/>
          <w:szCs w:val="24"/>
          <w:lang w:val="en-GB"/>
        </w:rPr>
        <w:t xml:space="preserve"> </w:t>
      </w:r>
      <w:r w:rsidRPr="00F60AC1">
        <w:rPr>
          <w:rFonts w:eastAsia="code2000" w:cstheme="minorHAnsi"/>
          <w:color w:val="000000" w:themeColor="text1"/>
          <w:szCs w:val="24"/>
          <w:lang w:val="en-GB"/>
        </w:rPr>
        <w:t>and subordination, not resistance and liberation.</w:t>
      </w:r>
      <w:r w:rsidRPr="00F60AC1">
        <w:rPr>
          <w:rStyle w:val="FootnoteReference"/>
          <w:rFonts w:eastAsia="code2000" w:cstheme="minorHAnsi"/>
          <w:color w:val="000000" w:themeColor="text1"/>
          <w:szCs w:val="24"/>
          <w:lang w:val="en-GB"/>
        </w:rPr>
        <w:footnoteReference w:id="35"/>
      </w:r>
      <w:r w:rsidRPr="00F60AC1">
        <w:rPr>
          <w:rFonts w:cstheme="minorHAnsi"/>
          <w:color w:val="000000" w:themeColor="text1"/>
          <w:szCs w:val="24"/>
          <w:lang w:val="en-GB"/>
        </w:rPr>
        <w:t xml:space="preserve"> TWAIL problematizes and contests the dominant, historically</w:t>
      </w:r>
      <w:r w:rsidRPr="00F60AC1">
        <w:rPr>
          <w:rFonts w:eastAsia="code2000" w:cstheme="minorHAnsi"/>
          <w:color w:val="000000" w:themeColor="text1"/>
          <w:szCs w:val="24"/>
          <w:lang w:val="en-GB"/>
        </w:rPr>
        <w:t xml:space="preserve"> </w:t>
      </w:r>
      <w:r w:rsidRPr="00F60AC1">
        <w:rPr>
          <w:rFonts w:cstheme="minorHAnsi"/>
          <w:color w:val="000000" w:themeColor="text1"/>
          <w:szCs w:val="24"/>
          <w:lang w:val="en-GB"/>
        </w:rPr>
        <w:t>Eurocentric accounts of the origin of international law and its claims of universality,</w:t>
      </w:r>
      <w:r w:rsidRPr="00F60AC1">
        <w:rPr>
          <w:rFonts w:eastAsia="code2000" w:cstheme="minorHAnsi"/>
          <w:color w:val="000000" w:themeColor="text1"/>
          <w:szCs w:val="24"/>
          <w:lang w:val="en-GB"/>
        </w:rPr>
        <w:t xml:space="preserve"> </w:t>
      </w:r>
      <w:r w:rsidRPr="00F60AC1">
        <w:rPr>
          <w:rFonts w:cstheme="minorHAnsi"/>
          <w:color w:val="000000" w:themeColor="text1"/>
          <w:szCs w:val="24"/>
          <w:lang w:val="en-GB"/>
        </w:rPr>
        <w:t>justice and equity.</w:t>
      </w:r>
      <w:r w:rsidRPr="00F60AC1">
        <w:rPr>
          <w:rStyle w:val="FootnoteReference"/>
          <w:rFonts w:cstheme="minorHAnsi"/>
          <w:color w:val="000000" w:themeColor="text1"/>
          <w:szCs w:val="24"/>
          <w:lang w:val="en-GB"/>
        </w:rPr>
        <w:footnoteReference w:id="36"/>
      </w:r>
      <w:r w:rsidRPr="00F60AC1">
        <w:rPr>
          <w:rFonts w:eastAsia="code2000" w:cstheme="minorHAnsi"/>
          <w:color w:val="000000" w:themeColor="text1"/>
          <w:szCs w:val="24"/>
          <w:lang w:val="en-GB"/>
        </w:rPr>
        <w:t xml:space="preserve"> In this regard, TWAIL doctrine and scholarship is a response to decolonization and the end of direct European colonial rule over non-Europeans. The distinguished TWAIL jurist – Makau Mutua – insightfully elaborates the basic objectives of TWAIL as comprising of three interrelated and purposeful objectives: </w:t>
      </w:r>
    </w:p>
    <w:p w14:paraId="358121E3" w14:textId="77777777" w:rsidR="00EB1AFB" w:rsidRPr="00F60AC1" w:rsidRDefault="00EB1AFB">
      <w:pPr>
        <w:rPr>
          <w:rFonts w:eastAsia="code2000" w:cstheme="minorHAnsi"/>
          <w:color w:val="000000"/>
          <w:szCs w:val="24"/>
          <w:lang w:val="en-GB"/>
        </w:rPr>
      </w:pPr>
    </w:p>
    <w:p w14:paraId="3C632BFB" w14:textId="0F15CB24" w:rsidR="007B79E6" w:rsidRDefault="00AF30FA" w:rsidP="00F60AC1">
      <w:pPr>
        <w:ind w:left="720"/>
        <w:rPr>
          <w:lang w:val="en-GB"/>
        </w:rPr>
      </w:pPr>
      <w:r w:rsidRPr="00F60AC1">
        <w:rPr>
          <w:lang w:val="en-GB"/>
        </w:rPr>
        <w:t>The first is to understand, deconstruct, and unpack the uses of international law as a medium for the creation and perpetuation of a racialized hierarchy of international norms and institutions that subordinate non-Europeans to Europeans. Second, it seeks to construct and present an alternative normative legal edifice for international governance. Finally, TWAIL seeks through scholarship, policy, and politics to eradicate the conditions of underdevelopment in the Third World.</w:t>
      </w:r>
      <w:r w:rsidRPr="00F60AC1">
        <w:rPr>
          <w:rStyle w:val="FootnoteReference"/>
          <w:rFonts w:eastAsia="code2000" w:cstheme="minorHAnsi"/>
          <w:color w:val="000000" w:themeColor="text1"/>
          <w:szCs w:val="24"/>
          <w:lang w:val="en-GB"/>
        </w:rPr>
        <w:footnoteReference w:id="37"/>
      </w:r>
      <w:r w:rsidRPr="00F60AC1">
        <w:rPr>
          <w:lang w:val="en-GB"/>
        </w:rPr>
        <w:t xml:space="preserve"> </w:t>
      </w:r>
    </w:p>
    <w:p w14:paraId="521EDBAD" w14:textId="77777777" w:rsidR="00F60AC1" w:rsidRPr="00F60AC1" w:rsidRDefault="00F60AC1">
      <w:pPr>
        <w:ind w:left="567" w:right="567"/>
        <w:rPr>
          <w:rFonts w:eastAsia="code2000" w:cstheme="minorHAnsi"/>
          <w:color w:val="000000"/>
          <w:szCs w:val="24"/>
          <w:lang w:val="en-GB"/>
        </w:rPr>
      </w:pPr>
    </w:p>
    <w:p w14:paraId="439B09BC" w14:textId="77777777" w:rsidR="007B79E6" w:rsidRPr="00F60AC1" w:rsidRDefault="00AF30FA" w:rsidP="00F60AC1">
      <w:pPr>
        <w:rPr>
          <w:color w:val="000000"/>
          <w:lang w:val="en-GB"/>
        </w:rPr>
      </w:pPr>
      <w:r w:rsidRPr="00F60AC1">
        <w:rPr>
          <w:lang w:val="en-GB"/>
        </w:rPr>
        <w:t>If indeed, international law is the common denominator through which global protection of IP is secured, then international IP law is not immune from TWAIL inquiry – albeit TWAIL scholarship in the area of IP is relatively nascent and inadequate.</w:t>
      </w:r>
      <w:r w:rsidRPr="00F60AC1">
        <w:rPr>
          <w:rStyle w:val="FootnoteReference"/>
          <w:rFonts w:eastAsia="code2000" w:cstheme="minorHAnsi"/>
          <w:color w:val="000000" w:themeColor="text1"/>
          <w:szCs w:val="24"/>
          <w:lang w:val="en-GB"/>
        </w:rPr>
        <w:footnoteReference w:id="38"/>
      </w:r>
      <w:r w:rsidRPr="00F60AC1">
        <w:rPr>
          <w:lang w:val="en-GB"/>
        </w:rPr>
        <w:t xml:space="preserve"> </w:t>
      </w:r>
    </w:p>
    <w:p w14:paraId="2DD14B10" w14:textId="77777777" w:rsidR="007B79E6" w:rsidRPr="00F60AC1" w:rsidRDefault="007B79E6">
      <w:pPr>
        <w:rPr>
          <w:rFonts w:eastAsia="code2000" w:cstheme="minorHAnsi"/>
          <w:color w:val="000000"/>
          <w:szCs w:val="24"/>
          <w:lang w:val="en-GB"/>
        </w:rPr>
      </w:pPr>
    </w:p>
    <w:p w14:paraId="51396F84" w14:textId="2E803DB8" w:rsidR="007B79E6" w:rsidRPr="00F60AC1" w:rsidRDefault="00BD7C25" w:rsidP="00EB1AFB">
      <w:pPr>
        <w:pStyle w:val="IPEbene1"/>
        <w:rPr>
          <w:color w:val="000000"/>
          <w:lang w:val="en-GB"/>
        </w:rPr>
      </w:pPr>
      <w:bookmarkStart w:id="5" w:name="_Toc86845026"/>
      <w:bookmarkStart w:id="6" w:name="_Toc86845101"/>
      <w:r w:rsidRPr="00F60AC1">
        <w:rPr>
          <w:lang w:val="en-GB"/>
        </w:rPr>
        <w:t>C</w:t>
      </w:r>
      <w:r w:rsidR="00EB1AFB" w:rsidRPr="00F60AC1">
        <w:rPr>
          <w:lang w:val="en-GB"/>
        </w:rPr>
        <w:t xml:space="preserve">. </w:t>
      </w:r>
      <w:r w:rsidR="00AF30FA" w:rsidRPr="00F60AC1">
        <w:rPr>
          <w:lang w:val="en-GB"/>
        </w:rPr>
        <w:t>WIPO’s Technical Assistance and the Complex and Fragmented Regime of IP laws in Africa</w:t>
      </w:r>
      <w:bookmarkEnd w:id="5"/>
      <w:bookmarkEnd w:id="6"/>
    </w:p>
    <w:p w14:paraId="2377F877" w14:textId="4FD972B3" w:rsidR="007B79E6" w:rsidRPr="00F60AC1" w:rsidRDefault="00AF30FA">
      <w:pPr>
        <w:rPr>
          <w:rFonts w:eastAsia="code2000" w:cstheme="minorHAnsi"/>
          <w:color w:val="000000"/>
          <w:szCs w:val="24"/>
          <w:lang w:val="en-GB"/>
        </w:rPr>
      </w:pPr>
      <w:r w:rsidRPr="00F60AC1">
        <w:rPr>
          <w:rFonts w:eastAsia="code2000" w:cstheme="minorHAnsi"/>
          <w:color w:val="000000" w:themeColor="text1"/>
          <w:szCs w:val="24"/>
          <w:lang w:val="en-GB"/>
        </w:rPr>
        <w:t xml:space="preserve">The timing of WIPO’s technical assistance to countries in Africa immediately following their independence has particular salience. Many of the newly independent countries, burdened by the need for economic and social transformation, bought into the </w:t>
      </w:r>
      <w:r w:rsidRPr="00F60AC1">
        <w:rPr>
          <w:rFonts w:cstheme="minorHAnsi"/>
          <w:color w:val="000000" w:themeColor="text1"/>
          <w:szCs w:val="24"/>
          <w:lang w:val="en-GB"/>
        </w:rPr>
        <w:t>liberal-progressive thought about development and good governance at the time</w:t>
      </w:r>
      <w:r w:rsidRPr="00F60AC1">
        <w:rPr>
          <w:rFonts w:eastAsia="code2000" w:cstheme="minorHAnsi"/>
          <w:color w:val="000000" w:themeColor="text1"/>
          <w:szCs w:val="24"/>
          <w:lang w:val="en-GB"/>
        </w:rPr>
        <w:t xml:space="preserve">. Antony Anghie has argued that </w:t>
      </w:r>
      <w:r w:rsidR="002D0D77" w:rsidRPr="00F60AC1">
        <w:rPr>
          <w:rFonts w:cstheme="minorHAnsi"/>
          <w:color w:val="000000" w:themeColor="text1"/>
          <w:szCs w:val="24"/>
          <w:lang w:val="en-GB"/>
        </w:rPr>
        <w:t>“</w:t>
      </w:r>
      <w:r w:rsidRPr="00F60AC1">
        <w:rPr>
          <w:rFonts w:cstheme="minorHAnsi"/>
          <w:color w:val="000000" w:themeColor="text1"/>
          <w:szCs w:val="24"/>
          <w:lang w:val="en-GB"/>
        </w:rPr>
        <w:t>development, just like good governance, has a very powerful and universal appeal: all peoples and societies would surely seek good governance — in much the same way that all peoples and societies were seen as desiring development.</w:t>
      </w:r>
      <w:r w:rsidR="002D0D77" w:rsidRPr="00F60AC1">
        <w:rPr>
          <w:rFonts w:cstheme="minorHAnsi"/>
          <w:color w:val="000000" w:themeColor="text1"/>
          <w:szCs w:val="24"/>
          <w:lang w:val="en-GB"/>
        </w:rPr>
        <w:t>“</w:t>
      </w:r>
      <w:r w:rsidRPr="00F60AC1">
        <w:rPr>
          <w:rStyle w:val="FootnoteReference"/>
          <w:rFonts w:cstheme="minorHAnsi"/>
          <w:color w:val="000000" w:themeColor="text1"/>
          <w:szCs w:val="24"/>
          <w:lang w:val="en-GB"/>
        </w:rPr>
        <w:footnoteReference w:id="39"/>
      </w:r>
      <w:r w:rsidRPr="00F60AC1">
        <w:rPr>
          <w:rFonts w:cstheme="minorHAnsi"/>
          <w:color w:val="000000" w:themeColor="text1"/>
          <w:szCs w:val="24"/>
          <w:lang w:val="en-GB"/>
        </w:rPr>
        <w:t xml:space="preserve"> </w:t>
      </w:r>
      <w:r w:rsidRPr="00F60AC1">
        <w:rPr>
          <w:rFonts w:eastAsia="code2000" w:cstheme="minorHAnsi"/>
          <w:color w:val="000000" w:themeColor="text1"/>
          <w:szCs w:val="24"/>
          <w:lang w:val="en-GB"/>
        </w:rPr>
        <w:t>Nonetheless, the reception of many African countries to the above idea is rather puzzling for two reasons. First, many of the countries were only emerging from an immediate past of colonial rule where IP laws were more of an imposition than borrowed.</w:t>
      </w:r>
      <w:r w:rsidRPr="00F60AC1">
        <w:rPr>
          <w:rStyle w:val="FootnoteReference"/>
          <w:rFonts w:eastAsia="code2000" w:cstheme="minorHAnsi"/>
          <w:color w:val="000000" w:themeColor="text1"/>
          <w:szCs w:val="24"/>
          <w:lang w:val="en-GB"/>
        </w:rPr>
        <w:footnoteReference w:id="40"/>
      </w:r>
      <w:r w:rsidRPr="00F60AC1">
        <w:rPr>
          <w:rFonts w:eastAsia="code2000" w:cstheme="minorHAnsi"/>
          <w:color w:val="000000" w:themeColor="text1"/>
          <w:szCs w:val="24"/>
          <w:lang w:val="en-GB"/>
        </w:rPr>
        <w:t xml:space="preserve"> Colonial IP laws were designed mainly to protect colonial investments and to extract raw industrial materials from the colonies for the colonizers as much as possible.</w:t>
      </w:r>
      <w:r w:rsidRPr="00F60AC1">
        <w:rPr>
          <w:rStyle w:val="FootnoteReference"/>
          <w:rFonts w:eastAsia="code2000" w:cstheme="minorHAnsi"/>
          <w:color w:val="000000" w:themeColor="text1"/>
          <w:szCs w:val="24"/>
          <w:lang w:val="en-GB"/>
        </w:rPr>
        <w:footnoteReference w:id="41"/>
      </w:r>
      <w:r w:rsidRPr="00F60AC1">
        <w:rPr>
          <w:rFonts w:eastAsia="code2000" w:cstheme="minorHAnsi"/>
          <w:color w:val="000000" w:themeColor="text1"/>
          <w:szCs w:val="24"/>
          <w:lang w:val="en-GB"/>
        </w:rPr>
        <w:t xml:space="preserve"> As such, these laws were not designed for the development of the local communities. A cursory look at the auxiliary development of international IP law suggests that it was birthed along similar lines. Accounts of the histories of the Paris and Berne Conventions </w:t>
      </w:r>
      <w:r w:rsidRPr="00F60AC1">
        <w:rPr>
          <w:rFonts w:eastAsia="code2000" w:cstheme="minorHAnsi"/>
          <w:color w:val="000000" w:themeColor="text1"/>
          <w:szCs w:val="24"/>
          <w:lang w:val="en-GB"/>
        </w:rPr>
        <w:lastRenderedPageBreak/>
        <w:t>undeniably reveal their Euro-centric characteristics and vision.</w:t>
      </w:r>
      <w:r w:rsidRPr="00F60AC1">
        <w:rPr>
          <w:rStyle w:val="FootnoteReference"/>
          <w:rFonts w:eastAsia="code2000" w:cstheme="minorHAnsi"/>
          <w:color w:val="000000" w:themeColor="text1"/>
          <w:szCs w:val="24"/>
          <w:lang w:val="en-GB"/>
        </w:rPr>
        <w:footnoteReference w:id="42"/>
      </w:r>
      <w:r w:rsidRPr="00F60AC1">
        <w:rPr>
          <w:rFonts w:eastAsia="code2000" w:cstheme="minorHAnsi"/>
          <w:color w:val="000000" w:themeColor="text1"/>
          <w:szCs w:val="24"/>
          <w:lang w:val="en-GB"/>
        </w:rPr>
        <w:t xml:space="preserve"> Considering that the international systems of patent and copyright instituted by the latter Conventions were developed with minimal participation of developing countries, the rules formulated were in response to the needs of developed nations.</w:t>
      </w:r>
      <w:r w:rsidRPr="00F60AC1">
        <w:rPr>
          <w:rStyle w:val="FootnoteReference"/>
          <w:rFonts w:eastAsia="code2000" w:cstheme="minorHAnsi"/>
          <w:color w:val="000000" w:themeColor="text1"/>
          <w:szCs w:val="24"/>
          <w:lang w:val="en-GB"/>
        </w:rPr>
        <w:footnoteReference w:id="43"/>
      </w:r>
      <w:r w:rsidRPr="00F60AC1">
        <w:rPr>
          <w:rFonts w:eastAsia="code2000" w:cstheme="minorHAnsi"/>
          <w:color w:val="000000" w:themeColor="text1"/>
          <w:szCs w:val="24"/>
          <w:lang w:val="en-GB"/>
        </w:rPr>
        <w:t xml:space="preserve"> </w:t>
      </w:r>
      <w:r w:rsidRPr="00F60AC1">
        <w:rPr>
          <w:rFonts w:cstheme="minorHAnsi"/>
          <w:szCs w:val="24"/>
          <w:lang w:val="en-GB"/>
        </w:rPr>
        <w:t>By the time majority of the developing countries had attained independence, the principles inherent in these treaties had been firmly established for long time.</w:t>
      </w:r>
      <w:r w:rsidRPr="00F60AC1">
        <w:rPr>
          <w:rFonts w:eastAsia="code2000" w:cstheme="minorHAnsi"/>
          <w:color w:val="000000" w:themeColor="text1"/>
          <w:szCs w:val="24"/>
          <w:lang w:val="en-GB"/>
        </w:rPr>
        <w:t xml:space="preserve"> The agitations from developing countries in the 1970s for reforms in international IP regulation attest to this. One would have therefore expected some caution on the part of newly independent African states. </w:t>
      </w:r>
    </w:p>
    <w:p w14:paraId="4C83BB15" w14:textId="77777777" w:rsidR="007B79E6" w:rsidRPr="00F60AC1" w:rsidRDefault="007B79E6">
      <w:pPr>
        <w:rPr>
          <w:rFonts w:eastAsia="code2000" w:cstheme="minorHAnsi"/>
          <w:color w:val="FF0000"/>
          <w:szCs w:val="24"/>
          <w:lang w:val="en-GB"/>
        </w:rPr>
      </w:pPr>
    </w:p>
    <w:p w14:paraId="74ACE3E6" w14:textId="1C05E76D" w:rsidR="007B79E6" w:rsidRPr="00F60AC1" w:rsidRDefault="00AF30FA">
      <w:pPr>
        <w:rPr>
          <w:rFonts w:ascii="Calibri" w:hAnsi="Calibri" w:cs="Calibri"/>
          <w:szCs w:val="24"/>
          <w:lang w:val="en-GB"/>
        </w:rPr>
      </w:pPr>
      <w:r w:rsidRPr="00F60AC1">
        <w:rPr>
          <w:rFonts w:eastAsia="code2000" w:cstheme="minorHAnsi"/>
          <w:color w:val="000000" w:themeColor="text1"/>
          <w:szCs w:val="24"/>
          <w:lang w:val="en-GB"/>
        </w:rPr>
        <w:t>Secondly, the colonial administrations</w:t>
      </w:r>
      <w:r w:rsidRPr="00F60AC1">
        <w:rPr>
          <w:rFonts w:cstheme="minorHAnsi"/>
          <w:color w:val="000000" w:themeColor="text1"/>
          <w:szCs w:val="24"/>
          <w:lang w:val="en-GB"/>
        </w:rPr>
        <w:t xml:space="preserve"> did not build local expertise and institutions for IP in Africa. Thus, most of the countries emerged with weak institutions, fragile governments and little or no expertise on IP matters. </w:t>
      </w:r>
      <w:r w:rsidRPr="00F60AC1">
        <w:rPr>
          <w:rStyle w:val="A1"/>
          <w:rFonts w:cstheme="minorHAnsi"/>
          <w:color w:val="000000" w:themeColor="text1"/>
          <w:lang w:val="en-GB"/>
        </w:rPr>
        <w:t xml:space="preserve">Yet, these former colonies’ memberships of international organizations presented a growing need for national or regional IP laws. </w:t>
      </w:r>
      <w:r w:rsidRPr="00F60AC1">
        <w:rPr>
          <w:rFonts w:eastAsia="code2000" w:cstheme="minorHAnsi"/>
          <w:color w:val="000000" w:themeColor="text1"/>
          <w:szCs w:val="24"/>
          <w:lang w:val="en-GB"/>
        </w:rPr>
        <w:t>For many of these countries then,</w:t>
      </w:r>
      <w:r w:rsidRPr="00F60AC1">
        <w:rPr>
          <w:rFonts w:cstheme="minorHAnsi"/>
          <w:color w:val="000000" w:themeColor="text1"/>
          <w:szCs w:val="24"/>
          <w:lang w:val="en-GB"/>
        </w:rPr>
        <w:t xml:space="preserve"> forging IP laws for national development post-independence was and has been an odyssey. As</w:t>
      </w:r>
      <w:r w:rsidRPr="00F60AC1">
        <w:rPr>
          <w:rFonts w:cstheme="minorHAnsi"/>
          <w:szCs w:val="24"/>
          <w:lang w:val="en-GB"/>
        </w:rPr>
        <w:t xml:space="preserve"> the then Secretary-General of the UN,</w:t>
      </w:r>
      <w:r w:rsidRPr="00F60AC1">
        <w:rPr>
          <w:rFonts w:cstheme="minorHAnsi"/>
          <w:color w:val="000000" w:themeColor="text1"/>
          <w:szCs w:val="24"/>
          <w:lang w:val="en-GB"/>
        </w:rPr>
        <w:t xml:space="preserve"> </w:t>
      </w:r>
      <w:r w:rsidRPr="00F60AC1">
        <w:rPr>
          <w:rFonts w:cstheme="minorHAnsi"/>
          <w:szCs w:val="24"/>
          <w:lang w:val="en-GB"/>
        </w:rPr>
        <w:t>Dag Hammarskjöld noted, the self-determination of peoples is closely linked to the process of economic development; to the extent that the UN could provide technical assistance to support the latter, it would also advance the former.</w:t>
      </w:r>
      <w:r w:rsidRPr="00F60AC1">
        <w:rPr>
          <w:rStyle w:val="FootnoteReference"/>
          <w:rFonts w:cstheme="minorHAnsi"/>
          <w:szCs w:val="24"/>
          <w:lang w:val="en-GB"/>
        </w:rPr>
        <w:footnoteReference w:id="44"/>
      </w:r>
      <w:r w:rsidRPr="00F60AC1">
        <w:rPr>
          <w:rFonts w:cstheme="minorHAnsi"/>
          <w:szCs w:val="24"/>
          <w:lang w:val="en-GB"/>
        </w:rPr>
        <w:t xml:space="preserve"> However, economic development was difficult in countries that lacked an </w:t>
      </w:r>
      <w:r w:rsidR="004B5056" w:rsidRPr="00F60AC1">
        <w:rPr>
          <w:rFonts w:cstheme="minorHAnsi"/>
          <w:szCs w:val="24"/>
          <w:lang w:val="en-GB"/>
        </w:rPr>
        <w:t>“</w:t>
      </w:r>
      <w:r w:rsidRPr="00F60AC1">
        <w:rPr>
          <w:rFonts w:cstheme="minorHAnsi"/>
          <w:szCs w:val="24"/>
          <w:lang w:val="en-GB"/>
        </w:rPr>
        <w:t>independent administrative tradition</w:t>
      </w:r>
      <w:r w:rsidR="002D0D77" w:rsidRPr="00F60AC1">
        <w:rPr>
          <w:rFonts w:cstheme="minorHAnsi"/>
          <w:szCs w:val="24"/>
          <w:lang w:val="en-GB"/>
        </w:rPr>
        <w:t>“</w:t>
      </w:r>
      <w:r w:rsidRPr="00F60AC1">
        <w:rPr>
          <w:rStyle w:val="FootnoteReference"/>
          <w:rFonts w:cstheme="minorHAnsi"/>
          <w:szCs w:val="24"/>
          <w:lang w:val="en-GB"/>
        </w:rPr>
        <w:footnoteReference w:id="45"/>
      </w:r>
      <w:r w:rsidRPr="00F60AC1">
        <w:rPr>
          <w:rFonts w:cstheme="minorHAnsi"/>
          <w:szCs w:val="24"/>
          <w:lang w:val="en-GB"/>
        </w:rPr>
        <w:t xml:space="preserve"> or local expertise in the western construct of intellectual property and its protection. Concerning the latter, </w:t>
      </w:r>
      <w:r w:rsidRPr="00F60AC1">
        <w:rPr>
          <w:rFonts w:cstheme="minorHAnsi"/>
          <w:color w:val="000000" w:themeColor="text1"/>
          <w:szCs w:val="24"/>
          <w:lang w:val="en-GB"/>
        </w:rPr>
        <w:t>WIPO filled this gap by deploying technical assistance as an instrument to assist African countries in their economic, social and technological development.</w:t>
      </w:r>
    </w:p>
    <w:p w14:paraId="27AFF581" w14:textId="77777777" w:rsidR="007B79E6" w:rsidRPr="00F60AC1" w:rsidRDefault="007B79E6">
      <w:pPr>
        <w:rPr>
          <w:rFonts w:ascii="Calibri" w:hAnsi="Calibri" w:cs="Calibri"/>
          <w:szCs w:val="24"/>
          <w:lang w:val="en-GB"/>
        </w:rPr>
      </w:pPr>
    </w:p>
    <w:p w14:paraId="246A0E96" w14:textId="77777777" w:rsidR="007B79E6" w:rsidRPr="00F60AC1" w:rsidRDefault="00AF30FA">
      <w:pPr>
        <w:rPr>
          <w:rFonts w:cstheme="minorHAnsi"/>
          <w:color w:val="000000"/>
          <w:szCs w:val="24"/>
          <w:lang w:val="en-GB"/>
        </w:rPr>
      </w:pPr>
      <w:r w:rsidRPr="00F60AC1">
        <w:rPr>
          <w:rFonts w:cstheme="minorHAnsi"/>
          <w:color w:val="000000" w:themeColor="text1"/>
          <w:szCs w:val="24"/>
          <w:lang w:val="en-GB"/>
        </w:rPr>
        <w:t>Today, it can be said that WIPO’s intervention on matters of IP governance has contributed to a</w:t>
      </w:r>
      <w:r w:rsidRPr="00F60AC1">
        <w:rPr>
          <w:rFonts w:cstheme="minorHAnsi"/>
          <w:color w:val="000000"/>
          <w:szCs w:val="24"/>
          <w:lang w:val="en-GB"/>
        </w:rPr>
        <w:t xml:space="preserve"> fragmented IP architecture</w:t>
      </w:r>
      <w:r w:rsidRPr="00F60AC1">
        <w:rPr>
          <w:rFonts w:cstheme="minorHAnsi"/>
          <w:color w:val="000000" w:themeColor="text1"/>
          <w:szCs w:val="24"/>
          <w:lang w:val="en-GB"/>
        </w:rPr>
        <w:t xml:space="preserve"> in Africa</w:t>
      </w:r>
      <w:r w:rsidRPr="00F60AC1">
        <w:rPr>
          <w:rFonts w:cstheme="minorHAnsi"/>
          <w:color w:val="000000"/>
          <w:szCs w:val="24"/>
          <w:lang w:val="en-GB"/>
        </w:rPr>
        <w:t xml:space="preserve">. The patchwork of IP regimes on the continent comprises the </w:t>
      </w:r>
      <w:r w:rsidRPr="00F60AC1">
        <w:rPr>
          <w:rFonts w:cstheme="minorHAnsi"/>
          <w:color w:val="000000" w:themeColor="text1"/>
          <w:szCs w:val="24"/>
          <w:lang w:val="en-GB"/>
        </w:rPr>
        <w:t>African Union’s (AU, formerly, the Organization of African Unity [OAU])</w:t>
      </w:r>
      <w:r w:rsidRPr="00F60AC1">
        <w:rPr>
          <w:rStyle w:val="FootnoteReference"/>
          <w:rFonts w:cstheme="minorHAnsi"/>
          <w:color w:val="000000" w:themeColor="text1"/>
          <w:szCs w:val="24"/>
          <w:lang w:val="en-GB"/>
        </w:rPr>
        <w:footnoteReference w:id="46"/>
      </w:r>
      <w:r w:rsidRPr="00F60AC1">
        <w:rPr>
          <w:rFonts w:cstheme="minorHAnsi"/>
          <w:color w:val="000000" w:themeColor="text1"/>
          <w:szCs w:val="24"/>
          <w:lang w:val="en-GB"/>
        </w:rPr>
        <w:t xml:space="preserve"> IP instruments (albeit the OAU Charter </w:t>
      </w:r>
      <w:r w:rsidRPr="00F60AC1">
        <w:rPr>
          <w:rFonts w:cstheme="minorHAnsi"/>
          <w:color w:val="000000"/>
          <w:szCs w:val="24"/>
          <w:lang w:val="en-GB"/>
        </w:rPr>
        <w:t>and the Constitutive Act of the AU do not mention IP),</w:t>
      </w:r>
      <w:r w:rsidRPr="00F60AC1">
        <w:rPr>
          <w:rStyle w:val="FootnoteReference"/>
          <w:rFonts w:cstheme="minorHAnsi"/>
          <w:color w:val="000000"/>
          <w:szCs w:val="24"/>
          <w:lang w:val="en-GB"/>
        </w:rPr>
        <w:footnoteReference w:id="47"/>
      </w:r>
      <w:r w:rsidRPr="00F60AC1">
        <w:rPr>
          <w:rFonts w:cstheme="minorHAnsi"/>
          <w:color w:val="000000"/>
          <w:szCs w:val="24"/>
          <w:lang w:val="en-GB"/>
        </w:rPr>
        <w:t xml:space="preserve"> the OAPI and ARIPO frameworks, the eight sub-regional economic communities (RECs) recognized by </w:t>
      </w:r>
      <w:r w:rsidRPr="00F60AC1">
        <w:rPr>
          <w:rFonts w:cstheme="minorHAnsi"/>
          <w:color w:val="000000"/>
          <w:szCs w:val="24"/>
          <w:lang w:val="en-GB"/>
        </w:rPr>
        <w:lastRenderedPageBreak/>
        <w:t>the AU,</w:t>
      </w:r>
      <w:r w:rsidRPr="00F60AC1">
        <w:rPr>
          <w:rStyle w:val="FootnoteReference"/>
          <w:rFonts w:cstheme="minorHAnsi"/>
          <w:color w:val="000000"/>
          <w:szCs w:val="24"/>
          <w:lang w:val="en-GB"/>
        </w:rPr>
        <w:footnoteReference w:id="48"/>
      </w:r>
      <w:r w:rsidRPr="00F60AC1">
        <w:rPr>
          <w:rFonts w:cstheme="minorHAnsi"/>
          <w:color w:val="000000"/>
          <w:szCs w:val="24"/>
          <w:lang w:val="en-GB"/>
        </w:rPr>
        <w:t xml:space="preserve"> and of course, national laws of the ARIPO (and to an extent OAPI) Member States</w:t>
      </w:r>
      <w:r w:rsidRPr="00F60AC1">
        <w:rPr>
          <w:rStyle w:val="FootnoteReference"/>
          <w:rFonts w:cstheme="minorHAnsi"/>
          <w:color w:val="000000"/>
          <w:szCs w:val="24"/>
          <w:lang w:val="en-GB"/>
        </w:rPr>
        <w:footnoteReference w:id="49"/>
      </w:r>
      <w:r w:rsidRPr="00F60AC1">
        <w:rPr>
          <w:rFonts w:cstheme="minorHAnsi"/>
          <w:color w:val="000000"/>
          <w:szCs w:val="24"/>
          <w:lang w:val="en-GB"/>
        </w:rPr>
        <w:t xml:space="preserve"> and countries that are neither members of OAPI nor ARIPO.</w:t>
      </w:r>
      <w:r w:rsidRPr="00F60AC1">
        <w:rPr>
          <w:rStyle w:val="FootnoteReference"/>
          <w:rFonts w:cstheme="minorHAnsi"/>
          <w:color w:val="000000"/>
          <w:szCs w:val="24"/>
          <w:lang w:val="en-GB"/>
        </w:rPr>
        <w:footnoteReference w:id="50"/>
      </w:r>
      <w:r w:rsidRPr="00F60AC1">
        <w:rPr>
          <w:rFonts w:cstheme="minorHAnsi"/>
          <w:color w:val="000000"/>
          <w:szCs w:val="24"/>
          <w:lang w:val="en-GB"/>
        </w:rPr>
        <w:t xml:space="preserve"> Overall, there is a sharp disconnect between regional aspirations and sub-regional realities that are also shaped by external influences such as bilateral, regional and multilateral trade agreements.</w:t>
      </w:r>
      <w:r w:rsidRPr="00F60AC1">
        <w:rPr>
          <w:rStyle w:val="FootnoteReference"/>
          <w:rFonts w:cstheme="minorHAnsi"/>
          <w:color w:val="000000"/>
          <w:szCs w:val="24"/>
          <w:lang w:val="en-GB"/>
        </w:rPr>
        <w:footnoteReference w:id="51"/>
      </w:r>
      <w:r w:rsidRPr="00F60AC1">
        <w:rPr>
          <w:rFonts w:cstheme="minorHAnsi"/>
          <w:color w:val="000000"/>
          <w:szCs w:val="24"/>
          <w:lang w:val="en-GB"/>
        </w:rPr>
        <w:t xml:space="preserve"> This combination of factors materially contributes to the policy incoherence and inconsistency of IP regimes on the continent</w:t>
      </w:r>
      <w:r w:rsidRPr="00F60AC1">
        <w:rPr>
          <w:rFonts w:cstheme="minorHAnsi"/>
          <w:color w:val="000000" w:themeColor="text1"/>
          <w:szCs w:val="24"/>
          <w:lang w:val="en-GB"/>
        </w:rPr>
        <w:t>.</w:t>
      </w:r>
      <w:r w:rsidRPr="00F60AC1">
        <w:rPr>
          <w:rStyle w:val="FootnoteReference"/>
          <w:rFonts w:cstheme="minorHAnsi"/>
          <w:color w:val="000000" w:themeColor="text1"/>
          <w:szCs w:val="24"/>
          <w:lang w:val="en-GB"/>
        </w:rPr>
        <w:footnoteReference w:id="52"/>
      </w:r>
    </w:p>
    <w:p w14:paraId="13BE573A" w14:textId="77777777" w:rsidR="007B79E6" w:rsidRPr="00F60AC1" w:rsidRDefault="007B79E6">
      <w:pPr>
        <w:rPr>
          <w:rFonts w:ascii="Calibri" w:hAnsi="Calibri" w:cs="Calibri"/>
          <w:color w:val="000000"/>
          <w:szCs w:val="24"/>
          <w:lang w:val="en-GB"/>
        </w:rPr>
      </w:pPr>
    </w:p>
    <w:p w14:paraId="08251188" w14:textId="77777777" w:rsidR="007B79E6" w:rsidRPr="00F60AC1" w:rsidRDefault="00AF30FA">
      <w:pPr>
        <w:rPr>
          <w:rFonts w:ascii="Calibri" w:hAnsi="Calibri" w:cs="Calibri"/>
          <w:color w:val="000000"/>
          <w:szCs w:val="24"/>
          <w:lang w:val="en-GB"/>
        </w:rPr>
      </w:pPr>
      <w:r w:rsidRPr="00F60AC1">
        <w:rPr>
          <w:rFonts w:cstheme="minorHAnsi"/>
          <w:color w:val="000000" w:themeColor="text1"/>
          <w:szCs w:val="24"/>
          <w:lang w:val="en-GB"/>
        </w:rPr>
        <w:t xml:space="preserve">A recent addition to the above is the ongoing negotiation of an IP Protocol as part of the continent-wide free trade zone created by the Agreement Establishing the African Continental Free Trade Area (AfCFTA). The first phase of the AfCFTA negotiations focussed on the framework agreement establishing the AfCFTA and negotiations on protocols on trade in goods and services and dispute settlement. The second phase of negotiations (which was expected to end in June 2021 but may be extended due to delays caused by Covid-19) is dedicated to investment, competition policy and IP. While waiting for the final product of the negotiations, it is anticipated that the IP Protocol will not depart from the principles and objectives of the AfCFTA, which are, inter alia, </w:t>
      </w:r>
      <w:r w:rsidRPr="00F60AC1">
        <w:rPr>
          <w:rFonts w:cstheme="minorHAnsi"/>
          <w:szCs w:val="24"/>
          <w:lang w:val="en-GB"/>
        </w:rPr>
        <w:t>related to sustainable and inclusive socio-economic development, resolving the challenges posed by the crow’s nest of obligations arising from multiple and overlapping trade regimes (including IP regimes) that accompany the existing RECs and IP organizations such as OAPI and ARIPO and expedite regional and continental legal harmonization.</w:t>
      </w:r>
      <w:r w:rsidRPr="00F60AC1">
        <w:rPr>
          <w:rStyle w:val="FootnoteReference"/>
          <w:rFonts w:cstheme="minorHAnsi"/>
          <w:szCs w:val="24"/>
          <w:lang w:val="en-GB"/>
        </w:rPr>
        <w:footnoteReference w:id="53"/>
      </w:r>
    </w:p>
    <w:p w14:paraId="111E507F" w14:textId="77777777" w:rsidR="007B79E6" w:rsidRPr="00F60AC1" w:rsidRDefault="007B79E6">
      <w:pPr>
        <w:rPr>
          <w:rFonts w:ascii="Calibri" w:hAnsi="Calibri" w:cs="Calibri"/>
          <w:szCs w:val="24"/>
          <w:lang w:val="en-GB"/>
        </w:rPr>
      </w:pPr>
    </w:p>
    <w:p w14:paraId="5302D38E" w14:textId="2B30199D" w:rsidR="007B79E6" w:rsidRPr="00F60AC1" w:rsidRDefault="00AF30FA" w:rsidP="00EB1AFB">
      <w:pPr>
        <w:rPr>
          <w:color w:val="000000"/>
          <w:lang w:val="en-GB"/>
        </w:rPr>
      </w:pPr>
      <w:r w:rsidRPr="00F60AC1">
        <w:rPr>
          <w:lang w:val="en-GB"/>
        </w:rPr>
        <w:t>Commentators have expressed the prospect that the AfCFTA IP Protocol will fulfil the above principles and objectives by streamlining the IP regime in Africa – considering its special and historic status.</w:t>
      </w:r>
      <w:r w:rsidRPr="00F60AC1">
        <w:rPr>
          <w:rStyle w:val="FootnoteReference"/>
          <w:rFonts w:cstheme="minorHAnsi"/>
          <w:color w:val="000000" w:themeColor="text1"/>
          <w:szCs w:val="24"/>
          <w:lang w:val="en-GB"/>
        </w:rPr>
        <w:footnoteReference w:id="54"/>
      </w:r>
      <w:r w:rsidRPr="00F60AC1">
        <w:rPr>
          <w:lang w:val="en-GB"/>
        </w:rPr>
        <w:t xml:space="preserve"> However, questions remain as to how this new agreement will operate relative to the eight RECs, many of which have overlapping memberships and also approach economic integration differently.</w:t>
      </w:r>
      <w:r w:rsidRPr="00F60AC1">
        <w:rPr>
          <w:rStyle w:val="FootnoteReference"/>
          <w:rFonts w:cstheme="minorHAnsi"/>
          <w:color w:val="000000" w:themeColor="text1"/>
          <w:szCs w:val="24"/>
          <w:lang w:val="en-GB"/>
        </w:rPr>
        <w:footnoteReference w:id="55"/>
      </w:r>
      <w:r w:rsidRPr="00F60AC1">
        <w:rPr>
          <w:lang w:val="en-GB"/>
        </w:rPr>
        <w:t xml:space="preserve"> Indeed, the AfCFTA text acknowledges this interplay and the potential for incoherence, stating that those countries involved in </w:t>
      </w:r>
      <w:r w:rsidR="004B5056" w:rsidRPr="00F60AC1">
        <w:rPr>
          <w:lang w:val="en-GB"/>
        </w:rPr>
        <w:t>“</w:t>
      </w:r>
      <w:r w:rsidRPr="00F60AC1">
        <w:rPr>
          <w:lang w:val="en-GB"/>
        </w:rPr>
        <w:t xml:space="preserve">other regional economic communities, regional trading arrangements and custom unions, which have attained among </w:t>
      </w:r>
      <w:r w:rsidRPr="00F60AC1">
        <w:rPr>
          <w:lang w:val="en-GB"/>
        </w:rPr>
        <w:lastRenderedPageBreak/>
        <w:t>themselves higher levels of regional integration than under this Agreement, shall maintain such higher levels among themselves.</w:t>
      </w:r>
      <w:r w:rsidR="002D0D77" w:rsidRPr="00F60AC1">
        <w:rPr>
          <w:lang w:val="en-GB"/>
        </w:rPr>
        <w:t>“</w:t>
      </w:r>
      <w:r w:rsidRPr="00F60AC1">
        <w:rPr>
          <w:rStyle w:val="FootnoteReference"/>
          <w:rFonts w:cstheme="minorHAnsi"/>
          <w:color w:val="000000" w:themeColor="text1"/>
          <w:szCs w:val="24"/>
          <w:lang w:val="en-GB"/>
        </w:rPr>
        <w:footnoteReference w:id="56"/>
      </w:r>
      <w:r w:rsidRPr="00F60AC1">
        <w:rPr>
          <w:lang w:val="en-GB"/>
        </w:rPr>
        <w:t xml:space="preserve"> Otherwise, the AfCFTA text is meant to take precedence, unless otherwise specified.</w:t>
      </w:r>
      <w:r w:rsidRPr="00F60AC1">
        <w:rPr>
          <w:rStyle w:val="FootnoteReference"/>
          <w:rFonts w:cstheme="minorHAnsi"/>
          <w:color w:val="000000" w:themeColor="text1"/>
          <w:szCs w:val="24"/>
          <w:lang w:val="en-GB"/>
        </w:rPr>
        <w:footnoteReference w:id="57"/>
      </w:r>
      <w:r w:rsidRPr="00F60AC1">
        <w:rPr>
          <w:lang w:val="en-GB"/>
        </w:rPr>
        <w:t xml:space="preserve"> Nearly all African countries are members of the World Trade Organization (WTO) (see Table 1 below). Because of the national treatment and Most Favoured Nation (MFN) principles under the WTO Agreement on Trade-Related Aspects of Intellectual Property (TRIPS), this will necessarily lead to providing these extra protections also to all other right holders, at least as long as the type of protection is within the ambit of the TRIPS non-discrimination clauses. More generally, one could say that such fragmented regimes can only really be </w:t>
      </w:r>
      <w:r w:rsidR="004B5056" w:rsidRPr="00F60AC1">
        <w:rPr>
          <w:lang w:val="en-GB"/>
        </w:rPr>
        <w:t>“</w:t>
      </w:r>
      <w:r w:rsidRPr="00F60AC1">
        <w:rPr>
          <w:lang w:val="en-GB"/>
        </w:rPr>
        <w:t>disentangled</w:t>
      </w:r>
      <w:r w:rsidR="002D0D77" w:rsidRPr="00F60AC1">
        <w:rPr>
          <w:lang w:val="en-GB"/>
        </w:rPr>
        <w:t>“</w:t>
      </w:r>
      <w:r w:rsidRPr="00F60AC1">
        <w:rPr>
          <w:lang w:val="en-GB"/>
        </w:rPr>
        <w:t xml:space="preserve"> by harmonizing upwards (to the highest common denominator, or beyond). That in itself is a highly problematic feature of the international IP system.</w:t>
      </w:r>
    </w:p>
    <w:p w14:paraId="2E7ACA00" w14:textId="77777777" w:rsidR="007B79E6" w:rsidRPr="00F60AC1" w:rsidRDefault="00AF30FA">
      <w:pPr>
        <w:rPr>
          <w:rFonts w:ascii="Calibri" w:hAnsi="Calibri" w:cs="Calibri"/>
          <w:color w:val="000000"/>
          <w:szCs w:val="24"/>
          <w:lang w:val="en-GB"/>
        </w:rPr>
      </w:pPr>
      <w:r w:rsidRPr="00F60AC1">
        <w:rPr>
          <w:rFonts w:cstheme="minorHAnsi"/>
          <w:color w:val="000000" w:themeColor="text1"/>
          <w:szCs w:val="24"/>
          <w:lang w:val="en-GB"/>
        </w:rPr>
        <w:t>Questions also remain about the influence of donor support and IP technical assistance, for instance, from WIPO and the EU for the negotiation of the AfCFTA IP Protocol.</w:t>
      </w:r>
      <w:r w:rsidRPr="00F60AC1">
        <w:rPr>
          <w:rStyle w:val="FootnoteReference"/>
          <w:rFonts w:cstheme="minorHAnsi"/>
          <w:color w:val="000000" w:themeColor="text1"/>
          <w:szCs w:val="24"/>
          <w:lang w:val="en-GB"/>
        </w:rPr>
        <w:footnoteReference w:id="58"/>
      </w:r>
      <w:r w:rsidRPr="00F60AC1">
        <w:rPr>
          <w:rFonts w:cstheme="minorHAnsi"/>
          <w:color w:val="000000" w:themeColor="text1"/>
          <w:szCs w:val="24"/>
          <w:lang w:val="en-GB"/>
        </w:rPr>
        <w:t xml:space="preserve"> Such reservations come on the back of the long history of the relationship between WIPO, OAPI and ARIPO and the role of WIPO in consolidating the institution of Western-style IP norms across Africa through its technical assistance programme.</w:t>
      </w:r>
    </w:p>
    <w:p w14:paraId="37A42C8E" w14:textId="77777777" w:rsidR="007B79E6" w:rsidRPr="00F60AC1" w:rsidRDefault="007B79E6">
      <w:pPr>
        <w:rPr>
          <w:rFonts w:ascii="Calibri" w:hAnsi="Calibri" w:cs="Calibri"/>
          <w:b/>
          <w:bCs/>
          <w:color w:val="FF0000"/>
          <w:szCs w:val="24"/>
          <w:lang w:val="en-GB"/>
        </w:rPr>
      </w:pPr>
    </w:p>
    <w:p w14:paraId="304E1329" w14:textId="6150BB39" w:rsidR="007B79E6" w:rsidRPr="00F60AC1" w:rsidRDefault="00EB1AFB" w:rsidP="00EB1AFB">
      <w:pPr>
        <w:pStyle w:val="IPEbene2"/>
        <w:rPr>
          <w:color w:val="000000"/>
          <w:lang w:val="en-GB"/>
        </w:rPr>
      </w:pPr>
      <w:bookmarkStart w:id="7" w:name="_Toc86845027"/>
      <w:bookmarkStart w:id="8" w:name="_Toc86845102"/>
      <w:r w:rsidRPr="00F60AC1">
        <w:rPr>
          <w:lang w:val="en-GB"/>
        </w:rPr>
        <w:t xml:space="preserve">I. </w:t>
      </w:r>
      <w:r w:rsidR="00AF30FA" w:rsidRPr="00F60AC1">
        <w:rPr>
          <w:lang w:val="en-GB"/>
        </w:rPr>
        <w:t>The Formation of OAPI</w:t>
      </w:r>
      <w:bookmarkEnd w:id="7"/>
      <w:bookmarkEnd w:id="8"/>
    </w:p>
    <w:p w14:paraId="3E41E1FD" w14:textId="5634BD9B" w:rsidR="007B79E6" w:rsidRPr="00F60AC1" w:rsidRDefault="00AF30FA">
      <w:pPr>
        <w:pStyle w:val="ListParagraph"/>
        <w:ind w:left="0"/>
        <w:rPr>
          <w:rFonts w:cstheme="minorHAnsi"/>
          <w:color w:val="000000"/>
          <w:szCs w:val="24"/>
          <w:lang w:val="en-GB"/>
        </w:rPr>
      </w:pPr>
      <w:r w:rsidRPr="00F60AC1">
        <w:rPr>
          <w:rFonts w:cstheme="minorHAnsi"/>
          <w:color w:val="000000"/>
          <w:szCs w:val="24"/>
          <w:lang w:val="en-GB"/>
        </w:rPr>
        <w:t xml:space="preserve">In 1962, the first regional IP organisation in Africa, Office Africa in et Malgache de la Propriété Industrielle (OAMPI), the predecessor to OAPI, was formed after twelve Francophone African countries signed the </w:t>
      </w:r>
      <w:r w:rsidRPr="00F60AC1">
        <w:rPr>
          <w:rFonts w:cstheme="minorHAnsi"/>
          <w:iCs/>
          <w:color w:val="000000"/>
          <w:szCs w:val="24"/>
          <w:lang w:val="en-GB"/>
        </w:rPr>
        <w:t>Agreement Relating to the Creation of an African and Malagasy Office on Industrial Property</w:t>
      </w:r>
      <w:r w:rsidRPr="00F60AC1">
        <w:rPr>
          <w:rFonts w:cstheme="minorHAnsi"/>
          <w:i/>
          <w:iCs/>
          <w:color w:val="000000"/>
          <w:szCs w:val="24"/>
          <w:lang w:val="en-GB"/>
        </w:rPr>
        <w:t xml:space="preserve"> </w:t>
      </w:r>
      <w:r w:rsidRPr="00F60AC1">
        <w:rPr>
          <w:rFonts w:cstheme="minorHAnsi"/>
          <w:color w:val="000000"/>
          <w:szCs w:val="24"/>
          <w:lang w:val="en-GB"/>
        </w:rPr>
        <w:t xml:space="preserve">(the Libreville </w:t>
      </w:r>
      <w:r w:rsidRPr="00F60AC1">
        <w:rPr>
          <w:rStyle w:val="A1"/>
          <w:rFonts w:cstheme="minorHAnsi"/>
          <w:sz w:val="24"/>
          <w:szCs w:val="24"/>
          <w:lang w:val="en-GB"/>
        </w:rPr>
        <w:t>Agreement</w:t>
      </w:r>
      <w:r w:rsidRPr="00F60AC1">
        <w:rPr>
          <w:rStyle w:val="A1"/>
          <w:rFonts w:cstheme="minorHAnsi"/>
          <w:color w:val="000000" w:themeColor="text1"/>
          <w:sz w:val="24"/>
          <w:szCs w:val="24"/>
          <w:lang w:val="en-GB"/>
        </w:rPr>
        <w:t>).</w:t>
      </w:r>
      <w:r w:rsidRPr="00F60AC1">
        <w:rPr>
          <w:rStyle w:val="FootnoteReference"/>
          <w:rFonts w:cstheme="minorHAnsi"/>
          <w:color w:val="000000" w:themeColor="text1"/>
          <w:szCs w:val="24"/>
          <w:lang w:val="en-GB"/>
        </w:rPr>
        <w:footnoteReference w:id="59"/>
      </w:r>
      <w:r w:rsidRPr="00F60AC1">
        <w:rPr>
          <w:rStyle w:val="A1"/>
          <w:rFonts w:cstheme="minorHAnsi"/>
          <w:color w:val="000000" w:themeColor="text1"/>
          <w:sz w:val="24"/>
          <w:szCs w:val="24"/>
          <w:lang w:val="en-GB"/>
        </w:rPr>
        <w:t xml:space="preserve"> </w:t>
      </w:r>
      <w:r w:rsidRPr="00F60AC1">
        <w:rPr>
          <w:rFonts w:cstheme="minorHAnsi"/>
          <w:color w:val="000000" w:themeColor="text1"/>
          <w:szCs w:val="24"/>
          <w:lang w:val="en-GB"/>
        </w:rPr>
        <w:t>The French National Industrial Property Institute (INPI) and WIPO assisted former French colonies to create OAMPI. The Libreville Agreement, which was a replica of the extant French laws, protected patents, trademarks and industrial designs. The Agreement introduced threefold criteria for cooperation, which are still in force in the OAPI region to date: (</w:t>
      </w:r>
      <w:r w:rsidRPr="00F60AC1">
        <w:rPr>
          <w:rFonts w:cstheme="minorHAnsi"/>
          <w:iCs/>
          <w:color w:val="000000" w:themeColor="text1"/>
          <w:szCs w:val="24"/>
          <w:lang w:val="en-GB"/>
        </w:rPr>
        <w:t>a</w:t>
      </w:r>
      <w:r w:rsidRPr="00F60AC1">
        <w:rPr>
          <w:rFonts w:cstheme="minorHAnsi"/>
          <w:color w:val="000000" w:themeColor="text1"/>
          <w:szCs w:val="24"/>
          <w:lang w:val="en-GB"/>
        </w:rPr>
        <w:t>) the adoption of a uniform system of industrial rights protection based on uniform legislation; (</w:t>
      </w:r>
      <w:r w:rsidRPr="00F60AC1">
        <w:rPr>
          <w:rFonts w:cstheme="minorHAnsi"/>
          <w:iCs/>
          <w:color w:val="000000" w:themeColor="text1"/>
          <w:szCs w:val="24"/>
          <w:lang w:val="en-GB"/>
        </w:rPr>
        <w:t>b</w:t>
      </w:r>
      <w:r w:rsidRPr="00F60AC1">
        <w:rPr>
          <w:rFonts w:cstheme="minorHAnsi"/>
          <w:color w:val="000000" w:themeColor="text1"/>
          <w:szCs w:val="24"/>
          <w:lang w:val="en-GB"/>
        </w:rPr>
        <w:t xml:space="preserve">) the creation of a common authority to serve as the office for the protection of industrial property for each of the </w:t>
      </w:r>
      <w:r w:rsidR="009A63BF" w:rsidRPr="00F60AC1">
        <w:rPr>
          <w:rFonts w:cstheme="minorHAnsi"/>
          <w:color w:val="000000" w:themeColor="text1"/>
          <w:szCs w:val="24"/>
          <w:lang w:val="en-GB"/>
        </w:rPr>
        <w:t>M</w:t>
      </w:r>
      <w:r w:rsidRPr="00F60AC1">
        <w:rPr>
          <w:rFonts w:cstheme="minorHAnsi"/>
          <w:color w:val="000000" w:themeColor="text1"/>
          <w:szCs w:val="24"/>
          <w:lang w:val="en-GB"/>
        </w:rPr>
        <w:t xml:space="preserve">ember </w:t>
      </w:r>
      <w:r w:rsidR="009A63BF" w:rsidRPr="00F60AC1">
        <w:rPr>
          <w:rFonts w:cstheme="minorHAnsi"/>
          <w:color w:val="000000" w:themeColor="text1"/>
          <w:szCs w:val="24"/>
          <w:lang w:val="en-GB"/>
        </w:rPr>
        <w:t>S</w:t>
      </w:r>
      <w:r w:rsidRPr="00F60AC1">
        <w:rPr>
          <w:rFonts w:cstheme="minorHAnsi"/>
          <w:color w:val="000000" w:themeColor="text1"/>
          <w:szCs w:val="24"/>
          <w:lang w:val="en-GB"/>
        </w:rPr>
        <w:t>tates; and (</w:t>
      </w:r>
      <w:r w:rsidRPr="00F60AC1">
        <w:rPr>
          <w:rFonts w:cstheme="minorHAnsi"/>
          <w:iCs/>
          <w:color w:val="000000" w:themeColor="text1"/>
          <w:szCs w:val="24"/>
          <w:lang w:val="en-GB"/>
        </w:rPr>
        <w:t>c</w:t>
      </w:r>
      <w:r w:rsidRPr="00F60AC1">
        <w:rPr>
          <w:rFonts w:cstheme="minorHAnsi"/>
          <w:color w:val="000000" w:themeColor="text1"/>
          <w:szCs w:val="24"/>
          <w:lang w:val="en-GB"/>
        </w:rPr>
        <w:t xml:space="preserve">) the application of common and centralized procedures such that a single title issued by OAPI would be valid in all </w:t>
      </w:r>
      <w:r w:rsidR="009A63BF" w:rsidRPr="00F60AC1">
        <w:rPr>
          <w:rFonts w:cstheme="minorHAnsi"/>
          <w:color w:val="000000" w:themeColor="text1"/>
          <w:szCs w:val="24"/>
          <w:lang w:val="en-GB"/>
        </w:rPr>
        <w:t>M</w:t>
      </w:r>
      <w:r w:rsidRPr="00F60AC1">
        <w:rPr>
          <w:rFonts w:cstheme="minorHAnsi"/>
          <w:color w:val="000000" w:themeColor="text1"/>
          <w:szCs w:val="24"/>
          <w:lang w:val="en-GB"/>
        </w:rPr>
        <w:t xml:space="preserve">ember </w:t>
      </w:r>
      <w:r w:rsidR="009A63BF" w:rsidRPr="00F60AC1">
        <w:rPr>
          <w:rFonts w:cstheme="minorHAnsi"/>
          <w:color w:val="000000" w:themeColor="text1"/>
          <w:szCs w:val="24"/>
          <w:lang w:val="en-GB"/>
        </w:rPr>
        <w:t>S</w:t>
      </w:r>
      <w:r w:rsidRPr="00F60AC1">
        <w:rPr>
          <w:rFonts w:cstheme="minorHAnsi"/>
          <w:color w:val="000000" w:themeColor="text1"/>
          <w:szCs w:val="24"/>
          <w:lang w:val="en-GB"/>
        </w:rPr>
        <w:t>tates.</w:t>
      </w:r>
      <w:r w:rsidRPr="00F60AC1">
        <w:rPr>
          <w:rStyle w:val="FootnoteReference"/>
          <w:rFonts w:cstheme="minorHAnsi"/>
          <w:color w:val="000000" w:themeColor="text1"/>
          <w:szCs w:val="24"/>
          <w:lang w:val="en-GB"/>
        </w:rPr>
        <w:footnoteReference w:id="60"/>
      </w:r>
      <w:r w:rsidRPr="00F60AC1">
        <w:rPr>
          <w:rFonts w:cstheme="minorHAnsi"/>
          <w:color w:val="000000" w:themeColor="text1"/>
          <w:szCs w:val="24"/>
          <w:lang w:val="en-GB"/>
        </w:rPr>
        <w:t xml:space="preserve"> </w:t>
      </w:r>
    </w:p>
    <w:p w14:paraId="00877570" w14:textId="77777777" w:rsidR="007B79E6" w:rsidRPr="00F60AC1" w:rsidRDefault="007B79E6">
      <w:pPr>
        <w:pStyle w:val="ListParagraph"/>
        <w:ind w:left="0"/>
        <w:rPr>
          <w:rFonts w:cstheme="minorHAnsi"/>
          <w:color w:val="000000"/>
          <w:szCs w:val="24"/>
          <w:lang w:val="en-GB"/>
        </w:rPr>
      </w:pPr>
    </w:p>
    <w:p w14:paraId="67B10AF3" w14:textId="405AD4D3" w:rsidR="007B79E6" w:rsidRPr="00F60AC1" w:rsidRDefault="00AF30FA">
      <w:pPr>
        <w:pStyle w:val="ListParagraph"/>
        <w:ind w:left="0"/>
        <w:rPr>
          <w:rFonts w:cstheme="minorHAnsi"/>
          <w:color w:val="000000"/>
          <w:szCs w:val="24"/>
          <w:lang w:val="en-GB"/>
        </w:rPr>
      </w:pPr>
      <w:r w:rsidRPr="00F60AC1">
        <w:rPr>
          <w:rFonts w:cstheme="minorHAnsi"/>
          <w:color w:val="000000" w:themeColor="text1"/>
          <w:szCs w:val="24"/>
          <w:lang w:val="en-GB"/>
        </w:rPr>
        <w:t>With this agreement, francophone African countries paved the way for delegating responsibility for IP administrative decisions to the regional level.</w:t>
      </w:r>
      <w:r w:rsidRPr="00F60AC1">
        <w:rPr>
          <w:rStyle w:val="FootnoteReference"/>
          <w:rFonts w:cstheme="minorHAnsi"/>
          <w:color w:val="000000" w:themeColor="text1"/>
          <w:szCs w:val="24"/>
          <w:lang w:val="en-GB"/>
        </w:rPr>
        <w:footnoteReference w:id="61"/>
      </w:r>
      <w:r w:rsidRPr="00F60AC1">
        <w:rPr>
          <w:rFonts w:cstheme="minorHAnsi"/>
          <w:color w:val="000000" w:themeColor="text1"/>
          <w:szCs w:val="24"/>
          <w:lang w:val="en-GB"/>
        </w:rPr>
        <w:t xml:space="preserve"> </w:t>
      </w:r>
      <w:r w:rsidRPr="00F60AC1">
        <w:rPr>
          <w:rFonts w:cstheme="minorHAnsi"/>
          <w:color w:val="000000"/>
          <w:szCs w:val="24"/>
          <w:lang w:val="en-GB"/>
        </w:rPr>
        <w:t xml:space="preserve">In 1977, OAMPI was renamed OAPI, after the adoption of the </w:t>
      </w:r>
      <w:r w:rsidRPr="00F60AC1">
        <w:rPr>
          <w:rFonts w:cstheme="minorHAnsi"/>
          <w:iCs/>
          <w:color w:val="000000"/>
          <w:szCs w:val="24"/>
          <w:lang w:val="en-GB"/>
        </w:rPr>
        <w:t xml:space="preserve">Bangui Agreement on the Creation of an African Intellectual Property Organisation </w:t>
      </w:r>
      <w:r w:rsidRPr="00F60AC1">
        <w:rPr>
          <w:rFonts w:cstheme="minorHAnsi"/>
          <w:color w:val="000000"/>
          <w:szCs w:val="24"/>
          <w:lang w:val="en-GB"/>
        </w:rPr>
        <w:t>(Bangui Agreement) and withdrawal of the Malagasy Republic.</w:t>
      </w:r>
      <w:r w:rsidRPr="00F60AC1">
        <w:rPr>
          <w:rStyle w:val="FootnoteReference"/>
          <w:rFonts w:cstheme="minorHAnsi"/>
          <w:color w:val="000000"/>
          <w:szCs w:val="24"/>
          <w:lang w:val="en-GB"/>
        </w:rPr>
        <w:footnoteReference w:id="62"/>
      </w:r>
      <w:r w:rsidRPr="00F60AC1">
        <w:rPr>
          <w:rFonts w:cstheme="minorHAnsi"/>
          <w:color w:val="000000"/>
          <w:szCs w:val="24"/>
          <w:lang w:val="en-GB"/>
        </w:rPr>
        <w:t xml:space="preserve"> </w:t>
      </w:r>
      <w:r w:rsidRPr="00F60AC1">
        <w:rPr>
          <w:rFonts w:cstheme="minorHAnsi"/>
          <w:color w:val="000000" w:themeColor="text1"/>
          <w:szCs w:val="24"/>
          <w:lang w:val="en-GB"/>
        </w:rPr>
        <w:t xml:space="preserve">No domestic legal instrument is required to enact the Bangui Agreement as national legislation. </w:t>
      </w:r>
      <w:r w:rsidRPr="00F60AC1">
        <w:rPr>
          <w:rFonts w:cstheme="minorHAnsi"/>
          <w:szCs w:val="24"/>
          <w:lang w:val="en-GB"/>
        </w:rPr>
        <w:t xml:space="preserve">What this means is that not only is there no need for national laws, but that national </w:t>
      </w:r>
      <w:r w:rsidRPr="00F60AC1">
        <w:rPr>
          <w:rFonts w:cstheme="minorHAnsi"/>
          <w:szCs w:val="24"/>
          <w:lang w:val="en-GB"/>
        </w:rPr>
        <w:lastRenderedPageBreak/>
        <w:t>implementing laws are not conceivable, since only the regional rights may exist, which are based on regional legislation (at least for the types of IP rights covered).</w:t>
      </w:r>
      <w:r w:rsidRPr="00F60AC1">
        <w:rPr>
          <w:rFonts w:cstheme="minorHAnsi"/>
          <w:color w:val="000000" w:themeColor="text1"/>
          <w:szCs w:val="24"/>
          <w:lang w:val="en-GB"/>
        </w:rPr>
        <w:t xml:space="preserve"> The only exception, however, is in the area of copyright, where the regional Agreement may coexist with national laws in each </w:t>
      </w:r>
      <w:r w:rsidR="009A63BF" w:rsidRPr="00F60AC1">
        <w:rPr>
          <w:rFonts w:cstheme="minorHAnsi"/>
          <w:color w:val="000000" w:themeColor="text1"/>
          <w:szCs w:val="24"/>
          <w:lang w:val="en-GB"/>
        </w:rPr>
        <w:t>M</w:t>
      </w:r>
      <w:r w:rsidRPr="00F60AC1">
        <w:rPr>
          <w:rFonts w:cstheme="minorHAnsi"/>
          <w:color w:val="000000" w:themeColor="text1"/>
          <w:szCs w:val="24"/>
          <w:lang w:val="en-GB"/>
        </w:rPr>
        <w:t xml:space="preserve">ember </w:t>
      </w:r>
      <w:r w:rsidR="009A63BF" w:rsidRPr="00F60AC1">
        <w:rPr>
          <w:rFonts w:cstheme="minorHAnsi"/>
          <w:color w:val="000000" w:themeColor="text1"/>
          <w:szCs w:val="24"/>
          <w:lang w:val="en-GB"/>
        </w:rPr>
        <w:t>S</w:t>
      </w:r>
      <w:r w:rsidRPr="00F60AC1">
        <w:rPr>
          <w:rFonts w:cstheme="minorHAnsi"/>
          <w:color w:val="000000" w:themeColor="text1"/>
          <w:szCs w:val="24"/>
          <w:lang w:val="en-GB"/>
        </w:rPr>
        <w:t>tate.</w:t>
      </w:r>
      <w:r w:rsidRPr="00F60AC1">
        <w:rPr>
          <w:rStyle w:val="FootnoteReference"/>
          <w:rFonts w:cstheme="minorHAnsi"/>
          <w:color w:val="000000" w:themeColor="text1"/>
          <w:szCs w:val="24"/>
          <w:lang w:val="en-GB"/>
        </w:rPr>
        <w:footnoteReference w:id="63"/>
      </w:r>
      <w:r w:rsidRPr="00F60AC1">
        <w:rPr>
          <w:rFonts w:cstheme="minorHAnsi"/>
          <w:color w:val="000000" w:themeColor="text1"/>
          <w:szCs w:val="24"/>
          <w:lang w:val="en-GB"/>
        </w:rPr>
        <w:t xml:space="preserve"> As the discussion below shows, </w:t>
      </w:r>
      <w:r w:rsidRPr="00F60AC1">
        <w:rPr>
          <w:rFonts w:cstheme="minorHAnsi"/>
          <w:color w:val="000000"/>
          <w:szCs w:val="24"/>
          <w:lang w:val="en-GB"/>
        </w:rPr>
        <w:t>l</w:t>
      </w:r>
      <w:r w:rsidRPr="00F60AC1">
        <w:rPr>
          <w:rFonts w:cstheme="minorHAnsi"/>
          <w:color w:val="000000" w:themeColor="text1"/>
          <w:szCs w:val="24"/>
          <w:lang w:val="en-GB"/>
        </w:rPr>
        <w:t xml:space="preserve">egal and technical assistance from WIPO for the Bangui Agreement and its subsequent revision in 1999 guaranteed that this Agreement was (and is) one of the most TRIPS-plus pieces of legislation among developing countries even though thirteen of its </w:t>
      </w:r>
      <w:r w:rsidRPr="00F60AC1">
        <w:rPr>
          <w:rFonts w:cstheme="minorHAnsi"/>
          <w:szCs w:val="24"/>
          <w:lang w:val="en-GB"/>
        </w:rPr>
        <w:t>seventeen members are LDCs</w:t>
      </w:r>
      <w:r w:rsidRPr="00F60AC1">
        <w:rPr>
          <w:rFonts w:cstheme="minorHAnsi"/>
          <w:color w:val="000000" w:themeColor="text1"/>
          <w:szCs w:val="24"/>
          <w:lang w:val="en-GB"/>
        </w:rPr>
        <w:t>.</w:t>
      </w:r>
      <w:r w:rsidRPr="00F60AC1">
        <w:rPr>
          <w:rStyle w:val="FootnoteReference"/>
          <w:rFonts w:cstheme="minorHAnsi"/>
          <w:color w:val="000000" w:themeColor="text1"/>
          <w:szCs w:val="24"/>
          <w:lang w:val="en-GB"/>
        </w:rPr>
        <w:footnoteReference w:id="64"/>
      </w:r>
      <w:r w:rsidRPr="00F60AC1">
        <w:rPr>
          <w:rFonts w:cstheme="minorHAnsi"/>
          <w:color w:val="000000" w:themeColor="text1"/>
          <w:szCs w:val="24"/>
          <w:lang w:val="en-GB"/>
        </w:rPr>
        <w:t xml:space="preserve"> </w:t>
      </w:r>
    </w:p>
    <w:p w14:paraId="0DFDEE23" w14:textId="77777777" w:rsidR="007B79E6" w:rsidRPr="00F60AC1" w:rsidRDefault="007B79E6">
      <w:pPr>
        <w:pStyle w:val="ListParagraph"/>
        <w:ind w:left="0"/>
        <w:rPr>
          <w:rFonts w:cstheme="minorHAnsi"/>
          <w:color w:val="000000"/>
          <w:szCs w:val="24"/>
          <w:lang w:val="en-GB"/>
        </w:rPr>
      </w:pPr>
    </w:p>
    <w:p w14:paraId="61A57C32" w14:textId="32F9E100" w:rsidR="007B79E6" w:rsidRPr="00F60AC1" w:rsidRDefault="00AF30FA">
      <w:pPr>
        <w:pStyle w:val="ListParagraph"/>
        <w:ind w:left="0"/>
        <w:rPr>
          <w:rFonts w:cstheme="minorHAnsi"/>
          <w:color w:val="000000"/>
          <w:szCs w:val="24"/>
          <w:lang w:val="en-GB"/>
        </w:rPr>
      </w:pPr>
      <w:r w:rsidRPr="00F60AC1">
        <w:rPr>
          <w:rFonts w:cstheme="minorHAnsi"/>
          <w:color w:val="000000"/>
          <w:szCs w:val="24"/>
          <w:lang w:val="en-GB"/>
        </w:rPr>
        <w:t xml:space="preserve">The revised Bangui Agreement provides for the protection of ten categories of IP. </w:t>
      </w:r>
      <w:r w:rsidRPr="00F60AC1">
        <w:rPr>
          <w:rFonts w:cstheme="minorHAnsi"/>
          <w:iCs/>
          <w:color w:val="000000"/>
          <w:szCs w:val="24"/>
          <w:lang w:val="en-GB"/>
        </w:rPr>
        <w:t xml:space="preserve">Patents </w:t>
      </w:r>
      <w:r w:rsidRPr="00F60AC1">
        <w:rPr>
          <w:rFonts w:cstheme="minorHAnsi"/>
          <w:color w:val="000000"/>
          <w:szCs w:val="24"/>
          <w:lang w:val="en-GB"/>
        </w:rPr>
        <w:t xml:space="preserve">(Annex I), </w:t>
      </w:r>
      <w:r w:rsidRPr="00F60AC1">
        <w:rPr>
          <w:rFonts w:cstheme="minorHAnsi"/>
          <w:iCs/>
          <w:color w:val="000000"/>
          <w:szCs w:val="24"/>
          <w:lang w:val="en-GB"/>
        </w:rPr>
        <w:t xml:space="preserve">Utility Models </w:t>
      </w:r>
      <w:r w:rsidRPr="00F60AC1">
        <w:rPr>
          <w:rFonts w:cstheme="minorHAnsi"/>
          <w:color w:val="000000"/>
          <w:szCs w:val="24"/>
          <w:lang w:val="en-GB"/>
        </w:rPr>
        <w:t xml:space="preserve">(Annex II), </w:t>
      </w:r>
      <w:r w:rsidRPr="00F60AC1">
        <w:rPr>
          <w:rFonts w:cstheme="minorHAnsi"/>
          <w:iCs/>
          <w:color w:val="000000"/>
          <w:szCs w:val="24"/>
          <w:lang w:val="en-GB"/>
        </w:rPr>
        <w:t xml:space="preserve">Trademarks and Service Marks </w:t>
      </w:r>
      <w:r w:rsidRPr="00F60AC1">
        <w:rPr>
          <w:rFonts w:cstheme="minorHAnsi"/>
          <w:color w:val="000000"/>
          <w:szCs w:val="24"/>
          <w:lang w:val="en-GB"/>
        </w:rPr>
        <w:t xml:space="preserve">(Annex III), </w:t>
      </w:r>
      <w:r w:rsidRPr="00F60AC1">
        <w:rPr>
          <w:rFonts w:cstheme="minorHAnsi"/>
          <w:iCs/>
          <w:color w:val="000000"/>
          <w:szCs w:val="24"/>
          <w:lang w:val="en-GB"/>
        </w:rPr>
        <w:t xml:space="preserve">Industrial Designs </w:t>
      </w:r>
      <w:r w:rsidRPr="00F60AC1">
        <w:rPr>
          <w:rFonts w:cstheme="minorHAnsi"/>
          <w:color w:val="000000"/>
          <w:szCs w:val="24"/>
          <w:lang w:val="en-GB"/>
        </w:rPr>
        <w:t xml:space="preserve">(Annex IV), </w:t>
      </w:r>
      <w:r w:rsidRPr="00F60AC1">
        <w:rPr>
          <w:rFonts w:cstheme="minorHAnsi"/>
          <w:iCs/>
          <w:color w:val="000000"/>
          <w:szCs w:val="24"/>
          <w:lang w:val="en-GB"/>
        </w:rPr>
        <w:t xml:space="preserve">Trade Names </w:t>
      </w:r>
      <w:r w:rsidRPr="00F60AC1">
        <w:rPr>
          <w:rFonts w:cstheme="minorHAnsi"/>
          <w:color w:val="000000"/>
          <w:szCs w:val="24"/>
          <w:lang w:val="en-GB"/>
        </w:rPr>
        <w:t xml:space="preserve">(Annex V), </w:t>
      </w:r>
      <w:r w:rsidRPr="00F60AC1">
        <w:rPr>
          <w:rFonts w:cstheme="minorHAnsi"/>
          <w:iCs/>
          <w:color w:val="000000"/>
          <w:szCs w:val="24"/>
          <w:lang w:val="en-GB"/>
        </w:rPr>
        <w:t xml:space="preserve">Geographical Indications </w:t>
      </w:r>
      <w:r w:rsidRPr="00F60AC1">
        <w:rPr>
          <w:rFonts w:cstheme="minorHAnsi"/>
          <w:color w:val="000000"/>
          <w:szCs w:val="24"/>
          <w:lang w:val="en-GB"/>
        </w:rPr>
        <w:t xml:space="preserve">(Annex VI), </w:t>
      </w:r>
      <w:r w:rsidRPr="00F60AC1">
        <w:rPr>
          <w:rFonts w:cstheme="minorHAnsi"/>
          <w:iCs/>
          <w:color w:val="000000"/>
          <w:szCs w:val="24"/>
          <w:lang w:val="en-GB"/>
        </w:rPr>
        <w:t xml:space="preserve">Literary and Artistic Property </w:t>
      </w:r>
      <w:r w:rsidRPr="00F60AC1">
        <w:rPr>
          <w:rFonts w:cstheme="minorHAnsi"/>
          <w:color w:val="000000"/>
          <w:szCs w:val="24"/>
          <w:lang w:val="en-GB"/>
        </w:rPr>
        <w:t xml:space="preserve">(Annex VII), </w:t>
      </w:r>
      <w:r w:rsidRPr="00F60AC1">
        <w:rPr>
          <w:rFonts w:cstheme="minorHAnsi"/>
          <w:iCs/>
          <w:color w:val="000000"/>
          <w:szCs w:val="24"/>
          <w:lang w:val="en-GB"/>
        </w:rPr>
        <w:t xml:space="preserve">Protection Against Unfair Competition </w:t>
      </w:r>
      <w:r w:rsidRPr="00F60AC1">
        <w:rPr>
          <w:rFonts w:cstheme="minorHAnsi"/>
          <w:color w:val="000000"/>
          <w:szCs w:val="24"/>
          <w:lang w:val="en-GB"/>
        </w:rPr>
        <w:t xml:space="preserve">(Annex VIII), </w:t>
      </w:r>
      <w:r w:rsidRPr="00F60AC1">
        <w:rPr>
          <w:rFonts w:cstheme="minorHAnsi"/>
          <w:iCs/>
          <w:color w:val="000000"/>
          <w:szCs w:val="24"/>
          <w:lang w:val="en-GB"/>
        </w:rPr>
        <w:t xml:space="preserve">Layout-Designs (Topographies) of Integrated Circuits </w:t>
      </w:r>
      <w:r w:rsidRPr="00F60AC1">
        <w:rPr>
          <w:rFonts w:cstheme="minorHAnsi"/>
          <w:color w:val="000000"/>
          <w:szCs w:val="24"/>
          <w:lang w:val="en-GB"/>
        </w:rPr>
        <w:t xml:space="preserve">(Annex IX) and </w:t>
      </w:r>
      <w:r w:rsidRPr="00F60AC1">
        <w:rPr>
          <w:rFonts w:cstheme="minorHAnsi"/>
          <w:iCs/>
          <w:color w:val="000000"/>
          <w:szCs w:val="24"/>
          <w:lang w:val="en-GB"/>
        </w:rPr>
        <w:t xml:space="preserve">Plant Variety Protection </w:t>
      </w:r>
      <w:r w:rsidRPr="00F60AC1">
        <w:rPr>
          <w:rFonts w:cstheme="minorHAnsi"/>
          <w:color w:val="000000"/>
          <w:szCs w:val="24"/>
          <w:lang w:val="en-GB"/>
        </w:rPr>
        <w:t xml:space="preserve">(Annex X). </w:t>
      </w:r>
      <w:r w:rsidRPr="00F60AC1">
        <w:rPr>
          <w:rStyle w:val="Emphasis"/>
          <w:rFonts w:cstheme="minorHAnsi"/>
          <w:i w:val="0"/>
          <w:color w:val="000000" w:themeColor="text1"/>
          <w:szCs w:val="24"/>
          <w:lang w:val="en-GB"/>
        </w:rPr>
        <w:t>The</w:t>
      </w:r>
      <w:r w:rsidRPr="00F60AC1">
        <w:rPr>
          <w:rFonts w:cstheme="minorHAnsi"/>
          <w:color w:val="000000" w:themeColor="text1"/>
          <w:szCs w:val="24"/>
          <w:lang w:val="en-GB"/>
        </w:rPr>
        <w:t xml:space="preserve"> Annexes for plant variety protection, which came into force in January 2006</w:t>
      </w:r>
      <w:r w:rsidRPr="00F60AC1">
        <w:rPr>
          <w:rStyle w:val="FootnoteReference"/>
          <w:rFonts w:cstheme="minorHAnsi"/>
          <w:color w:val="000000" w:themeColor="text1"/>
          <w:szCs w:val="24"/>
          <w:lang w:val="en-GB"/>
        </w:rPr>
        <w:footnoteReference w:id="65"/>
      </w:r>
      <w:r w:rsidRPr="00F60AC1">
        <w:rPr>
          <w:rFonts w:cstheme="minorHAnsi"/>
          <w:color w:val="000000" w:themeColor="text1"/>
          <w:szCs w:val="24"/>
          <w:lang w:val="en-GB"/>
        </w:rPr>
        <w:t xml:space="preserve"> (discussed in Part </w:t>
      </w:r>
      <w:r w:rsidR="00152F0E" w:rsidRPr="00F60AC1">
        <w:rPr>
          <w:rFonts w:cstheme="minorHAnsi"/>
          <w:color w:val="000000" w:themeColor="text1"/>
          <w:szCs w:val="24"/>
          <w:lang w:val="en-GB"/>
        </w:rPr>
        <w:t>D</w:t>
      </w:r>
      <w:r w:rsidRPr="00F60AC1">
        <w:rPr>
          <w:rFonts w:cstheme="minorHAnsi"/>
          <w:color w:val="000000" w:themeColor="text1"/>
          <w:szCs w:val="24"/>
          <w:lang w:val="en-GB"/>
        </w:rPr>
        <w:t xml:space="preserve"> below), and the protection of layout designs (topographies) of integrated circuits (not yet in force) are new additions that were not protectable in the OAPI countries beforehand.</w:t>
      </w:r>
      <w:r w:rsidRPr="00F60AC1">
        <w:rPr>
          <w:rStyle w:val="FootnoteReference"/>
          <w:rFonts w:cstheme="minorHAnsi"/>
          <w:color w:val="000000" w:themeColor="text1"/>
          <w:szCs w:val="24"/>
          <w:lang w:val="en-GB"/>
        </w:rPr>
        <w:footnoteReference w:id="66"/>
      </w:r>
      <w:r w:rsidRPr="00F60AC1">
        <w:rPr>
          <w:rFonts w:cstheme="minorHAnsi"/>
          <w:color w:val="000000"/>
          <w:szCs w:val="24"/>
          <w:lang w:val="en-GB"/>
        </w:rPr>
        <w:t xml:space="preserve"> </w:t>
      </w:r>
      <w:r w:rsidRPr="00F60AC1">
        <w:rPr>
          <w:rFonts w:cstheme="minorHAnsi"/>
          <w:color w:val="000000" w:themeColor="text1"/>
          <w:szCs w:val="24"/>
          <w:lang w:val="en-GB"/>
        </w:rPr>
        <w:t>The Agreement requires members to accede to twenty-three international conventions including the WTO and allied TRIPS Agreement. Eleven of these treaties were added during the 1999 revision, whereas no such obligations exist in TRIPS.</w:t>
      </w:r>
      <w:r w:rsidRPr="00F60AC1">
        <w:rPr>
          <w:rStyle w:val="FootnoteReference"/>
          <w:rFonts w:cstheme="minorHAnsi"/>
          <w:color w:val="000000" w:themeColor="text1"/>
          <w:szCs w:val="24"/>
          <w:lang w:val="en-GB"/>
        </w:rPr>
        <w:footnoteReference w:id="67"/>
      </w:r>
      <w:r w:rsidRPr="00F60AC1">
        <w:rPr>
          <w:rFonts w:cstheme="minorHAnsi"/>
          <w:color w:val="000000" w:themeColor="text1"/>
          <w:szCs w:val="24"/>
          <w:lang w:val="en-GB"/>
        </w:rPr>
        <w:t xml:space="preserve"> In addition, the Agreement includes special protection for GIs related to wines and spirits and extends the term of protection for copyright and patents. </w:t>
      </w:r>
    </w:p>
    <w:p w14:paraId="249A6EF2" w14:textId="77777777" w:rsidR="007B79E6" w:rsidRPr="00F60AC1" w:rsidRDefault="007B79E6">
      <w:pPr>
        <w:pStyle w:val="ListParagraph"/>
        <w:ind w:left="0"/>
        <w:rPr>
          <w:rFonts w:cstheme="minorHAnsi"/>
          <w:color w:val="000000"/>
          <w:szCs w:val="24"/>
          <w:lang w:val="en-GB"/>
        </w:rPr>
      </w:pPr>
    </w:p>
    <w:p w14:paraId="539EF927" w14:textId="3FE5A5F2" w:rsidR="007B79E6" w:rsidRPr="00F60AC1" w:rsidRDefault="00AF30FA">
      <w:pPr>
        <w:pStyle w:val="ListParagraph"/>
        <w:ind w:left="0"/>
        <w:rPr>
          <w:rFonts w:cstheme="minorHAnsi"/>
          <w:color w:val="000000"/>
          <w:szCs w:val="24"/>
          <w:lang w:val="en-GB"/>
        </w:rPr>
      </w:pPr>
      <w:r w:rsidRPr="00F60AC1">
        <w:rPr>
          <w:rFonts w:cstheme="minorHAnsi"/>
          <w:color w:val="000000" w:themeColor="text1"/>
          <w:szCs w:val="24"/>
          <w:lang w:val="en-GB"/>
        </w:rPr>
        <w:t>For example, regarding patents, the Agreement does not only have a low threshold for novelty</w:t>
      </w:r>
      <w:r w:rsidRPr="00F60AC1">
        <w:rPr>
          <w:rStyle w:val="FootnoteReference"/>
          <w:rFonts w:cstheme="minorHAnsi"/>
          <w:color w:val="000000" w:themeColor="text1"/>
          <w:szCs w:val="24"/>
          <w:lang w:val="en-GB"/>
        </w:rPr>
        <w:footnoteReference w:id="68"/>
      </w:r>
      <w:r w:rsidRPr="00F60AC1">
        <w:rPr>
          <w:rFonts w:cstheme="minorHAnsi"/>
          <w:color w:val="000000" w:themeColor="text1"/>
          <w:szCs w:val="24"/>
          <w:lang w:val="en-GB"/>
        </w:rPr>
        <w:t xml:space="preserve"> but also imposes more stringent conditions for the use of compulsory licenses </w:t>
      </w:r>
      <w:r w:rsidRPr="00F60AC1">
        <w:rPr>
          <w:rFonts w:cstheme="minorHAnsi"/>
          <w:color w:val="000000"/>
          <w:szCs w:val="24"/>
          <w:lang w:val="en-GB"/>
        </w:rPr>
        <w:t>by third parties or by governments than the TRIPS Agreement, thus sacrificing the full use of flexibilities affirmed by the Doha Declaration.</w:t>
      </w:r>
      <w:r w:rsidRPr="00F60AC1">
        <w:rPr>
          <w:rStyle w:val="FootnoteReference"/>
          <w:rFonts w:cstheme="minorHAnsi"/>
          <w:color w:val="000000"/>
          <w:szCs w:val="24"/>
          <w:lang w:val="en-GB"/>
        </w:rPr>
        <w:footnoteReference w:id="69"/>
      </w:r>
      <w:r w:rsidRPr="00F60AC1">
        <w:rPr>
          <w:rFonts w:cstheme="minorHAnsi"/>
          <w:color w:val="000000"/>
          <w:szCs w:val="24"/>
          <w:lang w:val="en-GB"/>
        </w:rPr>
        <w:t xml:space="preserve"> It demands a judicial procedure in national civil courts before licences to third parties can be granted.</w:t>
      </w:r>
      <w:r w:rsidRPr="00F60AC1">
        <w:rPr>
          <w:rStyle w:val="FootnoteReference"/>
          <w:rFonts w:cstheme="minorHAnsi"/>
          <w:color w:val="000000"/>
          <w:szCs w:val="24"/>
          <w:lang w:val="en-GB"/>
        </w:rPr>
        <w:footnoteReference w:id="70"/>
      </w:r>
      <w:r w:rsidRPr="00F60AC1">
        <w:rPr>
          <w:rFonts w:cstheme="minorHAnsi"/>
          <w:color w:val="000000"/>
          <w:szCs w:val="24"/>
          <w:lang w:val="en-GB"/>
        </w:rPr>
        <w:t xml:space="preserve"> Furthermore, </w:t>
      </w:r>
      <w:r w:rsidRPr="00F60AC1">
        <w:rPr>
          <w:rFonts w:cstheme="minorHAnsi"/>
          <w:color w:val="000000" w:themeColor="text1"/>
          <w:szCs w:val="24"/>
          <w:lang w:val="en-GB"/>
        </w:rPr>
        <w:t xml:space="preserve">the Agreement expands the scope of patent protection, for instance, to pharmaceutical products, regardless of the decision of the TRIPS Council to extend the general transitional period for </w:t>
      </w:r>
      <w:r w:rsidRPr="00F60AC1">
        <w:rPr>
          <w:rStyle w:val="Emphasis"/>
          <w:rFonts w:cstheme="minorHAnsi"/>
          <w:i w:val="0"/>
          <w:szCs w:val="24"/>
          <w:lang w:val="en-GB"/>
        </w:rPr>
        <w:t>LDCs</w:t>
      </w:r>
      <w:r w:rsidRPr="00F60AC1">
        <w:rPr>
          <w:rFonts w:cstheme="minorHAnsi"/>
          <w:color w:val="000000" w:themeColor="text1"/>
          <w:szCs w:val="24"/>
          <w:lang w:val="en-GB"/>
        </w:rPr>
        <w:t xml:space="preserve"> </w:t>
      </w:r>
      <w:r w:rsidRPr="00F60AC1">
        <w:rPr>
          <w:rStyle w:val="Emphasis"/>
          <w:rFonts w:cstheme="minorHAnsi"/>
          <w:i w:val="0"/>
          <w:szCs w:val="24"/>
          <w:lang w:val="en-GB"/>
        </w:rPr>
        <w:t xml:space="preserve">to implement the TRIPS </w:t>
      </w:r>
      <w:r w:rsidRPr="00F60AC1">
        <w:rPr>
          <w:rStyle w:val="Emphasis"/>
          <w:rFonts w:cstheme="minorHAnsi"/>
          <w:i w:val="0"/>
          <w:szCs w:val="24"/>
          <w:lang w:val="en-GB"/>
        </w:rPr>
        <w:lastRenderedPageBreak/>
        <w:t>Agreement until 1 July 2034,</w:t>
      </w:r>
      <w:r w:rsidRPr="00F60AC1">
        <w:rPr>
          <w:rStyle w:val="FootnoteReference"/>
          <w:rFonts w:cstheme="minorHAnsi"/>
          <w:iCs/>
          <w:szCs w:val="24"/>
          <w:lang w:val="en-GB"/>
        </w:rPr>
        <w:footnoteReference w:id="71"/>
      </w:r>
      <w:r w:rsidRPr="00F60AC1">
        <w:rPr>
          <w:rStyle w:val="Emphasis"/>
          <w:rFonts w:cstheme="minorHAnsi"/>
          <w:i w:val="0"/>
          <w:szCs w:val="24"/>
          <w:lang w:val="en-GB"/>
        </w:rPr>
        <w:t xml:space="preserve"> and for pharmaceutical products</w:t>
      </w:r>
      <w:r w:rsidRPr="00F60AC1">
        <w:rPr>
          <w:rStyle w:val="Emphasis"/>
          <w:rFonts w:cstheme="minorHAnsi"/>
          <w:i w:val="0"/>
          <w:color w:val="000000" w:themeColor="text1"/>
          <w:szCs w:val="24"/>
          <w:lang w:val="en-GB"/>
        </w:rPr>
        <w:t xml:space="preserve">, until </w:t>
      </w:r>
      <w:r w:rsidRPr="00F60AC1">
        <w:rPr>
          <w:rFonts w:cstheme="minorHAnsi"/>
          <w:color w:val="000000" w:themeColor="text1"/>
          <w:szCs w:val="24"/>
          <w:lang w:val="en-GB"/>
        </w:rPr>
        <w:t>1 January 2033</w:t>
      </w:r>
      <w:r w:rsidRPr="00F60AC1">
        <w:rPr>
          <w:rFonts w:cstheme="minorHAnsi"/>
          <w:sz w:val="18"/>
          <w:szCs w:val="18"/>
          <w:lang w:val="en-GB"/>
        </w:rPr>
        <w:t>.</w:t>
      </w:r>
      <w:r w:rsidRPr="00F60AC1">
        <w:rPr>
          <w:rStyle w:val="FootnoteReference"/>
          <w:rFonts w:cstheme="minorHAnsi"/>
          <w:sz w:val="18"/>
          <w:szCs w:val="18"/>
          <w:lang w:val="en-GB"/>
        </w:rPr>
        <w:footnoteReference w:id="72"/>
      </w:r>
      <w:r w:rsidRPr="00F60AC1">
        <w:rPr>
          <w:rFonts w:cstheme="minorHAnsi"/>
          <w:sz w:val="18"/>
          <w:szCs w:val="18"/>
          <w:lang w:val="en-GB"/>
        </w:rPr>
        <w:t xml:space="preserve"> </w:t>
      </w:r>
      <w:r w:rsidRPr="00F60AC1">
        <w:rPr>
          <w:rFonts w:cstheme="minorHAnsi"/>
          <w:szCs w:val="24"/>
          <w:lang w:val="en-GB"/>
        </w:rPr>
        <w:t>To be certain,</w:t>
      </w:r>
      <w:r w:rsidRPr="00F60AC1">
        <w:rPr>
          <w:rFonts w:cstheme="minorHAnsi"/>
          <w:color w:val="000000" w:themeColor="text1"/>
          <w:szCs w:val="24"/>
          <w:lang w:val="en-GB"/>
        </w:rPr>
        <w:t xml:space="preserve"> the terms of the WTO's LDC extension prevent countries from reducing or withdrawing existing protections</w:t>
      </w:r>
      <w:r w:rsidRPr="00F60AC1">
        <w:rPr>
          <w:rFonts w:cstheme="minorHAnsi"/>
          <w:color w:val="000000" w:themeColor="text1"/>
          <w:szCs w:val="24"/>
          <w:vertAlign w:val="superscript"/>
          <w:lang w:val="en-GB"/>
        </w:rPr>
        <w:footnoteReference w:id="73"/>
      </w:r>
      <w:r w:rsidRPr="00F60AC1">
        <w:rPr>
          <w:rFonts w:cstheme="minorHAnsi"/>
          <w:color w:val="000000" w:themeColor="text1"/>
          <w:szCs w:val="24"/>
          <w:lang w:val="en-GB"/>
        </w:rPr>
        <w:t xml:space="preserve"> – thus locking countries into the revised Bangui Agreement, which otherwise states that any country can exit from their obligations under the treaty.</w:t>
      </w:r>
      <w:r w:rsidRPr="00F60AC1">
        <w:rPr>
          <w:rFonts w:cstheme="minorHAnsi"/>
          <w:color w:val="000000" w:themeColor="text1"/>
          <w:szCs w:val="24"/>
          <w:vertAlign w:val="superscript"/>
          <w:lang w:val="en-GB"/>
        </w:rPr>
        <w:footnoteReference w:id="74"/>
      </w:r>
    </w:p>
    <w:p w14:paraId="14C932B3" w14:textId="77777777" w:rsidR="007B79E6" w:rsidRPr="00F60AC1" w:rsidRDefault="007B79E6">
      <w:pPr>
        <w:rPr>
          <w:rFonts w:ascii="Verdana" w:hAnsi="Verdana"/>
          <w:sz w:val="18"/>
          <w:szCs w:val="18"/>
          <w:lang w:val="en-GB"/>
        </w:rPr>
      </w:pPr>
    </w:p>
    <w:p w14:paraId="05AAB53A" w14:textId="77777777" w:rsidR="007B79E6" w:rsidRPr="00F60AC1" w:rsidRDefault="00AF30FA">
      <w:pPr>
        <w:rPr>
          <w:rFonts w:ascii="Calibri" w:hAnsi="Calibri" w:cs="Calibri"/>
          <w:color w:val="000000"/>
          <w:szCs w:val="24"/>
          <w:lang w:val="en-GB"/>
        </w:rPr>
      </w:pPr>
      <w:r w:rsidRPr="00F60AC1">
        <w:rPr>
          <w:rFonts w:cstheme="minorHAnsi"/>
          <w:color w:val="000000" w:themeColor="text1"/>
          <w:szCs w:val="24"/>
          <w:lang w:val="en-GB"/>
        </w:rPr>
        <w:t>The decision to extend protection to pharmaceutical products and to increase the term of patent protection rendered OAPI LDCs vulnerable to higher prices and licensing costs for technologies some thirty-two years earlier than TRIPS required, and thirty-one years earlier in the case of pharmaceutical products.</w:t>
      </w:r>
      <w:r w:rsidRPr="00F60AC1">
        <w:rPr>
          <w:rStyle w:val="FootnoteReference"/>
          <w:rFonts w:cstheme="minorHAnsi"/>
          <w:color w:val="000000" w:themeColor="text1"/>
          <w:szCs w:val="24"/>
          <w:lang w:val="en-GB"/>
        </w:rPr>
        <w:footnoteReference w:id="75"/>
      </w:r>
      <w:r w:rsidRPr="00F60AC1">
        <w:rPr>
          <w:rFonts w:cstheme="minorHAnsi"/>
          <w:color w:val="000000" w:themeColor="text1"/>
          <w:szCs w:val="24"/>
          <w:lang w:val="en-GB"/>
        </w:rPr>
        <w:t xml:space="preserve"> </w:t>
      </w:r>
      <w:r w:rsidRPr="00F60AC1">
        <w:rPr>
          <w:rFonts w:cstheme="minorHAnsi"/>
          <w:color w:val="000000"/>
          <w:szCs w:val="24"/>
          <w:lang w:val="en-GB"/>
        </w:rPr>
        <w:t>The consequences of such choices are overt.</w:t>
      </w:r>
      <w:r w:rsidRPr="00F60AC1">
        <w:rPr>
          <w:rFonts w:cstheme="minorHAnsi"/>
          <w:color w:val="000000" w:themeColor="text1"/>
          <w:szCs w:val="24"/>
          <w:lang w:val="en-GB"/>
        </w:rPr>
        <w:t xml:space="preserve"> To date, African countries are net importers of medicinal and pharmaceutical products. The United Nations Economic Commission for Africa (UNECA) estimates that the continent covers 94 per cent of its pharmaceutical needs through imports.</w:t>
      </w:r>
      <w:r w:rsidRPr="00F60AC1">
        <w:rPr>
          <w:rFonts w:cstheme="minorHAnsi"/>
          <w:color w:val="000000" w:themeColor="text1"/>
          <w:szCs w:val="24"/>
          <w:vertAlign w:val="superscript"/>
          <w:lang w:val="en-GB"/>
        </w:rPr>
        <w:footnoteReference w:id="76"/>
      </w:r>
      <w:r w:rsidRPr="00F60AC1">
        <w:rPr>
          <w:rFonts w:cstheme="minorHAnsi"/>
          <w:color w:val="000000" w:themeColor="text1"/>
          <w:szCs w:val="24"/>
          <w:lang w:val="en-GB"/>
        </w:rPr>
        <w:t xml:space="preserve"> With the outbreak of COVID-19, many of the countries providing these pharmaceuticals were heavily disrupted, and at least 94 countries in the world restricted exports of medical supplies as part of their response to COVID-19 in 2020.</w:t>
      </w:r>
      <w:r w:rsidRPr="00F60AC1">
        <w:rPr>
          <w:rFonts w:cstheme="minorHAnsi"/>
          <w:color w:val="000000" w:themeColor="text1"/>
          <w:szCs w:val="24"/>
          <w:vertAlign w:val="superscript"/>
          <w:lang w:val="en-GB"/>
        </w:rPr>
        <w:footnoteReference w:id="77"/>
      </w:r>
      <w:r w:rsidRPr="00F60AC1">
        <w:rPr>
          <w:rFonts w:cstheme="minorHAnsi"/>
          <w:color w:val="000000" w:themeColor="text1"/>
          <w:szCs w:val="24"/>
          <w:lang w:val="en-GB"/>
        </w:rPr>
        <w:t xml:space="preserve"> This placed Africa in a perilous position in accessing essential supplies. </w:t>
      </w:r>
    </w:p>
    <w:p w14:paraId="00F72E64" w14:textId="77777777" w:rsidR="007B79E6" w:rsidRPr="00F60AC1" w:rsidRDefault="007B79E6">
      <w:pPr>
        <w:rPr>
          <w:rFonts w:cstheme="minorHAnsi"/>
          <w:color w:val="000000"/>
          <w:szCs w:val="24"/>
          <w:lang w:val="en-GB"/>
        </w:rPr>
      </w:pPr>
    </w:p>
    <w:p w14:paraId="25BB6E46" w14:textId="77777777" w:rsidR="007B79E6" w:rsidRPr="00F60AC1" w:rsidRDefault="00AF30FA">
      <w:pPr>
        <w:rPr>
          <w:rFonts w:ascii="Calibri" w:hAnsi="Calibri" w:cs="Calibri"/>
          <w:color w:val="000000"/>
          <w:szCs w:val="24"/>
          <w:lang w:val="en-GB"/>
        </w:rPr>
      </w:pPr>
      <w:r w:rsidRPr="00F60AC1">
        <w:rPr>
          <w:rFonts w:cstheme="minorHAnsi"/>
          <w:color w:val="000000" w:themeColor="text1"/>
          <w:szCs w:val="24"/>
          <w:lang w:val="en-GB"/>
        </w:rPr>
        <w:t>The outcome of the revised Bangui Agreement should not be surprising. The text of the revised Agreement was written by a Cameroonian national, Denis Ekani, who served for nineteen years as OAPI's first Director‐General from 1965 to 1984.</w:t>
      </w:r>
      <w:r w:rsidRPr="00F60AC1">
        <w:rPr>
          <w:rStyle w:val="FootnoteReference"/>
          <w:rFonts w:cstheme="minorHAnsi"/>
          <w:color w:val="000000" w:themeColor="text1"/>
          <w:szCs w:val="24"/>
          <w:lang w:val="en-GB"/>
        </w:rPr>
        <w:footnoteReference w:id="78"/>
      </w:r>
      <w:r w:rsidRPr="00F60AC1">
        <w:rPr>
          <w:rFonts w:cstheme="minorHAnsi"/>
          <w:color w:val="000000" w:themeColor="text1"/>
          <w:szCs w:val="24"/>
          <w:lang w:val="en-GB"/>
        </w:rPr>
        <w:t xml:space="preserve"> He worked closely with the OAPI Secretariat, the staff of WIPO, UPOV, and INPI, which also hired an external consultant to </w:t>
      </w:r>
      <w:r w:rsidRPr="00F60AC1">
        <w:rPr>
          <w:rFonts w:cstheme="minorHAnsi"/>
          <w:color w:val="000000" w:themeColor="text1"/>
          <w:szCs w:val="24"/>
          <w:lang w:val="en-GB"/>
        </w:rPr>
        <w:lastRenderedPageBreak/>
        <w:t>assist with legal drafting.</w:t>
      </w:r>
      <w:r w:rsidRPr="00F60AC1">
        <w:rPr>
          <w:rStyle w:val="FootnoteReference"/>
          <w:rFonts w:cstheme="minorHAnsi"/>
          <w:color w:val="000000" w:themeColor="text1"/>
          <w:szCs w:val="24"/>
          <w:lang w:val="en-GB"/>
        </w:rPr>
        <w:footnoteReference w:id="79"/>
      </w:r>
      <w:r w:rsidRPr="00F60AC1">
        <w:rPr>
          <w:rFonts w:cstheme="minorHAnsi"/>
          <w:color w:val="000000" w:themeColor="text1"/>
          <w:szCs w:val="24"/>
          <w:lang w:val="en-GB"/>
        </w:rPr>
        <w:t xml:space="preserve"> Based on their training and professional networks, elites like Ekani tend to identify more closely with a network of international IP policy experts and officials – and with the objectives of WIPO – than with national governments or regional development objectives.</w:t>
      </w:r>
      <w:r w:rsidRPr="00F60AC1">
        <w:rPr>
          <w:rStyle w:val="FootnoteReference"/>
          <w:rFonts w:cstheme="minorHAnsi"/>
          <w:color w:val="000000" w:themeColor="text1"/>
          <w:szCs w:val="24"/>
          <w:lang w:val="en-GB"/>
        </w:rPr>
        <w:footnoteReference w:id="80"/>
      </w:r>
      <w:r w:rsidRPr="00F60AC1">
        <w:rPr>
          <w:rFonts w:cstheme="minorHAnsi"/>
          <w:color w:val="000000" w:themeColor="text1"/>
          <w:szCs w:val="24"/>
          <w:lang w:val="en-GB"/>
        </w:rPr>
        <w:t xml:space="preserve"> Indeed, it should be remembered that OAPI Member States had (and still have) limited expertise on IP matters, and the few staff in their IP offices are usually the product of training by INPI, WIPO, European universities, or US universities, who transfer pro‐IP views regarding the importance of strengthened IP protection.</w:t>
      </w:r>
      <w:r w:rsidRPr="00F60AC1">
        <w:rPr>
          <w:rStyle w:val="FootnoteReference"/>
          <w:rFonts w:cstheme="minorHAnsi"/>
          <w:color w:val="000000" w:themeColor="text1"/>
          <w:szCs w:val="24"/>
          <w:lang w:val="en-GB"/>
        </w:rPr>
        <w:footnoteReference w:id="81"/>
      </w:r>
      <w:r w:rsidRPr="00F60AC1">
        <w:rPr>
          <w:rFonts w:cstheme="minorHAnsi"/>
          <w:color w:val="000000" w:themeColor="text1"/>
          <w:szCs w:val="24"/>
          <w:lang w:val="en-GB"/>
        </w:rPr>
        <w:t xml:space="preserve"> Hence, the perspective of staff on the technical aspects of TRIPS (and IP in general) tends to focus narrowly on compliance.</w:t>
      </w:r>
      <w:r w:rsidRPr="00F60AC1">
        <w:rPr>
          <w:rStyle w:val="FootnoteReference"/>
          <w:rFonts w:cstheme="minorHAnsi"/>
          <w:color w:val="000000" w:themeColor="text1"/>
          <w:szCs w:val="24"/>
          <w:lang w:val="en-GB"/>
        </w:rPr>
        <w:footnoteReference w:id="82"/>
      </w:r>
      <w:r w:rsidRPr="00F60AC1">
        <w:rPr>
          <w:rFonts w:cstheme="minorHAnsi"/>
          <w:color w:val="000000" w:themeColor="text1"/>
          <w:szCs w:val="24"/>
          <w:lang w:val="en-GB"/>
        </w:rPr>
        <w:t xml:space="preserve"> </w:t>
      </w:r>
    </w:p>
    <w:p w14:paraId="228232E6" w14:textId="77777777" w:rsidR="007B79E6" w:rsidRPr="00F60AC1" w:rsidRDefault="007B79E6">
      <w:pPr>
        <w:rPr>
          <w:rFonts w:ascii="Calibri" w:hAnsi="Calibri" w:cs="Calibri"/>
          <w:color w:val="000000"/>
          <w:szCs w:val="24"/>
          <w:lang w:val="en-GB"/>
        </w:rPr>
      </w:pPr>
    </w:p>
    <w:p w14:paraId="77E75AC2" w14:textId="77777777" w:rsidR="007B79E6" w:rsidRPr="00F60AC1" w:rsidRDefault="00AF30FA" w:rsidP="00F60AC1">
      <w:pPr>
        <w:rPr>
          <w:color w:val="000000"/>
          <w:lang w:val="en-GB"/>
        </w:rPr>
      </w:pPr>
      <w:r w:rsidRPr="00F60AC1">
        <w:rPr>
          <w:lang w:val="en-GB"/>
        </w:rPr>
        <w:t>Besides, governments within the region regarded IP decision-making as a technical domain, the legal details of which could be left to experts from OAPI or donor agencies such as WIPO or INPI, rather than a policy issue worthy of explicit integration into a broader national development policy.</w:t>
      </w:r>
      <w:r w:rsidRPr="00F60AC1">
        <w:rPr>
          <w:rStyle w:val="FootnoteReference"/>
          <w:rFonts w:cstheme="minorHAnsi"/>
          <w:color w:val="000000" w:themeColor="text1"/>
          <w:szCs w:val="24"/>
          <w:lang w:val="en-GB"/>
        </w:rPr>
        <w:footnoteReference w:id="83"/>
      </w:r>
      <w:r w:rsidRPr="00F60AC1">
        <w:rPr>
          <w:lang w:val="en-GB"/>
        </w:rPr>
        <w:t xml:space="preserve"> Thus, whiles accounts from the OAPI Secretariat stress that the Bangui revision went through several stages and formalities in the drafting and negotiation process,</w:t>
      </w:r>
      <w:r w:rsidRPr="00F60AC1">
        <w:rPr>
          <w:rStyle w:val="FootnoteReference"/>
          <w:rFonts w:cstheme="minorHAnsi"/>
          <w:color w:val="000000" w:themeColor="text1"/>
          <w:szCs w:val="24"/>
          <w:lang w:val="en-GB"/>
        </w:rPr>
        <w:footnoteReference w:id="84"/>
      </w:r>
      <w:r w:rsidRPr="00F60AC1">
        <w:rPr>
          <w:lang w:val="en-GB"/>
        </w:rPr>
        <w:t xml:space="preserve"> Carolyn Deere contends that:</w:t>
      </w:r>
    </w:p>
    <w:p w14:paraId="0191CBB0" w14:textId="77777777" w:rsidR="007B79E6" w:rsidRPr="00F60AC1" w:rsidRDefault="007B79E6">
      <w:pPr>
        <w:rPr>
          <w:rFonts w:cstheme="minorHAnsi"/>
          <w:color w:val="000000"/>
          <w:szCs w:val="24"/>
          <w:lang w:val="en-GB"/>
        </w:rPr>
      </w:pPr>
    </w:p>
    <w:p w14:paraId="513FDCE7" w14:textId="77777777" w:rsidR="007B79E6" w:rsidRPr="00F60AC1" w:rsidRDefault="00AF30FA" w:rsidP="00F60AC1">
      <w:pPr>
        <w:ind w:left="720"/>
        <w:rPr>
          <w:color w:val="000000"/>
          <w:lang w:val="en-GB"/>
        </w:rPr>
      </w:pPr>
      <w:r w:rsidRPr="00F60AC1">
        <w:rPr>
          <w:lang w:val="en-GB"/>
        </w:rPr>
        <w:t>At no point in the Bangui revision process was there any formal interstate negotiation of the draft text. Within the OAPI countries, there was no substantive parliamentary discussion about the proposed revisions to the Bangui Agreement. Parliamentarians had little knowledge of IP issues or the revision process and thus limited capacity to monitor or participate in matters of IP policy and decision‐making</w:t>
      </w:r>
      <w:r w:rsidRPr="00F60AC1">
        <w:rPr>
          <w:i/>
          <w:lang w:val="en-GB"/>
        </w:rPr>
        <w:t>.</w:t>
      </w:r>
      <w:r w:rsidRPr="00F60AC1">
        <w:rPr>
          <w:rStyle w:val="FootnoteReference"/>
          <w:rFonts w:cstheme="minorHAnsi"/>
          <w:i/>
          <w:color w:val="000000" w:themeColor="text1"/>
          <w:szCs w:val="24"/>
          <w:lang w:val="en-GB"/>
        </w:rPr>
        <w:footnoteReference w:id="85"/>
      </w:r>
    </w:p>
    <w:p w14:paraId="1A0A6C14" w14:textId="77777777" w:rsidR="007B79E6" w:rsidRPr="00F60AC1" w:rsidRDefault="007B79E6">
      <w:pPr>
        <w:rPr>
          <w:rFonts w:cstheme="minorHAnsi"/>
          <w:color w:val="FF0000"/>
          <w:sz w:val="23"/>
          <w:szCs w:val="23"/>
          <w:lang w:val="en-GB"/>
        </w:rPr>
      </w:pPr>
    </w:p>
    <w:p w14:paraId="1CE0F842" w14:textId="56FCD329" w:rsidR="007B79E6" w:rsidRPr="00F60AC1" w:rsidRDefault="00AF30FA" w:rsidP="00F60AC1">
      <w:pPr>
        <w:rPr>
          <w:rStyle w:val="A1"/>
          <w:rFonts w:cstheme="minorHAnsi"/>
          <w:color w:val="000000" w:themeColor="text1"/>
          <w:sz w:val="24"/>
          <w:szCs w:val="24"/>
          <w:lang w:val="en-GB"/>
        </w:rPr>
      </w:pPr>
      <w:r w:rsidRPr="00F60AC1">
        <w:rPr>
          <w:lang w:val="en-GB"/>
        </w:rPr>
        <w:t>This rendered it that any national participation in the Bangui revision process was left in the hands of a small group of staff at the OAPI Secretariat and national IP offices who will bow to pressure from their financiers. The mainly agrarian-based and net technology importing OAPI countries mostly develop low-cost indigenous innovations and rely on traditional knowledge and practices for everyday activities.</w:t>
      </w:r>
      <w:r w:rsidRPr="00F60AC1">
        <w:rPr>
          <w:rStyle w:val="FootnoteReference"/>
          <w:rFonts w:cstheme="minorHAnsi"/>
          <w:color w:val="000000" w:themeColor="text1"/>
          <w:szCs w:val="24"/>
          <w:lang w:val="en-GB"/>
        </w:rPr>
        <w:footnoteReference w:id="86"/>
      </w:r>
      <w:r w:rsidRPr="00F60AC1">
        <w:rPr>
          <w:lang w:val="en-GB"/>
        </w:rPr>
        <w:t xml:space="preserve"> Africa’s rich agricultural resources, traditional knowledge and cultural repositories afford it comparative advantages with geographical indications (GIs), PVP, traditional knowledge and traditional cultural expressions. However, except for GIs and PVP, the OAPI IP framework does not extend to the rest. The revised Bangui Agreement, therefore, ought to have maximised the flexibilities </w:t>
      </w:r>
      <w:r w:rsidRPr="00F60AC1">
        <w:rPr>
          <w:rStyle w:val="A1"/>
          <w:rFonts w:cstheme="minorHAnsi"/>
          <w:color w:val="000000" w:themeColor="text1"/>
          <w:sz w:val="24"/>
          <w:szCs w:val="24"/>
          <w:lang w:val="en-GB"/>
        </w:rPr>
        <w:t xml:space="preserve">permitted in TRIPS, for instance, by introducing IP systems that protect and promote farmers’ rights, access to medicines and access to knowledge. </w:t>
      </w:r>
    </w:p>
    <w:p w14:paraId="1ED6B04A" w14:textId="77777777" w:rsidR="007317C8" w:rsidRPr="00F60AC1" w:rsidRDefault="007317C8">
      <w:pPr>
        <w:rPr>
          <w:rFonts w:cstheme="minorHAnsi"/>
          <w:color w:val="000000"/>
          <w:szCs w:val="24"/>
          <w:lang w:val="en-GB"/>
        </w:rPr>
      </w:pPr>
    </w:p>
    <w:p w14:paraId="7DA0D044" w14:textId="3A71F530" w:rsidR="007B79E6" w:rsidRPr="00F60AC1" w:rsidRDefault="007317C8" w:rsidP="007317C8">
      <w:pPr>
        <w:pStyle w:val="IPEbene2"/>
        <w:rPr>
          <w:rFonts w:ascii="Calibri" w:hAnsi="Calibri" w:cs="Calibri"/>
          <w:color w:val="000000"/>
          <w:lang w:val="en-GB"/>
        </w:rPr>
      </w:pPr>
      <w:bookmarkStart w:id="9" w:name="_Toc86845028"/>
      <w:bookmarkStart w:id="10" w:name="_Toc86845103"/>
      <w:r w:rsidRPr="00F60AC1">
        <w:rPr>
          <w:lang w:val="en-GB"/>
        </w:rPr>
        <w:t xml:space="preserve">II. </w:t>
      </w:r>
      <w:r w:rsidR="00AF30FA" w:rsidRPr="00F60AC1">
        <w:rPr>
          <w:lang w:val="en-GB"/>
        </w:rPr>
        <w:t>The Formation of ARIPO and the Reception of International Norms</w:t>
      </w:r>
      <w:bookmarkEnd w:id="9"/>
      <w:bookmarkEnd w:id="10"/>
    </w:p>
    <w:p w14:paraId="1D62CE2C" w14:textId="3C3D9D7E" w:rsidR="007B79E6" w:rsidRPr="00F60AC1" w:rsidRDefault="00AF30FA">
      <w:pPr>
        <w:rPr>
          <w:rFonts w:ascii="Calibri" w:eastAsia="TimesNewRomanPSMT" w:hAnsi="Calibri" w:cs="Calibri"/>
          <w:color w:val="000000"/>
          <w:szCs w:val="24"/>
          <w:lang w:val="en-GB"/>
        </w:rPr>
      </w:pPr>
      <w:r w:rsidRPr="00F60AC1">
        <w:rPr>
          <w:rFonts w:cstheme="minorHAnsi"/>
          <w:color w:val="000000" w:themeColor="text1"/>
          <w:szCs w:val="24"/>
          <w:lang w:val="en-GB"/>
        </w:rPr>
        <w:t xml:space="preserve">Over a decade after the formation of OAPI, Anglophone African countries established the Industrial Property Association for English-speaking Africa (ESARIPO), with the assistance of WIPO and UNECA. WIPO laid the foundation in a Regional Seminar on patents and </w:t>
      </w:r>
      <w:r w:rsidRPr="00F60AC1">
        <w:rPr>
          <w:rFonts w:cstheme="minorHAnsi"/>
          <w:color w:val="000000" w:themeColor="text1"/>
          <w:szCs w:val="24"/>
          <w:lang w:val="en-GB"/>
        </w:rPr>
        <w:lastRenderedPageBreak/>
        <w:t>copyright for nine Anglophone African countries in Nairobi in 1972, which recommended the establishment of a regional industrial property organization.</w:t>
      </w:r>
      <w:r w:rsidRPr="00F60AC1">
        <w:rPr>
          <w:rStyle w:val="FootnoteReference"/>
          <w:rFonts w:cstheme="minorHAnsi"/>
          <w:color w:val="000000" w:themeColor="text1"/>
          <w:szCs w:val="24"/>
          <w:lang w:val="en-GB"/>
        </w:rPr>
        <w:footnoteReference w:id="87"/>
      </w:r>
      <w:r w:rsidRPr="00F60AC1">
        <w:rPr>
          <w:rFonts w:cstheme="minorHAnsi"/>
          <w:color w:val="000000" w:themeColor="text1"/>
          <w:szCs w:val="24"/>
          <w:lang w:val="en-GB"/>
        </w:rPr>
        <w:t xml:space="preserve"> </w:t>
      </w:r>
      <w:r w:rsidRPr="00F60AC1">
        <w:rPr>
          <w:rFonts w:eastAsia="TimesNewRomanPSMT" w:cstheme="minorHAnsi"/>
          <w:color w:val="000000" w:themeColor="text1"/>
          <w:szCs w:val="24"/>
          <w:lang w:val="en-GB"/>
        </w:rPr>
        <w:t xml:space="preserve">This agenda was moved forward when WIPO and UNECA responded to a formal request from anglophone African countries for assistance in establishing the regional organization in 1973. In line with this, a series of </w:t>
      </w:r>
      <w:r w:rsidRPr="00F60AC1">
        <w:rPr>
          <w:rFonts w:cstheme="minorHAnsi"/>
          <w:color w:val="000000" w:themeColor="text1"/>
          <w:szCs w:val="24"/>
          <w:lang w:val="en-GB"/>
        </w:rPr>
        <w:t>meetings were held at the UNECA headquarters in Addis Ababa and WIPO in Geneva, which led to a draft Agreement on the Creation of the Industrial Property Organisation for English-speaking Africa.</w:t>
      </w:r>
      <w:r w:rsidRPr="00F60AC1">
        <w:rPr>
          <w:rStyle w:val="FootnoteReference"/>
          <w:rFonts w:cstheme="minorHAnsi"/>
          <w:color w:val="000000" w:themeColor="text1"/>
          <w:szCs w:val="24"/>
          <w:lang w:val="en-GB"/>
        </w:rPr>
        <w:footnoteReference w:id="88"/>
      </w:r>
      <w:r w:rsidRPr="00F60AC1">
        <w:rPr>
          <w:rFonts w:cstheme="minorHAnsi"/>
          <w:color w:val="000000" w:themeColor="text1"/>
          <w:szCs w:val="24"/>
          <w:lang w:val="en-GB"/>
        </w:rPr>
        <w:t xml:space="preserve"> This Agreement was subsequently adopted in a Diplomatic Conference held in Lusaka, Zambia, in 1976, thus deriving the name the Lusaka Agreement.</w:t>
      </w:r>
      <w:r w:rsidRPr="00F60AC1">
        <w:rPr>
          <w:rStyle w:val="FootnoteReference"/>
          <w:rFonts w:cstheme="minorHAnsi"/>
          <w:color w:val="000000" w:themeColor="text1"/>
          <w:szCs w:val="24"/>
          <w:lang w:val="en-GB"/>
        </w:rPr>
        <w:footnoteReference w:id="89"/>
      </w:r>
      <w:r w:rsidRPr="00F60AC1">
        <w:rPr>
          <w:rFonts w:cstheme="minorHAnsi"/>
          <w:color w:val="000000" w:themeColor="text1"/>
          <w:szCs w:val="24"/>
          <w:lang w:val="en-GB"/>
        </w:rPr>
        <w:t xml:space="preserve"> UNECA and WIPO served jointly as the</w:t>
      </w:r>
      <w:r w:rsidRPr="00F60AC1">
        <w:rPr>
          <w:rFonts w:cstheme="minorHAnsi"/>
          <w:szCs w:val="24"/>
          <w:lang w:val="en-GB"/>
        </w:rPr>
        <w:t xml:space="preserve"> Secretariat of ESARIPO until 1981 when the organization established an independent Secretariat.</w:t>
      </w:r>
      <w:r w:rsidRPr="00F60AC1">
        <w:rPr>
          <w:rStyle w:val="FootnoteReference"/>
          <w:rFonts w:cstheme="minorHAnsi"/>
          <w:szCs w:val="24"/>
          <w:lang w:val="en-GB"/>
        </w:rPr>
        <w:footnoteReference w:id="90"/>
      </w:r>
    </w:p>
    <w:p w14:paraId="728C1F0F" w14:textId="77777777" w:rsidR="007B79E6" w:rsidRPr="00F60AC1" w:rsidRDefault="007B79E6">
      <w:pPr>
        <w:rPr>
          <w:rFonts w:cstheme="minorHAnsi"/>
          <w:szCs w:val="24"/>
          <w:lang w:val="en-GB"/>
        </w:rPr>
      </w:pPr>
    </w:p>
    <w:p w14:paraId="049081AE" w14:textId="78412DF3" w:rsidR="007B79E6" w:rsidRPr="00F60AC1" w:rsidRDefault="00AF30FA">
      <w:pPr>
        <w:rPr>
          <w:rFonts w:cstheme="minorHAnsi"/>
          <w:color w:val="000000"/>
          <w:szCs w:val="24"/>
          <w:lang w:val="en-GB"/>
        </w:rPr>
      </w:pPr>
      <w:r w:rsidRPr="00F60AC1">
        <w:rPr>
          <w:rFonts w:cstheme="minorHAnsi"/>
          <w:color w:val="000000" w:themeColor="text1"/>
          <w:szCs w:val="24"/>
          <w:lang w:val="en-GB"/>
        </w:rPr>
        <w:t xml:space="preserve">The Lusaka Agreement established a regional system for the protection of industrial property, which sought to harmonize the national laws of </w:t>
      </w:r>
      <w:r w:rsidR="002E1B7B" w:rsidRPr="00F60AC1">
        <w:rPr>
          <w:rFonts w:cstheme="minorHAnsi"/>
          <w:color w:val="000000" w:themeColor="text1"/>
          <w:szCs w:val="24"/>
          <w:lang w:val="en-GB"/>
        </w:rPr>
        <w:t>M</w:t>
      </w:r>
      <w:r w:rsidRPr="00F60AC1">
        <w:rPr>
          <w:rFonts w:cstheme="minorHAnsi"/>
          <w:color w:val="000000" w:themeColor="text1"/>
          <w:szCs w:val="24"/>
          <w:lang w:val="en-GB"/>
        </w:rPr>
        <w:t xml:space="preserve">ember </w:t>
      </w:r>
      <w:r w:rsidR="002E1B7B" w:rsidRPr="00F60AC1">
        <w:rPr>
          <w:rFonts w:cstheme="minorHAnsi"/>
          <w:color w:val="000000" w:themeColor="text1"/>
          <w:szCs w:val="24"/>
          <w:lang w:val="en-GB"/>
        </w:rPr>
        <w:t>S</w:t>
      </w:r>
      <w:r w:rsidRPr="00F60AC1">
        <w:rPr>
          <w:rFonts w:cstheme="minorHAnsi"/>
          <w:color w:val="000000" w:themeColor="text1"/>
          <w:szCs w:val="24"/>
          <w:lang w:val="en-GB"/>
        </w:rPr>
        <w:t>tates and promote cooperation.</w:t>
      </w:r>
      <w:r w:rsidRPr="00F60AC1">
        <w:rPr>
          <w:rStyle w:val="FootnoteReference"/>
          <w:rFonts w:cstheme="minorHAnsi"/>
          <w:color w:val="000000" w:themeColor="text1"/>
          <w:szCs w:val="24"/>
          <w:lang w:val="en-GB"/>
        </w:rPr>
        <w:footnoteReference w:id="91"/>
      </w:r>
      <w:r w:rsidRPr="00F60AC1">
        <w:rPr>
          <w:rFonts w:cstheme="minorHAnsi"/>
          <w:color w:val="000000" w:themeColor="text1"/>
          <w:szCs w:val="24"/>
          <w:lang w:val="en-GB"/>
        </w:rPr>
        <w:t xml:space="preserve"> In 2004, almost three decades after the formation of ESARIPO, the organization was renamed ARIPO to expand its mandate from industrial property to other categories of IP.</w:t>
      </w:r>
      <w:r w:rsidRPr="00F60AC1">
        <w:rPr>
          <w:rStyle w:val="FootnoteReference"/>
          <w:rFonts w:cstheme="minorHAnsi"/>
          <w:color w:val="000000" w:themeColor="text1"/>
          <w:szCs w:val="24"/>
          <w:lang w:val="en-GB"/>
        </w:rPr>
        <w:footnoteReference w:id="92"/>
      </w:r>
      <w:r w:rsidRPr="00F60AC1">
        <w:rPr>
          <w:rFonts w:cstheme="minorHAnsi"/>
          <w:color w:val="000000" w:themeColor="text1"/>
          <w:szCs w:val="24"/>
          <w:lang w:val="en-GB"/>
        </w:rPr>
        <w:t xml:space="preserve"> </w:t>
      </w:r>
      <w:r w:rsidRPr="00F60AC1">
        <w:rPr>
          <w:rFonts w:cstheme="minorHAnsi"/>
          <w:color w:val="000000"/>
          <w:szCs w:val="24"/>
          <w:lang w:val="en-GB"/>
        </w:rPr>
        <w:t xml:space="preserve">Unlike OAPI that has a uniform IP structure outlined in the ten annexes to the Bangui agreement, ARIPO advances a flexible IP structure. Beyond the Lusaka Agreement, which confers ARIPO membership, Member States are not automatically bound to any of its Protocols. ARIPO has four Protocols and Members States can choose which Protocols to sign. The four Protocols are the </w:t>
      </w:r>
      <w:r w:rsidRPr="00F60AC1">
        <w:rPr>
          <w:rFonts w:cstheme="minorHAnsi"/>
          <w:iCs/>
          <w:color w:val="000000"/>
          <w:szCs w:val="24"/>
          <w:lang w:val="en-GB"/>
        </w:rPr>
        <w:t xml:space="preserve">Harare Protocol on Patents and Industrial Designs </w:t>
      </w:r>
      <w:r w:rsidRPr="00F60AC1">
        <w:rPr>
          <w:rFonts w:cstheme="minorHAnsi"/>
          <w:color w:val="000000"/>
          <w:szCs w:val="24"/>
          <w:lang w:val="en-GB"/>
        </w:rPr>
        <w:t xml:space="preserve">(Harare Protocol), the </w:t>
      </w:r>
      <w:r w:rsidRPr="00F60AC1">
        <w:rPr>
          <w:rFonts w:cstheme="minorHAnsi"/>
          <w:iCs/>
          <w:color w:val="000000"/>
          <w:szCs w:val="24"/>
          <w:lang w:val="en-GB"/>
        </w:rPr>
        <w:t xml:space="preserve">Banjul Protocol on Marks </w:t>
      </w:r>
      <w:r w:rsidRPr="00F60AC1">
        <w:rPr>
          <w:rFonts w:cstheme="minorHAnsi"/>
          <w:color w:val="000000"/>
          <w:szCs w:val="24"/>
          <w:lang w:val="en-GB"/>
        </w:rPr>
        <w:t xml:space="preserve">(Banjul Protocol), the </w:t>
      </w:r>
      <w:r w:rsidRPr="00F60AC1">
        <w:rPr>
          <w:rFonts w:cstheme="minorHAnsi"/>
          <w:iCs/>
          <w:color w:val="000000"/>
          <w:szCs w:val="24"/>
          <w:lang w:val="en-GB"/>
        </w:rPr>
        <w:t xml:space="preserve">Swakopmund Protocol on the Protection of Traditional Knowledge and Expressions of Folklore </w:t>
      </w:r>
      <w:r w:rsidRPr="00F60AC1">
        <w:rPr>
          <w:rFonts w:cstheme="minorHAnsi"/>
          <w:color w:val="000000"/>
          <w:szCs w:val="24"/>
          <w:lang w:val="en-GB"/>
        </w:rPr>
        <w:t xml:space="preserve">(Swakopmund Protocol) and the </w:t>
      </w:r>
      <w:r w:rsidRPr="00F60AC1">
        <w:rPr>
          <w:rFonts w:cstheme="minorHAnsi"/>
          <w:iCs/>
          <w:color w:val="000000"/>
          <w:szCs w:val="24"/>
          <w:lang w:val="en-GB"/>
        </w:rPr>
        <w:t xml:space="preserve">Arusha Protocol for the Protection of New Varieties of Plants </w:t>
      </w:r>
      <w:r w:rsidRPr="00F60AC1">
        <w:rPr>
          <w:rFonts w:cstheme="minorHAnsi"/>
          <w:color w:val="000000"/>
          <w:szCs w:val="24"/>
          <w:lang w:val="en-GB"/>
        </w:rPr>
        <w:t>(Arusha Protocol).</w:t>
      </w:r>
      <w:r w:rsidRPr="00F60AC1">
        <w:rPr>
          <w:rStyle w:val="FootnoteReference"/>
          <w:rFonts w:cstheme="minorHAnsi"/>
          <w:color w:val="000000"/>
          <w:szCs w:val="24"/>
          <w:lang w:val="en-GB"/>
        </w:rPr>
        <w:footnoteReference w:id="93"/>
      </w:r>
      <w:r w:rsidRPr="00F60AC1">
        <w:rPr>
          <w:rFonts w:cstheme="minorHAnsi"/>
          <w:color w:val="000000"/>
          <w:szCs w:val="24"/>
          <w:lang w:val="en-GB"/>
        </w:rPr>
        <w:t xml:space="preserve"> ARIPO also has a Draft Policy and Legal Framework for the Protection of Geographical Indications and a Model Law on Copyright and Related Rights.</w:t>
      </w:r>
    </w:p>
    <w:p w14:paraId="36CBB42C" w14:textId="77777777" w:rsidR="007B79E6" w:rsidRPr="00F60AC1" w:rsidRDefault="007B79E6">
      <w:pPr>
        <w:rPr>
          <w:rFonts w:cstheme="minorHAnsi"/>
          <w:color w:val="000000"/>
          <w:szCs w:val="24"/>
          <w:lang w:val="en-GB"/>
        </w:rPr>
      </w:pPr>
    </w:p>
    <w:p w14:paraId="3FCBCC28" w14:textId="3125479B" w:rsidR="007B79E6" w:rsidRPr="00F60AC1" w:rsidRDefault="00AF30FA">
      <w:pPr>
        <w:rPr>
          <w:rFonts w:cstheme="minorHAnsi"/>
          <w:color w:val="000000" w:themeColor="text1"/>
          <w:szCs w:val="24"/>
          <w:lang w:val="en-GB"/>
        </w:rPr>
      </w:pPr>
      <w:r w:rsidRPr="00F60AC1">
        <w:rPr>
          <w:rFonts w:cstheme="minorHAnsi"/>
          <w:color w:val="000000" w:themeColor="text1"/>
          <w:szCs w:val="24"/>
          <w:lang w:val="en-GB"/>
        </w:rPr>
        <w:t xml:space="preserve">Just like OAPI, the deference and reliance on WIPO, the EPO, WTO and UPOV, among others, for technical and financial support in developing its regional IP system and capacity-building has presented ARIPO with contradictory policy positions. For example, although it adopted the commendable Swakopmund Protocol, which recognizes the significant traditional practices of </w:t>
      </w:r>
      <w:r w:rsidRPr="00F60AC1">
        <w:rPr>
          <w:rFonts w:cstheme="minorHAnsi"/>
          <w:color w:val="000000" w:themeColor="text1"/>
          <w:szCs w:val="24"/>
          <w:lang w:val="en-GB"/>
        </w:rPr>
        <w:lastRenderedPageBreak/>
        <w:t>its Member States, it also adopted the UPOV 1991 styled Arusha Protocol, which undermines their traditional farming practices.</w:t>
      </w:r>
      <w:r w:rsidRPr="00F60AC1">
        <w:rPr>
          <w:rStyle w:val="FootnoteReference"/>
          <w:rFonts w:cstheme="minorHAnsi"/>
          <w:color w:val="000000" w:themeColor="text1"/>
          <w:szCs w:val="24"/>
          <w:lang w:val="en-GB"/>
        </w:rPr>
        <w:footnoteReference w:id="94"/>
      </w:r>
      <w:r w:rsidRPr="00F60AC1">
        <w:rPr>
          <w:rFonts w:cstheme="minorHAnsi"/>
          <w:color w:val="000000" w:themeColor="text1"/>
          <w:szCs w:val="24"/>
          <w:lang w:val="en-GB"/>
        </w:rPr>
        <w:t xml:space="preserve"> Interestingly, whiles the Swakopmund Protocol protects traditional knowledge and expressions of folklore, ARIPO does not register traditional knowledge and expressions of folklore because Section 5 of the Swakopmund Protocol excises any formality for traditional knowledge.</w:t>
      </w:r>
      <w:r w:rsidRPr="00F60AC1">
        <w:rPr>
          <w:rFonts w:cstheme="minorHAnsi"/>
          <w:color w:val="000000" w:themeColor="text1"/>
          <w:szCs w:val="24"/>
          <w:vertAlign w:val="superscript"/>
          <w:lang w:val="en-GB"/>
        </w:rPr>
        <w:footnoteReference w:id="95"/>
      </w:r>
      <w:r w:rsidRPr="00F60AC1">
        <w:rPr>
          <w:rFonts w:cstheme="minorHAnsi"/>
          <w:color w:val="000000" w:themeColor="text1"/>
          <w:szCs w:val="24"/>
          <w:lang w:val="en-GB"/>
        </w:rPr>
        <w:t xml:space="preserve"> Concerning PVP, however, ARIPO is earmarked to conduct a formal and substantial examination of applications for plant breeders’ rights under the Arusha Protocol</w:t>
      </w:r>
      <w:r w:rsidRPr="00F60AC1">
        <w:rPr>
          <w:rStyle w:val="FootnoteReference"/>
          <w:rFonts w:cstheme="minorHAnsi"/>
          <w:color w:val="000000" w:themeColor="text1"/>
          <w:szCs w:val="24"/>
          <w:lang w:val="en-GB"/>
        </w:rPr>
        <w:footnoteReference w:id="96"/>
      </w:r>
      <w:r w:rsidRPr="00F60AC1">
        <w:rPr>
          <w:rFonts w:cstheme="minorHAnsi"/>
          <w:color w:val="000000" w:themeColor="text1"/>
          <w:szCs w:val="24"/>
          <w:lang w:val="en-GB"/>
        </w:rPr>
        <w:t xml:space="preserve"> – just as it does for patents, utility models, industrial designs (conducts only a formal examination) and trademarks. Considering the importance of traditional knowledge and expressions of folklore for African innovation and development in contrast to the implications of a UPOV-plus PVP regime for Africa (discussed in detail in the next section), it is alarming to see that ARIPO does not register traditional knowledge but rather assigned to register PVP. </w:t>
      </w:r>
    </w:p>
    <w:p w14:paraId="7E38D03C" w14:textId="77777777" w:rsidR="007317C8" w:rsidRPr="00F60AC1" w:rsidRDefault="007317C8">
      <w:pPr>
        <w:rPr>
          <w:rFonts w:cstheme="minorHAnsi"/>
          <w:color w:val="000000"/>
          <w:szCs w:val="24"/>
          <w:lang w:val="en-GB"/>
        </w:rPr>
      </w:pPr>
    </w:p>
    <w:p w14:paraId="08640203" w14:textId="6CD84727" w:rsidR="007B79E6" w:rsidRPr="00F60AC1" w:rsidRDefault="00AF30FA">
      <w:pPr>
        <w:rPr>
          <w:rFonts w:cstheme="minorHAnsi"/>
          <w:color w:val="000000"/>
          <w:szCs w:val="24"/>
          <w:lang w:val="en-GB"/>
        </w:rPr>
      </w:pPr>
      <w:r w:rsidRPr="00F60AC1">
        <w:rPr>
          <w:rFonts w:cstheme="minorHAnsi"/>
          <w:color w:val="000000" w:themeColor="text1"/>
          <w:szCs w:val="24"/>
          <w:lang w:val="en-GB"/>
        </w:rPr>
        <w:t>While the regional legal regimes and institutional frameworks for francophone and Anglophone Africa differed in important respects, in both cases, their members delegated significant responsibilities to their respective regional Secretariat and WIPO served as their core source of financial, human, legal, and organizational support.</w:t>
      </w:r>
      <w:r w:rsidRPr="00F60AC1">
        <w:rPr>
          <w:rStyle w:val="FootnoteReference"/>
          <w:rFonts w:cstheme="minorHAnsi"/>
          <w:color w:val="000000" w:themeColor="text1"/>
          <w:szCs w:val="24"/>
          <w:lang w:val="en-GB"/>
        </w:rPr>
        <w:footnoteReference w:id="97"/>
      </w:r>
      <w:r w:rsidRPr="00F60AC1">
        <w:rPr>
          <w:rFonts w:cstheme="minorHAnsi"/>
          <w:color w:val="000000" w:themeColor="text1"/>
          <w:szCs w:val="24"/>
          <w:lang w:val="en-GB"/>
        </w:rPr>
        <w:t xml:space="preserve"> The WIPO Secretariat, for instance, hosts the website of both ARIPO and OAPI, provided staff training, drafted legal texts for their respective conventions, and was involved in shaping their strategic direction through regular </w:t>
      </w:r>
      <w:r w:rsidR="004B5056" w:rsidRPr="00F60AC1">
        <w:rPr>
          <w:rFonts w:cstheme="minorHAnsi"/>
          <w:color w:val="000000" w:themeColor="text1"/>
          <w:szCs w:val="24"/>
          <w:lang w:val="en-GB"/>
        </w:rPr>
        <w:t>“</w:t>
      </w:r>
      <w:r w:rsidRPr="00F60AC1">
        <w:rPr>
          <w:rFonts w:cstheme="minorHAnsi"/>
          <w:color w:val="000000" w:themeColor="text1"/>
          <w:szCs w:val="24"/>
          <w:lang w:val="en-GB"/>
        </w:rPr>
        <w:t>tripartite meetings</w:t>
      </w:r>
      <w:r w:rsidR="002D0D77" w:rsidRPr="00F60AC1">
        <w:rPr>
          <w:rFonts w:cstheme="minorHAnsi"/>
          <w:color w:val="000000" w:themeColor="text1"/>
          <w:szCs w:val="24"/>
          <w:lang w:val="en-GB"/>
        </w:rPr>
        <w:t>“</w:t>
      </w:r>
      <w:r w:rsidRPr="00F60AC1">
        <w:rPr>
          <w:rFonts w:cstheme="minorHAnsi"/>
          <w:color w:val="000000" w:themeColor="text1"/>
          <w:szCs w:val="24"/>
          <w:lang w:val="en-GB"/>
        </w:rPr>
        <w:t xml:space="preserve"> of the Secretariats.</w:t>
      </w:r>
      <w:r w:rsidRPr="00F60AC1">
        <w:rPr>
          <w:rStyle w:val="FootnoteReference"/>
          <w:rFonts w:cstheme="minorHAnsi"/>
          <w:color w:val="000000" w:themeColor="text1"/>
          <w:szCs w:val="24"/>
          <w:lang w:val="en-GB"/>
        </w:rPr>
        <w:footnoteReference w:id="98"/>
      </w:r>
      <w:r w:rsidRPr="00F60AC1">
        <w:rPr>
          <w:rFonts w:cstheme="minorHAnsi"/>
          <w:color w:val="000000" w:themeColor="text1"/>
          <w:szCs w:val="24"/>
          <w:lang w:val="en-GB"/>
        </w:rPr>
        <w:t xml:space="preserve"> Moreover, to increase their usefulness to the technological development efforts of their </w:t>
      </w:r>
      <w:r w:rsidR="002E1B7B" w:rsidRPr="00F60AC1">
        <w:rPr>
          <w:rFonts w:cstheme="minorHAnsi"/>
          <w:color w:val="000000" w:themeColor="text1"/>
          <w:szCs w:val="24"/>
          <w:lang w:val="en-GB"/>
        </w:rPr>
        <w:t>M</w:t>
      </w:r>
      <w:r w:rsidRPr="00F60AC1">
        <w:rPr>
          <w:rFonts w:cstheme="minorHAnsi"/>
          <w:color w:val="000000" w:themeColor="text1"/>
          <w:szCs w:val="24"/>
          <w:lang w:val="en-GB"/>
        </w:rPr>
        <w:t xml:space="preserve">ember </w:t>
      </w:r>
      <w:r w:rsidR="002E1B7B" w:rsidRPr="00F60AC1">
        <w:rPr>
          <w:rFonts w:cstheme="minorHAnsi"/>
          <w:color w:val="000000" w:themeColor="text1"/>
          <w:szCs w:val="24"/>
          <w:lang w:val="en-GB"/>
        </w:rPr>
        <w:t>S</w:t>
      </w:r>
      <w:r w:rsidRPr="00F60AC1">
        <w:rPr>
          <w:rFonts w:cstheme="minorHAnsi"/>
          <w:color w:val="000000" w:themeColor="text1"/>
          <w:szCs w:val="24"/>
          <w:lang w:val="en-GB"/>
        </w:rPr>
        <w:t>tates, WIPO assisted in establishing a quadripartite agreement to promote cooperation between WIPO, OAPI, ARIPO, and the African Regional Centre for Technology (ARCT).</w:t>
      </w:r>
      <w:r w:rsidRPr="00F60AC1">
        <w:rPr>
          <w:rStyle w:val="FootnoteReference"/>
          <w:rFonts w:cstheme="minorHAnsi"/>
          <w:color w:val="000000" w:themeColor="text1"/>
          <w:szCs w:val="24"/>
          <w:lang w:val="en-GB"/>
        </w:rPr>
        <w:footnoteReference w:id="99"/>
      </w:r>
      <w:r w:rsidRPr="00F60AC1">
        <w:rPr>
          <w:rFonts w:cstheme="minorHAnsi"/>
          <w:color w:val="000000" w:themeColor="text1"/>
          <w:szCs w:val="24"/>
          <w:lang w:val="en-GB"/>
        </w:rPr>
        <w:t xml:space="preserve"> Overseen by a Consultative Committee, this Committee exercises decisive leadership and influence on IP decision‐making and capacity in the region.</w:t>
      </w:r>
      <w:r w:rsidRPr="00F60AC1">
        <w:rPr>
          <w:rStyle w:val="FootnoteReference"/>
          <w:rFonts w:cstheme="minorHAnsi"/>
          <w:color w:val="000000" w:themeColor="text1"/>
          <w:szCs w:val="24"/>
          <w:lang w:val="en-GB"/>
        </w:rPr>
        <w:footnoteReference w:id="100"/>
      </w:r>
      <w:r w:rsidRPr="00F60AC1">
        <w:rPr>
          <w:rFonts w:cstheme="minorHAnsi"/>
          <w:color w:val="000000" w:themeColor="text1"/>
          <w:szCs w:val="24"/>
          <w:lang w:val="en-GB"/>
        </w:rPr>
        <w:t xml:space="preserve"> To further bring its assistance programmes closer, WIPO in 2019 and 2020 opened two external offices in Algeria and Nigeria respectively. </w:t>
      </w:r>
    </w:p>
    <w:p w14:paraId="7FADDAA5" w14:textId="77777777" w:rsidR="007B79E6" w:rsidRPr="00F60AC1" w:rsidRDefault="007B79E6">
      <w:pPr>
        <w:rPr>
          <w:rFonts w:ascii="Calibri" w:hAnsi="Calibri" w:cs="Calibri"/>
          <w:color w:val="000000"/>
          <w:szCs w:val="24"/>
          <w:lang w:val="en-GB"/>
        </w:rPr>
      </w:pPr>
    </w:p>
    <w:p w14:paraId="4BA9D690" w14:textId="64998036" w:rsidR="007B79E6" w:rsidRPr="00F60AC1" w:rsidRDefault="00AF30FA">
      <w:pPr>
        <w:rPr>
          <w:rFonts w:cstheme="minorHAnsi"/>
          <w:color w:val="000000" w:themeColor="text1"/>
          <w:szCs w:val="24"/>
          <w:lang w:val="en-GB"/>
        </w:rPr>
      </w:pPr>
      <w:r w:rsidRPr="00F60AC1">
        <w:rPr>
          <w:rFonts w:cstheme="minorHAnsi"/>
          <w:color w:val="000000" w:themeColor="text1"/>
          <w:szCs w:val="24"/>
          <w:lang w:val="en-GB"/>
        </w:rPr>
        <w:t>WIPO currently administers twenty-six treaties (including the WIPO Convention) and provides technical and legal assistance to developing countries on the ratification and implementation of these treaties. This has led to the criticism that WIPO uses its technical assistance function to help promote uncritical ratification of existing international agreements and to further upward harmonization of IP standards in ways that work against the interest of developing countries, Africa being an example.</w:t>
      </w:r>
      <w:r w:rsidRPr="00F60AC1">
        <w:rPr>
          <w:rStyle w:val="FootnoteReference"/>
          <w:rFonts w:cstheme="minorHAnsi"/>
          <w:color w:val="000000" w:themeColor="text1"/>
          <w:szCs w:val="24"/>
          <w:lang w:val="en-GB"/>
        </w:rPr>
        <w:footnoteReference w:id="101"/>
      </w:r>
      <w:r w:rsidRPr="00F60AC1">
        <w:rPr>
          <w:rFonts w:cstheme="minorHAnsi"/>
          <w:color w:val="000000" w:themeColor="text1"/>
          <w:szCs w:val="24"/>
          <w:lang w:val="en-GB"/>
        </w:rPr>
        <w:t xml:space="preserve"> In doing so, the development implications of proposed </w:t>
      </w:r>
      <w:r w:rsidRPr="00F60AC1">
        <w:rPr>
          <w:rFonts w:cstheme="minorHAnsi"/>
          <w:color w:val="000000" w:themeColor="text1"/>
          <w:szCs w:val="24"/>
          <w:lang w:val="en-GB"/>
        </w:rPr>
        <w:lastRenderedPageBreak/>
        <w:t>treaties, treaty accessions, or implementation options and alternatives are not often explored.</w:t>
      </w:r>
      <w:r w:rsidRPr="00F60AC1">
        <w:rPr>
          <w:rStyle w:val="FootnoteReference"/>
          <w:rFonts w:cstheme="minorHAnsi"/>
          <w:color w:val="000000" w:themeColor="text1"/>
          <w:szCs w:val="24"/>
          <w:lang w:val="en-GB"/>
        </w:rPr>
        <w:footnoteReference w:id="102"/>
      </w:r>
      <w:r w:rsidRPr="00F60AC1">
        <w:rPr>
          <w:rFonts w:cstheme="minorHAnsi"/>
          <w:color w:val="000000" w:themeColor="text1"/>
          <w:szCs w:val="24"/>
          <w:lang w:val="en-GB"/>
        </w:rPr>
        <w:t xml:space="preserve"> As depicted in the table below, OAPI is a member of UPOV, </w:t>
      </w:r>
      <w:r w:rsidRPr="00F60AC1">
        <w:rPr>
          <w:rFonts w:cstheme="minorHAnsi"/>
          <w:color w:val="000000" w:themeColor="text1"/>
          <w:sz w:val="23"/>
          <w:szCs w:val="23"/>
          <w:lang w:val="en-GB"/>
        </w:rPr>
        <w:t>which it joined in July 2014 as its first intergovernmental member.</w:t>
      </w:r>
      <w:r w:rsidRPr="00F60AC1">
        <w:rPr>
          <w:rStyle w:val="FootnoteReference"/>
          <w:rFonts w:cstheme="minorHAnsi"/>
          <w:color w:val="000000" w:themeColor="text1"/>
          <w:sz w:val="23"/>
          <w:szCs w:val="23"/>
          <w:lang w:val="en-GB"/>
        </w:rPr>
        <w:footnoteReference w:id="103"/>
      </w:r>
      <w:r w:rsidRPr="00F60AC1">
        <w:rPr>
          <w:rFonts w:cstheme="minorHAnsi"/>
          <w:color w:val="000000" w:themeColor="text1"/>
          <w:sz w:val="23"/>
          <w:szCs w:val="23"/>
          <w:lang w:val="en-GB"/>
        </w:rPr>
        <w:t xml:space="preserve"> </w:t>
      </w:r>
      <w:r w:rsidRPr="00F60AC1">
        <w:rPr>
          <w:rFonts w:cstheme="minorHAnsi"/>
          <w:color w:val="000000" w:themeColor="text1"/>
          <w:szCs w:val="24"/>
          <w:lang w:val="en-GB"/>
        </w:rPr>
        <w:t xml:space="preserve">All OAPI </w:t>
      </w:r>
      <w:r w:rsidR="002E1B7B" w:rsidRPr="00F60AC1">
        <w:rPr>
          <w:rFonts w:cstheme="minorHAnsi"/>
          <w:color w:val="000000" w:themeColor="text1"/>
          <w:szCs w:val="24"/>
          <w:lang w:val="en-GB"/>
        </w:rPr>
        <w:t>M</w:t>
      </w:r>
      <w:r w:rsidRPr="00F60AC1">
        <w:rPr>
          <w:rFonts w:cstheme="minorHAnsi"/>
          <w:color w:val="000000" w:themeColor="text1"/>
          <w:szCs w:val="24"/>
          <w:lang w:val="en-GB"/>
        </w:rPr>
        <w:t xml:space="preserve">ember </w:t>
      </w:r>
      <w:r w:rsidR="002E1B7B" w:rsidRPr="00F60AC1">
        <w:rPr>
          <w:rFonts w:cstheme="minorHAnsi"/>
          <w:color w:val="000000" w:themeColor="text1"/>
          <w:szCs w:val="24"/>
          <w:lang w:val="en-GB"/>
        </w:rPr>
        <w:t>S</w:t>
      </w:r>
      <w:r w:rsidRPr="00F60AC1">
        <w:rPr>
          <w:rFonts w:cstheme="minorHAnsi"/>
          <w:color w:val="000000" w:themeColor="text1"/>
          <w:szCs w:val="24"/>
          <w:lang w:val="en-GB"/>
        </w:rPr>
        <w:t xml:space="preserve">tates are members of the PCT and the Paris Convention. For each OAPI </w:t>
      </w:r>
      <w:r w:rsidR="002E1B7B" w:rsidRPr="00F60AC1">
        <w:rPr>
          <w:rFonts w:cstheme="minorHAnsi"/>
          <w:color w:val="000000" w:themeColor="text1"/>
          <w:szCs w:val="24"/>
          <w:lang w:val="en-GB"/>
        </w:rPr>
        <w:t>M</w:t>
      </w:r>
      <w:r w:rsidRPr="00F60AC1">
        <w:rPr>
          <w:rFonts w:cstheme="minorHAnsi"/>
          <w:color w:val="000000" w:themeColor="text1"/>
          <w:szCs w:val="24"/>
          <w:lang w:val="en-GB"/>
        </w:rPr>
        <w:t xml:space="preserve">ember </w:t>
      </w:r>
      <w:r w:rsidR="002E1B7B" w:rsidRPr="00F60AC1">
        <w:rPr>
          <w:rFonts w:cstheme="minorHAnsi"/>
          <w:color w:val="000000" w:themeColor="text1"/>
          <w:szCs w:val="24"/>
          <w:lang w:val="en-GB"/>
        </w:rPr>
        <w:t>S</w:t>
      </w:r>
      <w:r w:rsidRPr="00F60AC1">
        <w:rPr>
          <w:rFonts w:cstheme="minorHAnsi"/>
          <w:color w:val="000000" w:themeColor="text1"/>
          <w:szCs w:val="24"/>
          <w:lang w:val="en-GB"/>
        </w:rPr>
        <w:t xml:space="preserve">tate also party to the PCT, Article 3(2) of the Bangui Agreement provides that OAPI shall serve as </w:t>
      </w:r>
      <w:r w:rsidR="004B5056" w:rsidRPr="00F60AC1">
        <w:rPr>
          <w:rFonts w:cstheme="minorHAnsi"/>
          <w:color w:val="000000" w:themeColor="text1"/>
          <w:szCs w:val="24"/>
          <w:lang w:val="en-GB"/>
        </w:rPr>
        <w:t>“</w:t>
      </w:r>
      <w:r w:rsidRPr="00F60AC1">
        <w:rPr>
          <w:rFonts w:cstheme="minorHAnsi"/>
          <w:color w:val="000000" w:themeColor="text1"/>
          <w:szCs w:val="24"/>
          <w:lang w:val="en-GB"/>
        </w:rPr>
        <w:t>national office, designated office, elected office or receiving office.</w:t>
      </w:r>
      <w:r w:rsidR="002D0D77" w:rsidRPr="00F60AC1">
        <w:rPr>
          <w:rFonts w:cstheme="minorHAnsi"/>
          <w:color w:val="000000" w:themeColor="text1"/>
          <w:szCs w:val="24"/>
          <w:lang w:val="en-GB"/>
        </w:rPr>
        <w:t>“</w:t>
      </w:r>
      <w:r w:rsidRPr="00F60AC1">
        <w:rPr>
          <w:rFonts w:cstheme="minorHAnsi"/>
          <w:color w:val="000000" w:themeColor="text1"/>
          <w:szCs w:val="24"/>
          <w:lang w:val="en-GB"/>
        </w:rPr>
        <w:t xml:space="preserve"> Except for Comoros and Equatorial Guinea, all OAPI members are also contracting parties to the WTO Agreements. </w:t>
      </w:r>
    </w:p>
    <w:p w14:paraId="6FD87F8A" w14:textId="77777777" w:rsidR="007317C8" w:rsidRPr="00F60AC1" w:rsidRDefault="007317C8">
      <w:pPr>
        <w:rPr>
          <w:rFonts w:cs="adobe garamond pro"/>
          <w:color w:val="000000"/>
          <w:szCs w:val="24"/>
          <w:lang w:val="en-GB"/>
        </w:rPr>
      </w:pPr>
    </w:p>
    <w:p w14:paraId="4D993E6F" w14:textId="0B6E62E3" w:rsidR="007B79E6" w:rsidRPr="00F60AC1" w:rsidRDefault="00AF30FA" w:rsidP="007317C8">
      <w:pPr>
        <w:rPr>
          <w:rStyle w:val="A1"/>
          <w:rFonts w:cstheme="minorHAnsi"/>
          <w:sz w:val="24"/>
          <w:szCs w:val="24"/>
          <w:lang w:val="en-GB"/>
        </w:rPr>
      </w:pPr>
      <w:r w:rsidRPr="00F60AC1">
        <w:rPr>
          <w:lang w:val="en-GB"/>
        </w:rPr>
        <w:t xml:space="preserve">All ARIPO </w:t>
      </w:r>
      <w:r w:rsidR="002E1B7B" w:rsidRPr="00F60AC1">
        <w:rPr>
          <w:lang w:val="en-GB"/>
        </w:rPr>
        <w:t>M</w:t>
      </w:r>
      <w:r w:rsidRPr="00F60AC1">
        <w:rPr>
          <w:lang w:val="en-GB"/>
        </w:rPr>
        <w:t xml:space="preserve">ember </w:t>
      </w:r>
      <w:r w:rsidR="002E1B7B" w:rsidRPr="00F60AC1">
        <w:rPr>
          <w:lang w:val="en-GB"/>
        </w:rPr>
        <w:t>S</w:t>
      </w:r>
      <w:r w:rsidRPr="00F60AC1">
        <w:rPr>
          <w:lang w:val="en-GB"/>
        </w:rPr>
        <w:t>tates are contracting parties to the PCT. ARIPO can also be designated as an international search authority under the PCT.</w:t>
      </w:r>
      <w:r w:rsidRPr="00F60AC1">
        <w:rPr>
          <w:rStyle w:val="FootnoteReference"/>
          <w:rFonts w:cstheme="minorHAnsi"/>
          <w:color w:val="000000" w:themeColor="text1"/>
          <w:szCs w:val="24"/>
          <w:lang w:val="en-GB"/>
        </w:rPr>
        <w:footnoteReference w:id="104"/>
      </w:r>
      <w:r w:rsidRPr="00F60AC1">
        <w:rPr>
          <w:lang w:val="en-GB"/>
        </w:rPr>
        <w:t xml:space="preserve"> Article 3bis (5) of the Harare Protocol states that the ARIPO Office shall act as elected Office under the Patent Cooperation Treaty concerning an international application where a Contracting State is elected for international preliminary examination under the Patent Cooperation Treaty. In addition, all ARIPO </w:t>
      </w:r>
      <w:r w:rsidR="002E1B7B" w:rsidRPr="00F60AC1">
        <w:rPr>
          <w:lang w:val="en-GB"/>
        </w:rPr>
        <w:t>M</w:t>
      </w:r>
      <w:r w:rsidRPr="00F60AC1">
        <w:rPr>
          <w:lang w:val="en-GB"/>
        </w:rPr>
        <w:t xml:space="preserve">ember </w:t>
      </w:r>
      <w:r w:rsidR="002E1B7B" w:rsidRPr="00F60AC1">
        <w:rPr>
          <w:lang w:val="en-GB"/>
        </w:rPr>
        <w:t>S</w:t>
      </w:r>
      <w:r w:rsidRPr="00F60AC1">
        <w:rPr>
          <w:lang w:val="en-GB"/>
        </w:rPr>
        <w:t xml:space="preserve">tates are parties to the WIPO Convention, and all apart from Sao Tome and Principe, Somalia and Sudan are parties to WTO TRIPS. </w:t>
      </w:r>
    </w:p>
    <w:p w14:paraId="0AFD064A" w14:textId="77777777" w:rsidR="007B79E6" w:rsidRPr="00F60AC1" w:rsidRDefault="00AF30FA">
      <w:pPr>
        <w:spacing w:before="100" w:beforeAutospacing="1" w:after="100" w:afterAutospacing="1"/>
        <w:outlineLvl w:val="0"/>
        <w:rPr>
          <w:rFonts w:cstheme="minorHAnsi"/>
          <w:i/>
          <w:color w:val="000000"/>
          <w:szCs w:val="24"/>
          <w:lang w:val="en-GB"/>
        </w:rPr>
      </w:pPr>
      <w:r w:rsidRPr="00F60AC1">
        <w:rPr>
          <w:rFonts w:cstheme="minorHAnsi"/>
          <w:szCs w:val="24"/>
          <w:lang w:val="en-GB"/>
        </w:rPr>
        <w:t xml:space="preserve">Table 1: </w:t>
      </w:r>
      <w:r w:rsidRPr="00F60AC1">
        <w:rPr>
          <w:rFonts w:cstheme="minorHAnsi"/>
          <w:i/>
          <w:szCs w:val="24"/>
          <w:lang w:val="en-GB"/>
        </w:rPr>
        <w:t>African country's membership of selected WIPO Treaties and the WTO.</w:t>
      </w:r>
    </w:p>
    <w:tbl>
      <w:tblPr>
        <w:tblStyle w:val="TableGrid"/>
        <w:tblW w:w="9433" w:type="dxa"/>
        <w:tblLook w:val="04A0" w:firstRow="1" w:lastRow="0" w:firstColumn="1" w:lastColumn="0" w:noHBand="0" w:noVBand="1"/>
      </w:tblPr>
      <w:tblGrid>
        <w:gridCol w:w="2776"/>
        <w:gridCol w:w="1403"/>
        <w:gridCol w:w="1403"/>
        <w:gridCol w:w="1496"/>
        <w:gridCol w:w="910"/>
        <w:gridCol w:w="1403"/>
        <w:gridCol w:w="803"/>
      </w:tblGrid>
      <w:tr w:rsidR="007B79E6" w:rsidRPr="00F60AC1" w14:paraId="638BEFB8" w14:textId="77777777">
        <w:trPr>
          <w:trHeight w:val="850"/>
        </w:trPr>
        <w:tc>
          <w:tcPr>
            <w:tcW w:w="2776" w:type="dxa"/>
            <w:noWrap/>
          </w:tcPr>
          <w:p w14:paraId="27E6EFD2" w14:textId="77777777" w:rsidR="007B79E6" w:rsidRPr="00F60AC1" w:rsidRDefault="00AF30FA">
            <w:pPr>
              <w:rPr>
                <w:b/>
                <w:bCs/>
                <w:lang w:val="en-GB"/>
              </w:rPr>
            </w:pPr>
            <w:r w:rsidRPr="00F60AC1">
              <w:rPr>
                <w:b/>
                <w:bCs/>
                <w:lang w:val="en-GB"/>
              </w:rPr>
              <w:t>State/IGO</w:t>
            </w:r>
          </w:p>
        </w:tc>
        <w:tc>
          <w:tcPr>
            <w:tcW w:w="1269" w:type="dxa"/>
          </w:tcPr>
          <w:p w14:paraId="618B01D6" w14:textId="77777777" w:rsidR="007B79E6" w:rsidRPr="00F60AC1" w:rsidRDefault="00AF30FA">
            <w:pPr>
              <w:rPr>
                <w:b/>
                <w:bCs/>
                <w:lang w:val="en-GB"/>
              </w:rPr>
            </w:pPr>
            <w:r w:rsidRPr="00F60AC1">
              <w:rPr>
                <w:b/>
                <w:bCs/>
                <w:lang w:val="en-GB"/>
              </w:rPr>
              <w:t>Paris Convention</w:t>
            </w:r>
          </w:p>
        </w:tc>
        <w:tc>
          <w:tcPr>
            <w:tcW w:w="1269" w:type="dxa"/>
          </w:tcPr>
          <w:p w14:paraId="2CD25193" w14:textId="77777777" w:rsidR="007B79E6" w:rsidRPr="00F60AC1" w:rsidRDefault="00AF30FA">
            <w:pPr>
              <w:rPr>
                <w:b/>
                <w:bCs/>
                <w:lang w:val="en-GB"/>
              </w:rPr>
            </w:pPr>
            <w:r w:rsidRPr="00F60AC1">
              <w:rPr>
                <w:b/>
                <w:bCs/>
                <w:lang w:val="en-GB"/>
              </w:rPr>
              <w:t>Berne Convention</w:t>
            </w:r>
          </w:p>
        </w:tc>
        <w:tc>
          <w:tcPr>
            <w:tcW w:w="1352" w:type="dxa"/>
          </w:tcPr>
          <w:p w14:paraId="1B903E49" w14:textId="77777777" w:rsidR="007B79E6" w:rsidRPr="00F60AC1" w:rsidRDefault="00AF30FA">
            <w:pPr>
              <w:rPr>
                <w:b/>
                <w:bCs/>
                <w:lang w:val="en-GB"/>
              </w:rPr>
            </w:pPr>
            <w:r w:rsidRPr="00F60AC1">
              <w:rPr>
                <w:b/>
                <w:bCs/>
                <w:lang w:val="en-GB"/>
              </w:rPr>
              <w:t>Patent Cooperation Treaty</w:t>
            </w:r>
          </w:p>
        </w:tc>
        <w:tc>
          <w:tcPr>
            <w:tcW w:w="824" w:type="dxa"/>
          </w:tcPr>
          <w:p w14:paraId="07B22DBF" w14:textId="77777777" w:rsidR="007B79E6" w:rsidRPr="00F60AC1" w:rsidRDefault="00AF30FA">
            <w:pPr>
              <w:rPr>
                <w:b/>
                <w:bCs/>
                <w:lang w:val="en-GB"/>
              </w:rPr>
            </w:pPr>
            <w:r w:rsidRPr="00F60AC1">
              <w:rPr>
                <w:b/>
                <w:bCs/>
                <w:lang w:val="en-GB"/>
              </w:rPr>
              <w:t>Patent Law Treaty</w:t>
            </w:r>
          </w:p>
        </w:tc>
        <w:tc>
          <w:tcPr>
            <w:tcW w:w="1269" w:type="dxa"/>
          </w:tcPr>
          <w:p w14:paraId="5991A6D7" w14:textId="77777777" w:rsidR="007B79E6" w:rsidRPr="00F60AC1" w:rsidRDefault="00AF30FA">
            <w:pPr>
              <w:rPr>
                <w:b/>
                <w:bCs/>
                <w:lang w:val="en-GB"/>
              </w:rPr>
            </w:pPr>
            <w:r w:rsidRPr="00F60AC1">
              <w:rPr>
                <w:b/>
                <w:bCs/>
                <w:lang w:val="en-GB"/>
              </w:rPr>
              <w:t>UPOV Convention</w:t>
            </w:r>
          </w:p>
        </w:tc>
        <w:tc>
          <w:tcPr>
            <w:tcW w:w="674" w:type="dxa"/>
            <w:noWrap/>
          </w:tcPr>
          <w:p w14:paraId="43BA779F" w14:textId="77777777" w:rsidR="007B79E6" w:rsidRPr="00F60AC1" w:rsidRDefault="00AF30FA">
            <w:pPr>
              <w:rPr>
                <w:b/>
                <w:bCs/>
                <w:lang w:val="en-GB"/>
              </w:rPr>
            </w:pPr>
            <w:r w:rsidRPr="00F60AC1">
              <w:rPr>
                <w:b/>
                <w:bCs/>
                <w:lang w:val="en-GB"/>
              </w:rPr>
              <w:t>WTO</w:t>
            </w:r>
          </w:p>
        </w:tc>
      </w:tr>
      <w:tr w:rsidR="007B79E6" w:rsidRPr="00F60AC1" w14:paraId="1193ADF7" w14:textId="77777777">
        <w:trPr>
          <w:trHeight w:val="300"/>
        </w:trPr>
        <w:tc>
          <w:tcPr>
            <w:tcW w:w="2776" w:type="dxa"/>
            <w:noWrap/>
          </w:tcPr>
          <w:p w14:paraId="0A784156" w14:textId="77777777" w:rsidR="007B79E6" w:rsidRPr="00F60AC1" w:rsidRDefault="00AF30FA">
            <w:pPr>
              <w:rPr>
                <w:lang w:val="en-GB"/>
              </w:rPr>
            </w:pPr>
            <w:r w:rsidRPr="00F60AC1">
              <w:rPr>
                <w:lang w:val="en-GB"/>
              </w:rPr>
              <w:t>OAPI</w:t>
            </w:r>
          </w:p>
        </w:tc>
        <w:tc>
          <w:tcPr>
            <w:tcW w:w="1269" w:type="dxa"/>
            <w:noWrap/>
          </w:tcPr>
          <w:p w14:paraId="426F2B67" w14:textId="77777777" w:rsidR="007B79E6" w:rsidRPr="00F60AC1" w:rsidRDefault="007B79E6">
            <w:pPr>
              <w:rPr>
                <w:lang w:val="en-GB"/>
              </w:rPr>
            </w:pPr>
          </w:p>
        </w:tc>
        <w:tc>
          <w:tcPr>
            <w:tcW w:w="1269" w:type="dxa"/>
            <w:noWrap/>
          </w:tcPr>
          <w:p w14:paraId="3DE0D9DF" w14:textId="77777777" w:rsidR="007B79E6" w:rsidRPr="00F60AC1" w:rsidRDefault="007B79E6">
            <w:pPr>
              <w:rPr>
                <w:lang w:val="en-GB"/>
              </w:rPr>
            </w:pPr>
          </w:p>
        </w:tc>
        <w:tc>
          <w:tcPr>
            <w:tcW w:w="1352" w:type="dxa"/>
            <w:noWrap/>
          </w:tcPr>
          <w:p w14:paraId="7613167A" w14:textId="77777777" w:rsidR="007B79E6" w:rsidRPr="00F60AC1" w:rsidRDefault="007B79E6">
            <w:pPr>
              <w:rPr>
                <w:lang w:val="en-GB"/>
              </w:rPr>
            </w:pPr>
          </w:p>
        </w:tc>
        <w:tc>
          <w:tcPr>
            <w:tcW w:w="824" w:type="dxa"/>
            <w:noWrap/>
          </w:tcPr>
          <w:p w14:paraId="555237B0" w14:textId="77777777" w:rsidR="007B79E6" w:rsidRPr="00F60AC1" w:rsidRDefault="007B79E6">
            <w:pPr>
              <w:rPr>
                <w:lang w:val="en-GB"/>
              </w:rPr>
            </w:pPr>
          </w:p>
        </w:tc>
        <w:tc>
          <w:tcPr>
            <w:tcW w:w="1269" w:type="dxa"/>
            <w:noWrap/>
          </w:tcPr>
          <w:p w14:paraId="4E2F2E08" w14:textId="77777777" w:rsidR="007B79E6" w:rsidRPr="00F60AC1" w:rsidRDefault="00AF30FA">
            <w:pPr>
              <w:rPr>
                <w:lang w:val="en-GB"/>
              </w:rPr>
            </w:pPr>
            <w:r w:rsidRPr="00F60AC1">
              <w:rPr>
                <w:lang w:val="en-GB"/>
              </w:rPr>
              <w:t>X</w:t>
            </w:r>
          </w:p>
        </w:tc>
        <w:tc>
          <w:tcPr>
            <w:tcW w:w="674" w:type="dxa"/>
            <w:noWrap/>
          </w:tcPr>
          <w:p w14:paraId="0305D39C" w14:textId="77777777" w:rsidR="007B79E6" w:rsidRPr="00F60AC1" w:rsidRDefault="007B79E6">
            <w:pPr>
              <w:rPr>
                <w:lang w:val="en-GB"/>
              </w:rPr>
            </w:pPr>
          </w:p>
        </w:tc>
      </w:tr>
      <w:tr w:rsidR="007B79E6" w:rsidRPr="00F60AC1" w14:paraId="2615FA53" w14:textId="77777777">
        <w:trPr>
          <w:trHeight w:val="300"/>
        </w:trPr>
        <w:tc>
          <w:tcPr>
            <w:tcW w:w="2776" w:type="dxa"/>
            <w:noWrap/>
          </w:tcPr>
          <w:p w14:paraId="6985893D" w14:textId="77777777" w:rsidR="007B79E6" w:rsidRPr="00F60AC1" w:rsidRDefault="00AF30FA">
            <w:pPr>
              <w:rPr>
                <w:lang w:val="en-GB"/>
              </w:rPr>
            </w:pPr>
            <w:r w:rsidRPr="00F60AC1">
              <w:rPr>
                <w:lang w:val="en-GB"/>
              </w:rPr>
              <w:t>ARIPO</w:t>
            </w:r>
          </w:p>
        </w:tc>
        <w:tc>
          <w:tcPr>
            <w:tcW w:w="1269" w:type="dxa"/>
            <w:noWrap/>
          </w:tcPr>
          <w:p w14:paraId="42EED5F5" w14:textId="77777777" w:rsidR="007B79E6" w:rsidRPr="00F60AC1" w:rsidRDefault="007B79E6">
            <w:pPr>
              <w:rPr>
                <w:lang w:val="en-GB"/>
              </w:rPr>
            </w:pPr>
          </w:p>
        </w:tc>
        <w:tc>
          <w:tcPr>
            <w:tcW w:w="1269" w:type="dxa"/>
            <w:noWrap/>
          </w:tcPr>
          <w:p w14:paraId="5F92E7F3" w14:textId="77777777" w:rsidR="007B79E6" w:rsidRPr="00F60AC1" w:rsidRDefault="007B79E6">
            <w:pPr>
              <w:rPr>
                <w:lang w:val="en-GB"/>
              </w:rPr>
            </w:pPr>
          </w:p>
        </w:tc>
        <w:tc>
          <w:tcPr>
            <w:tcW w:w="1352" w:type="dxa"/>
            <w:noWrap/>
          </w:tcPr>
          <w:p w14:paraId="21D94E37" w14:textId="77777777" w:rsidR="007B79E6" w:rsidRPr="00F60AC1" w:rsidRDefault="007B79E6">
            <w:pPr>
              <w:rPr>
                <w:lang w:val="en-GB"/>
              </w:rPr>
            </w:pPr>
          </w:p>
        </w:tc>
        <w:tc>
          <w:tcPr>
            <w:tcW w:w="824" w:type="dxa"/>
            <w:noWrap/>
          </w:tcPr>
          <w:p w14:paraId="289A4DE7" w14:textId="77777777" w:rsidR="007B79E6" w:rsidRPr="00F60AC1" w:rsidRDefault="007B79E6">
            <w:pPr>
              <w:rPr>
                <w:lang w:val="en-GB"/>
              </w:rPr>
            </w:pPr>
          </w:p>
        </w:tc>
        <w:tc>
          <w:tcPr>
            <w:tcW w:w="1269" w:type="dxa"/>
            <w:noWrap/>
          </w:tcPr>
          <w:p w14:paraId="42AB5A0E" w14:textId="77777777" w:rsidR="007B79E6" w:rsidRPr="00F60AC1" w:rsidRDefault="007B79E6">
            <w:pPr>
              <w:rPr>
                <w:lang w:val="en-GB"/>
              </w:rPr>
            </w:pPr>
          </w:p>
        </w:tc>
        <w:tc>
          <w:tcPr>
            <w:tcW w:w="674" w:type="dxa"/>
            <w:noWrap/>
          </w:tcPr>
          <w:p w14:paraId="42AA9B56" w14:textId="77777777" w:rsidR="007B79E6" w:rsidRPr="00F60AC1" w:rsidRDefault="007B79E6">
            <w:pPr>
              <w:rPr>
                <w:lang w:val="en-GB"/>
              </w:rPr>
            </w:pPr>
          </w:p>
        </w:tc>
      </w:tr>
      <w:tr w:rsidR="007B79E6" w:rsidRPr="00F60AC1" w14:paraId="1AACC170" w14:textId="77777777">
        <w:trPr>
          <w:trHeight w:val="300"/>
        </w:trPr>
        <w:tc>
          <w:tcPr>
            <w:tcW w:w="2776" w:type="dxa"/>
            <w:noWrap/>
          </w:tcPr>
          <w:p w14:paraId="343111F4" w14:textId="77777777" w:rsidR="007B79E6" w:rsidRPr="00F60AC1" w:rsidRDefault="00AF30FA">
            <w:pPr>
              <w:rPr>
                <w:lang w:val="en-GB"/>
              </w:rPr>
            </w:pPr>
            <w:r w:rsidRPr="00F60AC1">
              <w:rPr>
                <w:lang w:val="en-GB"/>
              </w:rPr>
              <w:t>Algeria</w:t>
            </w:r>
          </w:p>
        </w:tc>
        <w:tc>
          <w:tcPr>
            <w:tcW w:w="1269" w:type="dxa"/>
            <w:noWrap/>
          </w:tcPr>
          <w:p w14:paraId="598A8246" w14:textId="77777777" w:rsidR="007B79E6" w:rsidRPr="00F60AC1" w:rsidRDefault="00AF30FA">
            <w:pPr>
              <w:rPr>
                <w:lang w:val="en-GB"/>
              </w:rPr>
            </w:pPr>
            <w:r w:rsidRPr="00F60AC1">
              <w:rPr>
                <w:lang w:val="en-GB"/>
              </w:rPr>
              <w:t>X</w:t>
            </w:r>
          </w:p>
        </w:tc>
        <w:tc>
          <w:tcPr>
            <w:tcW w:w="1269" w:type="dxa"/>
            <w:noWrap/>
          </w:tcPr>
          <w:p w14:paraId="31B49FF5" w14:textId="77777777" w:rsidR="007B79E6" w:rsidRPr="00F60AC1" w:rsidRDefault="00AF30FA">
            <w:pPr>
              <w:rPr>
                <w:lang w:val="en-GB"/>
              </w:rPr>
            </w:pPr>
            <w:r w:rsidRPr="00F60AC1">
              <w:rPr>
                <w:lang w:val="en-GB"/>
              </w:rPr>
              <w:t>X</w:t>
            </w:r>
          </w:p>
        </w:tc>
        <w:tc>
          <w:tcPr>
            <w:tcW w:w="1352" w:type="dxa"/>
            <w:noWrap/>
          </w:tcPr>
          <w:p w14:paraId="79693C63" w14:textId="77777777" w:rsidR="007B79E6" w:rsidRPr="00F60AC1" w:rsidRDefault="00AF30FA">
            <w:pPr>
              <w:rPr>
                <w:lang w:val="en-GB"/>
              </w:rPr>
            </w:pPr>
            <w:r w:rsidRPr="00F60AC1">
              <w:rPr>
                <w:lang w:val="en-GB"/>
              </w:rPr>
              <w:t>X</w:t>
            </w:r>
          </w:p>
        </w:tc>
        <w:tc>
          <w:tcPr>
            <w:tcW w:w="824" w:type="dxa"/>
            <w:noWrap/>
          </w:tcPr>
          <w:p w14:paraId="553E9F9E" w14:textId="77777777" w:rsidR="007B79E6" w:rsidRPr="00F60AC1" w:rsidRDefault="007B79E6">
            <w:pPr>
              <w:rPr>
                <w:lang w:val="en-GB"/>
              </w:rPr>
            </w:pPr>
          </w:p>
        </w:tc>
        <w:tc>
          <w:tcPr>
            <w:tcW w:w="1269" w:type="dxa"/>
            <w:noWrap/>
          </w:tcPr>
          <w:p w14:paraId="5E7E61C3" w14:textId="77777777" w:rsidR="007B79E6" w:rsidRPr="00F60AC1" w:rsidRDefault="00AF30FA">
            <w:pPr>
              <w:rPr>
                <w:lang w:val="en-GB"/>
              </w:rPr>
            </w:pPr>
            <w:r w:rsidRPr="00F60AC1">
              <w:rPr>
                <w:lang w:val="en-GB"/>
              </w:rPr>
              <w:t> </w:t>
            </w:r>
          </w:p>
        </w:tc>
        <w:tc>
          <w:tcPr>
            <w:tcW w:w="674" w:type="dxa"/>
            <w:noWrap/>
          </w:tcPr>
          <w:p w14:paraId="31796F3A" w14:textId="77777777" w:rsidR="007B79E6" w:rsidRPr="00F60AC1" w:rsidRDefault="007B79E6">
            <w:pPr>
              <w:rPr>
                <w:lang w:val="en-GB"/>
              </w:rPr>
            </w:pPr>
          </w:p>
        </w:tc>
      </w:tr>
      <w:tr w:rsidR="007B79E6" w:rsidRPr="00F60AC1" w14:paraId="0B86D370" w14:textId="77777777">
        <w:trPr>
          <w:trHeight w:val="300"/>
        </w:trPr>
        <w:tc>
          <w:tcPr>
            <w:tcW w:w="2776" w:type="dxa"/>
            <w:noWrap/>
          </w:tcPr>
          <w:p w14:paraId="7085B675" w14:textId="77777777" w:rsidR="007B79E6" w:rsidRPr="00F60AC1" w:rsidRDefault="00AF30FA">
            <w:pPr>
              <w:rPr>
                <w:lang w:val="en-GB"/>
              </w:rPr>
            </w:pPr>
            <w:r w:rsidRPr="00F60AC1">
              <w:rPr>
                <w:lang w:val="en-GB"/>
              </w:rPr>
              <w:t>Angola</w:t>
            </w:r>
          </w:p>
        </w:tc>
        <w:tc>
          <w:tcPr>
            <w:tcW w:w="1269" w:type="dxa"/>
            <w:noWrap/>
          </w:tcPr>
          <w:p w14:paraId="54B59F5D" w14:textId="77777777" w:rsidR="007B79E6" w:rsidRPr="00F60AC1" w:rsidRDefault="00AF30FA">
            <w:pPr>
              <w:rPr>
                <w:lang w:val="en-GB"/>
              </w:rPr>
            </w:pPr>
            <w:r w:rsidRPr="00F60AC1">
              <w:rPr>
                <w:lang w:val="en-GB"/>
              </w:rPr>
              <w:t>X</w:t>
            </w:r>
          </w:p>
        </w:tc>
        <w:tc>
          <w:tcPr>
            <w:tcW w:w="1269" w:type="dxa"/>
            <w:noWrap/>
          </w:tcPr>
          <w:p w14:paraId="56AF8C2C" w14:textId="77777777" w:rsidR="007B79E6" w:rsidRPr="00F60AC1" w:rsidRDefault="007B79E6">
            <w:pPr>
              <w:rPr>
                <w:lang w:val="en-GB"/>
              </w:rPr>
            </w:pPr>
          </w:p>
        </w:tc>
        <w:tc>
          <w:tcPr>
            <w:tcW w:w="1352" w:type="dxa"/>
            <w:noWrap/>
          </w:tcPr>
          <w:p w14:paraId="27A16893" w14:textId="77777777" w:rsidR="007B79E6" w:rsidRPr="00F60AC1" w:rsidRDefault="00AF30FA">
            <w:pPr>
              <w:rPr>
                <w:lang w:val="en-GB"/>
              </w:rPr>
            </w:pPr>
            <w:r w:rsidRPr="00F60AC1">
              <w:rPr>
                <w:lang w:val="en-GB"/>
              </w:rPr>
              <w:t>X</w:t>
            </w:r>
          </w:p>
        </w:tc>
        <w:tc>
          <w:tcPr>
            <w:tcW w:w="824" w:type="dxa"/>
            <w:noWrap/>
          </w:tcPr>
          <w:p w14:paraId="76359B27" w14:textId="77777777" w:rsidR="007B79E6" w:rsidRPr="00F60AC1" w:rsidRDefault="007B79E6">
            <w:pPr>
              <w:rPr>
                <w:lang w:val="en-GB"/>
              </w:rPr>
            </w:pPr>
          </w:p>
        </w:tc>
        <w:tc>
          <w:tcPr>
            <w:tcW w:w="1269" w:type="dxa"/>
            <w:noWrap/>
          </w:tcPr>
          <w:p w14:paraId="018E1983" w14:textId="77777777" w:rsidR="007B79E6" w:rsidRPr="00F60AC1" w:rsidRDefault="00AF30FA">
            <w:pPr>
              <w:rPr>
                <w:lang w:val="en-GB"/>
              </w:rPr>
            </w:pPr>
            <w:r w:rsidRPr="00F60AC1">
              <w:rPr>
                <w:lang w:val="en-GB"/>
              </w:rPr>
              <w:t> </w:t>
            </w:r>
          </w:p>
        </w:tc>
        <w:tc>
          <w:tcPr>
            <w:tcW w:w="674" w:type="dxa"/>
            <w:noWrap/>
          </w:tcPr>
          <w:p w14:paraId="43757142" w14:textId="77777777" w:rsidR="007B79E6" w:rsidRPr="00F60AC1" w:rsidRDefault="00AF30FA">
            <w:pPr>
              <w:rPr>
                <w:lang w:val="en-GB"/>
              </w:rPr>
            </w:pPr>
            <w:r w:rsidRPr="00F60AC1">
              <w:rPr>
                <w:lang w:val="en-GB"/>
              </w:rPr>
              <w:t>X</w:t>
            </w:r>
          </w:p>
        </w:tc>
      </w:tr>
      <w:tr w:rsidR="007B79E6" w:rsidRPr="00F60AC1" w14:paraId="08B61DBA" w14:textId="77777777">
        <w:trPr>
          <w:trHeight w:val="300"/>
        </w:trPr>
        <w:tc>
          <w:tcPr>
            <w:tcW w:w="2776" w:type="dxa"/>
            <w:noWrap/>
          </w:tcPr>
          <w:p w14:paraId="4E6A2230" w14:textId="77777777" w:rsidR="007B79E6" w:rsidRPr="00F60AC1" w:rsidRDefault="00AF30FA">
            <w:pPr>
              <w:rPr>
                <w:lang w:val="en-GB"/>
              </w:rPr>
            </w:pPr>
            <w:r w:rsidRPr="00F60AC1">
              <w:rPr>
                <w:lang w:val="en-GB"/>
              </w:rPr>
              <w:t>Benin</w:t>
            </w:r>
          </w:p>
        </w:tc>
        <w:tc>
          <w:tcPr>
            <w:tcW w:w="1269" w:type="dxa"/>
            <w:noWrap/>
          </w:tcPr>
          <w:p w14:paraId="58AE759C" w14:textId="77777777" w:rsidR="007B79E6" w:rsidRPr="00F60AC1" w:rsidRDefault="00AF30FA">
            <w:pPr>
              <w:rPr>
                <w:lang w:val="en-GB"/>
              </w:rPr>
            </w:pPr>
            <w:r w:rsidRPr="00F60AC1">
              <w:rPr>
                <w:lang w:val="en-GB"/>
              </w:rPr>
              <w:t>X</w:t>
            </w:r>
          </w:p>
        </w:tc>
        <w:tc>
          <w:tcPr>
            <w:tcW w:w="1269" w:type="dxa"/>
            <w:noWrap/>
          </w:tcPr>
          <w:p w14:paraId="37E2CA46" w14:textId="77777777" w:rsidR="007B79E6" w:rsidRPr="00F60AC1" w:rsidRDefault="00AF30FA">
            <w:pPr>
              <w:rPr>
                <w:lang w:val="en-GB"/>
              </w:rPr>
            </w:pPr>
            <w:r w:rsidRPr="00F60AC1">
              <w:rPr>
                <w:lang w:val="en-GB"/>
              </w:rPr>
              <w:t>X</w:t>
            </w:r>
          </w:p>
        </w:tc>
        <w:tc>
          <w:tcPr>
            <w:tcW w:w="1352" w:type="dxa"/>
            <w:noWrap/>
          </w:tcPr>
          <w:p w14:paraId="1276A8CA" w14:textId="77777777" w:rsidR="007B79E6" w:rsidRPr="00F60AC1" w:rsidRDefault="00AF30FA">
            <w:pPr>
              <w:rPr>
                <w:lang w:val="en-GB"/>
              </w:rPr>
            </w:pPr>
            <w:r w:rsidRPr="00F60AC1">
              <w:rPr>
                <w:lang w:val="en-GB"/>
              </w:rPr>
              <w:t>X</w:t>
            </w:r>
          </w:p>
        </w:tc>
        <w:tc>
          <w:tcPr>
            <w:tcW w:w="824" w:type="dxa"/>
            <w:noWrap/>
          </w:tcPr>
          <w:p w14:paraId="6D35FA30" w14:textId="77777777" w:rsidR="007B79E6" w:rsidRPr="00F60AC1" w:rsidRDefault="007B79E6">
            <w:pPr>
              <w:rPr>
                <w:lang w:val="en-GB"/>
              </w:rPr>
            </w:pPr>
          </w:p>
        </w:tc>
        <w:tc>
          <w:tcPr>
            <w:tcW w:w="1269" w:type="dxa"/>
            <w:noWrap/>
          </w:tcPr>
          <w:p w14:paraId="4ACBF51A" w14:textId="77777777" w:rsidR="007B79E6" w:rsidRPr="00F60AC1" w:rsidRDefault="00AF30FA">
            <w:pPr>
              <w:rPr>
                <w:lang w:val="en-GB"/>
              </w:rPr>
            </w:pPr>
            <w:r w:rsidRPr="00F60AC1">
              <w:rPr>
                <w:lang w:val="en-GB"/>
              </w:rPr>
              <w:t> </w:t>
            </w:r>
          </w:p>
        </w:tc>
        <w:tc>
          <w:tcPr>
            <w:tcW w:w="674" w:type="dxa"/>
            <w:noWrap/>
          </w:tcPr>
          <w:p w14:paraId="0D86D56B" w14:textId="77777777" w:rsidR="007B79E6" w:rsidRPr="00F60AC1" w:rsidRDefault="00AF30FA">
            <w:pPr>
              <w:rPr>
                <w:lang w:val="en-GB"/>
              </w:rPr>
            </w:pPr>
            <w:r w:rsidRPr="00F60AC1">
              <w:rPr>
                <w:lang w:val="en-GB"/>
              </w:rPr>
              <w:t>X</w:t>
            </w:r>
          </w:p>
        </w:tc>
      </w:tr>
      <w:tr w:rsidR="007B79E6" w:rsidRPr="00F60AC1" w14:paraId="0617CE64" w14:textId="77777777">
        <w:trPr>
          <w:trHeight w:val="300"/>
        </w:trPr>
        <w:tc>
          <w:tcPr>
            <w:tcW w:w="2776" w:type="dxa"/>
            <w:noWrap/>
          </w:tcPr>
          <w:p w14:paraId="4D9F105B" w14:textId="77777777" w:rsidR="007B79E6" w:rsidRPr="00F60AC1" w:rsidRDefault="00AF30FA">
            <w:pPr>
              <w:rPr>
                <w:lang w:val="en-GB"/>
              </w:rPr>
            </w:pPr>
            <w:r w:rsidRPr="00F60AC1">
              <w:rPr>
                <w:lang w:val="en-GB"/>
              </w:rPr>
              <w:t>Botswana</w:t>
            </w:r>
          </w:p>
        </w:tc>
        <w:tc>
          <w:tcPr>
            <w:tcW w:w="1269" w:type="dxa"/>
            <w:noWrap/>
          </w:tcPr>
          <w:p w14:paraId="6A435E34" w14:textId="77777777" w:rsidR="007B79E6" w:rsidRPr="00F60AC1" w:rsidRDefault="00AF30FA">
            <w:pPr>
              <w:rPr>
                <w:lang w:val="en-GB"/>
              </w:rPr>
            </w:pPr>
            <w:r w:rsidRPr="00F60AC1">
              <w:rPr>
                <w:lang w:val="en-GB"/>
              </w:rPr>
              <w:t>X</w:t>
            </w:r>
          </w:p>
        </w:tc>
        <w:tc>
          <w:tcPr>
            <w:tcW w:w="1269" w:type="dxa"/>
            <w:noWrap/>
          </w:tcPr>
          <w:p w14:paraId="3581E75A" w14:textId="77777777" w:rsidR="007B79E6" w:rsidRPr="00F60AC1" w:rsidRDefault="00AF30FA">
            <w:pPr>
              <w:rPr>
                <w:lang w:val="en-GB"/>
              </w:rPr>
            </w:pPr>
            <w:r w:rsidRPr="00F60AC1">
              <w:rPr>
                <w:lang w:val="en-GB"/>
              </w:rPr>
              <w:t>X</w:t>
            </w:r>
          </w:p>
        </w:tc>
        <w:tc>
          <w:tcPr>
            <w:tcW w:w="1352" w:type="dxa"/>
            <w:noWrap/>
          </w:tcPr>
          <w:p w14:paraId="53954834" w14:textId="77777777" w:rsidR="007B79E6" w:rsidRPr="00F60AC1" w:rsidRDefault="00AF30FA">
            <w:pPr>
              <w:rPr>
                <w:lang w:val="en-GB"/>
              </w:rPr>
            </w:pPr>
            <w:r w:rsidRPr="00F60AC1">
              <w:rPr>
                <w:lang w:val="en-GB"/>
              </w:rPr>
              <w:t>X</w:t>
            </w:r>
          </w:p>
        </w:tc>
        <w:tc>
          <w:tcPr>
            <w:tcW w:w="824" w:type="dxa"/>
            <w:noWrap/>
          </w:tcPr>
          <w:p w14:paraId="20FFCAEF" w14:textId="77777777" w:rsidR="007B79E6" w:rsidRPr="00F60AC1" w:rsidRDefault="007B79E6">
            <w:pPr>
              <w:rPr>
                <w:lang w:val="en-GB"/>
              </w:rPr>
            </w:pPr>
          </w:p>
        </w:tc>
        <w:tc>
          <w:tcPr>
            <w:tcW w:w="1269" w:type="dxa"/>
            <w:noWrap/>
          </w:tcPr>
          <w:p w14:paraId="1018F6B6" w14:textId="77777777" w:rsidR="007B79E6" w:rsidRPr="00F60AC1" w:rsidRDefault="00AF30FA">
            <w:pPr>
              <w:rPr>
                <w:lang w:val="en-GB"/>
              </w:rPr>
            </w:pPr>
            <w:r w:rsidRPr="00F60AC1">
              <w:rPr>
                <w:lang w:val="en-GB"/>
              </w:rPr>
              <w:t> </w:t>
            </w:r>
          </w:p>
        </w:tc>
        <w:tc>
          <w:tcPr>
            <w:tcW w:w="674" w:type="dxa"/>
            <w:noWrap/>
          </w:tcPr>
          <w:p w14:paraId="28BD6D53" w14:textId="77777777" w:rsidR="007B79E6" w:rsidRPr="00F60AC1" w:rsidRDefault="00AF30FA">
            <w:pPr>
              <w:rPr>
                <w:lang w:val="en-GB"/>
              </w:rPr>
            </w:pPr>
            <w:r w:rsidRPr="00F60AC1">
              <w:rPr>
                <w:lang w:val="en-GB"/>
              </w:rPr>
              <w:t>X</w:t>
            </w:r>
          </w:p>
        </w:tc>
      </w:tr>
      <w:tr w:rsidR="007B79E6" w:rsidRPr="00F60AC1" w14:paraId="6B19FBC3" w14:textId="77777777">
        <w:trPr>
          <w:trHeight w:val="300"/>
        </w:trPr>
        <w:tc>
          <w:tcPr>
            <w:tcW w:w="2776" w:type="dxa"/>
            <w:noWrap/>
          </w:tcPr>
          <w:p w14:paraId="5A557F82" w14:textId="77777777" w:rsidR="007B79E6" w:rsidRPr="00F60AC1" w:rsidRDefault="00AF30FA">
            <w:pPr>
              <w:rPr>
                <w:lang w:val="en-GB"/>
              </w:rPr>
            </w:pPr>
            <w:r w:rsidRPr="00F60AC1">
              <w:rPr>
                <w:lang w:val="en-GB"/>
              </w:rPr>
              <w:t>Burkina Faso</w:t>
            </w:r>
          </w:p>
        </w:tc>
        <w:tc>
          <w:tcPr>
            <w:tcW w:w="1269" w:type="dxa"/>
            <w:noWrap/>
          </w:tcPr>
          <w:p w14:paraId="1D098C60" w14:textId="77777777" w:rsidR="007B79E6" w:rsidRPr="00F60AC1" w:rsidRDefault="00AF30FA">
            <w:pPr>
              <w:rPr>
                <w:lang w:val="en-GB"/>
              </w:rPr>
            </w:pPr>
            <w:r w:rsidRPr="00F60AC1">
              <w:rPr>
                <w:lang w:val="en-GB"/>
              </w:rPr>
              <w:t>X</w:t>
            </w:r>
          </w:p>
        </w:tc>
        <w:tc>
          <w:tcPr>
            <w:tcW w:w="1269" w:type="dxa"/>
            <w:noWrap/>
          </w:tcPr>
          <w:p w14:paraId="125AF2CE" w14:textId="77777777" w:rsidR="007B79E6" w:rsidRPr="00F60AC1" w:rsidRDefault="00AF30FA">
            <w:pPr>
              <w:rPr>
                <w:lang w:val="en-GB"/>
              </w:rPr>
            </w:pPr>
            <w:r w:rsidRPr="00F60AC1">
              <w:rPr>
                <w:lang w:val="en-GB"/>
              </w:rPr>
              <w:t>X</w:t>
            </w:r>
          </w:p>
        </w:tc>
        <w:tc>
          <w:tcPr>
            <w:tcW w:w="1352" w:type="dxa"/>
            <w:noWrap/>
          </w:tcPr>
          <w:p w14:paraId="46217797" w14:textId="77777777" w:rsidR="007B79E6" w:rsidRPr="00F60AC1" w:rsidRDefault="00AF30FA">
            <w:pPr>
              <w:rPr>
                <w:lang w:val="en-GB"/>
              </w:rPr>
            </w:pPr>
            <w:r w:rsidRPr="00F60AC1">
              <w:rPr>
                <w:lang w:val="en-GB"/>
              </w:rPr>
              <w:t>X</w:t>
            </w:r>
          </w:p>
        </w:tc>
        <w:tc>
          <w:tcPr>
            <w:tcW w:w="824" w:type="dxa"/>
            <w:noWrap/>
          </w:tcPr>
          <w:p w14:paraId="0CF5C2E3" w14:textId="77777777" w:rsidR="007B79E6" w:rsidRPr="00F60AC1" w:rsidRDefault="007B79E6">
            <w:pPr>
              <w:rPr>
                <w:lang w:val="en-GB"/>
              </w:rPr>
            </w:pPr>
          </w:p>
        </w:tc>
        <w:tc>
          <w:tcPr>
            <w:tcW w:w="1269" w:type="dxa"/>
            <w:noWrap/>
          </w:tcPr>
          <w:p w14:paraId="4B422893" w14:textId="77777777" w:rsidR="007B79E6" w:rsidRPr="00F60AC1" w:rsidRDefault="00AF30FA">
            <w:pPr>
              <w:rPr>
                <w:lang w:val="en-GB"/>
              </w:rPr>
            </w:pPr>
            <w:r w:rsidRPr="00F60AC1">
              <w:rPr>
                <w:lang w:val="en-GB"/>
              </w:rPr>
              <w:t> </w:t>
            </w:r>
          </w:p>
        </w:tc>
        <w:tc>
          <w:tcPr>
            <w:tcW w:w="674" w:type="dxa"/>
            <w:noWrap/>
          </w:tcPr>
          <w:p w14:paraId="441B6C63" w14:textId="77777777" w:rsidR="007B79E6" w:rsidRPr="00F60AC1" w:rsidRDefault="00AF30FA">
            <w:pPr>
              <w:rPr>
                <w:lang w:val="en-GB"/>
              </w:rPr>
            </w:pPr>
            <w:r w:rsidRPr="00F60AC1">
              <w:rPr>
                <w:lang w:val="en-GB"/>
              </w:rPr>
              <w:t>X</w:t>
            </w:r>
          </w:p>
        </w:tc>
      </w:tr>
      <w:tr w:rsidR="007B79E6" w:rsidRPr="00F60AC1" w14:paraId="58982446" w14:textId="77777777">
        <w:trPr>
          <w:trHeight w:val="300"/>
        </w:trPr>
        <w:tc>
          <w:tcPr>
            <w:tcW w:w="2776" w:type="dxa"/>
            <w:noWrap/>
          </w:tcPr>
          <w:p w14:paraId="5EDC53F6" w14:textId="77777777" w:rsidR="007B79E6" w:rsidRPr="00F60AC1" w:rsidRDefault="00AF30FA">
            <w:pPr>
              <w:rPr>
                <w:lang w:val="en-GB"/>
              </w:rPr>
            </w:pPr>
            <w:r w:rsidRPr="00F60AC1">
              <w:rPr>
                <w:lang w:val="en-GB"/>
              </w:rPr>
              <w:t>Burundi</w:t>
            </w:r>
          </w:p>
        </w:tc>
        <w:tc>
          <w:tcPr>
            <w:tcW w:w="1269" w:type="dxa"/>
            <w:noWrap/>
          </w:tcPr>
          <w:p w14:paraId="458DE267" w14:textId="77777777" w:rsidR="007B79E6" w:rsidRPr="00F60AC1" w:rsidRDefault="00AF30FA">
            <w:pPr>
              <w:rPr>
                <w:lang w:val="en-GB"/>
              </w:rPr>
            </w:pPr>
            <w:r w:rsidRPr="00F60AC1">
              <w:rPr>
                <w:lang w:val="en-GB"/>
              </w:rPr>
              <w:t>X</w:t>
            </w:r>
          </w:p>
        </w:tc>
        <w:tc>
          <w:tcPr>
            <w:tcW w:w="1269" w:type="dxa"/>
            <w:noWrap/>
          </w:tcPr>
          <w:p w14:paraId="6F3361AE" w14:textId="77777777" w:rsidR="007B79E6" w:rsidRPr="00F60AC1" w:rsidRDefault="00AF30FA">
            <w:pPr>
              <w:rPr>
                <w:lang w:val="en-GB"/>
              </w:rPr>
            </w:pPr>
            <w:r w:rsidRPr="00F60AC1">
              <w:rPr>
                <w:lang w:val="en-GB"/>
              </w:rPr>
              <w:t>X</w:t>
            </w:r>
          </w:p>
        </w:tc>
        <w:tc>
          <w:tcPr>
            <w:tcW w:w="1352" w:type="dxa"/>
            <w:noWrap/>
          </w:tcPr>
          <w:p w14:paraId="21374F5E" w14:textId="77777777" w:rsidR="007B79E6" w:rsidRPr="00F60AC1" w:rsidRDefault="007B79E6">
            <w:pPr>
              <w:rPr>
                <w:lang w:val="en-GB"/>
              </w:rPr>
            </w:pPr>
          </w:p>
        </w:tc>
        <w:tc>
          <w:tcPr>
            <w:tcW w:w="824" w:type="dxa"/>
            <w:noWrap/>
          </w:tcPr>
          <w:p w14:paraId="61EC8610" w14:textId="77777777" w:rsidR="007B79E6" w:rsidRPr="00F60AC1" w:rsidRDefault="007B79E6">
            <w:pPr>
              <w:rPr>
                <w:lang w:val="en-GB"/>
              </w:rPr>
            </w:pPr>
          </w:p>
        </w:tc>
        <w:tc>
          <w:tcPr>
            <w:tcW w:w="1269" w:type="dxa"/>
            <w:noWrap/>
          </w:tcPr>
          <w:p w14:paraId="49E00780" w14:textId="77777777" w:rsidR="007B79E6" w:rsidRPr="00F60AC1" w:rsidRDefault="00AF30FA">
            <w:pPr>
              <w:rPr>
                <w:lang w:val="en-GB"/>
              </w:rPr>
            </w:pPr>
            <w:r w:rsidRPr="00F60AC1">
              <w:rPr>
                <w:lang w:val="en-GB"/>
              </w:rPr>
              <w:t> </w:t>
            </w:r>
          </w:p>
        </w:tc>
        <w:tc>
          <w:tcPr>
            <w:tcW w:w="674" w:type="dxa"/>
            <w:noWrap/>
          </w:tcPr>
          <w:p w14:paraId="328CA4B9" w14:textId="77777777" w:rsidR="007B79E6" w:rsidRPr="00F60AC1" w:rsidRDefault="00AF30FA">
            <w:pPr>
              <w:rPr>
                <w:lang w:val="en-GB"/>
              </w:rPr>
            </w:pPr>
            <w:r w:rsidRPr="00F60AC1">
              <w:rPr>
                <w:lang w:val="en-GB"/>
              </w:rPr>
              <w:t>X</w:t>
            </w:r>
          </w:p>
        </w:tc>
      </w:tr>
      <w:tr w:rsidR="007B79E6" w:rsidRPr="00F60AC1" w14:paraId="086C3C75" w14:textId="77777777">
        <w:trPr>
          <w:trHeight w:val="300"/>
        </w:trPr>
        <w:tc>
          <w:tcPr>
            <w:tcW w:w="2776" w:type="dxa"/>
            <w:noWrap/>
          </w:tcPr>
          <w:p w14:paraId="5FB46DD1" w14:textId="77777777" w:rsidR="007B79E6" w:rsidRPr="00F60AC1" w:rsidRDefault="00AF30FA">
            <w:pPr>
              <w:rPr>
                <w:lang w:val="en-GB"/>
              </w:rPr>
            </w:pPr>
            <w:r w:rsidRPr="00F60AC1">
              <w:rPr>
                <w:lang w:val="en-GB"/>
              </w:rPr>
              <w:t>Cabo Verde</w:t>
            </w:r>
          </w:p>
        </w:tc>
        <w:tc>
          <w:tcPr>
            <w:tcW w:w="1269" w:type="dxa"/>
            <w:noWrap/>
          </w:tcPr>
          <w:p w14:paraId="27E5C358" w14:textId="77777777" w:rsidR="007B79E6" w:rsidRPr="00F60AC1" w:rsidRDefault="007B79E6">
            <w:pPr>
              <w:rPr>
                <w:lang w:val="en-GB"/>
              </w:rPr>
            </w:pPr>
          </w:p>
        </w:tc>
        <w:tc>
          <w:tcPr>
            <w:tcW w:w="1269" w:type="dxa"/>
            <w:noWrap/>
          </w:tcPr>
          <w:p w14:paraId="3483C755" w14:textId="77777777" w:rsidR="007B79E6" w:rsidRPr="00F60AC1" w:rsidRDefault="00AF30FA">
            <w:pPr>
              <w:rPr>
                <w:lang w:val="en-GB"/>
              </w:rPr>
            </w:pPr>
            <w:r w:rsidRPr="00F60AC1">
              <w:rPr>
                <w:lang w:val="en-GB"/>
              </w:rPr>
              <w:t>X</w:t>
            </w:r>
          </w:p>
        </w:tc>
        <w:tc>
          <w:tcPr>
            <w:tcW w:w="1352" w:type="dxa"/>
            <w:noWrap/>
          </w:tcPr>
          <w:p w14:paraId="3E82E2D8" w14:textId="77777777" w:rsidR="007B79E6" w:rsidRPr="00F60AC1" w:rsidRDefault="007B79E6">
            <w:pPr>
              <w:rPr>
                <w:lang w:val="en-GB"/>
              </w:rPr>
            </w:pPr>
          </w:p>
        </w:tc>
        <w:tc>
          <w:tcPr>
            <w:tcW w:w="824" w:type="dxa"/>
            <w:noWrap/>
          </w:tcPr>
          <w:p w14:paraId="3E453F93" w14:textId="77777777" w:rsidR="007B79E6" w:rsidRPr="00F60AC1" w:rsidRDefault="007B79E6">
            <w:pPr>
              <w:rPr>
                <w:lang w:val="en-GB"/>
              </w:rPr>
            </w:pPr>
          </w:p>
        </w:tc>
        <w:tc>
          <w:tcPr>
            <w:tcW w:w="1269" w:type="dxa"/>
            <w:noWrap/>
          </w:tcPr>
          <w:p w14:paraId="01A4D2B5" w14:textId="77777777" w:rsidR="007B79E6" w:rsidRPr="00F60AC1" w:rsidRDefault="00AF30FA">
            <w:pPr>
              <w:rPr>
                <w:lang w:val="en-GB"/>
              </w:rPr>
            </w:pPr>
            <w:r w:rsidRPr="00F60AC1">
              <w:rPr>
                <w:lang w:val="en-GB"/>
              </w:rPr>
              <w:t> </w:t>
            </w:r>
          </w:p>
        </w:tc>
        <w:tc>
          <w:tcPr>
            <w:tcW w:w="674" w:type="dxa"/>
            <w:noWrap/>
          </w:tcPr>
          <w:p w14:paraId="2B34173D" w14:textId="77777777" w:rsidR="007B79E6" w:rsidRPr="00F60AC1" w:rsidRDefault="00AF30FA">
            <w:pPr>
              <w:rPr>
                <w:lang w:val="en-GB"/>
              </w:rPr>
            </w:pPr>
            <w:r w:rsidRPr="00F60AC1">
              <w:rPr>
                <w:lang w:val="en-GB"/>
              </w:rPr>
              <w:t>X</w:t>
            </w:r>
          </w:p>
        </w:tc>
      </w:tr>
      <w:tr w:rsidR="007B79E6" w:rsidRPr="00F60AC1" w14:paraId="71B7CAB1" w14:textId="77777777">
        <w:trPr>
          <w:trHeight w:val="300"/>
        </w:trPr>
        <w:tc>
          <w:tcPr>
            <w:tcW w:w="2776" w:type="dxa"/>
            <w:noWrap/>
          </w:tcPr>
          <w:p w14:paraId="3B580372" w14:textId="77777777" w:rsidR="007B79E6" w:rsidRPr="00F60AC1" w:rsidRDefault="00AF30FA">
            <w:pPr>
              <w:rPr>
                <w:lang w:val="en-GB"/>
              </w:rPr>
            </w:pPr>
            <w:r w:rsidRPr="00F60AC1">
              <w:rPr>
                <w:lang w:val="en-GB"/>
              </w:rPr>
              <w:t>Cameroon</w:t>
            </w:r>
          </w:p>
        </w:tc>
        <w:tc>
          <w:tcPr>
            <w:tcW w:w="1269" w:type="dxa"/>
            <w:noWrap/>
          </w:tcPr>
          <w:p w14:paraId="3A8911AE" w14:textId="77777777" w:rsidR="007B79E6" w:rsidRPr="00F60AC1" w:rsidRDefault="00AF30FA">
            <w:pPr>
              <w:rPr>
                <w:lang w:val="en-GB"/>
              </w:rPr>
            </w:pPr>
            <w:r w:rsidRPr="00F60AC1">
              <w:rPr>
                <w:lang w:val="en-GB"/>
              </w:rPr>
              <w:t>X</w:t>
            </w:r>
          </w:p>
        </w:tc>
        <w:tc>
          <w:tcPr>
            <w:tcW w:w="1269" w:type="dxa"/>
            <w:noWrap/>
          </w:tcPr>
          <w:p w14:paraId="37781987" w14:textId="77777777" w:rsidR="007B79E6" w:rsidRPr="00F60AC1" w:rsidRDefault="00AF30FA">
            <w:pPr>
              <w:rPr>
                <w:lang w:val="en-GB"/>
              </w:rPr>
            </w:pPr>
            <w:r w:rsidRPr="00F60AC1">
              <w:rPr>
                <w:lang w:val="en-GB"/>
              </w:rPr>
              <w:t>X</w:t>
            </w:r>
          </w:p>
        </w:tc>
        <w:tc>
          <w:tcPr>
            <w:tcW w:w="1352" w:type="dxa"/>
            <w:noWrap/>
          </w:tcPr>
          <w:p w14:paraId="1578174D" w14:textId="77777777" w:rsidR="007B79E6" w:rsidRPr="00F60AC1" w:rsidRDefault="00AF30FA">
            <w:pPr>
              <w:rPr>
                <w:lang w:val="en-GB"/>
              </w:rPr>
            </w:pPr>
            <w:r w:rsidRPr="00F60AC1">
              <w:rPr>
                <w:lang w:val="en-GB"/>
              </w:rPr>
              <w:t>X</w:t>
            </w:r>
          </w:p>
        </w:tc>
        <w:tc>
          <w:tcPr>
            <w:tcW w:w="824" w:type="dxa"/>
            <w:noWrap/>
          </w:tcPr>
          <w:p w14:paraId="3B22B4D9" w14:textId="77777777" w:rsidR="007B79E6" w:rsidRPr="00F60AC1" w:rsidRDefault="007B79E6">
            <w:pPr>
              <w:rPr>
                <w:lang w:val="en-GB"/>
              </w:rPr>
            </w:pPr>
          </w:p>
        </w:tc>
        <w:tc>
          <w:tcPr>
            <w:tcW w:w="1269" w:type="dxa"/>
            <w:noWrap/>
          </w:tcPr>
          <w:p w14:paraId="3D80B46F" w14:textId="77777777" w:rsidR="007B79E6" w:rsidRPr="00F60AC1" w:rsidRDefault="00AF30FA">
            <w:pPr>
              <w:rPr>
                <w:lang w:val="en-GB"/>
              </w:rPr>
            </w:pPr>
            <w:r w:rsidRPr="00F60AC1">
              <w:rPr>
                <w:lang w:val="en-GB"/>
              </w:rPr>
              <w:t> </w:t>
            </w:r>
          </w:p>
        </w:tc>
        <w:tc>
          <w:tcPr>
            <w:tcW w:w="674" w:type="dxa"/>
            <w:noWrap/>
          </w:tcPr>
          <w:p w14:paraId="0D96EABB" w14:textId="77777777" w:rsidR="007B79E6" w:rsidRPr="00F60AC1" w:rsidRDefault="00AF30FA">
            <w:pPr>
              <w:rPr>
                <w:lang w:val="en-GB"/>
              </w:rPr>
            </w:pPr>
            <w:r w:rsidRPr="00F60AC1">
              <w:rPr>
                <w:lang w:val="en-GB"/>
              </w:rPr>
              <w:t>X</w:t>
            </w:r>
          </w:p>
        </w:tc>
      </w:tr>
      <w:tr w:rsidR="007B79E6" w:rsidRPr="00F60AC1" w14:paraId="3ADC50D3" w14:textId="77777777">
        <w:trPr>
          <w:trHeight w:val="300"/>
        </w:trPr>
        <w:tc>
          <w:tcPr>
            <w:tcW w:w="2776" w:type="dxa"/>
            <w:noWrap/>
          </w:tcPr>
          <w:p w14:paraId="32E7E26F" w14:textId="77777777" w:rsidR="007B79E6" w:rsidRPr="00F60AC1" w:rsidRDefault="00AF30FA">
            <w:pPr>
              <w:rPr>
                <w:lang w:val="en-GB"/>
              </w:rPr>
            </w:pPr>
            <w:r w:rsidRPr="00F60AC1">
              <w:rPr>
                <w:lang w:val="en-GB"/>
              </w:rPr>
              <w:t>Central African Republic</w:t>
            </w:r>
          </w:p>
        </w:tc>
        <w:tc>
          <w:tcPr>
            <w:tcW w:w="1269" w:type="dxa"/>
            <w:noWrap/>
          </w:tcPr>
          <w:p w14:paraId="04E6992A" w14:textId="77777777" w:rsidR="007B79E6" w:rsidRPr="00F60AC1" w:rsidRDefault="00AF30FA">
            <w:pPr>
              <w:rPr>
                <w:lang w:val="en-GB"/>
              </w:rPr>
            </w:pPr>
            <w:r w:rsidRPr="00F60AC1">
              <w:rPr>
                <w:lang w:val="en-GB"/>
              </w:rPr>
              <w:t>X</w:t>
            </w:r>
          </w:p>
        </w:tc>
        <w:tc>
          <w:tcPr>
            <w:tcW w:w="1269" w:type="dxa"/>
            <w:noWrap/>
          </w:tcPr>
          <w:p w14:paraId="1D8E95C2" w14:textId="77777777" w:rsidR="007B79E6" w:rsidRPr="00F60AC1" w:rsidRDefault="00AF30FA">
            <w:pPr>
              <w:rPr>
                <w:lang w:val="en-GB"/>
              </w:rPr>
            </w:pPr>
            <w:r w:rsidRPr="00F60AC1">
              <w:rPr>
                <w:lang w:val="en-GB"/>
              </w:rPr>
              <w:t>X</w:t>
            </w:r>
          </w:p>
        </w:tc>
        <w:tc>
          <w:tcPr>
            <w:tcW w:w="1352" w:type="dxa"/>
            <w:noWrap/>
          </w:tcPr>
          <w:p w14:paraId="0214017B" w14:textId="77777777" w:rsidR="007B79E6" w:rsidRPr="00F60AC1" w:rsidRDefault="00AF30FA">
            <w:pPr>
              <w:rPr>
                <w:lang w:val="en-GB"/>
              </w:rPr>
            </w:pPr>
            <w:r w:rsidRPr="00F60AC1">
              <w:rPr>
                <w:lang w:val="en-GB"/>
              </w:rPr>
              <w:t>X</w:t>
            </w:r>
          </w:p>
        </w:tc>
        <w:tc>
          <w:tcPr>
            <w:tcW w:w="824" w:type="dxa"/>
            <w:noWrap/>
          </w:tcPr>
          <w:p w14:paraId="54898288" w14:textId="77777777" w:rsidR="007B79E6" w:rsidRPr="00F60AC1" w:rsidRDefault="007B79E6">
            <w:pPr>
              <w:rPr>
                <w:lang w:val="en-GB"/>
              </w:rPr>
            </w:pPr>
          </w:p>
        </w:tc>
        <w:tc>
          <w:tcPr>
            <w:tcW w:w="1269" w:type="dxa"/>
            <w:noWrap/>
          </w:tcPr>
          <w:p w14:paraId="3A6173C0" w14:textId="77777777" w:rsidR="007B79E6" w:rsidRPr="00F60AC1" w:rsidRDefault="00AF30FA">
            <w:pPr>
              <w:rPr>
                <w:lang w:val="en-GB"/>
              </w:rPr>
            </w:pPr>
            <w:r w:rsidRPr="00F60AC1">
              <w:rPr>
                <w:lang w:val="en-GB"/>
              </w:rPr>
              <w:t> </w:t>
            </w:r>
          </w:p>
        </w:tc>
        <w:tc>
          <w:tcPr>
            <w:tcW w:w="674" w:type="dxa"/>
            <w:noWrap/>
          </w:tcPr>
          <w:p w14:paraId="47A25D26" w14:textId="77777777" w:rsidR="007B79E6" w:rsidRPr="00F60AC1" w:rsidRDefault="00AF30FA">
            <w:pPr>
              <w:rPr>
                <w:lang w:val="en-GB"/>
              </w:rPr>
            </w:pPr>
            <w:r w:rsidRPr="00F60AC1">
              <w:rPr>
                <w:lang w:val="en-GB"/>
              </w:rPr>
              <w:t>X</w:t>
            </w:r>
          </w:p>
        </w:tc>
      </w:tr>
      <w:tr w:rsidR="007B79E6" w:rsidRPr="00F60AC1" w14:paraId="67E27081" w14:textId="77777777">
        <w:trPr>
          <w:trHeight w:val="300"/>
        </w:trPr>
        <w:tc>
          <w:tcPr>
            <w:tcW w:w="2776" w:type="dxa"/>
            <w:noWrap/>
          </w:tcPr>
          <w:p w14:paraId="31157636" w14:textId="77777777" w:rsidR="007B79E6" w:rsidRPr="00F60AC1" w:rsidRDefault="00AF30FA">
            <w:pPr>
              <w:rPr>
                <w:lang w:val="en-GB"/>
              </w:rPr>
            </w:pPr>
            <w:r w:rsidRPr="00F60AC1">
              <w:rPr>
                <w:lang w:val="en-GB"/>
              </w:rPr>
              <w:t>Chad</w:t>
            </w:r>
          </w:p>
        </w:tc>
        <w:tc>
          <w:tcPr>
            <w:tcW w:w="1269" w:type="dxa"/>
            <w:noWrap/>
          </w:tcPr>
          <w:p w14:paraId="1F64BB01" w14:textId="77777777" w:rsidR="007B79E6" w:rsidRPr="00F60AC1" w:rsidRDefault="00AF30FA">
            <w:pPr>
              <w:rPr>
                <w:lang w:val="en-GB"/>
              </w:rPr>
            </w:pPr>
            <w:r w:rsidRPr="00F60AC1">
              <w:rPr>
                <w:lang w:val="en-GB"/>
              </w:rPr>
              <w:t>X</w:t>
            </w:r>
          </w:p>
        </w:tc>
        <w:tc>
          <w:tcPr>
            <w:tcW w:w="1269" w:type="dxa"/>
            <w:noWrap/>
          </w:tcPr>
          <w:p w14:paraId="7666D07B" w14:textId="77777777" w:rsidR="007B79E6" w:rsidRPr="00F60AC1" w:rsidRDefault="00AF30FA">
            <w:pPr>
              <w:rPr>
                <w:lang w:val="en-GB"/>
              </w:rPr>
            </w:pPr>
            <w:r w:rsidRPr="00F60AC1">
              <w:rPr>
                <w:lang w:val="en-GB"/>
              </w:rPr>
              <w:t>X</w:t>
            </w:r>
          </w:p>
        </w:tc>
        <w:tc>
          <w:tcPr>
            <w:tcW w:w="1352" w:type="dxa"/>
            <w:noWrap/>
          </w:tcPr>
          <w:p w14:paraId="6158E496" w14:textId="77777777" w:rsidR="007B79E6" w:rsidRPr="00F60AC1" w:rsidRDefault="00AF30FA">
            <w:pPr>
              <w:rPr>
                <w:lang w:val="en-GB"/>
              </w:rPr>
            </w:pPr>
            <w:r w:rsidRPr="00F60AC1">
              <w:rPr>
                <w:lang w:val="en-GB"/>
              </w:rPr>
              <w:t>X</w:t>
            </w:r>
          </w:p>
        </w:tc>
        <w:tc>
          <w:tcPr>
            <w:tcW w:w="824" w:type="dxa"/>
            <w:noWrap/>
          </w:tcPr>
          <w:p w14:paraId="2A462988" w14:textId="77777777" w:rsidR="007B79E6" w:rsidRPr="00F60AC1" w:rsidRDefault="007B79E6">
            <w:pPr>
              <w:rPr>
                <w:lang w:val="en-GB"/>
              </w:rPr>
            </w:pPr>
          </w:p>
        </w:tc>
        <w:tc>
          <w:tcPr>
            <w:tcW w:w="1269" w:type="dxa"/>
            <w:noWrap/>
          </w:tcPr>
          <w:p w14:paraId="60B4147B" w14:textId="77777777" w:rsidR="007B79E6" w:rsidRPr="00F60AC1" w:rsidRDefault="00AF30FA">
            <w:pPr>
              <w:rPr>
                <w:lang w:val="en-GB"/>
              </w:rPr>
            </w:pPr>
            <w:r w:rsidRPr="00F60AC1">
              <w:rPr>
                <w:lang w:val="en-GB"/>
              </w:rPr>
              <w:t> </w:t>
            </w:r>
          </w:p>
        </w:tc>
        <w:tc>
          <w:tcPr>
            <w:tcW w:w="674" w:type="dxa"/>
            <w:noWrap/>
          </w:tcPr>
          <w:p w14:paraId="778296DC" w14:textId="77777777" w:rsidR="007B79E6" w:rsidRPr="00F60AC1" w:rsidRDefault="00AF30FA">
            <w:pPr>
              <w:rPr>
                <w:lang w:val="en-GB"/>
              </w:rPr>
            </w:pPr>
            <w:r w:rsidRPr="00F60AC1">
              <w:rPr>
                <w:lang w:val="en-GB"/>
              </w:rPr>
              <w:t>X</w:t>
            </w:r>
          </w:p>
        </w:tc>
      </w:tr>
      <w:tr w:rsidR="007B79E6" w:rsidRPr="00F60AC1" w14:paraId="241DAB6B" w14:textId="77777777">
        <w:trPr>
          <w:trHeight w:val="300"/>
        </w:trPr>
        <w:tc>
          <w:tcPr>
            <w:tcW w:w="2776" w:type="dxa"/>
            <w:noWrap/>
          </w:tcPr>
          <w:p w14:paraId="7502E4FE" w14:textId="77777777" w:rsidR="007B79E6" w:rsidRPr="00F60AC1" w:rsidRDefault="00AF30FA">
            <w:pPr>
              <w:rPr>
                <w:lang w:val="en-GB"/>
              </w:rPr>
            </w:pPr>
            <w:r w:rsidRPr="00F60AC1">
              <w:rPr>
                <w:lang w:val="en-GB"/>
              </w:rPr>
              <w:t>Comoros</w:t>
            </w:r>
          </w:p>
        </w:tc>
        <w:tc>
          <w:tcPr>
            <w:tcW w:w="1269" w:type="dxa"/>
            <w:noWrap/>
          </w:tcPr>
          <w:p w14:paraId="0B17E634" w14:textId="77777777" w:rsidR="007B79E6" w:rsidRPr="00F60AC1" w:rsidRDefault="00AF30FA">
            <w:pPr>
              <w:rPr>
                <w:lang w:val="en-GB"/>
              </w:rPr>
            </w:pPr>
            <w:r w:rsidRPr="00F60AC1">
              <w:rPr>
                <w:lang w:val="en-GB"/>
              </w:rPr>
              <w:t>X</w:t>
            </w:r>
          </w:p>
        </w:tc>
        <w:tc>
          <w:tcPr>
            <w:tcW w:w="1269" w:type="dxa"/>
            <w:noWrap/>
          </w:tcPr>
          <w:p w14:paraId="2EE70B2B" w14:textId="77777777" w:rsidR="007B79E6" w:rsidRPr="00F60AC1" w:rsidRDefault="00AF30FA">
            <w:pPr>
              <w:rPr>
                <w:lang w:val="en-GB"/>
              </w:rPr>
            </w:pPr>
            <w:r w:rsidRPr="00F60AC1">
              <w:rPr>
                <w:lang w:val="en-GB"/>
              </w:rPr>
              <w:t>X</w:t>
            </w:r>
          </w:p>
        </w:tc>
        <w:tc>
          <w:tcPr>
            <w:tcW w:w="1352" w:type="dxa"/>
            <w:noWrap/>
          </w:tcPr>
          <w:p w14:paraId="70A445E3" w14:textId="77777777" w:rsidR="007B79E6" w:rsidRPr="00F60AC1" w:rsidRDefault="00AF30FA">
            <w:pPr>
              <w:rPr>
                <w:lang w:val="en-GB"/>
              </w:rPr>
            </w:pPr>
            <w:r w:rsidRPr="00F60AC1">
              <w:rPr>
                <w:lang w:val="en-GB"/>
              </w:rPr>
              <w:t>X</w:t>
            </w:r>
          </w:p>
        </w:tc>
        <w:tc>
          <w:tcPr>
            <w:tcW w:w="824" w:type="dxa"/>
            <w:noWrap/>
          </w:tcPr>
          <w:p w14:paraId="691A0A6D" w14:textId="77777777" w:rsidR="007B79E6" w:rsidRPr="00F60AC1" w:rsidRDefault="007B79E6">
            <w:pPr>
              <w:rPr>
                <w:lang w:val="en-GB"/>
              </w:rPr>
            </w:pPr>
          </w:p>
        </w:tc>
        <w:tc>
          <w:tcPr>
            <w:tcW w:w="1269" w:type="dxa"/>
            <w:noWrap/>
          </w:tcPr>
          <w:p w14:paraId="270EE645" w14:textId="77777777" w:rsidR="007B79E6" w:rsidRPr="00F60AC1" w:rsidRDefault="00AF30FA">
            <w:pPr>
              <w:rPr>
                <w:lang w:val="en-GB"/>
              </w:rPr>
            </w:pPr>
            <w:r w:rsidRPr="00F60AC1">
              <w:rPr>
                <w:lang w:val="en-GB"/>
              </w:rPr>
              <w:t> </w:t>
            </w:r>
          </w:p>
        </w:tc>
        <w:tc>
          <w:tcPr>
            <w:tcW w:w="674" w:type="dxa"/>
            <w:noWrap/>
          </w:tcPr>
          <w:p w14:paraId="01A4A369" w14:textId="77777777" w:rsidR="007B79E6" w:rsidRPr="00F60AC1" w:rsidRDefault="007B79E6">
            <w:pPr>
              <w:rPr>
                <w:lang w:val="en-GB"/>
              </w:rPr>
            </w:pPr>
          </w:p>
        </w:tc>
      </w:tr>
      <w:tr w:rsidR="007B79E6" w:rsidRPr="00F60AC1" w14:paraId="7D5E894A" w14:textId="77777777">
        <w:trPr>
          <w:trHeight w:val="300"/>
        </w:trPr>
        <w:tc>
          <w:tcPr>
            <w:tcW w:w="2776" w:type="dxa"/>
            <w:noWrap/>
          </w:tcPr>
          <w:p w14:paraId="2145EB29" w14:textId="77777777" w:rsidR="007B79E6" w:rsidRPr="00F60AC1" w:rsidRDefault="00AF30FA">
            <w:pPr>
              <w:rPr>
                <w:lang w:val="en-GB"/>
              </w:rPr>
            </w:pPr>
            <w:r w:rsidRPr="00F60AC1">
              <w:rPr>
                <w:lang w:val="en-GB"/>
              </w:rPr>
              <w:t>Congo</w:t>
            </w:r>
          </w:p>
        </w:tc>
        <w:tc>
          <w:tcPr>
            <w:tcW w:w="1269" w:type="dxa"/>
            <w:noWrap/>
          </w:tcPr>
          <w:p w14:paraId="125B4739" w14:textId="77777777" w:rsidR="007B79E6" w:rsidRPr="00F60AC1" w:rsidRDefault="00AF30FA">
            <w:pPr>
              <w:rPr>
                <w:lang w:val="en-GB"/>
              </w:rPr>
            </w:pPr>
            <w:r w:rsidRPr="00F60AC1">
              <w:rPr>
                <w:lang w:val="en-GB"/>
              </w:rPr>
              <w:t>X</w:t>
            </w:r>
          </w:p>
        </w:tc>
        <w:tc>
          <w:tcPr>
            <w:tcW w:w="1269" w:type="dxa"/>
            <w:noWrap/>
          </w:tcPr>
          <w:p w14:paraId="52C7FDD5" w14:textId="77777777" w:rsidR="007B79E6" w:rsidRPr="00F60AC1" w:rsidRDefault="00AF30FA">
            <w:pPr>
              <w:rPr>
                <w:lang w:val="en-GB"/>
              </w:rPr>
            </w:pPr>
            <w:r w:rsidRPr="00F60AC1">
              <w:rPr>
                <w:lang w:val="en-GB"/>
              </w:rPr>
              <w:t>X</w:t>
            </w:r>
          </w:p>
        </w:tc>
        <w:tc>
          <w:tcPr>
            <w:tcW w:w="1352" w:type="dxa"/>
            <w:noWrap/>
          </w:tcPr>
          <w:p w14:paraId="5D61A556" w14:textId="77777777" w:rsidR="007B79E6" w:rsidRPr="00F60AC1" w:rsidRDefault="00AF30FA">
            <w:pPr>
              <w:rPr>
                <w:lang w:val="en-GB"/>
              </w:rPr>
            </w:pPr>
            <w:r w:rsidRPr="00F60AC1">
              <w:rPr>
                <w:lang w:val="en-GB"/>
              </w:rPr>
              <w:t>X</w:t>
            </w:r>
          </w:p>
        </w:tc>
        <w:tc>
          <w:tcPr>
            <w:tcW w:w="824" w:type="dxa"/>
            <w:noWrap/>
          </w:tcPr>
          <w:p w14:paraId="0610CB62" w14:textId="77777777" w:rsidR="007B79E6" w:rsidRPr="00F60AC1" w:rsidRDefault="007B79E6">
            <w:pPr>
              <w:rPr>
                <w:lang w:val="en-GB"/>
              </w:rPr>
            </w:pPr>
          </w:p>
        </w:tc>
        <w:tc>
          <w:tcPr>
            <w:tcW w:w="1269" w:type="dxa"/>
            <w:noWrap/>
          </w:tcPr>
          <w:p w14:paraId="4D571ABC" w14:textId="77777777" w:rsidR="007B79E6" w:rsidRPr="00F60AC1" w:rsidRDefault="00AF30FA">
            <w:pPr>
              <w:rPr>
                <w:lang w:val="en-GB"/>
              </w:rPr>
            </w:pPr>
            <w:r w:rsidRPr="00F60AC1">
              <w:rPr>
                <w:lang w:val="en-GB"/>
              </w:rPr>
              <w:t> </w:t>
            </w:r>
          </w:p>
        </w:tc>
        <w:tc>
          <w:tcPr>
            <w:tcW w:w="674" w:type="dxa"/>
            <w:noWrap/>
          </w:tcPr>
          <w:p w14:paraId="21A9779D" w14:textId="77777777" w:rsidR="007B79E6" w:rsidRPr="00F60AC1" w:rsidRDefault="00AF30FA">
            <w:pPr>
              <w:rPr>
                <w:lang w:val="en-GB"/>
              </w:rPr>
            </w:pPr>
            <w:r w:rsidRPr="00F60AC1">
              <w:rPr>
                <w:lang w:val="en-GB"/>
              </w:rPr>
              <w:t>X</w:t>
            </w:r>
          </w:p>
        </w:tc>
      </w:tr>
      <w:tr w:rsidR="007B79E6" w:rsidRPr="00F60AC1" w14:paraId="57A8ADC3" w14:textId="77777777">
        <w:trPr>
          <w:trHeight w:val="300"/>
        </w:trPr>
        <w:tc>
          <w:tcPr>
            <w:tcW w:w="2776" w:type="dxa"/>
            <w:noWrap/>
          </w:tcPr>
          <w:p w14:paraId="2EC5D21F" w14:textId="77777777" w:rsidR="007B79E6" w:rsidRPr="00F60AC1" w:rsidRDefault="00AF30FA">
            <w:pPr>
              <w:rPr>
                <w:lang w:val="en-GB"/>
              </w:rPr>
            </w:pPr>
            <w:r w:rsidRPr="00F60AC1">
              <w:rPr>
                <w:lang w:val="en-GB"/>
              </w:rPr>
              <w:t>Côte d'Ivoire</w:t>
            </w:r>
          </w:p>
        </w:tc>
        <w:tc>
          <w:tcPr>
            <w:tcW w:w="1269" w:type="dxa"/>
            <w:noWrap/>
          </w:tcPr>
          <w:p w14:paraId="761ABB03" w14:textId="77777777" w:rsidR="007B79E6" w:rsidRPr="00F60AC1" w:rsidRDefault="00AF30FA">
            <w:pPr>
              <w:rPr>
                <w:lang w:val="en-GB"/>
              </w:rPr>
            </w:pPr>
            <w:r w:rsidRPr="00F60AC1">
              <w:rPr>
                <w:lang w:val="en-GB"/>
              </w:rPr>
              <w:t>X</w:t>
            </w:r>
          </w:p>
        </w:tc>
        <w:tc>
          <w:tcPr>
            <w:tcW w:w="1269" w:type="dxa"/>
            <w:noWrap/>
          </w:tcPr>
          <w:p w14:paraId="7A85546D" w14:textId="77777777" w:rsidR="007B79E6" w:rsidRPr="00F60AC1" w:rsidRDefault="00AF30FA">
            <w:pPr>
              <w:rPr>
                <w:lang w:val="en-GB"/>
              </w:rPr>
            </w:pPr>
            <w:r w:rsidRPr="00F60AC1">
              <w:rPr>
                <w:lang w:val="en-GB"/>
              </w:rPr>
              <w:t>X</w:t>
            </w:r>
          </w:p>
        </w:tc>
        <w:tc>
          <w:tcPr>
            <w:tcW w:w="1352" w:type="dxa"/>
            <w:noWrap/>
          </w:tcPr>
          <w:p w14:paraId="6804E0FE" w14:textId="77777777" w:rsidR="007B79E6" w:rsidRPr="00F60AC1" w:rsidRDefault="00AF30FA">
            <w:pPr>
              <w:rPr>
                <w:lang w:val="en-GB"/>
              </w:rPr>
            </w:pPr>
            <w:r w:rsidRPr="00F60AC1">
              <w:rPr>
                <w:lang w:val="en-GB"/>
              </w:rPr>
              <w:t>X</w:t>
            </w:r>
          </w:p>
        </w:tc>
        <w:tc>
          <w:tcPr>
            <w:tcW w:w="824" w:type="dxa"/>
            <w:noWrap/>
          </w:tcPr>
          <w:p w14:paraId="1E3852CE" w14:textId="77777777" w:rsidR="007B79E6" w:rsidRPr="00F60AC1" w:rsidRDefault="007B79E6">
            <w:pPr>
              <w:rPr>
                <w:lang w:val="en-GB"/>
              </w:rPr>
            </w:pPr>
          </w:p>
        </w:tc>
        <w:tc>
          <w:tcPr>
            <w:tcW w:w="1269" w:type="dxa"/>
            <w:noWrap/>
          </w:tcPr>
          <w:p w14:paraId="71CD7D34" w14:textId="77777777" w:rsidR="007B79E6" w:rsidRPr="00F60AC1" w:rsidRDefault="00AF30FA">
            <w:pPr>
              <w:rPr>
                <w:lang w:val="en-GB"/>
              </w:rPr>
            </w:pPr>
            <w:r w:rsidRPr="00F60AC1">
              <w:rPr>
                <w:lang w:val="en-GB"/>
              </w:rPr>
              <w:t> </w:t>
            </w:r>
          </w:p>
        </w:tc>
        <w:tc>
          <w:tcPr>
            <w:tcW w:w="674" w:type="dxa"/>
            <w:noWrap/>
          </w:tcPr>
          <w:p w14:paraId="734921F5" w14:textId="77777777" w:rsidR="007B79E6" w:rsidRPr="00F60AC1" w:rsidRDefault="00AF30FA">
            <w:pPr>
              <w:rPr>
                <w:lang w:val="en-GB"/>
              </w:rPr>
            </w:pPr>
            <w:r w:rsidRPr="00F60AC1">
              <w:rPr>
                <w:lang w:val="en-GB"/>
              </w:rPr>
              <w:t>X</w:t>
            </w:r>
          </w:p>
        </w:tc>
      </w:tr>
      <w:tr w:rsidR="007B79E6" w:rsidRPr="00F60AC1" w14:paraId="02BEB5F6" w14:textId="77777777">
        <w:trPr>
          <w:trHeight w:val="300"/>
        </w:trPr>
        <w:tc>
          <w:tcPr>
            <w:tcW w:w="2776" w:type="dxa"/>
            <w:noWrap/>
          </w:tcPr>
          <w:p w14:paraId="7D1EF21F" w14:textId="77777777" w:rsidR="007B79E6" w:rsidRPr="00F60AC1" w:rsidRDefault="00AF30FA">
            <w:pPr>
              <w:rPr>
                <w:lang w:val="en-GB"/>
              </w:rPr>
            </w:pPr>
            <w:r w:rsidRPr="00F60AC1">
              <w:rPr>
                <w:lang w:val="en-GB"/>
              </w:rPr>
              <w:t>Democratic Republic of the Congo</w:t>
            </w:r>
          </w:p>
        </w:tc>
        <w:tc>
          <w:tcPr>
            <w:tcW w:w="1269" w:type="dxa"/>
            <w:noWrap/>
          </w:tcPr>
          <w:p w14:paraId="273B78C3" w14:textId="77777777" w:rsidR="007B79E6" w:rsidRPr="00F60AC1" w:rsidRDefault="00AF30FA">
            <w:pPr>
              <w:rPr>
                <w:lang w:val="en-GB"/>
              </w:rPr>
            </w:pPr>
            <w:r w:rsidRPr="00F60AC1">
              <w:rPr>
                <w:lang w:val="en-GB"/>
              </w:rPr>
              <w:t>X</w:t>
            </w:r>
          </w:p>
        </w:tc>
        <w:tc>
          <w:tcPr>
            <w:tcW w:w="1269" w:type="dxa"/>
            <w:noWrap/>
          </w:tcPr>
          <w:p w14:paraId="2F94A117" w14:textId="77777777" w:rsidR="007B79E6" w:rsidRPr="00F60AC1" w:rsidRDefault="00AF30FA">
            <w:pPr>
              <w:rPr>
                <w:lang w:val="en-GB"/>
              </w:rPr>
            </w:pPr>
            <w:r w:rsidRPr="00F60AC1">
              <w:rPr>
                <w:lang w:val="en-GB"/>
              </w:rPr>
              <w:t>X</w:t>
            </w:r>
          </w:p>
        </w:tc>
        <w:tc>
          <w:tcPr>
            <w:tcW w:w="1352" w:type="dxa"/>
            <w:noWrap/>
          </w:tcPr>
          <w:p w14:paraId="73F4B76F" w14:textId="77777777" w:rsidR="007B79E6" w:rsidRPr="00F60AC1" w:rsidRDefault="007B79E6">
            <w:pPr>
              <w:rPr>
                <w:lang w:val="en-GB"/>
              </w:rPr>
            </w:pPr>
          </w:p>
        </w:tc>
        <w:tc>
          <w:tcPr>
            <w:tcW w:w="824" w:type="dxa"/>
            <w:noWrap/>
          </w:tcPr>
          <w:p w14:paraId="0E2E137D" w14:textId="77777777" w:rsidR="007B79E6" w:rsidRPr="00F60AC1" w:rsidRDefault="007B79E6">
            <w:pPr>
              <w:rPr>
                <w:lang w:val="en-GB"/>
              </w:rPr>
            </w:pPr>
          </w:p>
        </w:tc>
        <w:tc>
          <w:tcPr>
            <w:tcW w:w="1269" w:type="dxa"/>
            <w:noWrap/>
          </w:tcPr>
          <w:p w14:paraId="18AE671F" w14:textId="77777777" w:rsidR="007B79E6" w:rsidRPr="00F60AC1" w:rsidRDefault="00AF30FA">
            <w:pPr>
              <w:rPr>
                <w:lang w:val="en-GB"/>
              </w:rPr>
            </w:pPr>
            <w:r w:rsidRPr="00F60AC1">
              <w:rPr>
                <w:lang w:val="en-GB"/>
              </w:rPr>
              <w:t> </w:t>
            </w:r>
          </w:p>
        </w:tc>
        <w:tc>
          <w:tcPr>
            <w:tcW w:w="674" w:type="dxa"/>
            <w:noWrap/>
          </w:tcPr>
          <w:p w14:paraId="75B6D964" w14:textId="77777777" w:rsidR="007B79E6" w:rsidRPr="00F60AC1" w:rsidRDefault="00AF30FA">
            <w:pPr>
              <w:rPr>
                <w:lang w:val="en-GB"/>
              </w:rPr>
            </w:pPr>
            <w:r w:rsidRPr="00F60AC1">
              <w:rPr>
                <w:lang w:val="en-GB"/>
              </w:rPr>
              <w:t>X</w:t>
            </w:r>
          </w:p>
        </w:tc>
      </w:tr>
      <w:tr w:rsidR="007B79E6" w:rsidRPr="00F60AC1" w14:paraId="1146DE8F" w14:textId="77777777">
        <w:trPr>
          <w:trHeight w:val="300"/>
        </w:trPr>
        <w:tc>
          <w:tcPr>
            <w:tcW w:w="2776" w:type="dxa"/>
            <w:noWrap/>
          </w:tcPr>
          <w:p w14:paraId="69574FBE" w14:textId="77777777" w:rsidR="007B79E6" w:rsidRPr="00F60AC1" w:rsidRDefault="00AF30FA">
            <w:pPr>
              <w:rPr>
                <w:lang w:val="en-GB"/>
              </w:rPr>
            </w:pPr>
            <w:r w:rsidRPr="00F60AC1">
              <w:rPr>
                <w:lang w:val="en-GB"/>
              </w:rPr>
              <w:t>Djibouti</w:t>
            </w:r>
          </w:p>
        </w:tc>
        <w:tc>
          <w:tcPr>
            <w:tcW w:w="1269" w:type="dxa"/>
            <w:noWrap/>
          </w:tcPr>
          <w:p w14:paraId="559B20C3" w14:textId="77777777" w:rsidR="007B79E6" w:rsidRPr="00F60AC1" w:rsidRDefault="00AF30FA">
            <w:pPr>
              <w:rPr>
                <w:lang w:val="en-GB"/>
              </w:rPr>
            </w:pPr>
            <w:r w:rsidRPr="00F60AC1">
              <w:rPr>
                <w:lang w:val="en-GB"/>
              </w:rPr>
              <w:t>X</w:t>
            </w:r>
          </w:p>
        </w:tc>
        <w:tc>
          <w:tcPr>
            <w:tcW w:w="1269" w:type="dxa"/>
            <w:noWrap/>
          </w:tcPr>
          <w:p w14:paraId="3B44C988" w14:textId="77777777" w:rsidR="007B79E6" w:rsidRPr="00F60AC1" w:rsidRDefault="00AF30FA">
            <w:pPr>
              <w:rPr>
                <w:lang w:val="en-GB"/>
              </w:rPr>
            </w:pPr>
            <w:r w:rsidRPr="00F60AC1">
              <w:rPr>
                <w:lang w:val="en-GB"/>
              </w:rPr>
              <w:t>X</w:t>
            </w:r>
          </w:p>
        </w:tc>
        <w:tc>
          <w:tcPr>
            <w:tcW w:w="1352" w:type="dxa"/>
            <w:noWrap/>
          </w:tcPr>
          <w:p w14:paraId="58F44770" w14:textId="77777777" w:rsidR="007B79E6" w:rsidRPr="00F60AC1" w:rsidRDefault="00AF30FA">
            <w:pPr>
              <w:rPr>
                <w:lang w:val="en-GB"/>
              </w:rPr>
            </w:pPr>
            <w:r w:rsidRPr="00F60AC1">
              <w:rPr>
                <w:lang w:val="en-GB"/>
              </w:rPr>
              <w:t>X</w:t>
            </w:r>
          </w:p>
        </w:tc>
        <w:tc>
          <w:tcPr>
            <w:tcW w:w="824" w:type="dxa"/>
            <w:noWrap/>
          </w:tcPr>
          <w:p w14:paraId="2E657625" w14:textId="77777777" w:rsidR="007B79E6" w:rsidRPr="00F60AC1" w:rsidRDefault="007B79E6">
            <w:pPr>
              <w:rPr>
                <w:lang w:val="en-GB"/>
              </w:rPr>
            </w:pPr>
          </w:p>
        </w:tc>
        <w:tc>
          <w:tcPr>
            <w:tcW w:w="1269" w:type="dxa"/>
            <w:noWrap/>
          </w:tcPr>
          <w:p w14:paraId="057236D9" w14:textId="77777777" w:rsidR="007B79E6" w:rsidRPr="00F60AC1" w:rsidRDefault="00AF30FA">
            <w:pPr>
              <w:rPr>
                <w:lang w:val="en-GB"/>
              </w:rPr>
            </w:pPr>
            <w:r w:rsidRPr="00F60AC1">
              <w:rPr>
                <w:lang w:val="en-GB"/>
              </w:rPr>
              <w:t> </w:t>
            </w:r>
          </w:p>
        </w:tc>
        <w:tc>
          <w:tcPr>
            <w:tcW w:w="674" w:type="dxa"/>
            <w:noWrap/>
          </w:tcPr>
          <w:p w14:paraId="09AEC84D" w14:textId="77777777" w:rsidR="007B79E6" w:rsidRPr="00F60AC1" w:rsidRDefault="00AF30FA">
            <w:pPr>
              <w:rPr>
                <w:lang w:val="en-GB"/>
              </w:rPr>
            </w:pPr>
            <w:r w:rsidRPr="00F60AC1">
              <w:rPr>
                <w:lang w:val="en-GB"/>
              </w:rPr>
              <w:t>X</w:t>
            </w:r>
          </w:p>
        </w:tc>
      </w:tr>
      <w:tr w:rsidR="007B79E6" w:rsidRPr="00F60AC1" w14:paraId="0DD2845A" w14:textId="77777777">
        <w:trPr>
          <w:trHeight w:val="300"/>
        </w:trPr>
        <w:tc>
          <w:tcPr>
            <w:tcW w:w="2776" w:type="dxa"/>
            <w:noWrap/>
          </w:tcPr>
          <w:p w14:paraId="66D4CA58" w14:textId="77777777" w:rsidR="007B79E6" w:rsidRPr="00F60AC1" w:rsidRDefault="00AF30FA">
            <w:pPr>
              <w:rPr>
                <w:lang w:val="en-GB"/>
              </w:rPr>
            </w:pPr>
            <w:r w:rsidRPr="00F60AC1">
              <w:rPr>
                <w:lang w:val="en-GB"/>
              </w:rPr>
              <w:t>Egypt</w:t>
            </w:r>
          </w:p>
        </w:tc>
        <w:tc>
          <w:tcPr>
            <w:tcW w:w="1269" w:type="dxa"/>
            <w:noWrap/>
          </w:tcPr>
          <w:p w14:paraId="0C638D3B" w14:textId="77777777" w:rsidR="007B79E6" w:rsidRPr="00F60AC1" w:rsidRDefault="00AF30FA">
            <w:pPr>
              <w:rPr>
                <w:lang w:val="en-GB"/>
              </w:rPr>
            </w:pPr>
            <w:r w:rsidRPr="00F60AC1">
              <w:rPr>
                <w:lang w:val="en-GB"/>
              </w:rPr>
              <w:t>X</w:t>
            </w:r>
          </w:p>
        </w:tc>
        <w:tc>
          <w:tcPr>
            <w:tcW w:w="1269" w:type="dxa"/>
            <w:noWrap/>
          </w:tcPr>
          <w:p w14:paraId="622DBC31" w14:textId="77777777" w:rsidR="007B79E6" w:rsidRPr="00F60AC1" w:rsidRDefault="00AF30FA">
            <w:pPr>
              <w:rPr>
                <w:lang w:val="en-GB"/>
              </w:rPr>
            </w:pPr>
            <w:r w:rsidRPr="00F60AC1">
              <w:rPr>
                <w:lang w:val="en-GB"/>
              </w:rPr>
              <w:t>X</w:t>
            </w:r>
          </w:p>
        </w:tc>
        <w:tc>
          <w:tcPr>
            <w:tcW w:w="1352" w:type="dxa"/>
            <w:noWrap/>
          </w:tcPr>
          <w:p w14:paraId="0F9980A4" w14:textId="77777777" w:rsidR="007B79E6" w:rsidRPr="00F60AC1" w:rsidRDefault="00AF30FA">
            <w:pPr>
              <w:rPr>
                <w:lang w:val="en-GB"/>
              </w:rPr>
            </w:pPr>
            <w:r w:rsidRPr="00F60AC1">
              <w:rPr>
                <w:lang w:val="en-GB"/>
              </w:rPr>
              <w:t>X</w:t>
            </w:r>
          </w:p>
        </w:tc>
        <w:tc>
          <w:tcPr>
            <w:tcW w:w="824" w:type="dxa"/>
            <w:noWrap/>
          </w:tcPr>
          <w:p w14:paraId="0EE8C915" w14:textId="77777777" w:rsidR="007B79E6" w:rsidRPr="00F60AC1" w:rsidRDefault="007B79E6">
            <w:pPr>
              <w:rPr>
                <w:lang w:val="en-GB"/>
              </w:rPr>
            </w:pPr>
          </w:p>
        </w:tc>
        <w:tc>
          <w:tcPr>
            <w:tcW w:w="1269" w:type="dxa"/>
            <w:noWrap/>
          </w:tcPr>
          <w:p w14:paraId="1376D245" w14:textId="77777777" w:rsidR="007B79E6" w:rsidRPr="00F60AC1" w:rsidRDefault="00AF30FA">
            <w:pPr>
              <w:rPr>
                <w:lang w:val="en-GB"/>
              </w:rPr>
            </w:pPr>
            <w:r w:rsidRPr="00F60AC1">
              <w:rPr>
                <w:lang w:val="en-GB"/>
              </w:rPr>
              <w:t>X</w:t>
            </w:r>
          </w:p>
        </w:tc>
        <w:tc>
          <w:tcPr>
            <w:tcW w:w="674" w:type="dxa"/>
            <w:noWrap/>
          </w:tcPr>
          <w:p w14:paraId="506D57EA" w14:textId="77777777" w:rsidR="007B79E6" w:rsidRPr="00F60AC1" w:rsidRDefault="00AF30FA">
            <w:pPr>
              <w:rPr>
                <w:lang w:val="en-GB"/>
              </w:rPr>
            </w:pPr>
            <w:r w:rsidRPr="00F60AC1">
              <w:rPr>
                <w:lang w:val="en-GB"/>
              </w:rPr>
              <w:t>X</w:t>
            </w:r>
          </w:p>
        </w:tc>
      </w:tr>
      <w:tr w:rsidR="007B79E6" w:rsidRPr="00F60AC1" w14:paraId="288F15F1" w14:textId="77777777">
        <w:trPr>
          <w:trHeight w:val="300"/>
        </w:trPr>
        <w:tc>
          <w:tcPr>
            <w:tcW w:w="2776" w:type="dxa"/>
            <w:noWrap/>
          </w:tcPr>
          <w:p w14:paraId="602C2A17" w14:textId="77777777" w:rsidR="007B79E6" w:rsidRPr="00F60AC1" w:rsidRDefault="00AF30FA">
            <w:pPr>
              <w:rPr>
                <w:lang w:val="en-GB"/>
              </w:rPr>
            </w:pPr>
            <w:r w:rsidRPr="00F60AC1">
              <w:rPr>
                <w:lang w:val="en-GB"/>
              </w:rPr>
              <w:lastRenderedPageBreak/>
              <w:t>Equatorial Guinea</w:t>
            </w:r>
          </w:p>
        </w:tc>
        <w:tc>
          <w:tcPr>
            <w:tcW w:w="1269" w:type="dxa"/>
            <w:noWrap/>
          </w:tcPr>
          <w:p w14:paraId="19579371" w14:textId="77777777" w:rsidR="007B79E6" w:rsidRPr="00F60AC1" w:rsidRDefault="00AF30FA">
            <w:pPr>
              <w:rPr>
                <w:lang w:val="en-GB"/>
              </w:rPr>
            </w:pPr>
            <w:r w:rsidRPr="00F60AC1">
              <w:rPr>
                <w:lang w:val="en-GB"/>
              </w:rPr>
              <w:t>X</w:t>
            </w:r>
          </w:p>
        </w:tc>
        <w:tc>
          <w:tcPr>
            <w:tcW w:w="1269" w:type="dxa"/>
            <w:noWrap/>
          </w:tcPr>
          <w:p w14:paraId="4FC01CC8" w14:textId="77777777" w:rsidR="007B79E6" w:rsidRPr="00F60AC1" w:rsidRDefault="00AF30FA">
            <w:pPr>
              <w:rPr>
                <w:lang w:val="en-GB"/>
              </w:rPr>
            </w:pPr>
            <w:r w:rsidRPr="00F60AC1">
              <w:rPr>
                <w:lang w:val="en-GB"/>
              </w:rPr>
              <w:t>X</w:t>
            </w:r>
          </w:p>
        </w:tc>
        <w:tc>
          <w:tcPr>
            <w:tcW w:w="1352" w:type="dxa"/>
            <w:noWrap/>
          </w:tcPr>
          <w:p w14:paraId="181D107B" w14:textId="77777777" w:rsidR="007B79E6" w:rsidRPr="00F60AC1" w:rsidRDefault="00AF30FA">
            <w:pPr>
              <w:rPr>
                <w:lang w:val="en-GB"/>
              </w:rPr>
            </w:pPr>
            <w:r w:rsidRPr="00F60AC1">
              <w:rPr>
                <w:lang w:val="en-GB"/>
              </w:rPr>
              <w:t>X</w:t>
            </w:r>
          </w:p>
        </w:tc>
        <w:tc>
          <w:tcPr>
            <w:tcW w:w="824" w:type="dxa"/>
            <w:noWrap/>
          </w:tcPr>
          <w:p w14:paraId="2E0E00C6" w14:textId="77777777" w:rsidR="007B79E6" w:rsidRPr="00F60AC1" w:rsidRDefault="007B79E6">
            <w:pPr>
              <w:rPr>
                <w:lang w:val="en-GB"/>
              </w:rPr>
            </w:pPr>
          </w:p>
        </w:tc>
        <w:tc>
          <w:tcPr>
            <w:tcW w:w="1269" w:type="dxa"/>
            <w:noWrap/>
          </w:tcPr>
          <w:p w14:paraId="6A406758" w14:textId="77777777" w:rsidR="007B79E6" w:rsidRPr="00F60AC1" w:rsidRDefault="00AF30FA">
            <w:pPr>
              <w:rPr>
                <w:lang w:val="en-GB"/>
              </w:rPr>
            </w:pPr>
            <w:r w:rsidRPr="00F60AC1">
              <w:rPr>
                <w:lang w:val="en-GB"/>
              </w:rPr>
              <w:t> </w:t>
            </w:r>
          </w:p>
        </w:tc>
        <w:tc>
          <w:tcPr>
            <w:tcW w:w="674" w:type="dxa"/>
            <w:noWrap/>
          </w:tcPr>
          <w:p w14:paraId="43C99CBF" w14:textId="77777777" w:rsidR="007B79E6" w:rsidRPr="00F60AC1" w:rsidRDefault="007B79E6">
            <w:pPr>
              <w:rPr>
                <w:lang w:val="en-GB"/>
              </w:rPr>
            </w:pPr>
          </w:p>
        </w:tc>
      </w:tr>
      <w:tr w:rsidR="007B79E6" w:rsidRPr="00F60AC1" w14:paraId="449CFF25" w14:textId="77777777">
        <w:trPr>
          <w:trHeight w:val="300"/>
        </w:trPr>
        <w:tc>
          <w:tcPr>
            <w:tcW w:w="2776" w:type="dxa"/>
            <w:noWrap/>
          </w:tcPr>
          <w:p w14:paraId="14498E21" w14:textId="77777777" w:rsidR="007B79E6" w:rsidRPr="00F60AC1" w:rsidRDefault="00AF30FA">
            <w:pPr>
              <w:rPr>
                <w:lang w:val="en-GB"/>
              </w:rPr>
            </w:pPr>
            <w:r w:rsidRPr="00F60AC1">
              <w:rPr>
                <w:lang w:val="en-GB"/>
              </w:rPr>
              <w:t>Eritrea</w:t>
            </w:r>
          </w:p>
        </w:tc>
        <w:tc>
          <w:tcPr>
            <w:tcW w:w="1269" w:type="dxa"/>
            <w:noWrap/>
          </w:tcPr>
          <w:p w14:paraId="64DE37B7" w14:textId="77777777" w:rsidR="007B79E6" w:rsidRPr="00F60AC1" w:rsidRDefault="007B79E6">
            <w:pPr>
              <w:rPr>
                <w:lang w:val="en-GB"/>
              </w:rPr>
            </w:pPr>
          </w:p>
        </w:tc>
        <w:tc>
          <w:tcPr>
            <w:tcW w:w="1269" w:type="dxa"/>
            <w:noWrap/>
          </w:tcPr>
          <w:p w14:paraId="3C0C5C5F" w14:textId="77777777" w:rsidR="007B79E6" w:rsidRPr="00F60AC1" w:rsidRDefault="007B79E6">
            <w:pPr>
              <w:rPr>
                <w:lang w:val="en-GB"/>
              </w:rPr>
            </w:pPr>
          </w:p>
        </w:tc>
        <w:tc>
          <w:tcPr>
            <w:tcW w:w="1352" w:type="dxa"/>
            <w:noWrap/>
          </w:tcPr>
          <w:p w14:paraId="414069C6" w14:textId="77777777" w:rsidR="007B79E6" w:rsidRPr="00F60AC1" w:rsidRDefault="007B79E6">
            <w:pPr>
              <w:rPr>
                <w:lang w:val="en-GB"/>
              </w:rPr>
            </w:pPr>
          </w:p>
        </w:tc>
        <w:tc>
          <w:tcPr>
            <w:tcW w:w="824" w:type="dxa"/>
            <w:noWrap/>
          </w:tcPr>
          <w:p w14:paraId="5F26B2C9" w14:textId="77777777" w:rsidR="007B79E6" w:rsidRPr="00F60AC1" w:rsidRDefault="007B79E6">
            <w:pPr>
              <w:rPr>
                <w:lang w:val="en-GB"/>
              </w:rPr>
            </w:pPr>
          </w:p>
        </w:tc>
        <w:tc>
          <w:tcPr>
            <w:tcW w:w="1269" w:type="dxa"/>
            <w:noWrap/>
          </w:tcPr>
          <w:p w14:paraId="6AA5AB66" w14:textId="77777777" w:rsidR="007B79E6" w:rsidRPr="00F60AC1" w:rsidRDefault="00AF30FA">
            <w:pPr>
              <w:rPr>
                <w:lang w:val="en-GB"/>
              </w:rPr>
            </w:pPr>
            <w:r w:rsidRPr="00F60AC1">
              <w:rPr>
                <w:lang w:val="en-GB"/>
              </w:rPr>
              <w:t> </w:t>
            </w:r>
          </w:p>
        </w:tc>
        <w:tc>
          <w:tcPr>
            <w:tcW w:w="674" w:type="dxa"/>
            <w:noWrap/>
          </w:tcPr>
          <w:p w14:paraId="70AD54D9" w14:textId="77777777" w:rsidR="007B79E6" w:rsidRPr="00F60AC1" w:rsidRDefault="007B79E6">
            <w:pPr>
              <w:rPr>
                <w:lang w:val="en-GB"/>
              </w:rPr>
            </w:pPr>
          </w:p>
        </w:tc>
      </w:tr>
      <w:tr w:rsidR="007B79E6" w:rsidRPr="00F60AC1" w14:paraId="0AB73AB3" w14:textId="77777777">
        <w:trPr>
          <w:trHeight w:val="300"/>
        </w:trPr>
        <w:tc>
          <w:tcPr>
            <w:tcW w:w="2776" w:type="dxa"/>
            <w:noWrap/>
          </w:tcPr>
          <w:p w14:paraId="55F50116" w14:textId="77777777" w:rsidR="007B79E6" w:rsidRPr="00F60AC1" w:rsidRDefault="00AF30FA">
            <w:pPr>
              <w:rPr>
                <w:lang w:val="en-GB"/>
              </w:rPr>
            </w:pPr>
            <w:r w:rsidRPr="00F60AC1">
              <w:rPr>
                <w:lang w:val="en-GB"/>
              </w:rPr>
              <w:t>Eswatini</w:t>
            </w:r>
          </w:p>
        </w:tc>
        <w:tc>
          <w:tcPr>
            <w:tcW w:w="1269" w:type="dxa"/>
            <w:noWrap/>
          </w:tcPr>
          <w:p w14:paraId="3337903F" w14:textId="77777777" w:rsidR="007B79E6" w:rsidRPr="00F60AC1" w:rsidRDefault="00AF30FA">
            <w:pPr>
              <w:rPr>
                <w:lang w:val="en-GB"/>
              </w:rPr>
            </w:pPr>
            <w:r w:rsidRPr="00F60AC1">
              <w:rPr>
                <w:lang w:val="en-GB"/>
              </w:rPr>
              <w:t>X</w:t>
            </w:r>
          </w:p>
        </w:tc>
        <w:tc>
          <w:tcPr>
            <w:tcW w:w="1269" w:type="dxa"/>
            <w:noWrap/>
          </w:tcPr>
          <w:p w14:paraId="75A57FE6" w14:textId="77777777" w:rsidR="007B79E6" w:rsidRPr="00F60AC1" w:rsidRDefault="00AF30FA">
            <w:pPr>
              <w:rPr>
                <w:lang w:val="en-GB"/>
              </w:rPr>
            </w:pPr>
            <w:r w:rsidRPr="00F60AC1">
              <w:rPr>
                <w:lang w:val="en-GB"/>
              </w:rPr>
              <w:t>X</w:t>
            </w:r>
          </w:p>
        </w:tc>
        <w:tc>
          <w:tcPr>
            <w:tcW w:w="1352" w:type="dxa"/>
            <w:noWrap/>
          </w:tcPr>
          <w:p w14:paraId="6928918A" w14:textId="77777777" w:rsidR="007B79E6" w:rsidRPr="00F60AC1" w:rsidRDefault="00AF30FA">
            <w:pPr>
              <w:rPr>
                <w:lang w:val="en-GB"/>
              </w:rPr>
            </w:pPr>
            <w:r w:rsidRPr="00F60AC1">
              <w:rPr>
                <w:lang w:val="en-GB"/>
              </w:rPr>
              <w:t>X</w:t>
            </w:r>
          </w:p>
        </w:tc>
        <w:tc>
          <w:tcPr>
            <w:tcW w:w="824" w:type="dxa"/>
            <w:noWrap/>
          </w:tcPr>
          <w:p w14:paraId="5464460E" w14:textId="77777777" w:rsidR="007B79E6" w:rsidRPr="00F60AC1" w:rsidRDefault="007B79E6">
            <w:pPr>
              <w:rPr>
                <w:lang w:val="en-GB"/>
              </w:rPr>
            </w:pPr>
          </w:p>
        </w:tc>
        <w:tc>
          <w:tcPr>
            <w:tcW w:w="1269" w:type="dxa"/>
            <w:noWrap/>
          </w:tcPr>
          <w:p w14:paraId="25E068A5" w14:textId="77777777" w:rsidR="007B79E6" w:rsidRPr="00F60AC1" w:rsidRDefault="00AF30FA">
            <w:pPr>
              <w:rPr>
                <w:lang w:val="en-GB"/>
              </w:rPr>
            </w:pPr>
            <w:r w:rsidRPr="00F60AC1">
              <w:rPr>
                <w:lang w:val="en-GB"/>
              </w:rPr>
              <w:t> </w:t>
            </w:r>
          </w:p>
        </w:tc>
        <w:tc>
          <w:tcPr>
            <w:tcW w:w="674" w:type="dxa"/>
            <w:noWrap/>
          </w:tcPr>
          <w:p w14:paraId="2D1B4873" w14:textId="77777777" w:rsidR="007B79E6" w:rsidRPr="00F60AC1" w:rsidRDefault="00AF30FA">
            <w:pPr>
              <w:rPr>
                <w:lang w:val="en-GB"/>
              </w:rPr>
            </w:pPr>
            <w:r w:rsidRPr="00F60AC1">
              <w:rPr>
                <w:lang w:val="en-GB"/>
              </w:rPr>
              <w:t>X</w:t>
            </w:r>
          </w:p>
        </w:tc>
      </w:tr>
      <w:tr w:rsidR="007B79E6" w:rsidRPr="00F60AC1" w14:paraId="1F0CD2AE" w14:textId="77777777">
        <w:trPr>
          <w:trHeight w:val="300"/>
        </w:trPr>
        <w:tc>
          <w:tcPr>
            <w:tcW w:w="2776" w:type="dxa"/>
            <w:noWrap/>
          </w:tcPr>
          <w:p w14:paraId="32538D1D" w14:textId="77777777" w:rsidR="007B79E6" w:rsidRPr="00F60AC1" w:rsidRDefault="00AF30FA">
            <w:pPr>
              <w:rPr>
                <w:lang w:val="en-GB"/>
              </w:rPr>
            </w:pPr>
            <w:r w:rsidRPr="00F60AC1">
              <w:rPr>
                <w:lang w:val="en-GB"/>
              </w:rPr>
              <w:t>Ethiopia</w:t>
            </w:r>
          </w:p>
        </w:tc>
        <w:tc>
          <w:tcPr>
            <w:tcW w:w="1269" w:type="dxa"/>
            <w:noWrap/>
          </w:tcPr>
          <w:p w14:paraId="4A597231" w14:textId="77777777" w:rsidR="007B79E6" w:rsidRPr="00F60AC1" w:rsidRDefault="007B79E6">
            <w:pPr>
              <w:rPr>
                <w:lang w:val="en-GB"/>
              </w:rPr>
            </w:pPr>
          </w:p>
        </w:tc>
        <w:tc>
          <w:tcPr>
            <w:tcW w:w="1269" w:type="dxa"/>
            <w:noWrap/>
          </w:tcPr>
          <w:p w14:paraId="647EA7C7" w14:textId="77777777" w:rsidR="007B79E6" w:rsidRPr="00F60AC1" w:rsidRDefault="007B79E6">
            <w:pPr>
              <w:rPr>
                <w:lang w:val="en-GB"/>
              </w:rPr>
            </w:pPr>
          </w:p>
        </w:tc>
        <w:tc>
          <w:tcPr>
            <w:tcW w:w="1352" w:type="dxa"/>
            <w:noWrap/>
          </w:tcPr>
          <w:p w14:paraId="69F75F4C" w14:textId="77777777" w:rsidR="007B79E6" w:rsidRPr="00F60AC1" w:rsidRDefault="007B79E6">
            <w:pPr>
              <w:rPr>
                <w:lang w:val="en-GB"/>
              </w:rPr>
            </w:pPr>
          </w:p>
        </w:tc>
        <w:tc>
          <w:tcPr>
            <w:tcW w:w="824" w:type="dxa"/>
            <w:noWrap/>
          </w:tcPr>
          <w:p w14:paraId="520FD6ED" w14:textId="77777777" w:rsidR="007B79E6" w:rsidRPr="00F60AC1" w:rsidRDefault="007B79E6">
            <w:pPr>
              <w:rPr>
                <w:lang w:val="en-GB"/>
              </w:rPr>
            </w:pPr>
          </w:p>
        </w:tc>
        <w:tc>
          <w:tcPr>
            <w:tcW w:w="1269" w:type="dxa"/>
            <w:noWrap/>
          </w:tcPr>
          <w:p w14:paraId="44B526A7" w14:textId="77777777" w:rsidR="007B79E6" w:rsidRPr="00F60AC1" w:rsidRDefault="00AF30FA">
            <w:pPr>
              <w:rPr>
                <w:lang w:val="en-GB"/>
              </w:rPr>
            </w:pPr>
            <w:r w:rsidRPr="00F60AC1">
              <w:rPr>
                <w:lang w:val="en-GB"/>
              </w:rPr>
              <w:t> </w:t>
            </w:r>
          </w:p>
        </w:tc>
        <w:tc>
          <w:tcPr>
            <w:tcW w:w="674" w:type="dxa"/>
            <w:noWrap/>
          </w:tcPr>
          <w:p w14:paraId="7498A55D" w14:textId="77777777" w:rsidR="007B79E6" w:rsidRPr="00F60AC1" w:rsidRDefault="007B79E6">
            <w:pPr>
              <w:rPr>
                <w:lang w:val="en-GB"/>
              </w:rPr>
            </w:pPr>
          </w:p>
        </w:tc>
      </w:tr>
      <w:tr w:rsidR="007B79E6" w:rsidRPr="00F60AC1" w14:paraId="009F4828" w14:textId="77777777">
        <w:trPr>
          <w:trHeight w:val="300"/>
        </w:trPr>
        <w:tc>
          <w:tcPr>
            <w:tcW w:w="2776" w:type="dxa"/>
            <w:noWrap/>
          </w:tcPr>
          <w:p w14:paraId="49FB1448" w14:textId="77777777" w:rsidR="007B79E6" w:rsidRPr="00F60AC1" w:rsidRDefault="00AF30FA">
            <w:pPr>
              <w:rPr>
                <w:lang w:val="en-GB"/>
              </w:rPr>
            </w:pPr>
            <w:r w:rsidRPr="00F60AC1">
              <w:rPr>
                <w:lang w:val="en-GB"/>
              </w:rPr>
              <w:t>Gabon</w:t>
            </w:r>
          </w:p>
        </w:tc>
        <w:tc>
          <w:tcPr>
            <w:tcW w:w="1269" w:type="dxa"/>
            <w:noWrap/>
          </w:tcPr>
          <w:p w14:paraId="4045FB67" w14:textId="77777777" w:rsidR="007B79E6" w:rsidRPr="00F60AC1" w:rsidRDefault="00AF30FA">
            <w:pPr>
              <w:rPr>
                <w:lang w:val="en-GB"/>
              </w:rPr>
            </w:pPr>
            <w:r w:rsidRPr="00F60AC1">
              <w:rPr>
                <w:lang w:val="en-GB"/>
              </w:rPr>
              <w:t>X</w:t>
            </w:r>
          </w:p>
        </w:tc>
        <w:tc>
          <w:tcPr>
            <w:tcW w:w="1269" w:type="dxa"/>
            <w:noWrap/>
          </w:tcPr>
          <w:p w14:paraId="57CA71D0" w14:textId="77777777" w:rsidR="007B79E6" w:rsidRPr="00F60AC1" w:rsidRDefault="00AF30FA">
            <w:pPr>
              <w:rPr>
                <w:lang w:val="en-GB"/>
              </w:rPr>
            </w:pPr>
            <w:r w:rsidRPr="00F60AC1">
              <w:rPr>
                <w:lang w:val="en-GB"/>
              </w:rPr>
              <w:t>X</w:t>
            </w:r>
          </w:p>
        </w:tc>
        <w:tc>
          <w:tcPr>
            <w:tcW w:w="1352" w:type="dxa"/>
            <w:noWrap/>
          </w:tcPr>
          <w:p w14:paraId="0C7D18C6" w14:textId="77777777" w:rsidR="007B79E6" w:rsidRPr="00F60AC1" w:rsidRDefault="00AF30FA">
            <w:pPr>
              <w:rPr>
                <w:lang w:val="en-GB"/>
              </w:rPr>
            </w:pPr>
            <w:r w:rsidRPr="00F60AC1">
              <w:rPr>
                <w:lang w:val="en-GB"/>
              </w:rPr>
              <w:t>X</w:t>
            </w:r>
          </w:p>
        </w:tc>
        <w:tc>
          <w:tcPr>
            <w:tcW w:w="824" w:type="dxa"/>
            <w:noWrap/>
          </w:tcPr>
          <w:p w14:paraId="362C2019" w14:textId="77777777" w:rsidR="007B79E6" w:rsidRPr="00F60AC1" w:rsidRDefault="007B79E6">
            <w:pPr>
              <w:rPr>
                <w:lang w:val="en-GB"/>
              </w:rPr>
            </w:pPr>
          </w:p>
        </w:tc>
        <w:tc>
          <w:tcPr>
            <w:tcW w:w="1269" w:type="dxa"/>
            <w:noWrap/>
          </w:tcPr>
          <w:p w14:paraId="55D83373" w14:textId="77777777" w:rsidR="007B79E6" w:rsidRPr="00F60AC1" w:rsidRDefault="00AF30FA">
            <w:pPr>
              <w:rPr>
                <w:lang w:val="en-GB"/>
              </w:rPr>
            </w:pPr>
            <w:r w:rsidRPr="00F60AC1">
              <w:rPr>
                <w:lang w:val="en-GB"/>
              </w:rPr>
              <w:t> </w:t>
            </w:r>
          </w:p>
        </w:tc>
        <w:tc>
          <w:tcPr>
            <w:tcW w:w="674" w:type="dxa"/>
            <w:noWrap/>
          </w:tcPr>
          <w:p w14:paraId="623AB0D8" w14:textId="77777777" w:rsidR="007B79E6" w:rsidRPr="00F60AC1" w:rsidRDefault="00AF30FA">
            <w:pPr>
              <w:rPr>
                <w:lang w:val="en-GB"/>
              </w:rPr>
            </w:pPr>
            <w:r w:rsidRPr="00F60AC1">
              <w:rPr>
                <w:lang w:val="en-GB"/>
              </w:rPr>
              <w:t>X</w:t>
            </w:r>
          </w:p>
        </w:tc>
      </w:tr>
      <w:tr w:rsidR="007B79E6" w:rsidRPr="00F60AC1" w14:paraId="305A85C7" w14:textId="77777777">
        <w:trPr>
          <w:trHeight w:val="300"/>
        </w:trPr>
        <w:tc>
          <w:tcPr>
            <w:tcW w:w="2776" w:type="dxa"/>
            <w:noWrap/>
          </w:tcPr>
          <w:p w14:paraId="799FD968" w14:textId="77777777" w:rsidR="007B79E6" w:rsidRPr="00F60AC1" w:rsidRDefault="00AF30FA">
            <w:pPr>
              <w:rPr>
                <w:lang w:val="en-GB"/>
              </w:rPr>
            </w:pPr>
            <w:r w:rsidRPr="00F60AC1">
              <w:rPr>
                <w:lang w:val="en-GB"/>
              </w:rPr>
              <w:t>Gambia</w:t>
            </w:r>
          </w:p>
        </w:tc>
        <w:tc>
          <w:tcPr>
            <w:tcW w:w="1269" w:type="dxa"/>
            <w:noWrap/>
          </w:tcPr>
          <w:p w14:paraId="04645170" w14:textId="77777777" w:rsidR="007B79E6" w:rsidRPr="00F60AC1" w:rsidRDefault="00AF30FA">
            <w:pPr>
              <w:rPr>
                <w:lang w:val="en-GB"/>
              </w:rPr>
            </w:pPr>
            <w:r w:rsidRPr="00F60AC1">
              <w:rPr>
                <w:lang w:val="en-GB"/>
              </w:rPr>
              <w:t>X</w:t>
            </w:r>
          </w:p>
        </w:tc>
        <w:tc>
          <w:tcPr>
            <w:tcW w:w="1269" w:type="dxa"/>
            <w:noWrap/>
          </w:tcPr>
          <w:p w14:paraId="1794EEDC" w14:textId="77777777" w:rsidR="007B79E6" w:rsidRPr="00F60AC1" w:rsidRDefault="00AF30FA">
            <w:pPr>
              <w:rPr>
                <w:lang w:val="en-GB"/>
              </w:rPr>
            </w:pPr>
            <w:r w:rsidRPr="00F60AC1">
              <w:rPr>
                <w:lang w:val="en-GB"/>
              </w:rPr>
              <w:t>X</w:t>
            </w:r>
          </w:p>
        </w:tc>
        <w:tc>
          <w:tcPr>
            <w:tcW w:w="1352" w:type="dxa"/>
            <w:noWrap/>
          </w:tcPr>
          <w:p w14:paraId="479C381A" w14:textId="77777777" w:rsidR="007B79E6" w:rsidRPr="00F60AC1" w:rsidRDefault="00AF30FA">
            <w:pPr>
              <w:rPr>
                <w:lang w:val="en-GB"/>
              </w:rPr>
            </w:pPr>
            <w:r w:rsidRPr="00F60AC1">
              <w:rPr>
                <w:lang w:val="en-GB"/>
              </w:rPr>
              <w:t>X</w:t>
            </w:r>
          </w:p>
        </w:tc>
        <w:tc>
          <w:tcPr>
            <w:tcW w:w="824" w:type="dxa"/>
            <w:noWrap/>
          </w:tcPr>
          <w:p w14:paraId="4F21108A" w14:textId="77777777" w:rsidR="007B79E6" w:rsidRPr="00F60AC1" w:rsidRDefault="007B79E6">
            <w:pPr>
              <w:rPr>
                <w:lang w:val="en-GB"/>
              </w:rPr>
            </w:pPr>
          </w:p>
        </w:tc>
        <w:tc>
          <w:tcPr>
            <w:tcW w:w="1269" w:type="dxa"/>
            <w:noWrap/>
          </w:tcPr>
          <w:p w14:paraId="428468D5" w14:textId="77777777" w:rsidR="007B79E6" w:rsidRPr="00F60AC1" w:rsidRDefault="00AF30FA">
            <w:pPr>
              <w:rPr>
                <w:lang w:val="en-GB"/>
              </w:rPr>
            </w:pPr>
            <w:r w:rsidRPr="00F60AC1">
              <w:rPr>
                <w:lang w:val="en-GB"/>
              </w:rPr>
              <w:t> </w:t>
            </w:r>
          </w:p>
        </w:tc>
        <w:tc>
          <w:tcPr>
            <w:tcW w:w="674" w:type="dxa"/>
            <w:noWrap/>
          </w:tcPr>
          <w:p w14:paraId="6CB68007" w14:textId="77777777" w:rsidR="007B79E6" w:rsidRPr="00F60AC1" w:rsidRDefault="00AF30FA">
            <w:pPr>
              <w:rPr>
                <w:lang w:val="en-GB"/>
              </w:rPr>
            </w:pPr>
            <w:r w:rsidRPr="00F60AC1">
              <w:rPr>
                <w:lang w:val="en-GB"/>
              </w:rPr>
              <w:t>X</w:t>
            </w:r>
          </w:p>
        </w:tc>
      </w:tr>
      <w:tr w:rsidR="007B79E6" w:rsidRPr="00F60AC1" w14:paraId="09854F32" w14:textId="77777777">
        <w:trPr>
          <w:trHeight w:val="300"/>
        </w:trPr>
        <w:tc>
          <w:tcPr>
            <w:tcW w:w="2776" w:type="dxa"/>
            <w:noWrap/>
          </w:tcPr>
          <w:p w14:paraId="1BCAF93D" w14:textId="77777777" w:rsidR="007B79E6" w:rsidRPr="00F60AC1" w:rsidRDefault="00AF30FA">
            <w:pPr>
              <w:rPr>
                <w:lang w:val="en-GB"/>
              </w:rPr>
            </w:pPr>
            <w:r w:rsidRPr="00F60AC1">
              <w:rPr>
                <w:lang w:val="en-GB"/>
              </w:rPr>
              <w:t>Ghana</w:t>
            </w:r>
          </w:p>
        </w:tc>
        <w:tc>
          <w:tcPr>
            <w:tcW w:w="1269" w:type="dxa"/>
            <w:noWrap/>
          </w:tcPr>
          <w:p w14:paraId="54C859BF" w14:textId="77777777" w:rsidR="007B79E6" w:rsidRPr="00F60AC1" w:rsidRDefault="00AF30FA">
            <w:pPr>
              <w:rPr>
                <w:lang w:val="en-GB"/>
              </w:rPr>
            </w:pPr>
            <w:r w:rsidRPr="00F60AC1">
              <w:rPr>
                <w:lang w:val="en-GB"/>
              </w:rPr>
              <w:t>X</w:t>
            </w:r>
          </w:p>
        </w:tc>
        <w:tc>
          <w:tcPr>
            <w:tcW w:w="1269" w:type="dxa"/>
            <w:noWrap/>
          </w:tcPr>
          <w:p w14:paraId="2527E442" w14:textId="77777777" w:rsidR="007B79E6" w:rsidRPr="00F60AC1" w:rsidRDefault="00AF30FA">
            <w:pPr>
              <w:rPr>
                <w:lang w:val="en-GB"/>
              </w:rPr>
            </w:pPr>
            <w:r w:rsidRPr="00F60AC1">
              <w:rPr>
                <w:lang w:val="en-GB"/>
              </w:rPr>
              <w:t>X</w:t>
            </w:r>
          </w:p>
        </w:tc>
        <w:tc>
          <w:tcPr>
            <w:tcW w:w="1352" w:type="dxa"/>
            <w:noWrap/>
          </w:tcPr>
          <w:p w14:paraId="066C72B9" w14:textId="77777777" w:rsidR="007B79E6" w:rsidRPr="00F60AC1" w:rsidRDefault="00AF30FA">
            <w:pPr>
              <w:rPr>
                <w:lang w:val="en-GB"/>
              </w:rPr>
            </w:pPr>
            <w:r w:rsidRPr="00F60AC1">
              <w:rPr>
                <w:lang w:val="en-GB"/>
              </w:rPr>
              <w:t>X</w:t>
            </w:r>
          </w:p>
        </w:tc>
        <w:tc>
          <w:tcPr>
            <w:tcW w:w="824" w:type="dxa"/>
            <w:noWrap/>
          </w:tcPr>
          <w:p w14:paraId="0979E646" w14:textId="77777777" w:rsidR="007B79E6" w:rsidRPr="00F60AC1" w:rsidRDefault="007B79E6">
            <w:pPr>
              <w:rPr>
                <w:lang w:val="en-GB"/>
              </w:rPr>
            </w:pPr>
          </w:p>
        </w:tc>
        <w:tc>
          <w:tcPr>
            <w:tcW w:w="1269" w:type="dxa"/>
            <w:noWrap/>
          </w:tcPr>
          <w:p w14:paraId="2483AE59" w14:textId="77777777" w:rsidR="007B79E6" w:rsidRPr="00F60AC1" w:rsidRDefault="00AF30FA">
            <w:pPr>
              <w:rPr>
                <w:lang w:val="en-GB"/>
              </w:rPr>
            </w:pPr>
            <w:r w:rsidRPr="00F60AC1">
              <w:rPr>
                <w:lang w:val="en-GB"/>
              </w:rPr>
              <w:t> </w:t>
            </w:r>
          </w:p>
        </w:tc>
        <w:tc>
          <w:tcPr>
            <w:tcW w:w="674" w:type="dxa"/>
            <w:noWrap/>
          </w:tcPr>
          <w:p w14:paraId="6AC45888" w14:textId="77777777" w:rsidR="007B79E6" w:rsidRPr="00F60AC1" w:rsidRDefault="00AF30FA">
            <w:pPr>
              <w:rPr>
                <w:lang w:val="en-GB"/>
              </w:rPr>
            </w:pPr>
            <w:r w:rsidRPr="00F60AC1">
              <w:rPr>
                <w:lang w:val="en-GB"/>
              </w:rPr>
              <w:t>X</w:t>
            </w:r>
          </w:p>
        </w:tc>
      </w:tr>
      <w:tr w:rsidR="007B79E6" w:rsidRPr="00F60AC1" w14:paraId="3F4EF9B6" w14:textId="77777777">
        <w:trPr>
          <w:trHeight w:val="300"/>
        </w:trPr>
        <w:tc>
          <w:tcPr>
            <w:tcW w:w="2776" w:type="dxa"/>
            <w:noWrap/>
          </w:tcPr>
          <w:p w14:paraId="5A3BF952" w14:textId="77777777" w:rsidR="007B79E6" w:rsidRPr="00F60AC1" w:rsidRDefault="00AF30FA">
            <w:pPr>
              <w:rPr>
                <w:lang w:val="en-GB"/>
              </w:rPr>
            </w:pPr>
            <w:r w:rsidRPr="00F60AC1">
              <w:rPr>
                <w:lang w:val="en-GB"/>
              </w:rPr>
              <w:t>Guinea</w:t>
            </w:r>
          </w:p>
        </w:tc>
        <w:tc>
          <w:tcPr>
            <w:tcW w:w="1269" w:type="dxa"/>
            <w:noWrap/>
          </w:tcPr>
          <w:p w14:paraId="49D8958E" w14:textId="77777777" w:rsidR="007B79E6" w:rsidRPr="00F60AC1" w:rsidRDefault="00AF30FA">
            <w:pPr>
              <w:rPr>
                <w:lang w:val="en-GB"/>
              </w:rPr>
            </w:pPr>
            <w:r w:rsidRPr="00F60AC1">
              <w:rPr>
                <w:lang w:val="en-GB"/>
              </w:rPr>
              <w:t>X</w:t>
            </w:r>
          </w:p>
        </w:tc>
        <w:tc>
          <w:tcPr>
            <w:tcW w:w="1269" w:type="dxa"/>
            <w:noWrap/>
          </w:tcPr>
          <w:p w14:paraId="14EE4F77" w14:textId="77777777" w:rsidR="007B79E6" w:rsidRPr="00F60AC1" w:rsidRDefault="00AF30FA">
            <w:pPr>
              <w:rPr>
                <w:lang w:val="en-GB"/>
              </w:rPr>
            </w:pPr>
            <w:r w:rsidRPr="00F60AC1">
              <w:rPr>
                <w:lang w:val="en-GB"/>
              </w:rPr>
              <w:t>X</w:t>
            </w:r>
          </w:p>
        </w:tc>
        <w:tc>
          <w:tcPr>
            <w:tcW w:w="1352" w:type="dxa"/>
            <w:noWrap/>
          </w:tcPr>
          <w:p w14:paraId="156B4AC5" w14:textId="77777777" w:rsidR="007B79E6" w:rsidRPr="00F60AC1" w:rsidRDefault="00AF30FA">
            <w:pPr>
              <w:rPr>
                <w:lang w:val="en-GB"/>
              </w:rPr>
            </w:pPr>
            <w:r w:rsidRPr="00F60AC1">
              <w:rPr>
                <w:lang w:val="en-GB"/>
              </w:rPr>
              <w:t>X</w:t>
            </w:r>
          </w:p>
        </w:tc>
        <w:tc>
          <w:tcPr>
            <w:tcW w:w="824" w:type="dxa"/>
            <w:noWrap/>
          </w:tcPr>
          <w:p w14:paraId="5020266E" w14:textId="77777777" w:rsidR="007B79E6" w:rsidRPr="00F60AC1" w:rsidRDefault="007B79E6">
            <w:pPr>
              <w:rPr>
                <w:lang w:val="en-GB"/>
              </w:rPr>
            </w:pPr>
          </w:p>
        </w:tc>
        <w:tc>
          <w:tcPr>
            <w:tcW w:w="1269" w:type="dxa"/>
            <w:noWrap/>
          </w:tcPr>
          <w:p w14:paraId="7C6F3302" w14:textId="77777777" w:rsidR="007B79E6" w:rsidRPr="00F60AC1" w:rsidRDefault="00AF30FA">
            <w:pPr>
              <w:rPr>
                <w:lang w:val="en-GB"/>
              </w:rPr>
            </w:pPr>
            <w:r w:rsidRPr="00F60AC1">
              <w:rPr>
                <w:lang w:val="en-GB"/>
              </w:rPr>
              <w:t> </w:t>
            </w:r>
          </w:p>
        </w:tc>
        <w:tc>
          <w:tcPr>
            <w:tcW w:w="674" w:type="dxa"/>
            <w:noWrap/>
          </w:tcPr>
          <w:p w14:paraId="5104C6E4" w14:textId="77777777" w:rsidR="007B79E6" w:rsidRPr="00F60AC1" w:rsidRDefault="00AF30FA">
            <w:pPr>
              <w:rPr>
                <w:lang w:val="en-GB"/>
              </w:rPr>
            </w:pPr>
            <w:r w:rsidRPr="00F60AC1">
              <w:rPr>
                <w:lang w:val="en-GB"/>
              </w:rPr>
              <w:t>X</w:t>
            </w:r>
          </w:p>
        </w:tc>
      </w:tr>
      <w:tr w:rsidR="007B79E6" w:rsidRPr="00F60AC1" w14:paraId="634D5B2A" w14:textId="77777777">
        <w:trPr>
          <w:trHeight w:val="300"/>
        </w:trPr>
        <w:tc>
          <w:tcPr>
            <w:tcW w:w="2776" w:type="dxa"/>
            <w:noWrap/>
          </w:tcPr>
          <w:p w14:paraId="53CE8FA3" w14:textId="77777777" w:rsidR="007B79E6" w:rsidRPr="00F60AC1" w:rsidRDefault="00AF30FA">
            <w:pPr>
              <w:rPr>
                <w:lang w:val="en-GB"/>
              </w:rPr>
            </w:pPr>
            <w:r w:rsidRPr="00F60AC1">
              <w:rPr>
                <w:lang w:val="en-GB"/>
              </w:rPr>
              <w:t>Kenya</w:t>
            </w:r>
          </w:p>
        </w:tc>
        <w:tc>
          <w:tcPr>
            <w:tcW w:w="1269" w:type="dxa"/>
            <w:noWrap/>
          </w:tcPr>
          <w:p w14:paraId="366935DC" w14:textId="77777777" w:rsidR="007B79E6" w:rsidRPr="00F60AC1" w:rsidRDefault="00AF30FA">
            <w:pPr>
              <w:rPr>
                <w:lang w:val="en-GB"/>
              </w:rPr>
            </w:pPr>
            <w:r w:rsidRPr="00F60AC1">
              <w:rPr>
                <w:lang w:val="en-GB"/>
              </w:rPr>
              <w:t>X</w:t>
            </w:r>
          </w:p>
        </w:tc>
        <w:tc>
          <w:tcPr>
            <w:tcW w:w="1269" w:type="dxa"/>
            <w:noWrap/>
          </w:tcPr>
          <w:p w14:paraId="7D4403FF" w14:textId="77777777" w:rsidR="007B79E6" w:rsidRPr="00F60AC1" w:rsidRDefault="00AF30FA">
            <w:pPr>
              <w:rPr>
                <w:lang w:val="en-GB"/>
              </w:rPr>
            </w:pPr>
            <w:r w:rsidRPr="00F60AC1">
              <w:rPr>
                <w:lang w:val="en-GB"/>
              </w:rPr>
              <w:t>X</w:t>
            </w:r>
          </w:p>
        </w:tc>
        <w:tc>
          <w:tcPr>
            <w:tcW w:w="1352" w:type="dxa"/>
            <w:noWrap/>
          </w:tcPr>
          <w:p w14:paraId="355A4DFD" w14:textId="77777777" w:rsidR="007B79E6" w:rsidRPr="00F60AC1" w:rsidRDefault="00AF30FA">
            <w:pPr>
              <w:rPr>
                <w:lang w:val="en-GB"/>
              </w:rPr>
            </w:pPr>
            <w:r w:rsidRPr="00F60AC1">
              <w:rPr>
                <w:lang w:val="en-GB"/>
              </w:rPr>
              <w:t>X</w:t>
            </w:r>
          </w:p>
        </w:tc>
        <w:tc>
          <w:tcPr>
            <w:tcW w:w="824" w:type="dxa"/>
            <w:noWrap/>
          </w:tcPr>
          <w:p w14:paraId="646EC297" w14:textId="77777777" w:rsidR="007B79E6" w:rsidRPr="00F60AC1" w:rsidRDefault="007B79E6">
            <w:pPr>
              <w:rPr>
                <w:lang w:val="en-GB"/>
              </w:rPr>
            </w:pPr>
          </w:p>
        </w:tc>
        <w:tc>
          <w:tcPr>
            <w:tcW w:w="1269" w:type="dxa"/>
            <w:noWrap/>
          </w:tcPr>
          <w:p w14:paraId="082C1957" w14:textId="77777777" w:rsidR="007B79E6" w:rsidRPr="00F60AC1" w:rsidRDefault="00AF30FA">
            <w:pPr>
              <w:rPr>
                <w:lang w:val="en-GB"/>
              </w:rPr>
            </w:pPr>
            <w:r w:rsidRPr="00F60AC1">
              <w:rPr>
                <w:lang w:val="en-GB"/>
              </w:rPr>
              <w:t>X</w:t>
            </w:r>
          </w:p>
        </w:tc>
        <w:tc>
          <w:tcPr>
            <w:tcW w:w="674" w:type="dxa"/>
            <w:noWrap/>
          </w:tcPr>
          <w:p w14:paraId="1ED4C319" w14:textId="77777777" w:rsidR="007B79E6" w:rsidRPr="00F60AC1" w:rsidRDefault="00AF30FA">
            <w:pPr>
              <w:rPr>
                <w:lang w:val="en-GB"/>
              </w:rPr>
            </w:pPr>
            <w:r w:rsidRPr="00F60AC1">
              <w:rPr>
                <w:lang w:val="en-GB"/>
              </w:rPr>
              <w:t>X</w:t>
            </w:r>
          </w:p>
        </w:tc>
      </w:tr>
      <w:tr w:rsidR="007B79E6" w:rsidRPr="00F60AC1" w14:paraId="58B4A1D9" w14:textId="77777777">
        <w:trPr>
          <w:trHeight w:val="300"/>
        </w:trPr>
        <w:tc>
          <w:tcPr>
            <w:tcW w:w="2776" w:type="dxa"/>
            <w:noWrap/>
          </w:tcPr>
          <w:p w14:paraId="29AF463B" w14:textId="77777777" w:rsidR="007B79E6" w:rsidRPr="00F60AC1" w:rsidRDefault="00AF30FA">
            <w:pPr>
              <w:rPr>
                <w:lang w:val="en-GB"/>
              </w:rPr>
            </w:pPr>
            <w:r w:rsidRPr="00F60AC1">
              <w:rPr>
                <w:lang w:val="en-GB"/>
              </w:rPr>
              <w:t>Lesotho</w:t>
            </w:r>
          </w:p>
        </w:tc>
        <w:tc>
          <w:tcPr>
            <w:tcW w:w="1269" w:type="dxa"/>
            <w:noWrap/>
          </w:tcPr>
          <w:p w14:paraId="44261575" w14:textId="77777777" w:rsidR="007B79E6" w:rsidRPr="00F60AC1" w:rsidRDefault="00AF30FA">
            <w:pPr>
              <w:rPr>
                <w:lang w:val="en-GB"/>
              </w:rPr>
            </w:pPr>
            <w:r w:rsidRPr="00F60AC1">
              <w:rPr>
                <w:lang w:val="en-GB"/>
              </w:rPr>
              <w:t>X</w:t>
            </w:r>
          </w:p>
        </w:tc>
        <w:tc>
          <w:tcPr>
            <w:tcW w:w="1269" w:type="dxa"/>
            <w:noWrap/>
          </w:tcPr>
          <w:p w14:paraId="0412030C" w14:textId="77777777" w:rsidR="007B79E6" w:rsidRPr="00F60AC1" w:rsidRDefault="00AF30FA">
            <w:pPr>
              <w:rPr>
                <w:lang w:val="en-GB"/>
              </w:rPr>
            </w:pPr>
            <w:r w:rsidRPr="00F60AC1">
              <w:rPr>
                <w:lang w:val="en-GB"/>
              </w:rPr>
              <w:t>X</w:t>
            </w:r>
          </w:p>
        </w:tc>
        <w:tc>
          <w:tcPr>
            <w:tcW w:w="1352" w:type="dxa"/>
            <w:noWrap/>
          </w:tcPr>
          <w:p w14:paraId="420B9928" w14:textId="77777777" w:rsidR="007B79E6" w:rsidRPr="00F60AC1" w:rsidRDefault="00AF30FA">
            <w:pPr>
              <w:rPr>
                <w:lang w:val="en-GB"/>
              </w:rPr>
            </w:pPr>
            <w:r w:rsidRPr="00F60AC1">
              <w:rPr>
                <w:lang w:val="en-GB"/>
              </w:rPr>
              <w:t>X</w:t>
            </w:r>
          </w:p>
        </w:tc>
        <w:tc>
          <w:tcPr>
            <w:tcW w:w="824" w:type="dxa"/>
            <w:noWrap/>
          </w:tcPr>
          <w:p w14:paraId="51FF7D67" w14:textId="77777777" w:rsidR="007B79E6" w:rsidRPr="00F60AC1" w:rsidRDefault="007B79E6">
            <w:pPr>
              <w:rPr>
                <w:lang w:val="en-GB"/>
              </w:rPr>
            </w:pPr>
          </w:p>
        </w:tc>
        <w:tc>
          <w:tcPr>
            <w:tcW w:w="1269" w:type="dxa"/>
            <w:noWrap/>
          </w:tcPr>
          <w:p w14:paraId="517ACB82" w14:textId="77777777" w:rsidR="007B79E6" w:rsidRPr="00F60AC1" w:rsidRDefault="00AF30FA">
            <w:pPr>
              <w:rPr>
                <w:lang w:val="en-GB"/>
              </w:rPr>
            </w:pPr>
            <w:r w:rsidRPr="00F60AC1">
              <w:rPr>
                <w:lang w:val="en-GB"/>
              </w:rPr>
              <w:t> </w:t>
            </w:r>
          </w:p>
        </w:tc>
        <w:tc>
          <w:tcPr>
            <w:tcW w:w="674" w:type="dxa"/>
            <w:noWrap/>
          </w:tcPr>
          <w:p w14:paraId="6EDE1410" w14:textId="77777777" w:rsidR="007B79E6" w:rsidRPr="00F60AC1" w:rsidRDefault="00AF30FA">
            <w:pPr>
              <w:rPr>
                <w:lang w:val="en-GB"/>
              </w:rPr>
            </w:pPr>
            <w:r w:rsidRPr="00F60AC1">
              <w:rPr>
                <w:lang w:val="en-GB"/>
              </w:rPr>
              <w:t>X</w:t>
            </w:r>
          </w:p>
        </w:tc>
      </w:tr>
      <w:tr w:rsidR="007B79E6" w:rsidRPr="00F60AC1" w14:paraId="75185290" w14:textId="77777777">
        <w:trPr>
          <w:trHeight w:val="300"/>
        </w:trPr>
        <w:tc>
          <w:tcPr>
            <w:tcW w:w="2776" w:type="dxa"/>
            <w:noWrap/>
          </w:tcPr>
          <w:p w14:paraId="24B1DB60" w14:textId="77777777" w:rsidR="007B79E6" w:rsidRPr="00F60AC1" w:rsidRDefault="00AF30FA">
            <w:pPr>
              <w:rPr>
                <w:lang w:val="en-GB"/>
              </w:rPr>
            </w:pPr>
            <w:r w:rsidRPr="00F60AC1">
              <w:rPr>
                <w:lang w:val="en-GB"/>
              </w:rPr>
              <w:t>Liberia</w:t>
            </w:r>
          </w:p>
        </w:tc>
        <w:tc>
          <w:tcPr>
            <w:tcW w:w="1269" w:type="dxa"/>
            <w:noWrap/>
          </w:tcPr>
          <w:p w14:paraId="5639A7AC" w14:textId="77777777" w:rsidR="007B79E6" w:rsidRPr="00F60AC1" w:rsidRDefault="00AF30FA">
            <w:pPr>
              <w:rPr>
                <w:lang w:val="en-GB"/>
              </w:rPr>
            </w:pPr>
            <w:r w:rsidRPr="00F60AC1">
              <w:rPr>
                <w:lang w:val="en-GB"/>
              </w:rPr>
              <w:t>X</w:t>
            </w:r>
          </w:p>
        </w:tc>
        <w:tc>
          <w:tcPr>
            <w:tcW w:w="1269" w:type="dxa"/>
            <w:noWrap/>
          </w:tcPr>
          <w:p w14:paraId="7CE25B5B" w14:textId="77777777" w:rsidR="007B79E6" w:rsidRPr="00F60AC1" w:rsidRDefault="00AF30FA">
            <w:pPr>
              <w:rPr>
                <w:lang w:val="en-GB"/>
              </w:rPr>
            </w:pPr>
            <w:r w:rsidRPr="00F60AC1">
              <w:rPr>
                <w:lang w:val="en-GB"/>
              </w:rPr>
              <w:t>X</w:t>
            </w:r>
          </w:p>
        </w:tc>
        <w:tc>
          <w:tcPr>
            <w:tcW w:w="1352" w:type="dxa"/>
            <w:noWrap/>
          </w:tcPr>
          <w:p w14:paraId="12D7A527" w14:textId="77777777" w:rsidR="007B79E6" w:rsidRPr="00F60AC1" w:rsidRDefault="00AF30FA">
            <w:pPr>
              <w:rPr>
                <w:lang w:val="en-GB"/>
              </w:rPr>
            </w:pPr>
            <w:r w:rsidRPr="00F60AC1">
              <w:rPr>
                <w:lang w:val="en-GB"/>
              </w:rPr>
              <w:t>X</w:t>
            </w:r>
          </w:p>
        </w:tc>
        <w:tc>
          <w:tcPr>
            <w:tcW w:w="824" w:type="dxa"/>
            <w:noWrap/>
          </w:tcPr>
          <w:p w14:paraId="75E77CA4" w14:textId="77777777" w:rsidR="007B79E6" w:rsidRPr="00F60AC1" w:rsidRDefault="00AF30FA">
            <w:pPr>
              <w:rPr>
                <w:lang w:val="en-GB"/>
              </w:rPr>
            </w:pPr>
            <w:r w:rsidRPr="00F60AC1">
              <w:rPr>
                <w:lang w:val="en-GB"/>
              </w:rPr>
              <w:t>X</w:t>
            </w:r>
          </w:p>
        </w:tc>
        <w:tc>
          <w:tcPr>
            <w:tcW w:w="1269" w:type="dxa"/>
            <w:noWrap/>
          </w:tcPr>
          <w:p w14:paraId="4CA5979D" w14:textId="77777777" w:rsidR="007B79E6" w:rsidRPr="00F60AC1" w:rsidRDefault="00AF30FA">
            <w:pPr>
              <w:rPr>
                <w:lang w:val="en-GB"/>
              </w:rPr>
            </w:pPr>
            <w:r w:rsidRPr="00F60AC1">
              <w:rPr>
                <w:lang w:val="en-GB"/>
              </w:rPr>
              <w:t> </w:t>
            </w:r>
          </w:p>
        </w:tc>
        <w:tc>
          <w:tcPr>
            <w:tcW w:w="674" w:type="dxa"/>
            <w:noWrap/>
          </w:tcPr>
          <w:p w14:paraId="07B63B94" w14:textId="77777777" w:rsidR="007B79E6" w:rsidRPr="00F60AC1" w:rsidRDefault="00AF30FA">
            <w:pPr>
              <w:rPr>
                <w:lang w:val="en-GB"/>
              </w:rPr>
            </w:pPr>
            <w:r w:rsidRPr="00F60AC1">
              <w:rPr>
                <w:lang w:val="en-GB"/>
              </w:rPr>
              <w:t>X</w:t>
            </w:r>
          </w:p>
        </w:tc>
      </w:tr>
      <w:tr w:rsidR="007B79E6" w:rsidRPr="00F60AC1" w14:paraId="6BEC1F4D" w14:textId="77777777">
        <w:trPr>
          <w:trHeight w:val="300"/>
        </w:trPr>
        <w:tc>
          <w:tcPr>
            <w:tcW w:w="2776" w:type="dxa"/>
            <w:noWrap/>
          </w:tcPr>
          <w:p w14:paraId="41244830" w14:textId="77777777" w:rsidR="007B79E6" w:rsidRPr="00F60AC1" w:rsidRDefault="00AF30FA">
            <w:pPr>
              <w:rPr>
                <w:lang w:val="en-GB"/>
              </w:rPr>
            </w:pPr>
            <w:r w:rsidRPr="00F60AC1">
              <w:rPr>
                <w:lang w:val="en-GB"/>
              </w:rPr>
              <w:t>Libya</w:t>
            </w:r>
          </w:p>
        </w:tc>
        <w:tc>
          <w:tcPr>
            <w:tcW w:w="1269" w:type="dxa"/>
            <w:noWrap/>
          </w:tcPr>
          <w:p w14:paraId="27F2263E" w14:textId="77777777" w:rsidR="007B79E6" w:rsidRPr="00F60AC1" w:rsidRDefault="00AF30FA">
            <w:pPr>
              <w:rPr>
                <w:lang w:val="en-GB"/>
              </w:rPr>
            </w:pPr>
            <w:r w:rsidRPr="00F60AC1">
              <w:rPr>
                <w:lang w:val="en-GB"/>
              </w:rPr>
              <w:t>X</w:t>
            </w:r>
          </w:p>
        </w:tc>
        <w:tc>
          <w:tcPr>
            <w:tcW w:w="1269" w:type="dxa"/>
            <w:noWrap/>
          </w:tcPr>
          <w:p w14:paraId="0FB1D2F9" w14:textId="77777777" w:rsidR="007B79E6" w:rsidRPr="00F60AC1" w:rsidRDefault="00AF30FA">
            <w:pPr>
              <w:rPr>
                <w:lang w:val="en-GB"/>
              </w:rPr>
            </w:pPr>
            <w:r w:rsidRPr="00F60AC1">
              <w:rPr>
                <w:lang w:val="en-GB"/>
              </w:rPr>
              <w:t>X</w:t>
            </w:r>
          </w:p>
        </w:tc>
        <w:tc>
          <w:tcPr>
            <w:tcW w:w="1352" w:type="dxa"/>
            <w:noWrap/>
          </w:tcPr>
          <w:p w14:paraId="33F741A5" w14:textId="77777777" w:rsidR="007B79E6" w:rsidRPr="00F60AC1" w:rsidRDefault="00AF30FA">
            <w:pPr>
              <w:rPr>
                <w:lang w:val="en-GB"/>
              </w:rPr>
            </w:pPr>
            <w:r w:rsidRPr="00F60AC1">
              <w:rPr>
                <w:lang w:val="en-GB"/>
              </w:rPr>
              <w:t>X</w:t>
            </w:r>
          </w:p>
        </w:tc>
        <w:tc>
          <w:tcPr>
            <w:tcW w:w="824" w:type="dxa"/>
            <w:noWrap/>
          </w:tcPr>
          <w:p w14:paraId="2F9E30B5" w14:textId="77777777" w:rsidR="007B79E6" w:rsidRPr="00F60AC1" w:rsidRDefault="007B79E6">
            <w:pPr>
              <w:rPr>
                <w:lang w:val="en-GB"/>
              </w:rPr>
            </w:pPr>
          </w:p>
        </w:tc>
        <w:tc>
          <w:tcPr>
            <w:tcW w:w="1269" w:type="dxa"/>
            <w:noWrap/>
          </w:tcPr>
          <w:p w14:paraId="62BF5A75" w14:textId="77777777" w:rsidR="007B79E6" w:rsidRPr="00F60AC1" w:rsidRDefault="00AF30FA">
            <w:pPr>
              <w:rPr>
                <w:lang w:val="en-GB"/>
              </w:rPr>
            </w:pPr>
            <w:r w:rsidRPr="00F60AC1">
              <w:rPr>
                <w:lang w:val="en-GB"/>
              </w:rPr>
              <w:t> </w:t>
            </w:r>
          </w:p>
        </w:tc>
        <w:tc>
          <w:tcPr>
            <w:tcW w:w="674" w:type="dxa"/>
            <w:noWrap/>
          </w:tcPr>
          <w:p w14:paraId="61FE1803" w14:textId="77777777" w:rsidR="007B79E6" w:rsidRPr="00F60AC1" w:rsidRDefault="007B79E6">
            <w:pPr>
              <w:rPr>
                <w:lang w:val="en-GB"/>
              </w:rPr>
            </w:pPr>
          </w:p>
        </w:tc>
      </w:tr>
      <w:tr w:rsidR="007B79E6" w:rsidRPr="00F60AC1" w14:paraId="70490731" w14:textId="77777777">
        <w:trPr>
          <w:trHeight w:val="300"/>
        </w:trPr>
        <w:tc>
          <w:tcPr>
            <w:tcW w:w="2776" w:type="dxa"/>
            <w:noWrap/>
          </w:tcPr>
          <w:p w14:paraId="5C79C29C" w14:textId="77777777" w:rsidR="007B79E6" w:rsidRPr="00F60AC1" w:rsidRDefault="00AF30FA">
            <w:pPr>
              <w:rPr>
                <w:lang w:val="en-GB"/>
              </w:rPr>
            </w:pPr>
            <w:r w:rsidRPr="00F60AC1">
              <w:rPr>
                <w:lang w:val="en-GB"/>
              </w:rPr>
              <w:t>Madagascar</w:t>
            </w:r>
          </w:p>
        </w:tc>
        <w:tc>
          <w:tcPr>
            <w:tcW w:w="1269" w:type="dxa"/>
            <w:noWrap/>
          </w:tcPr>
          <w:p w14:paraId="462BBB67" w14:textId="77777777" w:rsidR="007B79E6" w:rsidRPr="00F60AC1" w:rsidRDefault="00AF30FA">
            <w:pPr>
              <w:rPr>
                <w:lang w:val="en-GB"/>
              </w:rPr>
            </w:pPr>
            <w:r w:rsidRPr="00F60AC1">
              <w:rPr>
                <w:lang w:val="en-GB"/>
              </w:rPr>
              <w:t>X</w:t>
            </w:r>
          </w:p>
        </w:tc>
        <w:tc>
          <w:tcPr>
            <w:tcW w:w="1269" w:type="dxa"/>
            <w:noWrap/>
          </w:tcPr>
          <w:p w14:paraId="16C14B5E" w14:textId="77777777" w:rsidR="007B79E6" w:rsidRPr="00F60AC1" w:rsidRDefault="00AF30FA">
            <w:pPr>
              <w:rPr>
                <w:lang w:val="en-GB"/>
              </w:rPr>
            </w:pPr>
            <w:r w:rsidRPr="00F60AC1">
              <w:rPr>
                <w:lang w:val="en-GB"/>
              </w:rPr>
              <w:t>X</w:t>
            </w:r>
          </w:p>
        </w:tc>
        <w:tc>
          <w:tcPr>
            <w:tcW w:w="1352" w:type="dxa"/>
            <w:noWrap/>
          </w:tcPr>
          <w:p w14:paraId="10750CAC" w14:textId="77777777" w:rsidR="007B79E6" w:rsidRPr="00F60AC1" w:rsidRDefault="00AF30FA">
            <w:pPr>
              <w:rPr>
                <w:lang w:val="en-GB"/>
              </w:rPr>
            </w:pPr>
            <w:r w:rsidRPr="00F60AC1">
              <w:rPr>
                <w:lang w:val="en-GB"/>
              </w:rPr>
              <w:t>X</w:t>
            </w:r>
          </w:p>
        </w:tc>
        <w:tc>
          <w:tcPr>
            <w:tcW w:w="824" w:type="dxa"/>
            <w:noWrap/>
          </w:tcPr>
          <w:p w14:paraId="7573ECCF" w14:textId="77777777" w:rsidR="007B79E6" w:rsidRPr="00F60AC1" w:rsidRDefault="007B79E6">
            <w:pPr>
              <w:rPr>
                <w:lang w:val="en-GB"/>
              </w:rPr>
            </w:pPr>
          </w:p>
        </w:tc>
        <w:tc>
          <w:tcPr>
            <w:tcW w:w="1269" w:type="dxa"/>
            <w:noWrap/>
          </w:tcPr>
          <w:p w14:paraId="7B50C897" w14:textId="77777777" w:rsidR="007B79E6" w:rsidRPr="00F60AC1" w:rsidRDefault="00AF30FA">
            <w:pPr>
              <w:rPr>
                <w:lang w:val="en-GB"/>
              </w:rPr>
            </w:pPr>
            <w:r w:rsidRPr="00F60AC1">
              <w:rPr>
                <w:lang w:val="en-GB"/>
              </w:rPr>
              <w:t> </w:t>
            </w:r>
          </w:p>
        </w:tc>
        <w:tc>
          <w:tcPr>
            <w:tcW w:w="674" w:type="dxa"/>
            <w:noWrap/>
          </w:tcPr>
          <w:p w14:paraId="652C51BF" w14:textId="77777777" w:rsidR="007B79E6" w:rsidRPr="00F60AC1" w:rsidRDefault="00AF30FA">
            <w:pPr>
              <w:rPr>
                <w:lang w:val="en-GB"/>
              </w:rPr>
            </w:pPr>
            <w:r w:rsidRPr="00F60AC1">
              <w:rPr>
                <w:lang w:val="en-GB"/>
              </w:rPr>
              <w:t>X</w:t>
            </w:r>
          </w:p>
        </w:tc>
      </w:tr>
      <w:tr w:rsidR="007B79E6" w:rsidRPr="00F60AC1" w14:paraId="7422F640" w14:textId="77777777">
        <w:trPr>
          <w:trHeight w:val="300"/>
        </w:trPr>
        <w:tc>
          <w:tcPr>
            <w:tcW w:w="2776" w:type="dxa"/>
            <w:noWrap/>
          </w:tcPr>
          <w:p w14:paraId="3CA5D7D7" w14:textId="77777777" w:rsidR="007B79E6" w:rsidRPr="00F60AC1" w:rsidRDefault="00AF30FA">
            <w:pPr>
              <w:rPr>
                <w:lang w:val="en-GB"/>
              </w:rPr>
            </w:pPr>
            <w:r w:rsidRPr="00F60AC1">
              <w:rPr>
                <w:lang w:val="en-GB"/>
              </w:rPr>
              <w:t>Malawi</w:t>
            </w:r>
          </w:p>
        </w:tc>
        <w:tc>
          <w:tcPr>
            <w:tcW w:w="1269" w:type="dxa"/>
            <w:noWrap/>
          </w:tcPr>
          <w:p w14:paraId="41562274" w14:textId="77777777" w:rsidR="007B79E6" w:rsidRPr="00F60AC1" w:rsidRDefault="00AF30FA">
            <w:pPr>
              <w:rPr>
                <w:lang w:val="en-GB"/>
              </w:rPr>
            </w:pPr>
            <w:r w:rsidRPr="00F60AC1">
              <w:rPr>
                <w:lang w:val="en-GB"/>
              </w:rPr>
              <w:t>X</w:t>
            </w:r>
          </w:p>
        </w:tc>
        <w:tc>
          <w:tcPr>
            <w:tcW w:w="1269" w:type="dxa"/>
            <w:noWrap/>
          </w:tcPr>
          <w:p w14:paraId="2074A3B2" w14:textId="77777777" w:rsidR="007B79E6" w:rsidRPr="00F60AC1" w:rsidRDefault="00AF30FA">
            <w:pPr>
              <w:rPr>
                <w:lang w:val="en-GB"/>
              </w:rPr>
            </w:pPr>
            <w:r w:rsidRPr="00F60AC1">
              <w:rPr>
                <w:lang w:val="en-GB"/>
              </w:rPr>
              <w:t>X</w:t>
            </w:r>
          </w:p>
        </w:tc>
        <w:tc>
          <w:tcPr>
            <w:tcW w:w="1352" w:type="dxa"/>
            <w:noWrap/>
          </w:tcPr>
          <w:p w14:paraId="35B89831" w14:textId="77777777" w:rsidR="007B79E6" w:rsidRPr="00F60AC1" w:rsidRDefault="00AF30FA">
            <w:pPr>
              <w:rPr>
                <w:lang w:val="en-GB"/>
              </w:rPr>
            </w:pPr>
            <w:r w:rsidRPr="00F60AC1">
              <w:rPr>
                <w:lang w:val="en-GB"/>
              </w:rPr>
              <w:t>X</w:t>
            </w:r>
          </w:p>
        </w:tc>
        <w:tc>
          <w:tcPr>
            <w:tcW w:w="824" w:type="dxa"/>
            <w:noWrap/>
          </w:tcPr>
          <w:p w14:paraId="05B34FF1" w14:textId="77777777" w:rsidR="007B79E6" w:rsidRPr="00F60AC1" w:rsidRDefault="007B79E6">
            <w:pPr>
              <w:rPr>
                <w:lang w:val="en-GB"/>
              </w:rPr>
            </w:pPr>
          </w:p>
        </w:tc>
        <w:tc>
          <w:tcPr>
            <w:tcW w:w="1269" w:type="dxa"/>
            <w:noWrap/>
          </w:tcPr>
          <w:p w14:paraId="4B0E969C" w14:textId="77777777" w:rsidR="007B79E6" w:rsidRPr="00F60AC1" w:rsidRDefault="00AF30FA">
            <w:pPr>
              <w:rPr>
                <w:lang w:val="en-GB"/>
              </w:rPr>
            </w:pPr>
            <w:r w:rsidRPr="00F60AC1">
              <w:rPr>
                <w:lang w:val="en-GB"/>
              </w:rPr>
              <w:t> </w:t>
            </w:r>
          </w:p>
        </w:tc>
        <w:tc>
          <w:tcPr>
            <w:tcW w:w="674" w:type="dxa"/>
            <w:noWrap/>
          </w:tcPr>
          <w:p w14:paraId="09B4B225" w14:textId="77777777" w:rsidR="007B79E6" w:rsidRPr="00F60AC1" w:rsidRDefault="00AF30FA">
            <w:pPr>
              <w:rPr>
                <w:lang w:val="en-GB"/>
              </w:rPr>
            </w:pPr>
            <w:r w:rsidRPr="00F60AC1">
              <w:rPr>
                <w:lang w:val="en-GB"/>
              </w:rPr>
              <w:t>X</w:t>
            </w:r>
          </w:p>
        </w:tc>
      </w:tr>
      <w:tr w:rsidR="007B79E6" w:rsidRPr="00F60AC1" w14:paraId="14369324" w14:textId="77777777">
        <w:trPr>
          <w:trHeight w:val="300"/>
        </w:trPr>
        <w:tc>
          <w:tcPr>
            <w:tcW w:w="2776" w:type="dxa"/>
            <w:noWrap/>
          </w:tcPr>
          <w:p w14:paraId="7C4DFA05" w14:textId="77777777" w:rsidR="007B79E6" w:rsidRPr="00F60AC1" w:rsidRDefault="00AF30FA">
            <w:pPr>
              <w:rPr>
                <w:lang w:val="en-GB"/>
              </w:rPr>
            </w:pPr>
            <w:r w:rsidRPr="00F60AC1">
              <w:rPr>
                <w:lang w:val="en-GB"/>
              </w:rPr>
              <w:t>Mali</w:t>
            </w:r>
          </w:p>
        </w:tc>
        <w:tc>
          <w:tcPr>
            <w:tcW w:w="1269" w:type="dxa"/>
            <w:noWrap/>
          </w:tcPr>
          <w:p w14:paraId="567D8CEC" w14:textId="77777777" w:rsidR="007B79E6" w:rsidRPr="00F60AC1" w:rsidRDefault="00AF30FA">
            <w:pPr>
              <w:rPr>
                <w:lang w:val="en-GB"/>
              </w:rPr>
            </w:pPr>
            <w:r w:rsidRPr="00F60AC1">
              <w:rPr>
                <w:lang w:val="en-GB"/>
              </w:rPr>
              <w:t>X</w:t>
            </w:r>
          </w:p>
        </w:tc>
        <w:tc>
          <w:tcPr>
            <w:tcW w:w="1269" w:type="dxa"/>
            <w:noWrap/>
          </w:tcPr>
          <w:p w14:paraId="2994245C" w14:textId="77777777" w:rsidR="007B79E6" w:rsidRPr="00F60AC1" w:rsidRDefault="00AF30FA">
            <w:pPr>
              <w:rPr>
                <w:lang w:val="en-GB"/>
              </w:rPr>
            </w:pPr>
            <w:r w:rsidRPr="00F60AC1">
              <w:rPr>
                <w:lang w:val="en-GB"/>
              </w:rPr>
              <w:t>X</w:t>
            </w:r>
          </w:p>
        </w:tc>
        <w:tc>
          <w:tcPr>
            <w:tcW w:w="1352" w:type="dxa"/>
            <w:noWrap/>
          </w:tcPr>
          <w:p w14:paraId="3343A31B" w14:textId="77777777" w:rsidR="007B79E6" w:rsidRPr="00F60AC1" w:rsidRDefault="00AF30FA">
            <w:pPr>
              <w:rPr>
                <w:lang w:val="en-GB"/>
              </w:rPr>
            </w:pPr>
            <w:r w:rsidRPr="00F60AC1">
              <w:rPr>
                <w:lang w:val="en-GB"/>
              </w:rPr>
              <w:t>X</w:t>
            </w:r>
          </w:p>
        </w:tc>
        <w:tc>
          <w:tcPr>
            <w:tcW w:w="824" w:type="dxa"/>
            <w:noWrap/>
          </w:tcPr>
          <w:p w14:paraId="44D519CD" w14:textId="77777777" w:rsidR="007B79E6" w:rsidRPr="00F60AC1" w:rsidRDefault="007B79E6">
            <w:pPr>
              <w:rPr>
                <w:lang w:val="en-GB"/>
              </w:rPr>
            </w:pPr>
          </w:p>
        </w:tc>
        <w:tc>
          <w:tcPr>
            <w:tcW w:w="1269" w:type="dxa"/>
            <w:noWrap/>
          </w:tcPr>
          <w:p w14:paraId="3E4BA2E4" w14:textId="77777777" w:rsidR="007B79E6" w:rsidRPr="00F60AC1" w:rsidRDefault="00AF30FA">
            <w:pPr>
              <w:rPr>
                <w:lang w:val="en-GB"/>
              </w:rPr>
            </w:pPr>
            <w:r w:rsidRPr="00F60AC1">
              <w:rPr>
                <w:lang w:val="en-GB"/>
              </w:rPr>
              <w:t> </w:t>
            </w:r>
          </w:p>
        </w:tc>
        <w:tc>
          <w:tcPr>
            <w:tcW w:w="674" w:type="dxa"/>
            <w:noWrap/>
          </w:tcPr>
          <w:p w14:paraId="76B4E15D" w14:textId="77777777" w:rsidR="007B79E6" w:rsidRPr="00F60AC1" w:rsidRDefault="00AF30FA">
            <w:pPr>
              <w:rPr>
                <w:lang w:val="en-GB"/>
              </w:rPr>
            </w:pPr>
            <w:r w:rsidRPr="00F60AC1">
              <w:rPr>
                <w:lang w:val="en-GB"/>
              </w:rPr>
              <w:t>X</w:t>
            </w:r>
          </w:p>
        </w:tc>
      </w:tr>
      <w:tr w:rsidR="007B79E6" w:rsidRPr="00F60AC1" w14:paraId="54E68880" w14:textId="77777777">
        <w:trPr>
          <w:trHeight w:val="300"/>
        </w:trPr>
        <w:tc>
          <w:tcPr>
            <w:tcW w:w="2776" w:type="dxa"/>
            <w:noWrap/>
          </w:tcPr>
          <w:p w14:paraId="0CB7845A" w14:textId="77777777" w:rsidR="007B79E6" w:rsidRPr="00F60AC1" w:rsidRDefault="00AF30FA">
            <w:pPr>
              <w:rPr>
                <w:lang w:val="en-GB"/>
              </w:rPr>
            </w:pPr>
            <w:r w:rsidRPr="00F60AC1">
              <w:rPr>
                <w:lang w:val="en-GB"/>
              </w:rPr>
              <w:t>Mauritania</w:t>
            </w:r>
          </w:p>
        </w:tc>
        <w:tc>
          <w:tcPr>
            <w:tcW w:w="1269" w:type="dxa"/>
            <w:noWrap/>
          </w:tcPr>
          <w:p w14:paraId="775D33FA" w14:textId="77777777" w:rsidR="007B79E6" w:rsidRPr="00F60AC1" w:rsidRDefault="00AF30FA">
            <w:pPr>
              <w:rPr>
                <w:lang w:val="en-GB"/>
              </w:rPr>
            </w:pPr>
            <w:r w:rsidRPr="00F60AC1">
              <w:rPr>
                <w:lang w:val="en-GB"/>
              </w:rPr>
              <w:t>X</w:t>
            </w:r>
          </w:p>
        </w:tc>
        <w:tc>
          <w:tcPr>
            <w:tcW w:w="1269" w:type="dxa"/>
            <w:noWrap/>
          </w:tcPr>
          <w:p w14:paraId="4DA0025E" w14:textId="77777777" w:rsidR="007B79E6" w:rsidRPr="00F60AC1" w:rsidRDefault="00AF30FA">
            <w:pPr>
              <w:rPr>
                <w:lang w:val="en-GB"/>
              </w:rPr>
            </w:pPr>
            <w:r w:rsidRPr="00F60AC1">
              <w:rPr>
                <w:lang w:val="en-GB"/>
              </w:rPr>
              <w:t>X</w:t>
            </w:r>
          </w:p>
        </w:tc>
        <w:tc>
          <w:tcPr>
            <w:tcW w:w="1352" w:type="dxa"/>
            <w:noWrap/>
          </w:tcPr>
          <w:p w14:paraId="0E87B66E" w14:textId="77777777" w:rsidR="007B79E6" w:rsidRPr="00F60AC1" w:rsidRDefault="00AF30FA">
            <w:pPr>
              <w:rPr>
                <w:lang w:val="en-GB"/>
              </w:rPr>
            </w:pPr>
            <w:r w:rsidRPr="00F60AC1">
              <w:rPr>
                <w:lang w:val="en-GB"/>
              </w:rPr>
              <w:t>X</w:t>
            </w:r>
          </w:p>
        </w:tc>
        <w:tc>
          <w:tcPr>
            <w:tcW w:w="824" w:type="dxa"/>
            <w:noWrap/>
          </w:tcPr>
          <w:p w14:paraId="076E4B1E" w14:textId="77777777" w:rsidR="007B79E6" w:rsidRPr="00F60AC1" w:rsidRDefault="007B79E6">
            <w:pPr>
              <w:rPr>
                <w:lang w:val="en-GB"/>
              </w:rPr>
            </w:pPr>
          </w:p>
        </w:tc>
        <w:tc>
          <w:tcPr>
            <w:tcW w:w="1269" w:type="dxa"/>
            <w:noWrap/>
          </w:tcPr>
          <w:p w14:paraId="2D44775F" w14:textId="77777777" w:rsidR="007B79E6" w:rsidRPr="00F60AC1" w:rsidRDefault="00AF30FA">
            <w:pPr>
              <w:rPr>
                <w:lang w:val="en-GB"/>
              </w:rPr>
            </w:pPr>
            <w:r w:rsidRPr="00F60AC1">
              <w:rPr>
                <w:lang w:val="en-GB"/>
              </w:rPr>
              <w:t> </w:t>
            </w:r>
          </w:p>
        </w:tc>
        <w:tc>
          <w:tcPr>
            <w:tcW w:w="674" w:type="dxa"/>
            <w:noWrap/>
          </w:tcPr>
          <w:p w14:paraId="36A43734" w14:textId="77777777" w:rsidR="007B79E6" w:rsidRPr="00F60AC1" w:rsidRDefault="00AF30FA">
            <w:pPr>
              <w:rPr>
                <w:lang w:val="en-GB"/>
              </w:rPr>
            </w:pPr>
            <w:r w:rsidRPr="00F60AC1">
              <w:rPr>
                <w:lang w:val="en-GB"/>
              </w:rPr>
              <w:t>X</w:t>
            </w:r>
          </w:p>
        </w:tc>
      </w:tr>
      <w:tr w:rsidR="007B79E6" w:rsidRPr="00F60AC1" w14:paraId="165FBBB5" w14:textId="77777777">
        <w:trPr>
          <w:trHeight w:val="300"/>
        </w:trPr>
        <w:tc>
          <w:tcPr>
            <w:tcW w:w="2776" w:type="dxa"/>
            <w:noWrap/>
          </w:tcPr>
          <w:p w14:paraId="2B0F82B3" w14:textId="77777777" w:rsidR="007B79E6" w:rsidRPr="00F60AC1" w:rsidRDefault="00AF30FA">
            <w:pPr>
              <w:rPr>
                <w:lang w:val="en-GB"/>
              </w:rPr>
            </w:pPr>
            <w:r w:rsidRPr="00F60AC1">
              <w:rPr>
                <w:lang w:val="en-GB"/>
              </w:rPr>
              <w:t>Mauritius</w:t>
            </w:r>
          </w:p>
        </w:tc>
        <w:tc>
          <w:tcPr>
            <w:tcW w:w="1269" w:type="dxa"/>
            <w:noWrap/>
          </w:tcPr>
          <w:p w14:paraId="0D15CB99" w14:textId="77777777" w:rsidR="007B79E6" w:rsidRPr="00F60AC1" w:rsidRDefault="00AF30FA">
            <w:pPr>
              <w:rPr>
                <w:lang w:val="en-GB"/>
              </w:rPr>
            </w:pPr>
            <w:r w:rsidRPr="00F60AC1">
              <w:rPr>
                <w:lang w:val="en-GB"/>
              </w:rPr>
              <w:t>X</w:t>
            </w:r>
          </w:p>
        </w:tc>
        <w:tc>
          <w:tcPr>
            <w:tcW w:w="1269" w:type="dxa"/>
            <w:noWrap/>
          </w:tcPr>
          <w:p w14:paraId="18305366" w14:textId="77777777" w:rsidR="007B79E6" w:rsidRPr="00F60AC1" w:rsidRDefault="00AF30FA">
            <w:pPr>
              <w:rPr>
                <w:lang w:val="en-GB"/>
              </w:rPr>
            </w:pPr>
            <w:r w:rsidRPr="00F60AC1">
              <w:rPr>
                <w:lang w:val="en-GB"/>
              </w:rPr>
              <w:t>X</w:t>
            </w:r>
          </w:p>
        </w:tc>
        <w:tc>
          <w:tcPr>
            <w:tcW w:w="1352" w:type="dxa"/>
            <w:noWrap/>
          </w:tcPr>
          <w:p w14:paraId="10FC26FB" w14:textId="77777777" w:rsidR="007B79E6" w:rsidRPr="00F60AC1" w:rsidRDefault="007B79E6">
            <w:pPr>
              <w:rPr>
                <w:lang w:val="en-GB"/>
              </w:rPr>
            </w:pPr>
          </w:p>
        </w:tc>
        <w:tc>
          <w:tcPr>
            <w:tcW w:w="824" w:type="dxa"/>
            <w:noWrap/>
          </w:tcPr>
          <w:p w14:paraId="34702421" w14:textId="77777777" w:rsidR="007B79E6" w:rsidRPr="00F60AC1" w:rsidRDefault="007B79E6">
            <w:pPr>
              <w:rPr>
                <w:lang w:val="en-GB"/>
              </w:rPr>
            </w:pPr>
          </w:p>
        </w:tc>
        <w:tc>
          <w:tcPr>
            <w:tcW w:w="1269" w:type="dxa"/>
            <w:noWrap/>
          </w:tcPr>
          <w:p w14:paraId="4D26E1A0" w14:textId="77777777" w:rsidR="007B79E6" w:rsidRPr="00F60AC1" w:rsidRDefault="00AF30FA">
            <w:pPr>
              <w:rPr>
                <w:lang w:val="en-GB"/>
              </w:rPr>
            </w:pPr>
            <w:r w:rsidRPr="00F60AC1">
              <w:rPr>
                <w:lang w:val="en-GB"/>
              </w:rPr>
              <w:t> </w:t>
            </w:r>
          </w:p>
        </w:tc>
        <w:tc>
          <w:tcPr>
            <w:tcW w:w="674" w:type="dxa"/>
            <w:noWrap/>
          </w:tcPr>
          <w:p w14:paraId="67AA9695" w14:textId="77777777" w:rsidR="007B79E6" w:rsidRPr="00F60AC1" w:rsidRDefault="00AF30FA">
            <w:pPr>
              <w:rPr>
                <w:lang w:val="en-GB"/>
              </w:rPr>
            </w:pPr>
            <w:r w:rsidRPr="00F60AC1">
              <w:rPr>
                <w:lang w:val="en-GB"/>
              </w:rPr>
              <w:t>X</w:t>
            </w:r>
          </w:p>
        </w:tc>
      </w:tr>
      <w:tr w:rsidR="007B79E6" w:rsidRPr="00F60AC1" w14:paraId="4F2206D6" w14:textId="77777777">
        <w:trPr>
          <w:trHeight w:val="300"/>
        </w:trPr>
        <w:tc>
          <w:tcPr>
            <w:tcW w:w="2776" w:type="dxa"/>
            <w:noWrap/>
          </w:tcPr>
          <w:p w14:paraId="71B0BF9B" w14:textId="77777777" w:rsidR="007B79E6" w:rsidRPr="00F60AC1" w:rsidRDefault="00AF30FA">
            <w:pPr>
              <w:rPr>
                <w:lang w:val="en-GB"/>
              </w:rPr>
            </w:pPr>
            <w:r w:rsidRPr="00F60AC1">
              <w:rPr>
                <w:lang w:val="en-GB"/>
              </w:rPr>
              <w:t>Morocco</w:t>
            </w:r>
          </w:p>
        </w:tc>
        <w:tc>
          <w:tcPr>
            <w:tcW w:w="1269" w:type="dxa"/>
            <w:noWrap/>
          </w:tcPr>
          <w:p w14:paraId="24B387A2" w14:textId="77777777" w:rsidR="007B79E6" w:rsidRPr="00F60AC1" w:rsidRDefault="00AF30FA">
            <w:pPr>
              <w:rPr>
                <w:lang w:val="en-GB"/>
              </w:rPr>
            </w:pPr>
            <w:r w:rsidRPr="00F60AC1">
              <w:rPr>
                <w:lang w:val="en-GB"/>
              </w:rPr>
              <w:t>X</w:t>
            </w:r>
          </w:p>
        </w:tc>
        <w:tc>
          <w:tcPr>
            <w:tcW w:w="1269" w:type="dxa"/>
            <w:noWrap/>
          </w:tcPr>
          <w:p w14:paraId="1667221A" w14:textId="77777777" w:rsidR="007B79E6" w:rsidRPr="00F60AC1" w:rsidRDefault="00AF30FA">
            <w:pPr>
              <w:rPr>
                <w:lang w:val="en-GB"/>
              </w:rPr>
            </w:pPr>
            <w:r w:rsidRPr="00F60AC1">
              <w:rPr>
                <w:lang w:val="en-GB"/>
              </w:rPr>
              <w:t>X</w:t>
            </w:r>
          </w:p>
        </w:tc>
        <w:tc>
          <w:tcPr>
            <w:tcW w:w="1352" w:type="dxa"/>
            <w:noWrap/>
          </w:tcPr>
          <w:p w14:paraId="0D940788" w14:textId="77777777" w:rsidR="007B79E6" w:rsidRPr="00F60AC1" w:rsidRDefault="00AF30FA">
            <w:pPr>
              <w:rPr>
                <w:lang w:val="en-GB"/>
              </w:rPr>
            </w:pPr>
            <w:r w:rsidRPr="00F60AC1">
              <w:rPr>
                <w:lang w:val="en-GB"/>
              </w:rPr>
              <w:t>X</w:t>
            </w:r>
          </w:p>
        </w:tc>
        <w:tc>
          <w:tcPr>
            <w:tcW w:w="824" w:type="dxa"/>
            <w:noWrap/>
          </w:tcPr>
          <w:p w14:paraId="02F195D8" w14:textId="77777777" w:rsidR="007B79E6" w:rsidRPr="00F60AC1" w:rsidRDefault="007B79E6">
            <w:pPr>
              <w:rPr>
                <w:lang w:val="en-GB"/>
              </w:rPr>
            </w:pPr>
          </w:p>
        </w:tc>
        <w:tc>
          <w:tcPr>
            <w:tcW w:w="1269" w:type="dxa"/>
            <w:noWrap/>
          </w:tcPr>
          <w:p w14:paraId="090E441B" w14:textId="77777777" w:rsidR="007B79E6" w:rsidRPr="00F60AC1" w:rsidRDefault="00AF30FA">
            <w:pPr>
              <w:rPr>
                <w:lang w:val="en-GB"/>
              </w:rPr>
            </w:pPr>
            <w:r w:rsidRPr="00F60AC1">
              <w:rPr>
                <w:lang w:val="en-GB"/>
              </w:rPr>
              <w:t>X</w:t>
            </w:r>
          </w:p>
        </w:tc>
        <w:tc>
          <w:tcPr>
            <w:tcW w:w="674" w:type="dxa"/>
            <w:noWrap/>
          </w:tcPr>
          <w:p w14:paraId="035781FA" w14:textId="77777777" w:rsidR="007B79E6" w:rsidRPr="00F60AC1" w:rsidRDefault="00AF30FA">
            <w:pPr>
              <w:rPr>
                <w:lang w:val="en-GB"/>
              </w:rPr>
            </w:pPr>
            <w:r w:rsidRPr="00F60AC1">
              <w:rPr>
                <w:lang w:val="en-GB"/>
              </w:rPr>
              <w:t>X</w:t>
            </w:r>
          </w:p>
        </w:tc>
      </w:tr>
      <w:tr w:rsidR="007B79E6" w:rsidRPr="00F60AC1" w14:paraId="402F13BB" w14:textId="77777777">
        <w:trPr>
          <w:trHeight w:val="300"/>
        </w:trPr>
        <w:tc>
          <w:tcPr>
            <w:tcW w:w="2776" w:type="dxa"/>
            <w:noWrap/>
          </w:tcPr>
          <w:p w14:paraId="676D2512" w14:textId="77777777" w:rsidR="007B79E6" w:rsidRPr="00F60AC1" w:rsidRDefault="00AF30FA">
            <w:pPr>
              <w:rPr>
                <w:lang w:val="en-GB"/>
              </w:rPr>
            </w:pPr>
            <w:r w:rsidRPr="00F60AC1">
              <w:rPr>
                <w:lang w:val="en-GB"/>
              </w:rPr>
              <w:t>Mozambique</w:t>
            </w:r>
          </w:p>
        </w:tc>
        <w:tc>
          <w:tcPr>
            <w:tcW w:w="1269" w:type="dxa"/>
            <w:noWrap/>
          </w:tcPr>
          <w:p w14:paraId="61341AF9" w14:textId="77777777" w:rsidR="007B79E6" w:rsidRPr="00F60AC1" w:rsidRDefault="00AF30FA">
            <w:pPr>
              <w:rPr>
                <w:lang w:val="en-GB"/>
              </w:rPr>
            </w:pPr>
            <w:r w:rsidRPr="00F60AC1">
              <w:rPr>
                <w:lang w:val="en-GB"/>
              </w:rPr>
              <w:t>X</w:t>
            </w:r>
          </w:p>
        </w:tc>
        <w:tc>
          <w:tcPr>
            <w:tcW w:w="1269" w:type="dxa"/>
            <w:noWrap/>
          </w:tcPr>
          <w:p w14:paraId="26FBB0D4" w14:textId="77777777" w:rsidR="007B79E6" w:rsidRPr="00F60AC1" w:rsidRDefault="00AF30FA">
            <w:pPr>
              <w:rPr>
                <w:lang w:val="en-GB"/>
              </w:rPr>
            </w:pPr>
            <w:r w:rsidRPr="00F60AC1">
              <w:rPr>
                <w:lang w:val="en-GB"/>
              </w:rPr>
              <w:t>X</w:t>
            </w:r>
          </w:p>
        </w:tc>
        <w:tc>
          <w:tcPr>
            <w:tcW w:w="1352" w:type="dxa"/>
            <w:noWrap/>
          </w:tcPr>
          <w:p w14:paraId="20BB7DD9" w14:textId="77777777" w:rsidR="007B79E6" w:rsidRPr="00F60AC1" w:rsidRDefault="00AF30FA">
            <w:pPr>
              <w:rPr>
                <w:lang w:val="en-GB"/>
              </w:rPr>
            </w:pPr>
            <w:r w:rsidRPr="00F60AC1">
              <w:rPr>
                <w:lang w:val="en-GB"/>
              </w:rPr>
              <w:t>X</w:t>
            </w:r>
          </w:p>
        </w:tc>
        <w:tc>
          <w:tcPr>
            <w:tcW w:w="824" w:type="dxa"/>
            <w:noWrap/>
          </w:tcPr>
          <w:p w14:paraId="53D7B696" w14:textId="77777777" w:rsidR="007B79E6" w:rsidRPr="00F60AC1" w:rsidRDefault="007B79E6">
            <w:pPr>
              <w:rPr>
                <w:lang w:val="en-GB"/>
              </w:rPr>
            </w:pPr>
          </w:p>
        </w:tc>
        <w:tc>
          <w:tcPr>
            <w:tcW w:w="1269" w:type="dxa"/>
            <w:noWrap/>
          </w:tcPr>
          <w:p w14:paraId="158480A5" w14:textId="77777777" w:rsidR="007B79E6" w:rsidRPr="00F60AC1" w:rsidRDefault="00AF30FA">
            <w:pPr>
              <w:rPr>
                <w:lang w:val="en-GB"/>
              </w:rPr>
            </w:pPr>
            <w:r w:rsidRPr="00F60AC1">
              <w:rPr>
                <w:lang w:val="en-GB"/>
              </w:rPr>
              <w:t> </w:t>
            </w:r>
          </w:p>
        </w:tc>
        <w:tc>
          <w:tcPr>
            <w:tcW w:w="674" w:type="dxa"/>
            <w:noWrap/>
          </w:tcPr>
          <w:p w14:paraId="1747FFDA" w14:textId="77777777" w:rsidR="007B79E6" w:rsidRPr="00F60AC1" w:rsidRDefault="00AF30FA">
            <w:pPr>
              <w:rPr>
                <w:lang w:val="en-GB"/>
              </w:rPr>
            </w:pPr>
            <w:r w:rsidRPr="00F60AC1">
              <w:rPr>
                <w:lang w:val="en-GB"/>
              </w:rPr>
              <w:t>X</w:t>
            </w:r>
          </w:p>
        </w:tc>
      </w:tr>
      <w:tr w:rsidR="007B79E6" w:rsidRPr="00F60AC1" w14:paraId="4D4446F3" w14:textId="77777777">
        <w:trPr>
          <w:trHeight w:val="300"/>
        </w:trPr>
        <w:tc>
          <w:tcPr>
            <w:tcW w:w="2776" w:type="dxa"/>
            <w:noWrap/>
          </w:tcPr>
          <w:p w14:paraId="6914B5FD" w14:textId="77777777" w:rsidR="007B79E6" w:rsidRPr="00F60AC1" w:rsidRDefault="00AF30FA">
            <w:pPr>
              <w:rPr>
                <w:lang w:val="en-GB"/>
              </w:rPr>
            </w:pPr>
            <w:r w:rsidRPr="00F60AC1">
              <w:rPr>
                <w:lang w:val="en-GB"/>
              </w:rPr>
              <w:t>Namibia</w:t>
            </w:r>
          </w:p>
        </w:tc>
        <w:tc>
          <w:tcPr>
            <w:tcW w:w="1269" w:type="dxa"/>
            <w:noWrap/>
          </w:tcPr>
          <w:p w14:paraId="5A968892" w14:textId="77777777" w:rsidR="007B79E6" w:rsidRPr="00F60AC1" w:rsidRDefault="00AF30FA">
            <w:pPr>
              <w:rPr>
                <w:lang w:val="en-GB"/>
              </w:rPr>
            </w:pPr>
            <w:r w:rsidRPr="00F60AC1">
              <w:rPr>
                <w:lang w:val="en-GB"/>
              </w:rPr>
              <w:t>X</w:t>
            </w:r>
          </w:p>
        </w:tc>
        <w:tc>
          <w:tcPr>
            <w:tcW w:w="1269" w:type="dxa"/>
            <w:noWrap/>
          </w:tcPr>
          <w:p w14:paraId="5C0224D3" w14:textId="77777777" w:rsidR="007B79E6" w:rsidRPr="00F60AC1" w:rsidRDefault="00AF30FA">
            <w:pPr>
              <w:rPr>
                <w:lang w:val="en-GB"/>
              </w:rPr>
            </w:pPr>
            <w:r w:rsidRPr="00F60AC1">
              <w:rPr>
                <w:lang w:val="en-GB"/>
              </w:rPr>
              <w:t>X</w:t>
            </w:r>
          </w:p>
        </w:tc>
        <w:tc>
          <w:tcPr>
            <w:tcW w:w="1352" w:type="dxa"/>
            <w:noWrap/>
          </w:tcPr>
          <w:p w14:paraId="594BA00C" w14:textId="77777777" w:rsidR="007B79E6" w:rsidRPr="00F60AC1" w:rsidRDefault="00AF30FA">
            <w:pPr>
              <w:rPr>
                <w:lang w:val="en-GB"/>
              </w:rPr>
            </w:pPr>
            <w:r w:rsidRPr="00F60AC1">
              <w:rPr>
                <w:lang w:val="en-GB"/>
              </w:rPr>
              <w:t>X</w:t>
            </w:r>
          </w:p>
        </w:tc>
        <w:tc>
          <w:tcPr>
            <w:tcW w:w="824" w:type="dxa"/>
            <w:noWrap/>
          </w:tcPr>
          <w:p w14:paraId="4547CDB1" w14:textId="77777777" w:rsidR="007B79E6" w:rsidRPr="00F60AC1" w:rsidRDefault="007B79E6">
            <w:pPr>
              <w:rPr>
                <w:lang w:val="en-GB"/>
              </w:rPr>
            </w:pPr>
          </w:p>
        </w:tc>
        <w:tc>
          <w:tcPr>
            <w:tcW w:w="1269" w:type="dxa"/>
            <w:noWrap/>
          </w:tcPr>
          <w:p w14:paraId="6EAAD744" w14:textId="77777777" w:rsidR="007B79E6" w:rsidRPr="00F60AC1" w:rsidRDefault="00AF30FA">
            <w:pPr>
              <w:rPr>
                <w:lang w:val="en-GB"/>
              </w:rPr>
            </w:pPr>
            <w:r w:rsidRPr="00F60AC1">
              <w:rPr>
                <w:lang w:val="en-GB"/>
              </w:rPr>
              <w:t> </w:t>
            </w:r>
          </w:p>
        </w:tc>
        <w:tc>
          <w:tcPr>
            <w:tcW w:w="674" w:type="dxa"/>
            <w:noWrap/>
          </w:tcPr>
          <w:p w14:paraId="2B112EFC" w14:textId="77777777" w:rsidR="007B79E6" w:rsidRPr="00F60AC1" w:rsidRDefault="00AF30FA">
            <w:pPr>
              <w:rPr>
                <w:lang w:val="en-GB"/>
              </w:rPr>
            </w:pPr>
            <w:r w:rsidRPr="00F60AC1">
              <w:rPr>
                <w:lang w:val="en-GB"/>
              </w:rPr>
              <w:t>X</w:t>
            </w:r>
          </w:p>
        </w:tc>
      </w:tr>
      <w:tr w:rsidR="007B79E6" w:rsidRPr="00F60AC1" w14:paraId="5DD90B73" w14:textId="77777777">
        <w:trPr>
          <w:trHeight w:val="300"/>
        </w:trPr>
        <w:tc>
          <w:tcPr>
            <w:tcW w:w="2776" w:type="dxa"/>
            <w:noWrap/>
          </w:tcPr>
          <w:p w14:paraId="4F62A41B" w14:textId="77777777" w:rsidR="007B79E6" w:rsidRPr="00F60AC1" w:rsidRDefault="00AF30FA">
            <w:pPr>
              <w:rPr>
                <w:lang w:val="en-GB"/>
              </w:rPr>
            </w:pPr>
            <w:r w:rsidRPr="00F60AC1">
              <w:rPr>
                <w:lang w:val="en-GB"/>
              </w:rPr>
              <w:t>Niger</w:t>
            </w:r>
          </w:p>
        </w:tc>
        <w:tc>
          <w:tcPr>
            <w:tcW w:w="1269" w:type="dxa"/>
            <w:noWrap/>
          </w:tcPr>
          <w:p w14:paraId="163E72C2" w14:textId="77777777" w:rsidR="007B79E6" w:rsidRPr="00F60AC1" w:rsidRDefault="00AF30FA">
            <w:pPr>
              <w:rPr>
                <w:lang w:val="en-GB"/>
              </w:rPr>
            </w:pPr>
            <w:r w:rsidRPr="00F60AC1">
              <w:rPr>
                <w:lang w:val="en-GB"/>
              </w:rPr>
              <w:t>X</w:t>
            </w:r>
          </w:p>
        </w:tc>
        <w:tc>
          <w:tcPr>
            <w:tcW w:w="1269" w:type="dxa"/>
            <w:noWrap/>
          </w:tcPr>
          <w:p w14:paraId="74C532DF" w14:textId="77777777" w:rsidR="007B79E6" w:rsidRPr="00F60AC1" w:rsidRDefault="00AF30FA">
            <w:pPr>
              <w:rPr>
                <w:lang w:val="en-GB"/>
              </w:rPr>
            </w:pPr>
            <w:r w:rsidRPr="00F60AC1">
              <w:rPr>
                <w:lang w:val="en-GB"/>
              </w:rPr>
              <w:t>X</w:t>
            </w:r>
          </w:p>
        </w:tc>
        <w:tc>
          <w:tcPr>
            <w:tcW w:w="1352" w:type="dxa"/>
            <w:noWrap/>
          </w:tcPr>
          <w:p w14:paraId="4C3D9045" w14:textId="77777777" w:rsidR="007B79E6" w:rsidRPr="00F60AC1" w:rsidRDefault="00AF30FA">
            <w:pPr>
              <w:rPr>
                <w:lang w:val="en-GB"/>
              </w:rPr>
            </w:pPr>
            <w:r w:rsidRPr="00F60AC1">
              <w:rPr>
                <w:lang w:val="en-GB"/>
              </w:rPr>
              <w:t>X</w:t>
            </w:r>
          </w:p>
        </w:tc>
        <w:tc>
          <w:tcPr>
            <w:tcW w:w="824" w:type="dxa"/>
            <w:noWrap/>
          </w:tcPr>
          <w:p w14:paraId="70D47943" w14:textId="77777777" w:rsidR="007B79E6" w:rsidRPr="00F60AC1" w:rsidRDefault="007B79E6">
            <w:pPr>
              <w:rPr>
                <w:lang w:val="en-GB"/>
              </w:rPr>
            </w:pPr>
          </w:p>
        </w:tc>
        <w:tc>
          <w:tcPr>
            <w:tcW w:w="1269" w:type="dxa"/>
            <w:noWrap/>
          </w:tcPr>
          <w:p w14:paraId="223CE325" w14:textId="77777777" w:rsidR="007B79E6" w:rsidRPr="00F60AC1" w:rsidRDefault="00AF30FA">
            <w:pPr>
              <w:rPr>
                <w:lang w:val="en-GB"/>
              </w:rPr>
            </w:pPr>
            <w:r w:rsidRPr="00F60AC1">
              <w:rPr>
                <w:lang w:val="en-GB"/>
              </w:rPr>
              <w:t> </w:t>
            </w:r>
          </w:p>
        </w:tc>
        <w:tc>
          <w:tcPr>
            <w:tcW w:w="674" w:type="dxa"/>
            <w:noWrap/>
          </w:tcPr>
          <w:p w14:paraId="14E2DA2F" w14:textId="77777777" w:rsidR="007B79E6" w:rsidRPr="00F60AC1" w:rsidRDefault="00AF30FA">
            <w:pPr>
              <w:rPr>
                <w:lang w:val="en-GB"/>
              </w:rPr>
            </w:pPr>
            <w:r w:rsidRPr="00F60AC1">
              <w:rPr>
                <w:lang w:val="en-GB"/>
              </w:rPr>
              <w:t>X</w:t>
            </w:r>
          </w:p>
        </w:tc>
      </w:tr>
      <w:tr w:rsidR="007B79E6" w:rsidRPr="00F60AC1" w14:paraId="5CBC4685" w14:textId="77777777">
        <w:trPr>
          <w:trHeight w:val="300"/>
        </w:trPr>
        <w:tc>
          <w:tcPr>
            <w:tcW w:w="2776" w:type="dxa"/>
            <w:noWrap/>
          </w:tcPr>
          <w:p w14:paraId="6A991477" w14:textId="77777777" w:rsidR="007B79E6" w:rsidRPr="00F60AC1" w:rsidRDefault="00AF30FA">
            <w:pPr>
              <w:rPr>
                <w:lang w:val="en-GB"/>
              </w:rPr>
            </w:pPr>
            <w:r w:rsidRPr="00F60AC1">
              <w:rPr>
                <w:lang w:val="en-GB"/>
              </w:rPr>
              <w:t>Nigeria</w:t>
            </w:r>
          </w:p>
        </w:tc>
        <w:tc>
          <w:tcPr>
            <w:tcW w:w="1269" w:type="dxa"/>
            <w:noWrap/>
          </w:tcPr>
          <w:p w14:paraId="0DB30355" w14:textId="77777777" w:rsidR="007B79E6" w:rsidRPr="00F60AC1" w:rsidRDefault="00AF30FA">
            <w:pPr>
              <w:rPr>
                <w:lang w:val="en-GB"/>
              </w:rPr>
            </w:pPr>
            <w:r w:rsidRPr="00F60AC1">
              <w:rPr>
                <w:lang w:val="en-GB"/>
              </w:rPr>
              <w:t>X</w:t>
            </w:r>
          </w:p>
        </w:tc>
        <w:tc>
          <w:tcPr>
            <w:tcW w:w="1269" w:type="dxa"/>
            <w:noWrap/>
          </w:tcPr>
          <w:p w14:paraId="27938F26" w14:textId="77777777" w:rsidR="007B79E6" w:rsidRPr="00F60AC1" w:rsidRDefault="00AF30FA">
            <w:pPr>
              <w:rPr>
                <w:lang w:val="en-GB"/>
              </w:rPr>
            </w:pPr>
            <w:r w:rsidRPr="00F60AC1">
              <w:rPr>
                <w:lang w:val="en-GB"/>
              </w:rPr>
              <w:t>X</w:t>
            </w:r>
          </w:p>
        </w:tc>
        <w:tc>
          <w:tcPr>
            <w:tcW w:w="1352" w:type="dxa"/>
            <w:noWrap/>
          </w:tcPr>
          <w:p w14:paraId="62E77247" w14:textId="77777777" w:rsidR="007B79E6" w:rsidRPr="00F60AC1" w:rsidRDefault="00AF30FA">
            <w:pPr>
              <w:rPr>
                <w:lang w:val="en-GB"/>
              </w:rPr>
            </w:pPr>
            <w:r w:rsidRPr="00F60AC1">
              <w:rPr>
                <w:lang w:val="en-GB"/>
              </w:rPr>
              <w:t>X</w:t>
            </w:r>
          </w:p>
        </w:tc>
        <w:tc>
          <w:tcPr>
            <w:tcW w:w="824" w:type="dxa"/>
            <w:noWrap/>
          </w:tcPr>
          <w:p w14:paraId="641806F3" w14:textId="77777777" w:rsidR="007B79E6" w:rsidRPr="00F60AC1" w:rsidRDefault="00AF30FA">
            <w:pPr>
              <w:rPr>
                <w:lang w:val="en-GB"/>
              </w:rPr>
            </w:pPr>
            <w:r w:rsidRPr="00F60AC1">
              <w:rPr>
                <w:lang w:val="en-GB"/>
              </w:rPr>
              <w:t>X</w:t>
            </w:r>
          </w:p>
        </w:tc>
        <w:tc>
          <w:tcPr>
            <w:tcW w:w="1269" w:type="dxa"/>
            <w:noWrap/>
          </w:tcPr>
          <w:p w14:paraId="08CF8D78" w14:textId="77777777" w:rsidR="007B79E6" w:rsidRPr="00F60AC1" w:rsidRDefault="00AF30FA">
            <w:pPr>
              <w:rPr>
                <w:lang w:val="en-GB"/>
              </w:rPr>
            </w:pPr>
            <w:r w:rsidRPr="00F60AC1">
              <w:rPr>
                <w:lang w:val="en-GB"/>
              </w:rPr>
              <w:t> </w:t>
            </w:r>
          </w:p>
        </w:tc>
        <w:tc>
          <w:tcPr>
            <w:tcW w:w="674" w:type="dxa"/>
            <w:noWrap/>
          </w:tcPr>
          <w:p w14:paraId="1D72EB5E" w14:textId="77777777" w:rsidR="007B79E6" w:rsidRPr="00F60AC1" w:rsidRDefault="00AF30FA">
            <w:pPr>
              <w:rPr>
                <w:lang w:val="en-GB"/>
              </w:rPr>
            </w:pPr>
            <w:r w:rsidRPr="00F60AC1">
              <w:rPr>
                <w:lang w:val="en-GB"/>
              </w:rPr>
              <w:t>X</w:t>
            </w:r>
          </w:p>
        </w:tc>
      </w:tr>
      <w:tr w:rsidR="007B79E6" w:rsidRPr="00F60AC1" w14:paraId="7B117A61" w14:textId="77777777">
        <w:trPr>
          <w:trHeight w:val="300"/>
        </w:trPr>
        <w:tc>
          <w:tcPr>
            <w:tcW w:w="2776" w:type="dxa"/>
            <w:noWrap/>
          </w:tcPr>
          <w:p w14:paraId="3DEA4032" w14:textId="77777777" w:rsidR="007B79E6" w:rsidRPr="00F60AC1" w:rsidRDefault="00AF30FA">
            <w:pPr>
              <w:rPr>
                <w:lang w:val="en-GB"/>
              </w:rPr>
            </w:pPr>
            <w:r w:rsidRPr="00F60AC1">
              <w:rPr>
                <w:lang w:val="en-GB"/>
              </w:rPr>
              <w:t>Rwanda</w:t>
            </w:r>
          </w:p>
        </w:tc>
        <w:tc>
          <w:tcPr>
            <w:tcW w:w="1269" w:type="dxa"/>
            <w:noWrap/>
          </w:tcPr>
          <w:p w14:paraId="5EAD9CDF" w14:textId="77777777" w:rsidR="007B79E6" w:rsidRPr="00F60AC1" w:rsidRDefault="00AF30FA">
            <w:pPr>
              <w:rPr>
                <w:lang w:val="en-GB"/>
              </w:rPr>
            </w:pPr>
            <w:r w:rsidRPr="00F60AC1">
              <w:rPr>
                <w:lang w:val="en-GB"/>
              </w:rPr>
              <w:t>X</w:t>
            </w:r>
          </w:p>
        </w:tc>
        <w:tc>
          <w:tcPr>
            <w:tcW w:w="1269" w:type="dxa"/>
            <w:noWrap/>
          </w:tcPr>
          <w:p w14:paraId="456807A1" w14:textId="77777777" w:rsidR="007B79E6" w:rsidRPr="00F60AC1" w:rsidRDefault="00AF30FA">
            <w:pPr>
              <w:rPr>
                <w:lang w:val="en-GB"/>
              </w:rPr>
            </w:pPr>
            <w:r w:rsidRPr="00F60AC1">
              <w:rPr>
                <w:lang w:val="en-GB"/>
              </w:rPr>
              <w:t>X</w:t>
            </w:r>
          </w:p>
        </w:tc>
        <w:tc>
          <w:tcPr>
            <w:tcW w:w="1352" w:type="dxa"/>
            <w:noWrap/>
          </w:tcPr>
          <w:p w14:paraId="42F9858D" w14:textId="77777777" w:rsidR="007B79E6" w:rsidRPr="00F60AC1" w:rsidRDefault="00AF30FA">
            <w:pPr>
              <w:rPr>
                <w:lang w:val="en-GB"/>
              </w:rPr>
            </w:pPr>
            <w:r w:rsidRPr="00F60AC1">
              <w:rPr>
                <w:lang w:val="en-GB"/>
              </w:rPr>
              <w:t>X</w:t>
            </w:r>
          </w:p>
        </w:tc>
        <w:tc>
          <w:tcPr>
            <w:tcW w:w="824" w:type="dxa"/>
            <w:noWrap/>
          </w:tcPr>
          <w:p w14:paraId="798558CC" w14:textId="77777777" w:rsidR="007B79E6" w:rsidRPr="00F60AC1" w:rsidRDefault="007B79E6">
            <w:pPr>
              <w:rPr>
                <w:lang w:val="en-GB"/>
              </w:rPr>
            </w:pPr>
          </w:p>
        </w:tc>
        <w:tc>
          <w:tcPr>
            <w:tcW w:w="1269" w:type="dxa"/>
            <w:noWrap/>
          </w:tcPr>
          <w:p w14:paraId="0BAC7D81" w14:textId="77777777" w:rsidR="007B79E6" w:rsidRPr="00F60AC1" w:rsidRDefault="00AF30FA">
            <w:pPr>
              <w:rPr>
                <w:lang w:val="en-GB"/>
              </w:rPr>
            </w:pPr>
            <w:r w:rsidRPr="00F60AC1">
              <w:rPr>
                <w:lang w:val="en-GB"/>
              </w:rPr>
              <w:t> </w:t>
            </w:r>
          </w:p>
        </w:tc>
        <w:tc>
          <w:tcPr>
            <w:tcW w:w="674" w:type="dxa"/>
            <w:noWrap/>
          </w:tcPr>
          <w:p w14:paraId="735766D9" w14:textId="77777777" w:rsidR="007B79E6" w:rsidRPr="00F60AC1" w:rsidRDefault="00AF30FA">
            <w:pPr>
              <w:rPr>
                <w:lang w:val="en-GB"/>
              </w:rPr>
            </w:pPr>
            <w:r w:rsidRPr="00F60AC1">
              <w:rPr>
                <w:lang w:val="en-GB"/>
              </w:rPr>
              <w:t>X</w:t>
            </w:r>
          </w:p>
        </w:tc>
      </w:tr>
      <w:tr w:rsidR="007B79E6" w:rsidRPr="00F60AC1" w14:paraId="1F1C7B8C" w14:textId="77777777">
        <w:trPr>
          <w:trHeight w:val="300"/>
        </w:trPr>
        <w:tc>
          <w:tcPr>
            <w:tcW w:w="2776" w:type="dxa"/>
            <w:noWrap/>
          </w:tcPr>
          <w:p w14:paraId="6890DCA3" w14:textId="77777777" w:rsidR="007B79E6" w:rsidRPr="00F60AC1" w:rsidRDefault="00AF30FA">
            <w:pPr>
              <w:rPr>
                <w:lang w:val="en-GB"/>
              </w:rPr>
            </w:pPr>
            <w:r w:rsidRPr="00F60AC1">
              <w:rPr>
                <w:lang w:val="en-GB"/>
              </w:rPr>
              <w:t>Sao Tome and Principe</w:t>
            </w:r>
          </w:p>
        </w:tc>
        <w:tc>
          <w:tcPr>
            <w:tcW w:w="1269" w:type="dxa"/>
            <w:noWrap/>
          </w:tcPr>
          <w:p w14:paraId="186D4DBB" w14:textId="77777777" w:rsidR="007B79E6" w:rsidRPr="00F60AC1" w:rsidRDefault="00AF30FA">
            <w:pPr>
              <w:rPr>
                <w:lang w:val="en-GB"/>
              </w:rPr>
            </w:pPr>
            <w:r w:rsidRPr="00F60AC1">
              <w:rPr>
                <w:lang w:val="en-GB"/>
              </w:rPr>
              <w:t>X</w:t>
            </w:r>
          </w:p>
        </w:tc>
        <w:tc>
          <w:tcPr>
            <w:tcW w:w="1269" w:type="dxa"/>
            <w:noWrap/>
          </w:tcPr>
          <w:p w14:paraId="344BC3B8" w14:textId="77777777" w:rsidR="007B79E6" w:rsidRPr="00F60AC1" w:rsidRDefault="00AF30FA">
            <w:pPr>
              <w:rPr>
                <w:lang w:val="en-GB"/>
              </w:rPr>
            </w:pPr>
            <w:r w:rsidRPr="00F60AC1">
              <w:rPr>
                <w:lang w:val="en-GB"/>
              </w:rPr>
              <w:t>X</w:t>
            </w:r>
          </w:p>
        </w:tc>
        <w:tc>
          <w:tcPr>
            <w:tcW w:w="1352" w:type="dxa"/>
            <w:noWrap/>
          </w:tcPr>
          <w:p w14:paraId="59A039F1" w14:textId="77777777" w:rsidR="007B79E6" w:rsidRPr="00F60AC1" w:rsidRDefault="00AF30FA">
            <w:pPr>
              <w:rPr>
                <w:lang w:val="en-GB"/>
              </w:rPr>
            </w:pPr>
            <w:r w:rsidRPr="00F60AC1">
              <w:rPr>
                <w:lang w:val="en-GB"/>
              </w:rPr>
              <w:t>X</w:t>
            </w:r>
          </w:p>
        </w:tc>
        <w:tc>
          <w:tcPr>
            <w:tcW w:w="824" w:type="dxa"/>
            <w:noWrap/>
          </w:tcPr>
          <w:p w14:paraId="72DBB30E" w14:textId="77777777" w:rsidR="007B79E6" w:rsidRPr="00F60AC1" w:rsidRDefault="007B79E6">
            <w:pPr>
              <w:rPr>
                <w:lang w:val="en-GB"/>
              </w:rPr>
            </w:pPr>
          </w:p>
        </w:tc>
        <w:tc>
          <w:tcPr>
            <w:tcW w:w="1269" w:type="dxa"/>
            <w:noWrap/>
          </w:tcPr>
          <w:p w14:paraId="71711E7D" w14:textId="77777777" w:rsidR="007B79E6" w:rsidRPr="00F60AC1" w:rsidRDefault="00AF30FA">
            <w:pPr>
              <w:rPr>
                <w:lang w:val="en-GB"/>
              </w:rPr>
            </w:pPr>
            <w:r w:rsidRPr="00F60AC1">
              <w:rPr>
                <w:lang w:val="en-GB"/>
              </w:rPr>
              <w:t> </w:t>
            </w:r>
          </w:p>
        </w:tc>
        <w:tc>
          <w:tcPr>
            <w:tcW w:w="674" w:type="dxa"/>
            <w:noWrap/>
          </w:tcPr>
          <w:p w14:paraId="1BAB8BBC" w14:textId="77777777" w:rsidR="007B79E6" w:rsidRPr="00F60AC1" w:rsidRDefault="007B79E6">
            <w:pPr>
              <w:rPr>
                <w:lang w:val="en-GB"/>
              </w:rPr>
            </w:pPr>
          </w:p>
        </w:tc>
      </w:tr>
      <w:tr w:rsidR="007B79E6" w:rsidRPr="00F60AC1" w14:paraId="6A547184" w14:textId="77777777">
        <w:trPr>
          <w:trHeight w:val="300"/>
        </w:trPr>
        <w:tc>
          <w:tcPr>
            <w:tcW w:w="2776" w:type="dxa"/>
            <w:noWrap/>
          </w:tcPr>
          <w:p w14:paraId="22BC71F1" w14:textId="77777777" w:rsidR="007B79E6" w:rsidRPr="00F60AC1" w:rsidRDefault="00AF30FA">
            <w:pPr>
              <w:rPr>
                <w:lang w:val="en-GB"/>
              </w:rPr>
            </w:pPr>
            <w:r w:rsidRPr="00F60AC1">
              <w:rPr>
                <w:lang w:val="en-GB"/>
              </w:rPr>
              <w:t>Senegal</w:t>
            </w:r>
          </w:p>
        </w:tc>
        <w:tc>
          <w:tcPr>
            <w:tcW w:w="1269" w:type="dxa"/>
            <w:noWrap/>
          </w:tcPr>
          <w:p w14:paraId="326BFA5A" w14:textId="77777777" w:rsidR="007B79E6" w:rsidRPr="00F60AC1" w:rsidRDefault="00AF30FA">
            <w:pPr>
              <w:rPr>
                <w:lang w:val="en-GB"/>
              </w:rPr>
            </w:pPr>
            <w:r w:rsidRPr="00F60AC1">
              <w:rPr>
                <w:lang w:val="en-GB"/>
              </w:rPr>
              <w:t>X</w:t>
            </w:r>
          </w:p>
        </w:tc>
        <w:tc>
          <w:tcPr>
            <w:tcW w:w="1269" w:type="dxa"/>
            <w:noWrap/>
          </w:tcPr>
          <w:p w14:paraId="73701354" w14:textId="77777777" w:rsidR="007B79E6" w:rsidRPr="00F60AC1" w:rsidRDefault="00AF30FA">
            <w:pPr>
              <w:rPr>
                <w:lang w:val="en-GB"/>
              </w:rPr>
            </w:pPr>
            <w:r w:rsidRPr="00F60AC1">
              <w:rPr>
                <w:lang w:val="en-GB"/>
              </w:rPr>
              <w:t>X</w:t>
            </w:r>
          </w:p>
        </w:tc>
        <w:tc>
          <w:tcPr>
            <w:tcW w:w="1352" w:type="dxa"/>
            <w:noWrap/>
          </w:tcPr>
          <w:p w14:paraId="2DA2660B" w14:textId="77777777" w:rsidR="007B79E6" w:rsidRPr="00F60AC1" w:rsidRDefault="00AF30FA">
            <w:pPr>
              <w:rPr>
                <w:lang w:val="en-GB"/>
              </w:rPr>
            </w:pPr>
            <w:r w:rsidRPr="00F60AC1">
              <w:rPr>
                <w:lang w:val="en-GB"/>
              </w:rPr>
              <w:t>X</w:t>
            </w:r>
          </w:p>
        </w:tc>
        <w:tc>
          <w:tcPr>
            <w:tcW w:w="824" w:type="dxa"/>
            <w:noWrap/>
          </w:tcPr>
          <w:p w14:paraId="4A317675" w14:textId="77777777" w:rsidR="007B79E6" w:rsidRPr="00F60AC1" w:rsidRDefault="007B79E6">
            <w:pPr>
              <w:rPr>
                <w:lang w:val="en-GB"/>
              </w:rPr>
            </w:pPr>
          </w:p>
        </w:tc>
        <w:tc>
          <w:tcPr>
            <w:tcW w:w="1269" w:type="dxa"/>
            <w:noWrap/>
          </w:tcPr>
          <w:p w14:paraId="669A44C3" w14:textId="77777777" w:rsidR="007B79E6" w:rsidRPr="00F60AC1" w:rsidRDefault="00AF30FA">
            <w:pPr>
              <w:rPr>
                <w:lang w:val="en-GB"/>
              </w:rPr>
            </w:pPr>
            <w:r w:rsidRPr="00F60AC1">
              <w:rPr>
                <w:lang w:val="en-GB"/>
              </w:rPr>
              <w:t> </w:t>
            </w:r>
          </w:p>
        </w:tc>
        <w:tc>
          <w:tcPr>
            <w:tcW w:w="674" w:type="dxa"/>
            <w:noWrap/>
          </w:tcPr>
          <w:p w14:paraId="474CDA03" w14:textId="77777777" w:rsidR="007B79E6" w:rsidRPr="00F60AC1" w:rsidRDefault="00AF30FA">
            <w:pPr>
              <w:rPr>
                <w:lang w:val="en-GB"/>
              </w:rPr>
            </w:pPr>
            <w:r w:rsidRPr="00F60AC1">
              <w:rPr>
                <w:lang w:val="en-GB"/>
              </w:rPr>
              <w:t>X</w:t>
            </w:r>
          </w:p>
        </w:tc>
      </w:tr>
      <w:tr w:rsidR="007B79E6" w:rsidRPr="00F60AC1" w14:paraId="08B47189" w14:textId="77777777">
        <w:trPr>
          <w:trHeight w:val="300"/>
        </w:trPr>
        <w:tc>
          <w:tcPr>
            <w:tcW w:w="2776" w:type="dxa"/>
            <w:noWrap/>
          </w:tcPr>
          <w:p w14:paraId="4493B948" w14:textId="77777777" w:rsidR="007B79E6" w:rsidRPr="00F60AC1" w:rsidRDefault="00AF30FA">
            <w:pPr>
              <w:rPr>
                <w:lang w:val="en-GB"/>
              </w:rPr>
            </w:pPr>
            <w:r w:rsidRPr="00F60AC1">
              <w:rPr>
                <w:lang w:val="en-GB"/>
              </w:rPr>
              <w:t>Seychelles</w:t>
            </w:r>
          </w:p>
        </w:tc>
        <w:tc>
          <w:tcPr>
            <w:tcW w:w="1269" w:type="dxa"/>
            <w:noWrap/>
          </w:tcPr>
          <w:p w14:paraId="7237E14F" w14:textId="77777777" w:rsidR="007B79E6" w:rsidRPr="00F60AC1" w:rsidRDefault="00AF30FA">
            <w:pPr>
              <w:rPr>
                <w:lang w:val="en-GB"/>
              </w:rPr>
            </w:pPr>
            <w:r w:rsidRPr="00F60AC1">
              <w:rPr>
                <w:lang w:val="en-GB"/>
              </w:rPr>
              <w:t>X</w:t>
            </w:r>
          </w:p>
        </w:tc>
        <w:tc>
          <w:tcPr>
            <w:tcW w:w="1269" w:type="dxa"/>
            <w:noWrap/>
          </w:tcPr>
          <w:p w14:paraId="64CB91F4" w14:textId="77777777" w:rsidR="007B79E6" w:rsidRPr="00F60AC1" w:rsidRDefault="007B79E6">
            <w:pPr>
              <w:rPr>
                <w:lang w:val="en-GB"/>
              </w:rPr>
            </w:pPr>
          </w:p>
        </w:tc>
        <w:tc>
          <w:tcPr>
            <w:tcW w:w="1352" w:type="dxa"/>
            <w:noWrap/>
          </w:tcPr>
          <w:p w14:paraId="70AB1A06" w14:textId="77777777" w:rsidR="007B79E6" w:rsidRPr="00F60AC1" w:rsidRDefault="00AF30FA">
            <w:pPr>
              <w:rPr>
                <w:lang w:val="en-GB"/>
              </w:rPr>
            </w:pPr>
            <w:r w:rsidRPr="00F60AC1">
              <w:rPr>
                <w:lang w:val="en-GB"/>
              </w:rPr>
              <w:t>X</w:t>
            </w:r>
          </w:p>
        </w:tc>
        <w:tc>
          <w:tcPr>
            <w:tcW w:w="824" w:type="dxa"/>
            <w:noWrap/>
          </w:tcPr>
          <w:p w14:paraId="6F1256F5" w14:textId="77777777" w:rsidR="007B79E6" w:rsidRPr="00F60AC1" w:rsidRDefault="007B79E6">
            <w:pPr>
              <w:rPr>
                <w:lang w:val="en-GB"/>
              </w:rPr>
            </w:pPr>
          </w:p>
        </w:tc>
        <w:tc>
          <w:tcPr>
            <w:tcW w:w="1269" w:type="dxa"/>
            <w:noWrap/>
          </w:tcPr>
          <w:p w14:paraId="2D9EDBBB" w14:textId="77777777" w:rsidR="007B79E6" w:rsidRPr="00F60AC1" w:rsidRDefault="00AF30FA">
            <w:pPr>
              <w:rPr>
                <w:lang w:val="en-GB"/>
              </w:rPr>
            </w:pPr>
            <w:r w:rsidRPr="00F60AC1">
              <w:rPr>
                <w:lang w:val="en-GB"/>
              </w:rPr>
              <w:t> </w:t>
            </w:r>
          </w:p>
        </w:tc>
        <w:tc>
          <w:tcPr>
            <w:tcW w:w="674" w:type="dxa"/>
            <w:noWrap/>
          </w:tcPr>
          <w:p w14:paraId="42606FF9" w14:textId="77777777" w:rsidR="007B79E6" w:rsidRPr="00F60AC1" w:rsidRDefault="00AF30FA">
            <w:pPr>
              <w:rPr>
                <w:lang w:val="en-GB"/>
              </w:rPr>
            </w:pPr>
            <w:r w:rsidRPr="00F60AC1">
              <w:rPr>
                <w:lang w:val="en-GB"/>
              </w:rPr>
              <w:t>X</w:t>
            </w:r>
          </w:p>
        </w:tc>
      </w:tr>
      <w:tr w:rsidR="007B79E6" w:rsidRPr="00F60AC1" w14:paraId="03B8C2F7" w14:textId="77777777">
        <w:trPr>
          <w:trHeight w:val="300"/>
        </w:trPr>
        <w:tc>
          <w:tcPr>
            <w:tcW w:w="2776" w:type="dxa"/>
            <w:noWrap/>
          </w:tcPr>
          <w:p w14:paraId="0D745297" w14:textId="77777777" w:rsidR="007B79E6" w:rsidRPr="00F60AC1" w:rsidRDefault="00AF30FA">
            <w:pPr>
              <w:rPr>
                <w:lang w:val="en-GB"/>
              </w:rPr>
            </w:pPr>
            <w:r w:rsidRPr="00F60AC1">
              <w:rPr>
                <w:lang w:val="en-GB"/>
              </w:rPr>
              <w:t>Sierra Leone</w:t>
            </w:r>
          </w:p>
        </w:tc>
        <w:tc>
          <w:tcPr>
            <w:tcW w:w="1269" w:type="dxa"/>
            <w:noWrap/>
          </w:tcPr>
          <w:p w14:paraId="429118B6" w14:textId="77777777" w:rsidR="007B79E6" w:rsidRPr="00F60AC1" w:rsidRDefault="00AF30FA">
            <w:pPr>
              <w:rPr>
                <w:lang w:val="en-GB"/>
              </w:rPr>
            </w:pPr>
            <w:r w:rsidRPr="00F60AC1">
              <w:rPr>
                <w:lang w:val="en-GB"/>
              </w:rPr>
              <w:t>X</w:t>
            </w:r>
          </w:p>
        </w:tc>
        <w:tc>
          <w:tcPr>
            <w:tcW w:w="1269" w:type="dxa"/>
            <w:noWrap/>
          </w:tcPr>
          <w:p w14:paraId="536DDE40" w14:textId="77777777" w:rsidR="007B79E6" w:rsidRPr="00F60AC1" w:rsidRDefault="007B79E6">
            <w:pPr>
              <w:rPr>
                <w:lang w:val="en-GB"/>
              </w:rPr>
            </w:pPr>
          </w:p>
        </w:tc>
        <w:tc>
          <w:tcPr>
            <w:tcW w:w="1352" w:type="dxa"/>
            <w:noWrap/>
          </w:tcPr>
          <w:p w14:paraId="38F418D0" w14:textId="77777777" w:rsidR="007B79E6" w:rsidRPr="00F60AC1" w:rsidRDefault="00AF30FA">
            <w:pPr>
              <w:rPr>
                <w:lang w:val="en-GB"/>
              </w:rPr>
            </w:pPr>
            <w:r w:rsidRPr="00F60AC1">
              <w:rPr>
                <w:lang w:val="en-GB"/>
              </w:rPr>
              <w:t>X</w:t>
            </w:r>
          </w:p>
        </w:tc>
        <w:tc>
          <w:tcPr>
            <w:tcW w:w="824" w:type="dxa"/>
            <w:noWrap/>
          </w:tcPr>
          <w:p w14:paraId="0768BC0E" w14:textId="77777777" w:rsidR="007B79E6" w:rsidRPr="00F60AC1" w:rsidRDefault="007B79E6">
            <w:pPr>
              <w:rPr>
                <w:lang w:val="en-GB"/>
              </w:rPr>
            </w:pPr>
          </w:p>
        </w:tc>
        <w:tc>
          <w:tcPr>
            <w:tcW w:w="1269" w:type="dxa"/>
            <w:noWrap/>
          </w:tcPr>
          <w:p w14:paraId="58032C6B" w14:textId="77777777" w:rsidR="007B79E6" w:rsidRPr="00F60AC1" w:rsidRDefault="00AF30FA">
            <w:pPr>
              <w:rPr>
                <w:lang w:val="en-GB"/>
              </w:rPr>
            </w:pPr>
            <w:r w:rsidRPr="00F60AC1">
              <w:rPr>
                <w:lang w:val="en-GB"/>
              </w:rPr>
              <w:t> </w:t>
            </w:r>
          </w:p>
        </w:tc>
        <w:tc>
          <w:tcPr>
            <w:tcW w:w="674" w:type="dxa"/>
            <w:noWrap/>
          </w:tcPr>
          <w:p w14:paraId="0CCBDBB7" w14:textId="77777777" w:rsidR="007B79E6" w:rsidRPr="00F60AC1" w:rsidRDefault="00AF30FA">
            <w:pPr>
              <w:rPr>
                <w:lang w:val="en-GB"/>
              </w:rPr>
            </w:pPr>
            <w:r w:rsidRPr="00F60AC1">
              <w:rPr>
                <w:lang w:val="en-GB"/>
              </w:rPr>
              <w:t>X</w:t>
            </w:r>
          </w:p>
        </w:tc>
      </w:tr>
      <w:tr w:rsidR="007B79E6" w:rsidRPr="00F60AC1" w14:paraId="068107E6" w14:textId="77777777">
        <w:trPr>
          <w:trHeight w:val="300"/>
        </w:trPr>
        <w:tc>
          <w:tcPr>
            <w:tcW w:w="2776" w:type="dxa"/>
            <w:noWrap/>
          </w:tcPr>
          <w:p w14:paraId="621C3C25" w14:textId="77777777" w:rsidR="007B79E6" w:rsidRPr="00F60AC1" w:rsidRDefault="00AF30FA">
            <w:pPr>
              <w:rPr>
                <w:lang w:val="en-GB"/>
              </w:rPr>
            </w:pPr>
            <w:r w:rsidRPr="00F60AC1">
              <w:rPr>
                <w:lang w:val="en-GB"/>
              </w:rPr>
              <w:t>Somalia</w:t>
            </w:r>
          </w:p>
        </w:tc>
        <w:tc>
          <w:tcPr>
            <w:tcW w:w="1269" w:type="dxa"/>
            <w:noWrap/>
          </w:tcPr>
          <w:p w14:paraId="703C3D0B" w14:textId="77777777" w:rsidR="007B79E6" w:rsidRPr="00F60AC1" w:rsidRDefault="007B79E6">
            <w:pPr>
              <w:rPr>
                <w:lang w:val="en-GB"/>
              </w:rPr>
            </w:pPr>
          </w:p>
        </w:tc>
        <w:tc>
          <w:tcPr>
            <w:tcW w:w="1269" w:type="dxa"/>
            <w:noWrap/>
          </w:tcPr>
          <w:p w14:paraId="51FEB486" w14:textId="77777777" w:rsidR="007B79E6" w:rsidRPr="00F60AC1" w:rsidRDefault="007B79E6">
            <w:pPr>
              <w:rPr>
                <w:lang w:val="en-GB"/>
              </w:rPr>
            </w:pPr>
          </w:p>
        </w:tc>
        <w:tc>
          <w:tcPr>
            <w:tcW w:w="1352" w:type="dxa"/>
            <w:noWrap/>
          </w:tcPr>
          <w:p w14:paraId="33605751" w14:textId="77777777" w:rsidR="007B79E6" w:rsidRPr="00F60AC1" w:rsidRDefault="007B79E6">
            <w:pPr>
              <w:rPr>
                <w:lang w:val="en-GB"/>
              </w:rPr>
            </w:pPr>
          </w:p>
        </w:tc>
        <w:tc>
          <w:tcPr>
            <w:tcW w:w="824" w:type="dxa"/>
            <w:noWrap/>
          </w:tcPr>
          <w:p w14:paraId="120281B7" w14:textId="77777777" w:rsidR="007B79E6" w:rsidRPr="00F60AC1" w:rsidRDefault="007B79E6">
            <w:pPr>
              <w:rPr>
                <w:lang w:val="en-GB"/>
              </w:rPr>
            </w:pPr>
          </w:p>
        </w:tc>
        <w:tc>
          <w:tcPr>
            <w:tcW w:w="1269" w:type="dxa"/>
            <w:noWrap/>
          </w:tcPr>
          <w:p w14:paraId="0537014E" w14:textId="77777777" w:rsidR="007B79E6" w:rsidRPr="00F60AC1" w:rsidRDefault="00AF30FA">
            <w:pPr>
              <w:rPr>
                <w:lang w:val="en-GB"/>
              </w:rPr>
            </w:pPr>
            <w:r w:rsidRPr="00F60AC1">
              <w:rPr>
                <w:lang w:val="en-GB"/>
              </w:rPr>
              <w:t> </w:t>
            </w:r>
          </w:p>
        </w:tc>
        <w:tc>
          <w:tcPr>
            <w:tcW w:w="674" w:type="dxa"/>
            <w:noWrap/>
          </w:tcPr>
          <w:p w14:paraId="2A39CD2D" w14:textId="77777777" w:rsidR="007B79E6" w:rsidRPr="00F60AC1" w:rsidRDefault="007B79E6">
            <w:pPr>
              <w:rPr>
                <w:lang w:val="en-GB"/>
              </w:rPr>
            </w:pPr>
          </w:p>
        </w:tc>
      </w:tr>
      <w:tr w:rsidR="007B79E6" w:rsidRPr="00F60AC1" w14:paraId="686AA48D" w14:textId="77777777">
        <w:trPr>
          <w:trHeight w:val="300"/>
        </w:trPr>
        <w:tc>
          <w:tcPr>
            <w:tcW w:w="2776" w:type="dxa"/>
            <w:noWrap/>
          </w:tcPr>
          <w:p w14:paraId="1F18C026" w14:textId="77777777" w:rsidR="007B79E6" w:rsidRPr="00F60AC1" w:rsidRDefault="00AF30FA">
            <w:pPr>
              <w:rPr>
                <w:lang w:val="en-GB"/>
              </w:rPr>
            </w:pPr>
            <w:r w:rsidRPr="00F60AC1">
              <w:rPr>
                <w:lang w:val="en-GB"/>
              </w:rPr>
              <w:t>South Africa</w:t>
            </w:r>
          </w:p>
        </w:tc>
        <w:tc>
          <w:tcPr>
            <w:tcW w:w="1269" w:type="dxa"/>
            <w:noWrap/>
          </w:tcPr>
          <w:p w14:paraId="1390311F" w14:textId="77777777" w:rsidR="007B79E6" w:rsidRPr="00F60AC1" w:rsidRDefault="00AF30FA">
            <w:pPr>
              <w:rPr>
                <w:lang w:val="en-GB"/>
              </w:rPr>
            </w:pPr>
            <w:r w:rsidRPr="00F60AC1">
              <w:rPr>
                <w:lang w:val="en-GB"/>
              </w:rPr>
              <w:t>X</w:t>
            </w:r>
          </w:p>
        </w:tc>
        <w:tc>
          <w:tcPr>
            <w:tcW w:w="1269" w:type="dxa"/>
            <w:noWrap/>
          </w:tcPr>
          <w:p w14:paraId="1DB93866" w14:textId="77777777" w:rsidR="007B79E6" w:rsidRPr="00F60AC1" w:rsidRDefault="00AF30FA">
            <w:pPr>
              <w:rPr>
                <w:lang w:val="en-GB"/>
              </w:rPr>
            </w:pPr>
            <w:r w:rsidRPr="00F60AC1">
              <w:rPr>
                <w:lang w:val="en-GB"/>
              </w:rPr>
              <w:t>X</w:t>
            </w:r>
          </w:p>
        </w:tc>
        <w:tc>
          <w:tcPr>
            <w:tcW w:w="1352" w:type="dxa"/>
            <w:noWrap/>
          </w:tcPr>
          <w:p w14:paraId="65B55521" w14:textId="77777777" w:rsidR="007B79E6" w:rsidRPr="00F60AC1" w:rsidRDefault="00AF30FA">
            <w:pPr>
              <w:rPr>
                <w:lang w:val="en-GB"/>
              </w:rPr>
            </w:pPr>
            <w:r w:rsidRPr="00F60AC1">
              <w:rPr>
                <w:lang w:val="en-GB"/>
              </w:rPr>
              <w:t>X</w:t>
            </w:r>
          </w:p>
        </w:tc>
        <w:tc>
          <w:tcPr>
            <w:tcW w:w="824" w:type="dxa"/>
            <w:noWrap/>
          </w:tcPr>
          <w:p w14:paraId="788FB60A" w14:textId="77777777" w:rsidR="007B79E6" w:rsidRPr="00F60AC1" w:rsidRDefault="007B79E6">
            <w:pPr>
              <w:rPr>
                <w:lang w:val="en-GB"/>
              </w:rPr>
            </w:pPr>
          </w:p>
        </w:tc>
        <w:tc>
          <w:tcPr>
            <w:tcW w:w="1269" w:type="dxa"/>
            <w:noWrap/>
          </w:tcPr>
          <w:p w14:paraId="3C47A2C8" w14:textId="77777777" w:rsidR="007B79E6" w:rsidRPr="00F60AC1" w:rsidRDefault="00AF30FA">
            <w:pPr>
              <w:rPr>
                <w:lang w:val="en-GB"/>
              </w:rPr>
            </w:pPr>
            <w:r w:rsidRPr="00F60AC1">
              <w:rPr>
                <w:lang w:val="en-GB"/>
              </w:rPr>
              <w:t>X</w:t>
            </w:r>
          </w:p>
        </w:tc>
        <w:tc>
          <w:tcPr>
            <w:tcW w:w="674" w:type="dxa"/>
            <w:noWrap/>
          </w:tcPr>
          <w:p w14:paraId="233CA3F5" w14:textId="77777777" w:rsidR="007B79E6" w:rsidRPr="00F60AC1" w:rsidRDefault="00AF30FA">
            <w:pPr>
              <w:rPr>
                <w:lang w:val="en-GB"/>
              </w:rPr>
            </w:pPr>
            <w:r w:rsidRPr="00F60AC1">
              <w:rPr>
                <w:lang w:val="en-GB"/>
              </w:rPr>
              <w:t>X</w:t>
            </w:r>
          </w:p>
        </w:tc>
      </w:tr>
      <w:tr w:rsidR="007B79E6" w:rsidRPr="00F60AC1" w14:paraId="0103A83C" w14:textId="77777777">
        <w:trPr>
          <w:trHeight w:val="300"/>
        </w:trPr>
        <w:tc>
          <w:tcPr>
            <w:tcW w:w="2776" w:type="dxa"/>
            <w:noWrap/>
          </w:tcPr>
          <w:p w14:paraId="5E37980D" w14:textId="77777777" w:rsidR="007B79E6" w:rsidRPr="00F60AC1" w:rsidRDefault="00AF30FA">
            <w:pPr>
              <w:rPr>
                <w:lang w:val="en-GB"/>
              </w:rPr>
            </w:pPr>
            <w:r w:rsidRPr="00F60AC1">
              <w:rPr>
                <w:lang w:val="en-GB"/>
              </w:rPr>
              <w:t>South Sudan</w:t>
            </w:r>
          </w:p>
        </w:tc>
        <w:tc>
          <w:tcPr>
            <w:tcW w:w="1269" w:type="dxa"/>
            <w:noWrap/>
          </w:tcPr>
          <w:p w14:paraId="15D11AF8" w14:textId="77777777" w:rsidR="007B79E6" w:rsidRPr="00F60AC1" w:rsidRDefault="007B79E6">
            <w:pPr>
              <w:rPr>
                <w:lang w:val="en-GB"/>
              </w:rPr>
            </w:pPr>
          </w:p>
        </w:tc>
        <w:tc>
          <w:tcPr>
            <w:tcW w:w="1269" w:type="dxa"/>
            <w:noWrap/>
          </w:tcPr>
          <w:p w14:paraId="12045352" w14:textId="77777777" w:rsidR="007B79E6" w:rsidRPr="00F60AC1" w:rsidRDefault="007B79E6">
            <w:pPr>
              <w:rPr>
                <w:lang w:val="en-GB"/>
              </w:rPr>
            </w:pPr>
          </w:p>
        </w:tc>
        <w:tc>
          <w:tcPr>
            <w:tcW w:w="1352" w:type="dxa"/>
            <w:noWrap/>
          </w:tcPr>
          <w:p w14:paraId="4AFD1F3F" w14:textId="77777777" w:rsidR="007B79E6" w:rsidRPr="00F60AC1" w:rsidRDefault="007B79E6">
            <w:pPr>
              <w:rPr>
                <w:lang w:val="en-GB"/>
              </w:rPr>
            </w:pPr>
          </w:p>
        </w:tc>
        <w:tc>
          <w:tcPr>
            <w:tcW w:w="824" w:type="dxa"/>
            <w:noWrap/>
          </w:tcPr>
          <w:p w14:paraId="6BA47F0A" w14:textId="77777777" w:rsidR="007B79E6" w:rsidRPr="00F60AC1" w:rsidRDefault="007B79E6">
            <w:pPr>
              <w:rPr>
                <w:lang w:val="en-GB"/>
              </w:rPr>
            </w:pPr>
          </w:p>
        </w:tc>
        <w:tc>
          <w:tcPr>
            <w:tcW w:w="1269" w:type="dxa"/>
            <w:noWrap/>
          </w:tcPr>
          <w:p w14:paraId="20AA8398" w14:textId="77777777" w:rsidR="007B79E6" w:rsidRPr="00F60AC1" w:rsidRDefault="00AF30FA">
            <w:pPr>
              <w:rPr>
                <w:lang w:val="en-GB"/>
              </w:rPr>
            </w:pPr>
            <w:r w:rsidRPr="00F60AC1">
              <w:rPr>
                <w:lang w:val="en-GB"/>
              </w:rPr>
              <w:t> </w:t>
            </w:r>
          </w:p>
        </w:tc>
        <w:tc>
          <w:tcPr>
            <w:tcW w:w="674" w:type="dxa"/>
            <w:noWrap/>
          </w:tcPr>
          <w:p w14:paraId="4887137E" w14:textId="77777777" w:rsidR="007B79E6" w:rsidRPr="00F60AC1" w:rsidRDefault="007B79E6">
            <w:pPr>
              <w:rPr>
                <w:lang w:val="en-GB"/>
              </w:rPr>
            </w:pPr>
          </w:p>
        </w:tc>
      </w:tr>
      <w:tr w:rsidR="007B79E6" w:rsidRPr="00F60AC1" w14:paraId="4E5452F8" w14:textId="77777777">
        <w:trPr>
          <w:trHeight w:val="300"/>
        </w:trPr>
        <w:tc>
          <w:tcPr>
            <w:tcW w:w="2776" w:type="dxa"/>
            <w:noWrap/>
          </w:tcPr>
          <w:p w14:paraId="0459C903" w14:textId="77777777" w:rsidR="007B79E6" w:rsidRPr="00F60AC1" w:rsidRDefault="00AF30FA">
            <w:pPr>
              <w:rPr>
                <w:lang w:val="en-GB"/>
              </w:rPr>
            </w:pPr>
            <w:r w:rsidRPr="00F60AC1">
              <w:rPr>
                <w:lang w:val="en-GB"/>
              </w:rPr>
              <w:t>Sudan</w:t>
            </w:r>
          </w:p>
        </w:tc>
        <w:tc>
          <w:tcPr>
            <w:tcW w:w="1269" w:type="dxa"/>
            <w:noWrap/>
          </w:tcPr>
          <w:p w14:paraId="038128F3" w14:textId="77777777" w:rsidR="007B79E6" w:rsidRPr="00F60AC1" w:rsidRDefault="00AF30FA">
            <w:pPr>
              <w:rPr>
                <w:lang w:val="en-GB"/>
              </w:rPr>
            </w:pPr>
            <w:r w:rsidRPr="00F60AC1">
              <w:rPr>
                <w:lang w:val="en-GB"/>
              </w:rPr>
              <w:t>X</w:t>
            </w:r>
          </w:p>
        </w:tc>
        <w:tc>
          <w:tcPr>
            <w:tcW w:w="1269" w:type="dxa"/>
            <w:noWrap/>
          </w:tcPr>
          <w:p w14:paraId="0D0C9B60" w14:textId="77777777" w:rsidR="007B79E6" w:rsidRPr="00F60AC1" w:rsidRDefault="00AF30FA">
            <w:pPr>
              <w:rPr>
                <w:lang w:val="en-GB"/>
              </w:rPr>
            </w:pPr>
            <w:r w:rsidRPr="00F60AC1">
              <w:rPr>
                <w:lang w:val="en-GB"/>
              </w:rPr>
              <w:t>X</w:t>
            </w:r>
          </w:p>
        </w:tc>
        <w:tc>
          <w:tcPr>
            <w:tcW w:w="1352" w:type="dxa"/>
            <w:noWrap/>
          </w:tcPr>
          <w:p w14:paraId="37B162B5" w14:textId="77777777" w:rsidR="007B79E6" w:rsidRPr="00F60AC1" w:rsidRDefault="00AF30FA">
            <w:pPr>
              <w:rPr>
                <w:lang w:val="en-GB"/>
              </w:rPr>
            </w:pPr>
            <w:r w:rsidRPr="00F60AC1">
              <w:rPr>
                <w:lang w:val="en-GB"/>
              </w:rPr>
              <w:t>X</w:t>
            </w:r>
          </w:p>
        </w:tc>
        <w:tc>
          <w:tcPr>
            <w:tcW w:w="824" w:type="dxa"/>
            <w:noWrap/>
          </w:tcPr>
          <w:p w14:paraId="2B247DF1" w14:textId="77777777" w:rsidR="007B79E6" w:rsidRPr="00F60AC1" w:rsidRDefault="007B79E6">
            <w:pPr>
              <w:rPr>
                <w:lang w:val="en-GB"/>
              </w:rPr>
            </w:pPr>
          </w:p>
        </w:tc>
        <w:tc>
          <w:tcPr>
            <w:tcW w:w="1269" w:type="dxa"/>
            <w:noWrap/>
          </w:tcPr>
          <w:p w14:paraId="32004544" w14:textId="77777777" w:rsidR="007B79E6" w:rsidRPr="00F60AC1" w:rsidRDefault="00AF30FA">
            <w:pPr>
              <w:rPr>
                <w:lang w:val="en-GB"/>
              </w:rPr>
            </w:pPr>
            <w:r w:rsidRPr="00F60AC1">
              <w:rPr>
                <w:lang w:val="en-GB"/>
              </w:rPr>
              <w:t> </w:t>
            </w:r>
          </w:p>
        </w:tc>
        <w:tc>
          <w:tcPr>
            <w:tcW w:w="674" w:type="dxa"/>
            <w:noWrap/>
          </w:tcPr>
          <w:p w14:paraId="4F6E1CD1" w14:textId="77777777" w:rsidR="007B79E6" w:rsidRPr="00F60AC1" w:rsidRDefault="007B79E6">
            <w:pPr>
              <w:rPr>
                <w:lang w:val="en-GB"/>
              </w:rPr>
            </w:pPr>
          </w:p>
        </w:tc>
      </w:tr>
      <w:tr w:rsidR="007B79E6" w:rsidRPr="00F60AC1" w14:paraId="065A33D6" w14:textId="77777777">
        <w:trPr>
          <w:trHeight w:val="300"/>
        </w:trPr>
        <w:tc>
          <w:tcPr>
            <w:tcW w:w="2776" w:type="dxa"/>
            <w:noWrap/>
          </w:tcPr>
          <w:p w14:paraId="13FFD428" w14:textId="77777777" w:rsidR="007B79E6" w:rsidRPr="00F60AC1" w:rsidRDefault="00AF30FA">
            <w:pPr>
              <w:rPr>
                <w:lang w:val="en-GB"/>
              </w:rPr>
            </w:pPr>
            <w:r w:rsidRPr="00F60AC1">
              <w:rPr>
                <w:lang w:val="en-GB"/>
              </w:rPr>
              <w:t>Togo</w:t>
            </w:r>
          </w:p>
        </w:tc>
        <w:tc>
          <w:tcPr>
            <w:tcW w:w="1269" w:type="dxa"/>
            <w:noWrap/>
          </w:tcPr>
          <w:p w14:paraId="587AB0C3" w14:textId="77777777" w:rsidR="007B79E6" w:rsidRPr="00F60AC1" w:rsidRDefault="00AF30FA">
            <w:pPr>
              <w:rPr>
                <w:lang w:val="en-GB"/>
              </w:rPr>
            </w:pPr>
            <w:r w:rsidRPr="00F60AC1">
              <w:rPr>
                <w:lang w:val="en-GB"/>
              </w:rPr>
              <w:t>X</w:t>
            </w:r>
          </w:p>
        </w:tc>
        <w:tc>
          <w:tcPr>
            <w:tcW w:w="1269" w:type="dxa"/>
            <w:noWrap/>
          </w:tcPr>
          <w:p w14:paraId="75DC0573" w14:textId="77777777" w:rsidR="007B79E6" w:rsidRPr="00F60AC1" w:rsidRDefault="00AF30FA">
            <w:pPr>
              <w:rPr>
                <w:lang w:val="en-GB"/>
              </w:rPr>
            </w:pPr>
            <w:r w:rsidRPr="00F60AC1">
              <w:rPr>
                <w:lang w:val="en-GB"/>
              </w:rPr>
              <w:t>X</w:t>
            </w:r>
          </w:p>
        </w:tc>
        <w:tc>
          <w:tcPr>
            <w:tcW w:w="1352" w:type="dxa"/>
            <w:noWrap/>
          </w:tcPr>
          <w:p w14:paraId="14C9FA1A" w14:textId="77777777" w:rsidR="007B79E6" w:rsidRPr="00F60AC1" w:rsidRDefault="00AF30FA">
            <w:pPr>
              <w:rPr>
                <w:lang w:val="en-GB"/>
              </w:rPr>
            </w:pPr>
            <w:r w:rsidRPr="00F60AC1">
              <w:rPr>
                <w:lang w:val="en-GB"/>
              </w:rPr>
              <w:t>X</w:t>
            </w:r>
          </w:p>
        </w:tc>
        <w:tc>
          <w:tcPr>
            <w:tcW w:w="824" w:type="dxa"/>
            <w:noWrap/>
          </w:tcPr>
          <w:p w14:paraId="238C6B86" w14:textId="77777777" w:rsidR="007B79E6" w:rsidRPr="00F60AC1" w:rsidRDefault="007B79E6">
            <w:pPr>
              <w:rPr>
                <w:lang w:val="en-GB"/>
              </w:rPr>
            </w:pPr>
          </w:p>
        </w:tc>
        <w:tc>
          <w:tcPr>
            <w:tcW w:w="1269" w:type="dxa"/>
            <w:noWrap/>
          </w:tcPr>
          <w:p w14:paraId="5D05B05F" w14:textId="77777777" w:rsidR="007B79E6" w:rsidRPr="00F60AC1" w:rsidRDefault="00AF30FA">
            <w:pPr>
              <w:rPr>
                <w:lang w:val="en-GB"/>
              </w:rPr>
            </w:pPr>
            <w:r w:rsidRPr="00F60AC1">
              <w:rPr>
                <w:lang w:val="en-GB"/>
              </w:rPr>
              <w:t> </w:t>
            </w:r>
          </w:p>
        </w:tc>
        <w:tc>
          <w:tcPr>
            <w:tcW w:w="674" w:type="dxa"/>
            <w:noWrap/>
          </w:tcPr>
          <w:p w14:paraId="3E4C0B4C" w14:textId="77777777" w:rsidR="007B79E6" w:rsidRPr="00F60AC1" w:rsidRDefault="00AF30FA">
            <w:pPr>
              <w:rPr>
                <w:lang w:val="en-GB"/>
              </w:rPr>
            </w:pPr>
            <w:r w:rsidRPr="00F60AC1">
              <w:rPr>
                <w:lang w:val="en-GB"/>
              </w:rPr>
              <w:t>X</w:t>
            </w:r>
          </w:p>
        </w:tc>
      </w:tr>
      <w:tr w:rsidR="007B79E6" w:rsidRPr="00F60AC1" w14:paraId="0F0B9600" w14:textId="77777777">
        <w:trPr>
          <w:trHeight w:val="300"/>
        </w:trPr>
        <w:tc>
          <w:tcPr>
            <w:tcW w:w="2776" w:type="dxa"/>
            <w:noWrap/>
          </w:tcPr>
          <w:p w14:paraId="4D834852" w14:textId="77777777" w:rsidR="007B79E6" w:rsidRPr="00F60AC1" w:rsidRDefault="00AF30FA">
            <w:pPr>
              <w:rPr>
                <w:lang w:val="en-GB"/>
              </w:rPr>
            </w:pPr>
            <w:r w:rsidRPr="00F60AC1">
              <w:rPr>
                <w:lang w:val="en-GB"/>
              </w:rPr>
              <w:t>Tunisia</w:t>
            </w:r>
          </w:p>
        </w:tc>
        <w:tc>
          <w:tcPr>
            <w:tcW w:w="1269" w:type="dxa"/>
            <w:noWrap/>
          </w:tcPr>
          <w:p w14:paraId="407A58BE" w14:textId="77777777" w:rsidR="007B79E6" w:rsidRPr="00F60AC1" w:rsidRDefault="00AF30FA">
            <w:pPr>
              <w:rPr>
                <w:lang w:val="en-GB"/>
              </w:rPr>
            </w:pPr>
            <w:r w:rsidRPr="00F60AC1">
              <w:rPr>
                <w:lang w:val="en-GB"/>
              </w:rPr>
              <w:t>X</w:t>
            </w:r>
          </w:p>
        </w:tc>
        <w:tc>
          <w:tcPr>
            <w:tcW w:w="1269" w:type="dxa"/>
            <w:noWrap/>
          </w:tcPr>
          <w:p w14:paraId="30AB3A88" w14:textId="77777777" w:rsidR="007B79E6" w:rsidRPr="00F60AC1" w:rsidRDefault="00AF30FA">
            <w:pPr>
              <w:rPr>
                <w:lang w:val="en-GB"/>
              </w:rPr>
            </w:pPr>
            <w:r w:rsidRPr="00F60AC1">
              <w:rPr>
                <w:lang w:val="en-GB"/>
              </w:rPr>
              <w:t>X</w:t>
            </w:r>
          </w:p>
        </w:tc>
        <w:tc>
          <w:tcPr>
            <w:tcW w:w="1352" w:type="dxa"/>
            <w:noWrap/>
          </w:tcPr>
          <w:p w14:paraId="33F12E27" w14:textId="77777777" w:rsidR="007B79E6" w:rsidRPr="00F60AC1" w:rsidRDefault="00AF30FA">
            <w:pPr>
              <w:rPr>
                <w:lang w:val="en-GB"/>
              </w:rPr>
            </w:pPr>
            <w:r w:rsidRPr="00F60AC1">
              <w:rPr>
                <w:lang w:val="en-GB"/>
              </w:rPr>
              <w:t>X</w:t>
            </w:r>
          </w:p>
        </w:tc>
        <w:tc>
          <w:tcPr>
            <w:tcW w:w="824" w:type="dxa"/>
            <w:noWrap/>
          </w:tcPr>
          <w:p w14:paraId="4684513B" w14:textId="77777777" w:rsidR="007B79E6" w:rsidRPr="00F60AC1" w:rsidRDefault="007B79E6">
            <w:pPr>
              <w:rPr>
                <w:lang w:val="en-GB"/>
              </w:rPr>
            </w:pPr>
          </w:p>
        </w:tc>
        <w:tc>
          <w:tcPr>
            <w:tcW w:w="1269" w:type="dxa"/>
            <w:noWrap/>
          </w:tcPr>
          <w:p w14:paraId="5D2D0DB6" w14:textId="77777777" w:rsidR="007B79E6" w:rsidRPr="00F60AC1" w:rsidRDefault="00AF30FA">
            <w:pPr>
              <w:rPr>
                <w:lang w:val="en-GB"/>
              </w:rPr>
            </w:pPr>
            <w:r w:rsidRPr="00F60AC1">
              <w:rPr>
                <w:lang w:val="en-GB"/>
              </w:rPr>
              <w:t>X</w:t>
            </w:r>
          </w:p>
        </w:tc>
        <w:tc>
          <w:tcPr>
            <w:tcW w:w="674" w:type="dxa"/>
            <w:noWrap/>
          </w:tcPr>
          <w:p w14:paraId="2473F1AF" w14:textId="77777777" w:rsidR="007B79E6" w:rsidRPr="00F60AC1" w:rsidRDefault="00AF30FA">
            <w:pPr>
              <w:rPr>
                <w:lang w:val="en-GB"/>
              </w:rPr>
            </w:pPr>
            <w:r w:rsidRPr="00F60AC1">
              <w:rPr>
                <w:lang w:val="en-GB"/>
              </w:rPr>
              <w:t>X</w:t>
            </w:r>
          </w:p>
        </w:tc>
      </w:tr>
      <w:tr w:rsidR="007B79E6" w:rsidRPr="00F60AC1" w14:paraId="142310EF" w14:textId="77777777">
        <w:trPr>
          <w:trHeight w:val="300"/>
        </w:trPr>
        <w:tc>
          <w:tcPr>
            <w:tcW w:w="2776" w:type="dxa"/>
            <w:noWrap/>
          </w:tcPr>
          <w:p w14:paraId="4A864628" w14:textId="77777777" w:rsidR="007B79E6" w:rsidRPr="00F60AC1" w:rsidRDefault="00AF30FA">
            <w:pPr>
              <w:rPr>
                <w:lang w:val="en-GB"/>
              </w:rPr>
            </w:pPr>
            <w:r w:rsidRPr="00F60AC1">
              <w:rPr>
                <w:lang w:val="en-GB"/>
              </w:rPr>
              <w:t>Uganda</w:t>
            </w:r>
          </w:p>
        </w:tc>
        <w:tc>
          <w:tcPr>
            <w:tcW w:w="1269" w:type="dxa"/>
            <w:noWrap/>
          </w:tcPr>
          <w:p w14:paraId="1C3E434D" w14:textId="77777777" w:rsidR="007B79E6" w:rsidRPr="00F60AC1" w:rsidRDefault="00AF30FA">
            <w:pPr>
              <w:rPr>
                <w:lang w:val="en-GB"/>
              </w:rPr>
            </w:pPr>
            <w:r w:rsidRPr="00F60AC1">
              <w:rPr>
                <w:lang w:val="en-GB"/>
              </w:rPr>
              <w:t>X</w:t>
            </w:r>
          </w:p>
        </w:tc>
        <w:tc>
          <w:tcPr>
            <w:tcW w:w="1269" w:type="dxa"/>
            <w:noWrap/>
          </w:tcPr>
          <w:p w14:paraId="1BA8A17D" w14:textId="77777777" w:rsidR="007B79E6" w:rsidRPr="00F60AC1" w:rsidRDefault="007B79E6">
            <w:pPr>
              <w:rPr>
                <w:lang w:val="en-GB"/>
              </w:rPr>
            </w:pPr>
          </w:p>
        </w:tc>
        <w:tc>
          <w:tcPr>
            <w:tcW w:w="1352" w:type="dxa"/>
            <w:noWrap/>
          </w:tcPr>
          <w:p w14:paraId="2F47FAF3" w14:textId="77777777" w:rsidR="007B79E6" w:rsidRPr="00F60AC1" w:rsidRDefault="00AF30FA">
            <w:pPr>
              <w:rPr>
                <w:lang w:val="en-GB"/>
              </w:rPr>
            </w:pPr>
            <w:r w:rsidRPr="00F60AC1">
              <w:rPr>
                <w:lang w:val="en-GB"/>
              </w:rPr>
              <w:t>X</w:t>
            </w:r>
          </w:p>
        </w:tc>
        <w:tc>
          <w:tcPr>
            <w:tcW w:w="824" w:type="dxa"/>
            <w:noWrap/>
          </w:tcPr>
          <w:p w14:paraId="7772FB24" w14:textId="77777777" w:rsidR="007B79E6" w:rsidRPr="00F60AC1" w:rsidRDefault="007B79E6">
            <w:pPr>
              <w:rPr>
                <w:lang w:val="en-GB"/>
              </w:rPr>
            </w:pPr>
          </w:p>
        </w:tc>
        <w:tc>
          <w:tcPr>
            <w:tcW w:w="1269" w:type="dxa"/>
            <w:noWrap/>
          </w:tcPr>
          <w:p w14:paraId="11197D21" w14:textId="77777777" w:rsidR="007B79E6" w:rsidRPr="00F60AC1" w:rsidRDefault="00AF30FA">
            <w:pPr>
              <w:rPr>
                <w:lang w:val="en-GB"/>
              </w:rPr>
            </w:pPr>
            <w:r w:rsidRPr="00F60AC1">
              <w:rPr>
                <w:lang w:val="en-GB"/>
              </w:rPr>
              <w:t> </w:t>
            </w:r>
          </w:p>
        </w:tc>
        <w:tc>
          <w:tcPr>
            <w:tcW w:w="674" w:type="dxa"/>
            <w:noWrap/>
          </w:tcPr>
          <w:p w14:paraId="19E227F1" w14:textId="77777777" w:rsidR="007B79E6" w:rsidRPr="00F60AC1" w:rsidRDefault="00AF30FA">
            <w:pPr>
              <w:rPr>
                <w:lang w:val="en-GB"/>
              </w:rPr>
            </w:pPr>
            <w:r w:rsidRPr="00F60AC1">
              <w:rPr>
                <w:lang w:val="en-GB"/>
              </w:rPr>
              <w:t>X</w:t>
            </w:r>
          </w:p>
        </w:tc>
      </w:tr>
      <w:tr w:rsidR="007B79E6" w:rsidRPr="00F60AC1" w14:paraId="215E9E6C" w14:textId="77777777">
        <w:trPr>
          <w:trHeight w:val="300"/>
        </w:trPr>
        <w:tc>
          <w:tcPr>
            <w:tcW w:w="2776" w:type="dxa"/>
            <w:noWrap/>
          </w:tcPr>
          <w:p w14:paraId="204D6623" w14:textId="77777777" w:rsidR="007B79E6" w:rsidRPr="00F60AC1" w:rsidRDefault="00AF30FA">
            <w:pPr>
              <w:rPr>
                <w:lang w:val="en-GB"/>
              </w:rPr>
            </w:pPr>
            <w:r w:rsidRPr="00F60AC1">
              <w:rPr>
                <w:lang w:val="en-GB"/>
              </w:rPr>
              <w:t>United Republic of Tanzania</w:t>
            </w:r>
          </w:p>
        </w:tc>
        <w:tc>
          <w:tcPr>
            <w:tcW w:w="1269" w:type="dxa"/>
            <w:noWrap/>
          </w:tcPr>
          <w:p w14:paraId="545400DD" w14:textId="77777777" w:rsidR="007B79E6" w:rsidRPr="00F60AC1" w:rsidRDefault="00AF30FA">
            <w:pPr>
              <w:rPr>
                <w:lang w:val="en-GB"/>
              </w:rPr>
            </w:pPr>
            <w:r w:rsidRPr="00F60AC1">
              <w:rPr>
                <w:lang w:val="en-GB"/>
              </w:rPr>
              <w:t>X</w:t>
            </w:r>
          </w:p>
        </w:tc>
        <w:tc>
          <w:tcPr>
            <w:tcW w:w="1269" w:type="dxa"/>
            <w:noWrap/>
          </w:tcPr>
          <w:p w14:paraId="35B2084F" w14:textId="77777777" w:rsidR="007B79E6" w:rsidRPr="00F60AC1" w:rsidRDefault="00AF30FA">
            <w:pPr>
              <w:rPr>
                <w:lang w:val="en-GB"/>
              </w:rPr>
            </w:pPr>
            <w:r w:rsidRPr="00F60AC1">
              <w:rPr>
                <w:lang w:val="en-GB"/>
              </w:rPr>
              <w:t>X</w:t>
            </w:r>
          </w:p>
        </w:tc>
        <w:tc>
          <w:tcPr>
            <w:tcW w:w="1352" w:type="dxa"/>
            <w:noWrap/>
          </w:tcPr>
          <w:p w14:paraId="09F5995E" w14:textId="77777777" w:rsidR="007B79E6" w:rsidRPr="00F60AC1" w:rsidRDefault="00AF30FA">
            <w:pPr>
              <w:rPr>
                <w:lang w:val="en-GB"/>
              </w:rPr>
            </w:pPr>
            <w:r w:rsidRPr="00F60AC1">
              <w:rPr>
                <w:lang w:val="en-GB"/>
              </w:rPr>
              <w:t>X</w:t>
            </w:r>
          </w:p>
        </w:tc>
        <w:tc>
          <w:tcPr>
            <w:tcW w:w="824" w:type="dxa"/>
            <w:noWrap/>
          </w:tcPr>
          <w:p w14:paraId="2E095662" w14:textId="77777777" w:rsidR="007B79E6" w:rsidRPr="00F60AC1" w:rsidRDefault="007B79E6">
            <w:pPr>
              <w:rPr>
                <w:lang w:val="en-GB"/>
              </w:rPr>
            </w:pPr>
          </w:p>
        </w:tc>
        <w:tc>
          <w:tcPr>
            <w:tcW w:w="1269" w:type="dxa"/>
            <w:noWrap/>
          </w:tcPr>
          <w:p w14:paraId="3743C006" w14:textId="77777777" w:rsidR="007B79E6" w:rsidRPr="00F60AC1" w:rsidRDefault="00AF30FA">
            <w:pPr>
              <w:rPr>
                <w:lang w:val="en-GB"/>
              </w:rPr>
            </w:pPr>
            <w:r w:rsidRPr="00F60AC1">
              <w:rPr>
                <w:lang w:val="en-GB"/>
              </w:rPr>
              <w:t>X</w:t>
            </w:r>
          </w:p>
        </w:tc>
        <w:tc>
          <w:tcPr>
            <w:tcW w:w="674" w:type="dxa"/>
            <w:noWrap/>
          </w:tcPr>
          <w:p w14:paraId="3D2A7887" w14:textId="77777777" w:rsidR="007B79E6" w:rsidRPr="00F60AC1" w:rsidRDefault="00AF30FA">
            <w:pPr>
              <w:rPr>
                <w:lang w:val="en-GB"/>
              </w:rPr>
            </w:pPr>
            <w:r w:rsidRPr="00F60AC1">
              <w:rPr>
                <w:lang w:val="en-GB"/>
              </w:rPr>
              <w:t>X</w:t>
            </w:r>
          </w:p>
        </w:tc>
      </w:tr>
      <w:tr w:rsidR="007B79E6" w:rsidRPr="00F60AC1" w14:paraId="66FCEFA6" w14:textId="77777777">
        <w:trPr>
          <w:trHeight w:val="300"/>
        </w:trPr>
        <w:tc>
          <w:tcPr>
            <w:tcW w:w="2776" w:type="dxa"/>
            <w:noWrap/>
          </w:tcPr>
          <w:p w14:paraId="45F064BC" w14:textId="77777777" w:rsidR="007B79E6" w:rsidRPr="00F60AC1" w:rsidRDefault="00AF30FA">
            <w:pPr>
              <w:rPr>
                <w:lang w:val="en-GB"/>
              </w:rPr>
            </w:pPr>
            <w:r w:rsidRPr="00F60AC1">
              <w:rPr>
                <w:lang w:val="en-GB"/>
              </w:rPr>
              <w:t>Western Sahara (Disputed)</w:t>
            </w:r>
          </w:p>
        </w:tc>
        <w:tc>
          <w:tcPr>
            <w:tcW w:w="1269" w:type="dxa"/>
            <w:noWrap/>
          </w:tcPr>
          <w:p w14:paraId="32554F6C" w14:textId="77777777" w:rsidR="007B79E6" w:rsidRPr="00F60AC1" w:rsidRDefault="007B79E6">
            <w:pPr>
              <w:rPr>
                <w:lang w:val="en-GB"/>
              </w:rPr>
            </w:pPr>
          </w:p>
        </w:tc>
        <w:tc>
          <w:tcPr>
            <w:tcW w:w="1269" w:type="dxa"/>
            <w:noWrap/>
          </w:tcPr>
          <w:p w14:paraId="0DD4B4E2" w14:textId="77777777" w:rsidR="007B79E6" w:rsidRPr="00F60AC1" w:rsidRDefault="007B79E6">
            <w:pPr>
              <w:rPr>
                <w:lang w:val="en-GB"/>
              </w:rPr>
            </w:pPr>
          </w:p>
        </w:tc>
        <w:tc>
          <w:tcPr>
            <w:tcW w:w="1352" w:type="dxa"/>
            <w:noWrap/>
          </w:tcPr>
          <w:p w14:paraId="342C02FE" w14:textId="77777777" w:rsidR="007B79E6" w:rsidRPr="00F60AC1" w:rsidRDefault="007B79E6">
            <w:pPr>
              <w:rPr>
                <w:lang w:val="en-GB"/>
              </w:rPr>
            </w:pPr>
          </w:p>
        </w:tc>
        <w:tc>
          <w:tcPr>
            <w:tcW w:w="824" w:type="dxa"/>
            <w:noWrap/>
          </w:tcPr>
          <w:p w14:paraId="177B894A" w14:textId="77777777" w:rsidR="007B79E6" w:rsidRPr="00F60AC1" w:rsidRDefault="007B79E6">
            <w:pPr>
              <w:rPr>
                <w:lang w:val="en-GB"/>
              </w:rPr>
            </w:pPr>
          </w:p>
        </w:tc>
        <w:tc>
          <w:tcPr>
            <w:tcW w:w="1269" w:type="dxa"/>
            <w:noWrap/>
          </w:tcPr>
          <w:p w14:paraId="794EAC81" w14:textId="77777777" w:rsidR="007B79E6" w:rsidRPr="00F60AC1" w:rsidRDefault="00AF30FA">
            <w:pPr>
              <w:rPr>
                <w:lang w:val="en-GB"/>
              </w:rPr>
            </w:pPr>
            <w:r w:rsidRPr="00F60AC1">
              <w:rPr>
                <w:lang w:val="en-GB"/>
              </w:rPr>
              <w:t> </w:t>
            </w:r>
          </w:p>
        </w:tc>
        <w:tc>
          <w:tcPr>
            <w:tcW w:w="674" w:type="dxa"/>
            <w:noWrap/>
          </w:tcPr>
          <w:p w14:paraId="5A3CBBC9" w14:textId="77777777" w:rsidR="007B79E6" w:rsidRPr="00F60AC1" w:rsidRDefault="007B79E6">
            <w:pPr>
              <w:rPr>
                <w:lang w:val="en-GB"/>
              </w:rPr>
            </w:pPr>
          </w:p>
        </w:tc>
      </w:tr>
      <w:tr w:rsidR="007B79E6" w:rsidRPr="00F60AC1" w14:paraId="3BF390C2" w14:textId="77777777">
        <w:trPr>
          <w:trHeight w:val="300"/>
        </w:trPr>
        <w:tc>
          <w:tcPr>
            <w:tcW w:w="2776" w:type="dxa"/>
            <w:noWrap/>
          </w:tcPr>
          <w:p w14:paraId="1082A726" w14:textId="77777777" w:rsidR="007B79E6" w:rsidRPr="00F60AC1" w:rsidRDefault="00AF30FA">
            <w:pPr>
              <w:rPr>
                <w:lang w:val="en-GB"/>
              </w:rPr>
            </w:pPr>
            <w:r w:rsidRPr="00F60AC1">
              <w:rPr>
                <w:lang w:val="en-GB"/>
              </w:rPr>
              <w:t>Zambia</w:t>
            </w:r>
          </w:p>
        </w:tc>
        <w:tc>
          <w:tcPr>
            <w:tcW w:w="1269" w:type="dxa"/>
            <w:noWrap/>
          </w:tcPr>
          <w:p w14:paraId="7F53093C" w14:textId="77777777" w:rsidR="007B79E6" w:rsidRPr="00F60AC1" w:rsidRDefault="00AF30FA">
            <w:pPr>
              <w:rPr>
                <w:lang w:val="en-GB"/>
              </w:rPr>
            </w:pPr>
            <w:r w:rsidRPr="00F60AC1">
              <w:rPr>
                <w:lang w:val="en-GB"/>
              </w:rPr>
              <w:t>X</w:t>
            </w:r>
          </w:p>
        </w:tc>
        <w:tc>
          <w:tcPr>
            <w:tcW w:w="1269" w:type="dxa"/>
            <w:noWrap/>
          </w:tcPr>
          <w:p w14:paraId="2F9637FC" w14:textId="77777777" w:rsidR="007B79E6" w:rsidRPr="00F60AC1" w:rsidRDefault="00AF30FA">
            <w:pPr>
              <w:rPr>
                <w:lang w:val="en-GB"/>
              </w:rPr>
            </w:pPr>
            <w:r w:rsidRPr="00F60AC1">
              <w:rPr>
                <w:lang w:val="en-GB"/>
              </w:rPr>
              <w:t>X</w:t>
            </w:r>
          </w:p>
        </w:tc>
        <w:tc>
          <w:tcPr>
            <w:tcW w:w="1352" w:type="dxa"/>
            <w:noWrap/>
          </w:tcPr>
          <w:p w14:paraId="30EE9BAF" w14:textId="77777777" w:rsidR="007B79E6" w:rsidRPr="00F60AC1" w:rsidRDefault="00AF30FA">
            <w:pPr>
              <w:rPr>
                <w:lang w:val="en-GB"/>
              </w:rPr>
            </w:pPr>
            <w:r w:rsidRPr="00F60AC1">
              <w:rPr>
                <w:lang w:val="en-GB"/>
              </w:rPr>
              <w:t>X</w:t>
            </w:r>
          </w:p>
        </w:tc>
        <w:tc>
          <w:tcPr>
            <w:tcW w:w="824" w:type="dxa"/>
            <w:noWrap/>
          </w:tcPr>
          <w:p w14:paraId="4CD759F2" w14:textId="77777777" w:rsidR="007B79E6" w:rsidRPr="00F60AC1" w:rsidRDefault="007B79E6">
            <w:pPr>
              <w:rPr>
                <w:lang w:val="en-GB"/>
              </w:rPr>
            </w:pPr>
          </w:p>
        </w:tc>
        <w:tc>
          <w:tcPr>
            <w:tcW w:w="1269" w:type="dxa"/>
            <w:noWrap/>
          </w:tcPr>
          <w:p w14:paraId="7CA27CCA" w14:textId="77777777" w:rsidR="007B79E6" w:rsidRPr="00F60AC1" w:rsidRDefault="00AF30FA">
            <w:pPr>
              <w:rPr>
                <w:lang w:val="en-GB"/>
              </w:rPr>
            </w:pPr>
            <w:r w:rsidRPr="00F60AC1">
              <w:rPr>
                <w:lang w:val="en-GB"/>
              </w:rPr>
              <w:t> </w:t>
            </w:r>
          </w:p>
        </w:tc>
        <w:tc>
          <w:tcPr>
            <w:tcW w:w="674" w:type="dxa"/>
            <w:noWrap/>
          </w:tcPr>
          <w:p w14:paraId="009A5676" w14:textId="77777777" w:rsidR="007B79E6" w:rsidRPr="00F60AC1" w:rsidRDefault="00AF30FA">
            <w:pPr>
              <w:rPr>
                <w:lang w:val="en-GB"/>
              </w:rPr>
            </w:pPr>
            <w:r w:rsidRPr="00F60AC1">
              <w:rPr>
                <w:lang w:val="en-GB"/>
              </w:rPr>
              <w:t>X</w:t>
            </w:r>
          </w:p>
        </w:tc>
      </w:tr>
      <w:tr w:rsidR="007B79E6" w:rsidRPr="00F60AC1" w14:paraId="5C10FD73" w14:textId="77777777">
        <w:trPr>
          <w:trHeight w:val="300"/>
        </w:trPr>
        <w:tc>
          <w:tcPr>
            <w:tcW w:w="2776" w:type="dxa"/>
            <w:noWrap/>
          </w:tcPr>
          <w:p w14:paraId="0A053C8C" w14:textId="77777777" w:rsidR="007B79E6" w:rsidRPr="00F60AC1" w:rsidRDefault="00AF30FA">
            <w:pPr>
              <w:rPr>
                <w:lang w:val="en-GB"/>
              </w:rPr>
            </w:pPr>
            <w:r w:rsidRPr="00F60AC1">
              <w:rPr>
                <w:lang w:val="en-GB"/>
              </w:rPr>
              <w:t>Zimbabwe</w:t>
            </w:r>
          </w:p>
        </w:tc>
        <w:tc>
          <w:tcPr>
            <w:tcW w:w="1269" w:type="dxa"/>
            <w:noWrap/>
          </w:tcPr>
          <w:p w14:paraId="05F06C2D" w14:textId="77777777" w:rsidR="007B79E6" w:rsidRPr="00F60AC1" w:rsidRDefault="00AF30FA">
            <w:pPr>
              <w:rPr>
                <w:lang w:val="en-GB"/>
              </w:rPr>
            </w:pPr>
            <w:r w:rsidRPr="00F60AC1">
              <w:rPr>
                <w:lang w:val="en-GB"/>
              </w:rPr>
              <w:t>X</w:t>
            </w:r>
          </w:p>
        </w:tc>
        <w:tc>
          <w:tcPr>
            <w:tcW w:w="1269" w:type="dxa"/>
            <w:noWrap/>
          </w:tcPr>
          <w:p w14:paraId="7372BF5B" w14:textId="77777777" w:rsidR="007B79E6" w:rsidRPr="00F60AC1" w:rsidRDefault="00AF30FA">
            <w:pPr>
              <w:rPr>
                <w:lang w:val="en-GB"/>
              </w:rPr>
            </w:pPr>
            <w:r w:rsidRPr="00F60AC1">
              <w:rPr>
                <w:lang w:val="en-GB"/>
              </w:rPr>
              <w:t>X</w:t>
            </w:r>
          </w:p>
        </w:tc>
        <w:tc>
          <w:tcPr>
            <w:tcW w:w="1352" w:type="dxa"/>
            <w:noWrap/>
          </w:tcPr>
          <w:p w14:paraId="1423EB11" w14:textId="77777777" w:rsidR="007B79E6" w:rsidRPr="00F60AC1" w:rsidRDefault="00AF30FA">
            <w:pPr>
              <w:rPr>
                <w:lang w:val="en-GB"/>
              </w:rPr>
            </w:pPr>
            <w:r w:rsidRPr="00F60AC1">
              <w:rPr>
                <w:lang w:val="en-GB"/>
              </w:rPr>
              <w:t>X</w:t>
            </w:r>
          </w:p>
        </w:tc>
        <w:tc>
          <w:tcPr>
            <w:tcW w:w="824" w:type="dxa"/>
            <w:noWrap/>
          </w:tcPr>
          <w:p w14:paraId="40FD98F5" w14:textId="77777777" w:rsidR="007B79E6" w:rsidRPr="00F60AC1" w:rsidRDefault="007B79E6">
            <w:pPr>
              <w:rPr>
                <w:lang w:val="en-GB"/>
              </w:rPr>
            </w:pPr>
          </w:p>
        </w:tc>
        <w:tc>
          <w:tcPr>
            <w:tcW w:w="1269" w:type="dxa"/>
            <w:noWrap/>
          </w:tcPr>
          <w:p w14:paraId="5BE1C82B" w14:textId="77777777" w:rsidR="007B79E6" w:rsidRPr="00F60AC1" w:rsidRDefault="00AF30FA">
            <w:pPr>
              <w:rPr>
                <w:lang w:val="en-GB"/>
              </w:rPr>
            </w:pPr>
            <w:r w:rsidRPr="00F60AC1">
              <w:rPr>
                <w:lang w:val="en-GB"/>
              </w:rPr>
              <w:t> </w:t>
            </w:r>
          </w:p>
        </w:tc>
        <w:tc>
          <w:tcPr>
            <w:tcW w:w="674" w:type="dxa"/>
            <w:noWrap/>
          </w:tcPr>
          <w:p w14:paraId="7FC8F94D" w14:textId="77777777" w:rsidR="007B79E6" w:rsidRPr="00F60AC1" w:rsidRDefault="00AF30FA">
            <w:pPr>
              <w:rPr>
                <w:lang w:val="en-GB"/>
              </w:rPr>
            </w:pPr>
            <w:r w:rsidRPr="00F60AC1">
              <w:rPr>
                <w:lang w:val="en-GB"/>
              </w:rPr>
              <w:t>X</w:t>
            </w:r>
          </w:p>
        </w:tc>
      </w:tr>
    </w:tbl>
    <w:p w14:paraId="12D815FF" w14:textId="77777777" w:rsidR="007B79E6" w:rsidRPr="00F60AC1" w:rsidRDefault="00AF30FA">
      <w:pPr>
        <w:spacing w:before="100" w:beforeAutospacing="1" w:after="100" w:afterAutospacing="1"/>
        <w:outlineLvl w:val="0"/>
        <w:rPr>
          <w:rFonts w:cstheme="minorHAnsi"/>
          <w:color w:val="000000"/>
          <w:szCs w:val="24"/>
          <w:lang w:val="en-GB"/>
        </w:rPr>
      </w:pPr>
      <w:r w:rsidRPr="00F60AC1">
        <w:rPr>
          <w:rFonts w:cstheme="minorHAnsi"/>
          <w:color w:val="000000"/>
          <w:szCs w:val="24"/>
          <w:lang w:val="en-GB"/>
        </w:rPr>
        <w:t>Source: The author</w:t>
      </w:r>
    </w:p>
    <w:p w14:paraId="06D09CB9" w14:textId="2685570A" w:rsidR="007B79E6" w:rsidRPr="00F60AC1" w:rsidRDefault="007317C8" w:rsidP="007317C8">
      <w:pPr>
        <w:pStyle w:val="IPEbene2"/>
        <w:rPr>
          <w:lang w:val="en-GB"/>
        </w:rPr>
      </w:pPr>
      <w:bookmarkStart w:id="11" w:name="_Toc86845029"/>
      <w:bookmarkStart w:id="12" w:name="_Toc86845104"/>
      <w:r w:rsidRPr="00F60AC1">
        <w:rPr>
          <w:lang w:val="en-GB"/>
        </w:rPr>
        <w:t xml:space="preserve">III. </w:t>
      </w:r>
      <w:r w:rsidR="00AF30FA" w:rsidRPr="00F60AC1">
        <w:rPr>
          <w:lang w:val="en-GB"/>
        </w:rPr>
        <w:t>The Continental (African Union) Level</w:t>
      </w:r>
      <w:bookmarkEnd w:id="11"/>
      <w:bookmarkEnd w:id="12"/>
    </w:p>
    <w:p w14:paraId="0C192AD2" w14:textId="6667AB14" w:rsidR="007B79E6" w:rsidRPr="00F60AC1" w:rsidRDefault="00AF30FA" w:rsidP="007317C8">
      <w:pPr>
        <w:rPr>
          <w:iCs/>
          <w:color w:val="000000" w:themeColor="text1"/>
          <w:lang w:val="en-GB"/>
        </w:rPr>
      </w:pPr>
      <w:r w:rsidRPr="00F60AC1">
        <w:rPr>
          <w:lang w:val="en-GB"/>
        </w:rPr>
        <w:lastRenderedPageBreak/>
        <w:t xml:space="preserve">At the AU level, policymakers appear eager to endorse </w:t>
      </w:r>
      <w:r w:rsidR="004B5056" w:rsidRPr="00F60AC1">
        <w:rPr>
          <w:lang w:val="en-GB"/>
        </w:rPr>
        <w:t>“</w:t>
      </w:r>
      <w:r w:rsidRPr="00F60AC1">
        <w:rPr>
          <w:lang w:val="en-GB"/>
        </w:rPr>
        <w:t>effective</w:t>
      </w:r>
      <w:r w:rsidR="002D0D77" w:rsidRPr="00F60AC1">
        <w:rPr>
          <w:lang w:val="en-GB"/>
        </w:rPr>
        <w:t>“</w:t>
      </w:r>
      <w:r w:rsidRPr="00F60AC1">
        <w:rPr>
          <w:lang w:val="en-GB"/>
        </w:rPr>
        <w:t xml:space="preserve"> IP systems for Africa despite the organization churning out five instruments that set out Africa’s position in some areas of IP</w:t>
      </w:r>
      <w:r w:rsidRPr="00F60AC1">
        <w:rPr>
          <w:color w:val="000000" w:themeColor="text1"/>
          <w:lang w:val="en-GB"/>
        </w:rPr>
        <w:t>.</w:t>
      </w:r>
      <w:r w:rsidRPr="00F60AC1">
        <w:rPr>
          <w:rStyle w:val="FootnoteReference"/>
          <w:rFonts w:cstheme="minorHAnsi"/>
          <w:color w:val="000000" w:themeColor="text1"/>
          <w:szCs w:val="24"/>
          <w:lang w:val="en-GB"/>
        </w:rPr>
        <w:footnoteReference w:id="105"/>
      </w:r>
      <w:r w:rsidRPr="00F60AC1">
        <w:rPr>
          <w:color w:val="000000" w:themeColor="text1"/>
          <w:lang w:val="en-GB"/>
        </w:rPr>
        <w:t xml:space="preserve"> This posture makes it look as though policymakers on the continent have adopted a half-in, half-out approach to IP administration that simultaneously insists on stronger IP rights and at the same time, advocates for a balance regarding access, local innovation and creativity. T</w:t>
      </w:r>
      <w:r w:rsidRPr="00F60AC1">
        <w:rPr>
          <w:lang w:val="en-GB"/>
        </w:rPr>
        <w:t>echnical assistance and capacity-building measures may best explain this dilemma</w:t>
      </w:r>
      <w:r w:rsidRPr="00F60AC1">
        <w:rPr>
          <w:color w:val="000000" w:themeColor="text1"/>
          <w:lang w:val="en-GB"/>
        </w:rPr>
        <w:t xml:space="preserve">. </w:t>
      </w:r>
      <w:r w:rsidRPr="00F60AC1">
        <w:rPr>
          <w:iCs/>
          <w:color w:val="000000" w:themeColor="text1"/>
          <w:lang w:val="en-GB"/>
        </w:rPr>
        <w:t xml:space="preserve">In 2015 for example, </w:t>
      </w:r>
      <w:r w:rsidRPr="00F60AC1">
        <w:rPr>
          <w:color w:val="000000" w:themeColor="text1"/>
          <w:lang w:val="en-GB"/>
        </w:rPr>
        <w:t xml:space="preserve">a High-Level </w:t>
      </w:r>
      <w:r w:rsidRPr="00F60AC1">
        <w:rPr>
          <w:iCs/>
          <w:color w:val="000000" w:themeColor="text1"/>
          <w:lang w:val="en-GB"/>
        </w:rPr>
        <w:t>African Ministerial Conference organized by WIPO in cooperation with others</w:t>
      </w:r>
      <w:r w:rsidRPr="00F60AC1">
        <w:rPr>
          <w:iCs/>
          <w:color w:val="000000" w:themeColor="text1"/>
          <w:vertAlign w:val="superscript"/>
          <w:lang w:val="en-GB"/>
        </w:rPr>
        <w:footnoteReference w:id="106"/>
      </w:r>
      <w:r w:rsidRPr="00F60AC1">
        <w:rPr>
          <w:color w:val="000000" w:themeColor="text1"/>
          <w:lang w:val="en-GB"/>
        </w:rPr>
        <w:t xml:space="preserve"> </w:t>
      </w:r>
      <w:r w:rsidRPr="00F60AC1">
        <w:rPr>
          <w:iCs/>
          <w:color w:val="000000" w:themeColor="text1"/>
          <w:lang w:val="en-GB"/>
        </w:rPr>
        <w:t>explored ways in which IP could promote creativity and spur growth by ensuring the development of sound innovation systems. The speakers and panellists, often chosen by the WIPO Secretariat, did not include the African Group in Geneva or pro-development civil society organizations.</w:t>
      </w:r>
      <w:r w:rsidRPr="00F60AC1">
        <w:rPr>
          <w:rStyle w:val="FootnoteReference"/>
          <w:rFonts w:cstheme="minorHAnsi"/>
          <w:iCs/>
          <w:color w:val="000000" w:themeColor="text1"/>
          <w:szCs w:val="24"/>
          <w:lang w:val="en-GB"/>
        </w:rPr>
        <w:footnoteReference w:id="107"/>
      </w:r>
      <w:r w:rsidRPr="00F60AC1">
        <w:rPr>
          <w:iCs/>
          <w:color w:val="000000" w:themeColor="text1"/>
          <w:lang w:val="en-GB"/>
        </w:rPr>
        <w:t xml:space="preserve"> </w:t>
      </w:r>
    </w:p>
    <w:p w14:paraId="321B18A0" w14:textId="77777777" w:rsidR="007317C8" w:rsidRPr="00F60AC1" w:rsidRDefault="007317C8" w:rsidP="007317C8">
      <w:pPr>
        <w:rPr>
          <w:lang w:val="en-GB"/>
        </w:rPr>
      </w:pPr>
    </w:p>
    <w:p w14:paraId="3C8C63F3" w14:textId="00893A07" w:rsidR="007B79E6" w:rsidRPr="00F60AC1" w:rsidRDefault="00AF30FA" w:rsidP="007317C8">
      <w:pPr>
        <w:rPr>
          <w:color w:val="000000"/>
          <w:lang w:val="en-GB"/>
        </w:rPr>
      </w:pPr>
      <w:r w:rsidRPr="00F60AC1">
        <w:rPr>
          <w:lang w:val="en-GB"/>
        </w:rPr>
        <w:t>Among the many sessions at the Conference,</w:t>
      </w:r>
      <w:r w:rsidRPr="00F60AC1">
        <w:rPr>
          <w:rStyle w:val="FootnoteReference"/>
          <w:rFonts w:cstheme="minorHAnsi"/>
          <w:color w:val="000000" w:themeColor="text1"/>
          <w:szCs w:val="24"/>
          <w:lang w:val="en-GB"/>
        </w:rPr>
        <w:footnoteReference w:id="108"/>
      </w:r>
      <w:r w:rsidRPr="00F60AC1">
        <w:rPr>
          <w:lang w:val="en-GB"/>
        </w:rPr>
        <w:t xml:space="preserve"> there was one on food and agriculture under the theme </w:t>
      </w:r>
      <w:r w:rsidR="004B5056" w:rsidRPr="00F60AC1">
        <w:rPr>
          <w:lang w:val="en-GB"/>
        </w:rPr>
        <w:t>“</w:t>
      </w:r>
      <w:r w:rsidRPr="00F60AC1">
        <w:rPr>
          <w:lang w:val="en-GB"/>
        </w:rPr>
        <w:t>Promoting Research and Development in Food and Agriculture.</w:t>
      </w:r>
      <w:r w:rsidR="002D0D77" w:rsidRPr="00F60AC1">
        <w:rPr>
          <w:lang w:val="en-GB"/>
        </w:rPr>
        <w:t>“</w:t>
      </w:r>
      <w:r w:rsidRPr="00F60AC1">
        <w:rPr>
          <w:rStyle w:val="FootnoteReference"/>
          <w:rFonts w:cstheme="minorHAnsi"/>
          <w:color w:val="000000" w:themeColor="text1"/>
          <w:szCs w:val="24"/>
          <w:lang w:val="en-GB"/>
        </w:rPr>
        <w:footnoteReference w:id="109"/>
      </w:r>
      <w:r w:rsidRPr="00F60AC1">
        <w:rPr>
          <w:lang w:val="en-GB"/>
        </w:rPr>
        <w:t xml:space="preserve"> Speaking at this session was Mr Peter Button, the Vice Secretary-General of UPOV, who spoke on the topic </w:t>
      </w:r>
      <w:r w:rsidR="004B5056" w:rsidRPr="00F60AC1">
        <w:rPr>
          <w:lang w:val="en-GB"/>
        </w:rPr>
        <w:t>“</w:t>
      </w:r>
      <w:r w:rsidRPr="00F60AC1">
        <w:rPr>
          <w:lang w:val="en-GB"/>
        </w:rPr>
        <w:t>Promoting New Plant Varieties for Enhanced Agricultural Productivity and Food Security.</w:t>
      </w:r>
      <w:r w:rsidR="002D0D77" w:rsidRPr="00F60AC1">
        <w:rPr>
          <w:lang w:val="en-GB"/>
        </w:rPr>
        <w:t>“</w:t>
      </w:r>
      <w:r w:rsidRPr="00F60AC1">
        <w:rPr>
          <w:lang w:val="en-GB"/>
        </w:rPr>
        <w:t xml:space="preserve"> The content of the presentation was such that one cannot deny its partial and political tone. No wonder among the recommendations from the conference, </w:t>
      </w:r>
      <w:r w:rsidR="002E1B7B" w:rsidRPr="00F60AC1">
        <w:rPr>
          <w:lang w:val="en-GB"/>
        </w:rPr>
        <w:t>M</w:t>
      </w:r>
      <w:r w:rsidRPr="00F60AC1">
        <w:rPr>
          <w:lang w:val="en-GB"/>
        </w:rPr>
        <w:t xml:space="preserve">ember </w:t>
      </w:r>
      <w:r w:rsidR="002E1B7B" w:rsidRPr="00F60AC1">
        <w:rPr>
          <w:lang w:val="en-GB"/>
        </w:rPr>
        <w:t>S</w:t>
      </w:r>
      <w:r w:rsidRPr="00F60AC1">
        <w:rPr>
          <w:lang w:val="en-GB"/>
        </w:rPr>
        <w:t>tates were encouraged to use all forms of IP in meeting the needs of the agricultural sector, and that PVP is a particularly important mechanism to promote research and transfer of technology to farmers, thereby increasing productivity and value addition in agriculture.</w:t>
      </w:r>
      <w:r w:rsidRPr="00F60AC1">
        <w:rPr>
          <w:rStyle w:val="FootnoteReference"/>
          <w:rFonts w:cstheme="minorHAnsi"/>
          <w:color w:val="000000" w:themeColor="text1"/>
          <w:szCs w:val="24"/>
          <w:lang w:val="en-GB"/>
        </w:rPr>
        <w:footnoteReference w:id="110"/>
      </w:r>
      <w:r w:rsidRPr="00F60AC1">
        <w:rPr>
          <w:lang w:val="en-GB"/>
        </w:rPr>
        <w:t xml:space="preserve"> UPOV membership was recognized as a key factor in maximizing the impact of PVP. </w:t>
      </w:r>
    </w:p>
    <w:p w14:paraId="70E33AD0" w14:textId="77777777" w:rsidR="007B79E6" w:rsidRPr="00F60AC1" w:rsidRDefault="00AF30FA">
      <w:pPr>
        <w:spacing w:before="100" w:beforeAutospacing="1" w:after="100" w:afterAutospacing="1"/>
        <w:outlineLvl w:val="0"/>
        <w:rPr>
          <w:rFonts w:cstheme="minorHAnsi"/>
          <w:color w:val="000000"/>
          <w:szCs w:val="24"/>
          <w:lang w:val="en-GB"/>
        </w:rPr>
      </w:pPr>
      <w:r w:rsidRPr="00F60AC1">
        <w:rPr>
          <w:rFonts w:cstheme="minorHAnsi"/>
          <w:iCs/>
          <w:color w:val="000000"/>
          <w:szCs w:val="24"/>
          <w:lang w:val="en-GB"/>
        </w:rPr>
        <w:t>A key outcome of the conference was the Dakar Declaration.</w:t>
      </w:r>
      <w:r w:rsidRPr="00F60AC1">
        <w:rPr>
          <w:rStyle w:val="FootnoteReference"/>
          <w:rFonts w:cstheme="minorHAnsi"/>
          <w:iCs/>
          <w:color w:val="000000"/>
          <w:szCs w:val="24"/>
          <w:lang w:val="en-GB"/>
        </w:rPr>
        <w:footnoteReference w:id="111"/>
      </w:r>
      <w:r w:rsidRPr="00F60AC1">
        <w:rPr>
          <w:rFonts w:cstheme="minorHAnsi"/>
          <w:iCs/>
          <w:color w:val="000000"/>
          <w:szCs w:val="24"/>
          <w:lang w:val="en-GB"/>
        </w:rPr>
        <w:t xml:space="preserve"> In the Declaration,</w:t>
      </w:r>
      <w:r w:rsidRPr="00F60AC1">
        <w:rPr>
          <w:rFonts w:cstheme="minorHAnsi"/>
          <w:color w:val="000000"/>
          <w:szCs w:val="24"/>
          <w:lang w:val="en-GB"/>
        </w:rPr>
        <w:t xml:space="preserve"> the AU Ministers pledged to,</w:t>
      </w:r>
      <w:r w:rsidRPr="00F60AC1">
        <w:rPr>
          <w:rFonts w:cstheme="minorHAnsi"/>
          <w:iCs/>
          <w:color w:val="000000"/>
          <w:szCs w:val="24"/>
          <w:lang w:val="en-GB"/>
        </w:rPr>
        <w:t xml:space="preserve"> among others</w:t>
      </w:r>
      <w:r w:rsidRPr="00F60AC1">
        <w:rPr>
          <w:rFonts w:cstheme="minorHAnsi"/>
          <w:color w:val="000000"/>
          <w:szCs w:val="24"/>
          <w:lang w:val="en-GB"/>
        </w:rPr>
        <w:t xml:space="preserve">, provide a conducive environment with dynamic IP systems that propel creativity, innovation, and inventiveness and effectively guide the promotion, acquisition and commercialization of IP for sustainable growth and development and the well-being of African populations. They also pledged to take advantage of opportunities available within WIPO technical assistance and capacity building programmes and to </w:t>
      </w:r>
      <w:r w:rsidRPr="00F60AC1">
        <w:rPr>
          <w:rFonts w:cstheme="minorHAnsi"/>
          <w:color w:val="000000" w:themeColor="text1"/>
          <w:szCs w:val="24"/>
          <w:lang w:val="en-GB"/>
        </w:rPr>
        <w:t>consider joining relevant WIPO-Administrated Treaties to which they are not yet Parties</w:t>
      </w:r>
      <w:r w:rsidRPr="00F60AC1">
        <w:rPr>
          <w:rFonts w:cstheme="minorHAnsi"/>
          <w:color w:val="000000"/>
          <w:szCs w:val="24"/>
          <w:lang w:val="en-GB"/>
        </w:rPr>
        <w:t>.</w:t>
      </w:r>
      <w:r w:rsidRPr="00F60AC1">
        <w:rPr>
          <w:rStyle w:val="FootnoteReference"/>
          <w:rFonts w:cstheme="minorHAnsi"/>
          <w:color w:val="000000"/>
          <w:szCs w:val="24"/>
          <w:lang w:val="en-GB"/>
        </w:rPr>
        <w:footnoteReference w:id="112"/>
      </w:r>
      <w:r w:rsidRPr="00F60AC1">
        <w:rPr>
          <w:rFonts w:cstheme="minorHAnsi"/>
          <w:color w:val="000000"/>
          <w:szCs w:val="24"/>
          <w:lang w:val="en-GB"/>
        </w:rPr>
        <w:t xml:space="preserve"> An account has it that this Declaration was negotiated behind closed doors and that African Ministers of Trade were not present at the time of its adoption – raising doubts.</w:t>
      </w:r>
      <w:r w:rsidRPr="00F60AC1">
        <w:rPr>
          <w:rStyle w:val="FootnoteReference"/>
          <w:rFonts w:cstheme="minorHAnsi"/>
          <w:color w:val="000000"/>
          <w:szCs w:val="24"/>
          <w:lang w:val="en-GB"/>
        </w:rPr>
        <w:footnoteReference w:id="113"/>
      </w:r>
      <w:r w:rsidRPr="00F60AC1">
        <w:rPr>
          <w:rFonts w:cstheme="minorHAnsi"/>
          <w:color w:val="000000"/>
          <w:szCs w:val="24"/>
          <w:lang w:val="en-GB"/>
        </w:rPr>
        <w:t xml:space="preserve"> </w:t>
      </w:r>
      <w:r w:rsidRPr="00F60AC1">
        <w:rPr>
          <w:rFonts w:cstheme="minorHAnsi"/>
          <w:color w:val="000000" w:themeColor="text1"/>
          <w:szCs w:val="24"/>
          <w:lang w:val="en-GB"/>
        </w:rPr>
        <w:t xml:space="preserve">Ultimately, the event served as </w:t>
      </w:r>
      <w:r w:rsidRPr="00F60AC1">
        <w:rPr>
          <w:rFonts w:cstheme="minorHAnsi"/>
          <w:color w:val="000000" w:themeColor="text1"/>
          <w:szCs w:val="24"/>
          <w:lang w:val="en-GB"/>
        </w:rPr>
        <w:lastRenderedPageBreak/>
        <w:t>a forum for knowledge circulation and capacity building in Africa, albeit lopsided towards the Western-centric corpus of IP systems that the sponsors’ favour.</w:t>
      </w:r>
    </w:p>
    <w:p w14:paraId="58544016" w14:textId="0D12228A" w:rsidR="007B79E6" w:rsidRPr="00F60AC1" w:rsidRDefault="00AF30FA">
      <w:pPr>
        <w:rPr>
          <w:rFonts w:ascii="Calibri" w:hAnsi="Calibri" w:cs="Calibri"/>
          <w:color w:val="FF0000"/>
          <w:szCs w:val="24"/>
          <w:lang w:val="en-GB"/>
        </w:rPr>
      </w:pPr>
      <w:r w:rsidRPr="00F60AC1">
        <w:rPr>
          <w:rFonts w:cstheme="minorHAnsi"/>
          <w:color w:val="000000" w:themeColor="text1"/>
          <w:szCs w:val="24"/>
          <w:lang w:val="en-GB"/>
        </w:rPr>
        <w:t xml:space="preserve">The </w:t>
      </w:r>
      <w:r w:rsidRPr="00F60AC1">
        <w:rPr>
          <w:rFonts w:cstheme="minorHAnsi"/>
          <w:iCs/>
          <w:color w:val="000000" w:themeColor="text1"/>
          <w:szCs w:val="24"/>
          <w:lang w:val="en-GB"/>
        </w:rPr>
        <w:t>Science, Technology and Innovation Strategy for Africa</w:t>
      </w:r>
      <w:r w:rsidRPr="00F60AC1">
        <w:rPr>
          <w:rFonts w:cstheme="minorHAnsi"/>
          <w:i/>
          <w:iCs/>
          <w:color w:val="000000" w:themeColor="text1"/>
          <w:szCs w:val="24"/>
          <w:lang w:val="en-GB"/>
        </w:rPr>
        <w:t xml:space="preserve"> </w:t>
      </w:r>
      <w:r w:rsidRPr="00F60AC1">
        <w:rPr>
          <w:rFonts w:cstheme="minorHAnsi"/>
          <w:color w:val="000000" w:themeColor="text1"/>
          <w:szCs w:val="24"/>
          <w:lang w:val="en-GB"/>
        </w:rPr>
        <w:t>(STISA-2024)</w:t>
      </w:r>
      <w:r w:rsidRPr="00F60AC1">
        <w:rPr>
          <w:rFonts w:cstheme="minorHAnsi"/>
          <w:color w:val="000000" w:themeColor="text1"/>
          <w:szCs w:val="24"/>
          <w:vertAlign w:val="superscript"/>
          <w:lang w:val="en-GB"/>
        </w:rPr>
        <w:footnoteReference w:id="114"/>
      </w:r>
      <w:r w:rsidRPr="00F60AC1">
        <w:rPr>
          <w:rFonts w:cstheme="minorHAnsi"/>
          <w:color w:val="000000" w:themeColor="text1"/>
          <w:szCs w:val="24"/>
          <w:lang w:val="en-GB"/>
        </w:rPr>
        <w:t xml:space="preserve"> acknowledges the lack of technology readiness of the continent, which stands in sharp contrast to what is happening at the level of policy and legislation. Policymakers of the continent may well learn from the advanced countries. The </w:t>
      </w:r>
      <w:r w:rsidRPr="00F60AC1">
        <w:rPr>
          <w:rFonts w:cstheme="minorHAnsi"/>
          <w:color w:val="000000"/>
          <w:szCs w:val="24"/>
          <w:lang w:val="en-GB"/>
        </w:rPr>
        <w:t>history of the development of the advanced industrialized countries shows that they did not all start with strong IP laws. Countries like the US</w:t>
      </w:r>
      <w:r w:rsidR="007F4F1E" w:rsidRPr="00F60AC1">
        <w:rPr>
          <w:rFonts w:cstheme="minorHAnsi"/>
          <w:color w:val="000000"/>
          <w:szCs w:val="24"/>
          <w:lang w:val="en-GB"/>
        </w:rPr>
        <w:t>A</w:t>
      </w:r>
      <w:r w:rsidRPr="00F60AC1">
        <w:rPr>
          <w:rFonts w:cstheme="minorHAnsi"/>
          <w:color w:val="000000"/>
          <w:szCs w:val="24"/>
          <w:lang w:val="en-GB"/>
        </w:rPr>
        <w:t>, Germany and Japan etc</w:t>
      </w:r>
      <w:r w:rsidR="007B0669" w:rsidRPr="00F60AC1">
        <w:rPr>
          <w:rFonts w:cstheme="minorHAnsi"/>
          <w:color w:val="000000"/>
          <w:szCs w:val="24"/>
          <w:lang w:val="en-GB"/>
        </w:rPr>
        <w:t>.</w:t>
      </w:r>
      <w:r w:rsidRPr="00F60AC1">
        <w:rPr>
          <w:rFonts w:cstheme="minorHAnsi"/>
          <w:color w:val="000000"/>
          <w:szCs w:val="24"/>
          <w:lang w:val="en-GB"/>
        </w:rPr>
        <w:t xml:space="preserve"> in the early stages of their technological development and catching-up used instruments such as imitation, reverse-engineering, sheer copying or technology transfer, among others, to develop their innovation ecosystem and only when they had achieved considerable success, began to regulate IP strictly.</w:t>
      </w:r>
      <w:r w:rsidRPr="00F60AC1">
        <w:rPr>
          <w:rFonts w:cstheme="minorHAnsi"/>
          <w:color w:val="000000"/>
          <w:szCs w:val="24"/>
          <w:vertAlign w:val="superscript"/>
          <w:lang w:val="en-GB"/>
        </w:rPr>
        <w:footnoteReference w:id="115"/>
      </w:r>
      <w:r w:rsidRPr="00F60AC1">
        <w:rPr>
          <w:rFonts w:cstheme="minorHAnsi"/>
          <w:color w:val="000000"/>
          <w:szCs w:val="24"/>
          <w:lang w:val="en-GB"/>
        </w:rPr>
        <w:t xml:space="preserve"> </w:t>
      </w:r>
      <w:r w:rsidRPr="00F60AC1">
        <w:rPr>
          <w:rFonts w:cstheme="minorHAnsi"/>
          <w:color w:val="000000" w:themeColor="text1"/>
          <w:szCs w:val="24"/>
          <w:lang w:val="en-GB"/>
        </w:rPr>
        <w:t>It is only when countries have accumulated sufficient indigenous capability, with an extensive science and technology infrastructure sufficient to undertake creative imitation that IP rights become an important element in technology transfer and industrial activities.</w:t>
      </w:r>
      <w:r w:rsidRPr="00F60AC1">
        <w:rPr>
          <w:rFonts w:cstheme="minorHAnsi"/>
          <w:color w:val="000000" w:themeColor="text1"/>
          <w:szCs w:val="24"/>
          <w:vertAlign w:val="superscript"/>
          <w:lang w:val="en-GB"/>
        </w:rPr>
        <w:footnoteReference w:id="116"/>
      </w:r>
      <w:r w:rsidRPr="00F60AC1">
        <w:rPr>
          <w:rFonts w:cstheme="minorHAnsi"/>
          <w:color w:val="000000" w:themeColor="text1"/>
          <w:szCs w:val="24"/>
          <w:lang w:val="en-GB"/>
        </w:rPr>
        <w:t xml:space="preserve"> This is not often stressed in technical assistance and capacity building projects. </w:t>
      </w:r>
    </w:p>
    <w:p w14:paraId="332B7604" w14:textId="42AF5BF3" w:rsidR="007B79E6" w:rsidRPr="00F60AC1" w:rsidRDefault="00AF30FA" w:rsidP="007317C8">
      <w:pPr>
        <w:rPr>
          <w:lang w:val="en-GB"/>
        </w:rPr>
      </w:pPr>
      <w:r w:rsidRPr="00F60AC1">
        <w:rPr>
          <w:lang w:val="en-GB"/>
        </w:rPr>
        <w:t>It may come as no surprise then that central initiatives like the AU’s African Model Legislation for the Protection of the Rights of Local Communities, Farmers and Breeders, and for the Regulation of Access to Biological Resources 2000</w:t>
      </w:r>
      <w:r w:rsidRPr="00F60AC1">
        <w:rPr>
          <w:i/>
          <w:lang w:val="en-GB"/>
        </w:rPr>
        <w:t xml:space="preserve"> </w:t>
      </w:r>
      <w:r w:rsidRPr="00F60AC1">
        <w:rPr>
          <w:lang w:val="en-GB"/>
        </w:rPr>
        <w:t>(African Model Law),</w:t>
      </w:r>
      <w:r w:rsidRPr="00F60AC1">
        <w:rPr>
          <w:rStyle w:val="FootnoteReference"/>
          <w:rFonts w:cstheme="minorHAnsi"/>
          <w:color w:val="000000" w:themeColor="text1"/>
          <w:szCs w:val="24"/>
          <w:lang w:val="en-GB"/>
        </w:rPr>
        <w:footnoteReference w:id="117"/>
      </w:r>
      <w:r w:rsidRPr="00F60AC1">
        <w:rPr>
          <w:lang w:val="en-GB"/>
        </w:rPr>
        <w:t xml:space="preserve"> and ARIPO’s Swakopmund Protocol</w:t>
      </w:r>
      <w:r w:rsidRPr="00F60AC1">
        <w:rPr>
          <w:i/>
          <w:lang w:val="en-GB"/>
        </w:rPr>
        <w:t xml:space="preserve"> </w:t>
      </w:r>
      <w:r w:rsidRPr="00F60AC1">
        <w:rPr>
          <w:lang w:val="en-GB"/>
        </w:rPr>
        <w:t>have made no substantial impact on the continent as would be expected, regardless of some criticism against the two.</w:t>
      </w:r>
      <w:r w:rsidRPr="00F60AC1">
        <w:rPr>
          <w:rStyle w:val="FootnoteReference"/>
          <w:rFonts w:cstheme="minorHAnsi"/>
          <w:color w:val="000000" w:themeColor="text1"/>
          <w:szCs w:val="24"/>
          <w:lang w:val="en-GB"/>
        </w:rPr>
        <w:footnoteReference w:id="118"/>
      </w:r>
      <w:r w:rsidRPr="00F60AC1">
        <w:rPr>
          <w:lang w:val="en-GB"/>
        </w:rPr>
        <w:t xml:space="preserve"> In practice, </w:t>
      </w:r>
      <w:r w:rsidRPr="00F60AC1">
        <w:rPr>
          <w:color w:val="000000"/>
          <w:sz w:val="23"/>
          <w:szCs w:val="23"/>
          <w:lang w:val="en-GB"/>
        </w:rPr>
        <w:t>the African Model Law rejects the unconditional adoption of the UPOV 1991 model and patents for plant varieties,</w:t>
      </w:r>
      <w:r w:rsidRPr="00F60AC1">
        <w:rPr>
          <w:rStyle w:val="FootnoteReference"/>
          <w:rFonts w:cstheme="minorHAnsi"/>
          <w:color w:val="000000"/>
          <w:sz w:val="23"/>
          <w:szCs w:val="23"/>
          <w:lang w:val="en-GB"/>
        </w:rPr>
        <w:footnoteReference w:id="119"/>
      </w:r>
      <w:r w:rsidRPr="00F60AC1">
        <w:rPr>
          <w:color w:val="000000"/>
          <w:sz w:val="23"/>
          <w:szCs w:val="23"/>
          <w:lang w:val="en-GB"/>
        </w:rPr>
        <w:t xml:space="preserve"> rather embracing the sui generis</w:t>
      </w:r>
      <w:r w:rsidRPr="00F60AC1">
        <w:rPr>
          <w:i/>
          <w:color w:val="000000"/>
          <w:sz w:val="23"/>
          <w:szCs w:val="23"/>
          <w:lang w:val="en-GB"/>
        </w:rPr>
        <w:t xml:space="preserve"> </w:t>
      </w:r>
      <w:r w:rsidRPr="00F60AC1">
        <w:rPr>
          <w:color w:val="000000"/>
          <w:sz w:val="23"/>
          <w:szCs w:val="23"/>
          <w:lang w:val="en-GB"/>
        </w:rPr>
        <w:t>option under TRIPS.</w:t>
      </w:r>
      <w:r w:rsidRPr="00F60AC1">
        <w:rPr>
          <w:lang w:val="en-GB"/>
        </w:rPr>
        <w:t xml:space="preserve"> </w:t>
      </w:r>
      <w:r w:rsidRPr="00F60AC1">
        <w:rPr>
          <w:color w:val="000000"/>
          <w:sz w:val="23"/>
          <w:szCs w:val="23"/>
          <w:lang w:val="en-GB"/>
        </w:rPr>
        <w:t>It is anchored on the principle of balanced regional, sub-regional and national laws in Africa that cater to stakeholders’ divergent needs.</w:t>
      </w:r>
      <w:r w:rsidRPr="00F60AC1">
        <w:rPr>
          <w:rStyle w:val="FootnoteReference"/>
          <w:rFonts w:cstheme="minorHAnsi"/>
          <w:color w:val="000000"/>
          <w:sz w:val="23"/>
          <w:szCs w:val="23"/>
          <w:lang w:val="en-GB"/>
        </w:rPr>
        <w:footnoteReference w:id="120"/>
      </w:r>
      <w:r w:rsidRPr="00F60AC1">
        <w:rPr>
          <w:color w:val="000000"/>
          <w:sz w:val="23"/>
          <w:szCs w:val="23"/>
          <w:lang w:val="en-GB"/>
        </w:rPr>
        <w:t xml:space="preserve"> It protects the innovations, technologies and practices of local communities, including farming communities and indigenous peoples who conserve and enhance biological diversity for the benefit of present </w:t>
      </w:r>
      <w:r w:rsidRPr="00F60AC1">
        <w:rPr>
          <w:color w:val="000000"/>
          <w:sz w:val="23"/>
          <w:szCs w:val="23"/>
          <w:lang w:val="en-GB"/>
        </w:rPr>
        <w:lastRenderedPageBreak/>
        <w:t>and future generations alongside commercial plant breeders who develop new plant varieties based on farmers’ varieties.</w:t>
      </w:r>
      <w:r w:rsidRPr="00F60AC1">
        <w:rPr>
          <w:rStyle w:val="FootnoteReference"/>
          <w:rFonts w:cstheme="minorHAnsi"/>
          <w:color w:val="000000"/>
          <w:sz w:val="23"/>
          <w:szCs w:val="23"/>
          <w:lang w:val="en-GB"/>
        </w:rPr>
        <w:footnoteReference w:id="121"/>
      </w:r>
      <w:r w:rsidRPr="00F60AC1">
        <w:rPr>
          <w:lang w:val="en-GB"/>
        </w:rPr>
        <w:t xml:space="preserve"> As the next section shows, instead of applying this model, curiously, quite the opposite is happening in Africa.</w:t>
      </w:r>
    </w:p>
    <w:p w14:paraId="5C67422E" w14:textId="77777777" w:rsidR="007317C8" w:rsidRPr="00F60AC1" w:rsidRDefault="007317C8" w:rsidP="007317C8">
      <w:pPr>
        <w:rPr>
          <w:rFonts w:cs="adobe garamond pro"/>
          <w:color w:val="000000"/>
          <w:lang w:val="en-GB"/>
        </w:rPr>
      </w:pPr>
    </w:p>
    <w:p w14:paraId="255B521E" w14:textId="15499394" w:rsidR="007B79E6" w:rsidRPr="00F60AC1" w:rsidRDefault="007317C8" w:rsidP="007317C8">
      <w:pPr>
        <w:pStyle w:val="IPEbene1"/>
        <w:rPr>
          <w:rFonts w:ascii="Calibri" w:hAnsi="Calibri" w:cs="Calibri"/>
          <w:color w:val="000000"/>
          <w:lang w:val="en-GB"/>
        </w:rPr>
      </w:pPr>
      <w:bookmarkStart w:id="13" w:name="_Toc86845030"/>
      <w:bookmarkStart w:id="14" w:name="_Toc86845105"/>
      <w:r w:rsidRPr="00F60AC1">
        <w:rPr>
          <w:lang w:val="en-GB"/>
        </w:rPr>
        <w:t xml:space="preserve">D. </w:t>
      </w:r>
      <w:r w:rsidR="00AF30FA" w:rsidRPr="00F60AC1">
        <w:rPr>
          <w:lang w:val="en-GB"/>
        </w:rPr>
        <w:t>The Plant Variety Regime in Africa</w:t>
      </w:r>
      <w:bookmarkEnd w:id="13"/>
      <w:bookmarkEnd w:id="14"/>
    </w:p>
    <w:p w14:paraId="70874C8E" w14:textId="5A41B69C" w:rsidR="007B79E6" w:rsidRPr="00F60AC1" w:rsidRDefault="00AF30FA" w:rsidP="007317C8">
      <w:pPr>
        <w:rPr>
          <w:lang w:val="en-GB"/>
        </w:rPr>
      </w:pPr>
      <w:r w:rsidRPr="00F60AC1">
        <w:rPr>
          <w:lang w:val="en-GB"/>
        </w:rPr>
        <w:t>WIPO and UPOV are the leading international organizations in providing technical assistance and legislative advice on PVP laws, management and enforcement in Africa. This further highlights WIPO’s strong influence on national and regional implementation of international obligations in the area of IP. Before discussing the plant variety regime in Africa, a look at the relationship between WIPO and UPOV will shed some light and contribute to our understanding of the situation in Africa.</w:t>
      </w:r>
    </w:p>
    <w:p w14:paraId="26076F97" w14:textId="77777777" w:rsidR="007317C8" w:rsidRPr="00F60AC1" w:rsidRDefault="007317C8" w:rsidP="007317C8">
      <w:pPr>
        <w:rPr>
          <w:lang w:val="en-GB"/>
        </w:rPr>
      </w:pPr>
    </w:p>
    <w:p w14:paraId="1190DC4C" w14:textId="3736E2B3" w:rsidR="007B79E6" w:rsidRPr="00F60AC1" w:rsidRDefault="007317C8" w:rsidP="00BD7C25">
      <w:pPr>
        <w:pStyle w:val="IPEbene2"/>
        <w:rPr>
          <w:color w:val="000000"/>
          <w:lang w:val="en-GB"/>
        </w:rPr>
      </w:pPr>
      <w:bookmarkStart w:id="15" w:name="_Toc86845031"/>
      <w:bookmarkStart w:id="16" w:name="_Toc86845106"/>
      <w:r w:rsidRPr="00F60AC1">
        <w:rPr>
          <w:lang w:val="en-GB"/>
        </w:rPr>
        <w:t xml:space="preserve">I. </w:t>
      </w:r>
      <w:r w:rsidR="00AF30FA" w:rsidRPr="00F60AC1">
        <w:rPr>
          <w:lang w:val="en-GB"/>
        </w:rPr>
        <w:t xml:space="preserve">WIPO’s Agreement with UPOV: </w:t>
      </w:r>
      <w:r w:rsidR="00F62075" w:rsidRPr="00F60AC1">
        <w:rPr>
          <w:lang w:val="en-GB"/>
        </w:rPr>
        <w:t>A</w:t>
      </w:r>
      <w:r w:rsidR="00AF30FA" w:rsidRPr="00F60AC1">
        <w:rPr>
          <w:lang w:val="en-GB"/>
        </w:rPr>
        <w:t>n Uptick in Plant Variety Protection</w:t>
      </w:r>
      <w:bookmarkEnd w:id="15"/>
      <w:bookmarkEnd w:id="16"/>
    </w:p>
    <w:p w14:paraId="7D601B0F" w14:textId="77777777" w:rsidR="007B79E6" w:rsidRPr="00F60AC1" w:rsidRDefault="00AF30FA" w:rsidP="007317C8">
      <w:pPr>
        <w:rPr>
          <w:color w:val="000000"/>
          <w:lang w:val="en-GB"/>
        </w:rPr>
      </w:pPr>
      <w:r w:rsidRPr="00F60AC1">
        <w:rPr>
          <w:lang w:val="en-GB"/>
        </w:rPr>
        <w:t>In 1982, WIPO and UPOV formalized an existing arrangement on administrative and technical cooperation between the two organizations</w:t>
      </w:r>
      <w:r w:rsidRPr="00F60AC1">
        <w:rPr>
          <w:rStyle w:val="FootnoteReference"/>
          <w:rFonts w:cstheme="minorHAnsi"/>
          <w:color w:val="000000" w:themeColor="text1"/>
          <w:szCs w:val="24"/>
          <w:lang w:val="en-GB"/>
        </w:rPr>
        <w:footnoteReference w:id="122"/>
      </w:r>
      <w:r w:rsidRPr="00F60AC1">
        <w:rPr>
          <w:lang w:val="en-GB"/>
        </w:rPr>
        <w:t xml:space="preserve"> whereby the Director-General of WIPO is designated as the Secretary-General of UPOV with the power to approve the appointment of UPOV’s Vice Secretary-General.</w:t>
      </w:r>
      <w:r w:rsidRPr="00F60AC1">
        <w:rPr>
          <w:rStyle w:val="FootnoteReference"/>
          <w:rFonts w:cstheme="minorHAnsi"/>
          <w:color w:val="000000" w:themeColor="text1"/>
          <w:szCs w:val="24"/>
          <w:lang w:val="en-GB"/>
        </w:rPr>
        <w:footnoteReference w:id="123"/>
      </w:r>
      <w:r w:rsidRPr="00F60AC1">
        <w:rPr>
          <w:lang w:val="en-GB"/>
        </w:rPr>
        <w:t xml:space="preserve"> Under this Agreement, the UPOV Office was to be located in the WIPO building in Geneva, where UPOV meetings are also held. WIPO services the UPOV Office and manages the financial administration of UPOV, among other things.</w:t>
      </w:r>
      <w:r w:rsidRPr="00F60AC1">
        <w:rPr>
          <w:rStyle w:val="FootnoteReference"/>
          <w:rFonts w:cstheme="minorHAnsi"/>
          <w:color w:val="000000" w:themeColor="text1"/>
          <w:szCs w:val="24"/>
          <w:lang w:val="en-GB"/>
        </w:rPr>
        <w:footnoteReference w:id="124"/>
      </w:r>
      <w:r w:rsidRPr="00F60AC1">
        <w:rPr>
          <w:lang w:val="en-GB"/>
        </w:rPr>
        <w:t xml:space="preserve"> The Agreement affirms the complete independence of WIPO’s International Bureau and the UPOV Office in respect of the exercise of their functions. However, while UPOV is legally separate from WIPO, and not part of the UN, the relationship that has ensued between UPOV and WIPO has led to the criticism that WIPO’s technical assistance for developing countries and LDCs is biased towards the UPOV 1991 regime.</w:t>
      </w:r>
      <w:r w:rsidRPr="00F60AC1">
        <w:rPr>
          <w:rStyle w:val="FootnoteReference"/>
          <w:rFonts w:cstheme="minorHAnsi"/>
          <w:color w:val="000000" w:themeColor="text1"/>
          <w:szCs w:val="24"/>
          <w:lang w:val="en-GB"/>
        </w:rPr>
        <w:footnoteReference w:id="125"/>
      </w:r>
      <w:r w:rsidRPr="00F60AC1">
        <w:rPr>
          <w:color w:val="FF0000"/>
          <w:lang w:val="en-GB"/>
        </w:rPr>
        <w:t xml:space="preserve"> </w:t>
      </w:r>
      <w:r w:rsidRPr="00F60AC1">
        <w:rPr>
          <w:lang w:val="en-GB"/>
        </w:rPr>
        <w:t xml:space="preserve">This implicates WIPO’s position as a neutral voice in the area of IP. </w:t>
      </w:r>
    </w:p>
    <w:p w14:paraId="6AFB0B47" w14:textId="77777777" w:rsidR="007B79E6" w:rsidRPr="00F60AC1" w:rsidRDefault="007B79E6">
      <w:pPr>
        <w:rPr>
          <w:rFonts w:cstheme="minorHAnsi"/>
          <w:color w:val="FF0000"/>
          <w:szCs w:val="24"/>
          <w:lang w:val="en-GB"/>
        </w:rPr>
      </w:pPr>
    </w:p>
    <w:p w14:paraId="3BEC944F" w14:textId="7ECB7BFA" w:rsidR="007B79E6" w:rsidRPr="00F60AC1" w:rsidRDefault="00AF30FA" w:rsidP="007317C8">
      <w:pPr>
        <w:rPr>
          <w:lang w:val="en-GB"/>
        </w:rPr>
      </w:pPr>
      <w:r w:rsidRPr="00F60AC1">
        <w:rPr>
          <w:lang w:val="en-GB"/>
        </w:rPr>
        <w:t>For example, the WIPO Academy offers two advanced distance learning courses on plant variety protection. One of them is on the “Examination of Applications for Plant Breeders’ Rights</w:t>
      </w:r>
      <w:r w:rsidR="007B0669" w:rsidRPr="00F60AC1">
        <w:rPr>
          <w:lang w:val="en-GB"/>
        </w:rPr>
        <w:t>”</w:t>
      </w:r>
      <w:r w:rsidRPr="00F60AC1">
        <w:rPr>
          <w:lang w:val="en-GB"/>
        </w:rPr>
        <w:t xml:space="preserve"> (DL-305-UPOV).</w:t>
      </w:r>
      <w:r w:rsidRPr="00F60AC1">
        <w:rPr>
          <w:rStyle w:val="FootnoteReference"/>
          <w:lang w:val="en-GB"/>
        </w:rPr>
        <w:footnoteReference w:id="126"/>
      </w:r>
      <w:r w:rsidRPr="00F60AC1">
        <w:rPr>
          <w:rStyle w:val="FootnoteReference"/>
          <w:lang w:val="en-GB"/>
        </w:rPr>
        <w:t xml:space="preserve"> </w:t>
      </w:r>
      <w:r w:rsidRPr="00F60AC1">
        <w:rPr>
          <w:lang w:val="en-GB"/>
        </w:rPr>
        <w:t>Additionally, WIPO frequently provides opportunities to make UPOV known. The UPOV Office has given presentations about plant variety and UPOV during WIPO’s Summer Schools on IP, and at conferences organized by WIPO (such as the African Ministerial Conference discussed above). Likewise, WIPO technical assistance programmes often include references to UPOV and advice to UPOV non-members as to how to introduce UPOV-consistent PVP legislation.</w:t>
      </w:r>
      <w:r w:rsidRPr="00F60AC1">
        <w:rPr>
          <w:rStyle w:val="FootnoteReference"/>
          <w:lang w:val="en-GB"/>
        </w:rPr>
        <w:footnoteReference w:id="127"/>
      </w:r>
      <w:r w:rsidRPr="00F60AC1">
        <w:rPr>
          <w:rStyle w:val="FootnoteReference"/>
          <w:lang w:val="en-GB"/>
        </w:rPr>
        <w:t xml:space="preserve"> </w:t>
      </w:r>
      <w:r w:rsidRPr="00F60AC1">
        <w:rPr>
          <w:lang w:val="en-GB"/>
        </w:rPr>
        <w:t>Rather than assessing the countries’ specific needs and advising on how UPOV could best be applied to the applicant's circumstances, the advice tends to consist of providing the applicant countries with the model UPOV legislation.</w:t>
      </w:r>
      <w:r w:rsidRPr="00F60AC1">
        <w:rPr>
          <w:rStyle w:val="FootnoteReference"/>
          <w:lang w:val="en-GB"/>
        </w:rPr>
        <w:footnoteReference w:id="128"/>
      </w:r>
      <w:r w:rsidRPr="00F60AC1">
        <w:rPr>
          <w:lang w:val="en-GB"/>
        </w:rPr>
        <w:t xml:space="preserve"> Graham Dutfield has, for example, argued that some draft PVP legislation proposed through WIPO </w:t>
      </w:r>
      <w:r w:rsidRPr="00F60AC1">
        <w:rPr>
          <w:lang w:val="en-GB"/>
        </w:rPr>
        <w:lastRenderedPageBreak/>
        <w:t>technical assistance contained a chapter on implementation, including provisions on enforcement and supervision that went beyond what is required under the UPOV Convention itself.</w:t>
      </w:r>
      <w:r w:rsidRPr="00F60AC1">
        <w:rPr>
          <w:rStyle w:val="FootnoteReference"/>
          <w:rFonts w:asciiTheme="minorHAnsi" w:hAnsiTheme="minorHAnsi" w:cstheme="minorHAnsi"/>
          <w:color w:val="000000" w:themeColor="text1"/>
          <w:lang w:val="en-GB"/>
        </w:rPr>
        <w:footnoteReference w:id="129"/>
      </w:r>
      <w:r w:rsidRPr="00F60AC1">
        <w:rPr>
          <w:lang w:val="en-GB"/>
        </w:rPr>
        <w:t xml:space="preserve"> </w:t>
      </w:r>
    </w:p>
    <w:p w14:paraId="7E027BBA" w14:textId="77777777" w:rsidR="007B79E6" w:rsidRPr="00F60AC1" w:rsidRDefault="007B79E6">
      <w:pPr>
        <w:pStyle w:val="Default"/>
        <w:spacing w:line="276" w:lineRule="auto"/>
        <w:jc w:val="both"/>
        <w:rPr>
          <w:rFonts w:cstheme="minorHAnsi"/>
          <w:lang w:val="en-GB"/>
        </w:rPr>
      </w:pPr>
    </w:p>
    <w:p w14:paraId="40519764" w14:textId="1D1D07E3" w:rsidR="007B79E6" w:rsidRPr="00F60AC1" w:rsidRDefault="00AF30FA" w:rsidP="007317C8">
      <w:pPr>
        <w:rPr>
          <w:lang w:val="en-GB"/>
        </w:rPr>
      </w:pPr>
      <w:r w:rsidRPr="00F60AC1">
        <w:rPr>
          <w:lang w:val="en-GB"/>
        </w:rPr>
        <w:t xml:space="preserve">WIPO’s methodology for the development of national IP strategies which was approved by the WIPO Member States under the </w:t>
      </w:r>
      <w:r w:rsidR="009D0307" w:rsidRPr="00F60AC1">
        <w:rPr>
          <w:lang w:val="en-GB"/>
        </w:rPr>
        <w:t>“</w:t>
      </w:r>
      <w:r w:rsidRPr="00F60AC1">
        <w:rPr>
          <w:lang w:val="en-GB"/>
        </w:rPr>
        <w:t>Development Agenda Project</w:t>
      </w:r>
      <w:r w:rsidR="009D0307" w:rsidRPr="00F60AC1">
        <w:rPr>
          <w:lang w:val="en-GB"/>
        </w:rPr>
        <w:t>”</w:t>
      </w:r>
      <w:r w:rsidRPr="00F60AC1">
        <w:rPr>
          <w:rStyle w:val="FootnoteReference"/>
          <w:rFonts w:cstheme="minorHAnsi"/>
          <w:color w:val="000000" w:themeColor="text1"/>
          <w:szCs w:val="24"/>
          <w:lang w:val="en-GB"/>
        </w:rPr>
        <w:footnoteReference w:id="130"/>
      </w:r>
      <w:r w:rsidRPr="00F60AC1">
        <w:rPr>
          <w:lang w:val="en-GB"/>
        </w:rPr>
        <w:t xml:space="preserve"> has also not been without criticism. The project aimed to provide a coherent and harmonized approach, including a set of tools and mechanisms to guide the Member States in the development of national IP strategies. The methodology, which has four parts: The Process,</w:t>
      </w:r>
      <w:r w:rsidRPr="00F60AC1">
        <w:rPr>
          <w:rStyle w:val="FootnoteReference"/>
          <w:rFonts w:cstheme="minorHAnsi"/>
          <w:color w:val="000000" w:themeColor="text1"/>
          <w:szCs w:val="24"/>
          <w:lang w:val="en-GB"/>
        </w:rPr>
        <w:footnoteReference w:id="131"/>
      </w:r>
      <w:r w:rsidRPr="00F60AC1">
        <w:rPr>
          <w:lang w:val="en-GB"/>
        </w:rPr>
        <w:t xml:space="preserve"> Baseline Questionnaire,</w:t>
      </w:r>
      <w:r w:rsidRPr="00F60AC1">
        <w:rPr>
          <w:rStyle w:val="FootnoteReference"/>
          <w:rFonts w:cstheme="minorHAnsi"/>
          <w:color w:val="000000" w:themeColor="text1"/>
          <w:szCs w:val="24"/>
          <w:lang w:val="en-GB"/>
        </w:rPr>
        <w:footnoteReference w:id="132"/>
      </w:r>
      <w:r w:rsidRPr="00F60AC1">
        <w:rPr>
          <w:lang w:val="en-GB"/>
        </w:rPr>
        <w:t xml:space="preserve"> Benchmarking Indicators</w:t>
      </w:r>
      <w:r w:rsidRPr="00F60AC1">
        <w:rPr>
          <w:rStyle w:val="FootnoteReference"/>
          <w:rFonts w:cstheme="minorHAnsi"/>
          <w:color w:val="000000" w:themeColor="text1"/>
          <w:szCs w:val="24"/>
          <w:lang w:val="en-GB"/>
        </w:rPr>
        <w:footnoteReference w:id="133"/>
      </w:r>
      <w:r w:rsidRPr="00F60AC1">
        <w:rPr>
          <w:lang w:val="en-GB"/>
        </w:rPr>
        <w:t xml:space="preserve"> and National IP Strategy (NIPS) Online Platform,</w:t>
      </w:r>
      <w:r w:rsidRPr="00F60AC1">
        <w:rPr>
          <w:rStyle w:val="FootnoteReference"/>
          <w:rFonts w:cstheme="minorHAnsi"/>
          <w:color w:val="000000" w:themeColor="text1"/>
          <w:szCs w:val="24"/>
          <w:lang w:val="en-GB"/>
        </w:rPr>
        <w:footnoteReference w:id="134"/>
      </w:r>
      <w:r w:rsidRPr="00F60AC1">
        <w:rPr>
          <w:lang w:val="en-GB"/>
        </w:rPr>
        <w:t xml:space="preserve"> also sets the benchmarking indicators relevant for promoting PVP to include: (a) Plant variety protection office: legal status, autonomy, key functions and staffing; (b) Importance of breeders’ rights; (c) National agricultural policy or strategy; and (d) Plant breeding and seed associations.</w:t>
      </w:r>
      <w:r w:rsidRPr="00F60AC1">
        <w:rPr>
          <w:rStyle w:val="FootnoteReference"/>
          <w:rFonts w:cstheme="minorHAnsi"/>
          <w:color w:val="000000" w:themeColor="text1"/>
          <w:szCs w:val="24"/>
          <w:lang w:val="en-GB"/>
        </w:rPr>
        <w:footnoteReference w:id="135"/>
      </w:r>
      <w:r w:rsidRPr="00F60AC1">
        <w:rPr>
          <w:lang w:val="en-GB"/>
        </w:rPr>
        <w:t xml:space="preserve"> The South Center has criticized the benchmarking indicators for not stating the contributions that farmers have made, and continue to make in the development of varieties adapted to local evolving conditions, and</w:t>
      </w:r>
      <w:r w:rsidRPr="00F60AC1">
        <w:rPr>
          <w:color w:val="FF0000"/>
          <w:lang w:val="en-GB"/>
        </w:rPr>
        <w:t xml:space="preserve"> </w:t>
      </w:r>
      <w:r w:rsidRPr="00F60AC1">
        <w:rPr>
          <w:lang w:val="en-GB"/>
        </w:rPr>
        <w:t>for failing to give any reference to sui generis systems (such as those adopted in India, Malaysia and Thailand) that do not follow the UPOV model and which recognize rights over farmers’ varieties.</w:t>
      </w:r>
      <w:r w:rsidRPr="00F60AC1">
        <w:rPr>
          <w:rStyle w:val="FootnoteReference"/>
          <w:rFonts w:cstheme="minorHAnsi"/>
          <w:color w:val="000000" w:themeColor="text1"/>
          <w:szCs w:val="24"/>
          <w:lang w:val="en-GB"/>
        </w:rPr>
        <w:footnoteReference w:id="136"/>
      </w:r>
      <w:r w:rsidRPr="00F60AC1">
        <w:rPr>
          <w:lang w:val="en-GB"/>
        </w:rPr>
        <w:t xml:space="preserve"> Also, the methodology has often included a recommendation to the country receiving assistance to accede to UPOV 1991 and establish a PVP office as part of legislative and institutional reform.</w:t>
      </w:r>
      <w:r w:rsidRPr="00F60AC1">
        <w:rPr>
          <w:rStyle w:val="FootnoteReference"/>
          <w:rFonts w:cstheme="minorHAnsi"/>
          <w:szCs w:val="24"/>
          <w:lang w:val="en-GB"/>
        </w:rPr>
        <w:footnoteReference w:id="137"/>
      </w:r>
      <w:r w:rsidRPr="00F60AC1">
        <w:rPr>
          <w:lang w:val="en-GB"/>
        </w:rPr>
        <w:t xml:space="preserve"> </w:t>
      </w:r>
    </w:p>
    <w:p w14:paraId="1529A4E2" w14:textId="77777777" w:rsidR="007B79E6" w:rsidRPr="00F60AC1" w:rsidRDefault="007B79E6">
      <w:pPr>
        <w:rPr>
          <w:rFonts w:cstheme="minorHAnsi"/>
          <w:szCs w:val="24"/>
          <w:lang w:val="en-GB"/>
        </w:rPr>
      </w:pPr>
    </w:p>
    <w:p w14:paraId="79A72580" w14:textId="77777777" w:rsidR="007B79E6" w:rsidRPr="00F60AC1" w:rsidRDefault="00AF30FA" w:rsidP="007317C8">
      <w:pPr>
        <w:rPr>
          <w:rStyle w:val="A1"/>
          <w:rFonts w:cstheme="minorHAnsi"/>
          <w:sz w:val="24"/>
          <w:szCs w:val="24"/>
          <w:lang w:val="en-GB"/>
        </w:rPr>
      </w:pPr>
      <w:r w:rsidRPr="00F60AC1">
        <w:rPr>
          <w:lang w:val="en-GB"/>
        </w:rPr>
        <w:t>The UPOV Office has over the years been active in discouraging developing countries from adopting plant variety protection systems that diverge from the UPOV norm, as has been documented concerning Asian countries,</w:t>
      </w:r>
      <w:r w:rsidRPr="00F60AC1">
        <w:rPr>
          <w:rStyle w:val="FootnoteReference"/>
          <w:rFonts w:cstheme="minorHAnsi"/>
          <w:color w:val="000000" w:themeColor="text1"/>
          <w:szCs w:val="24"/>
          <w:lang w:val="en-GB"/>
        </w:rPr>
        <w:footnoteReference w:id="138"/>
      </w:r>
      <w:r w:rsidRPr="00F60AC1">
        <w:rPr>
          <w:lang w:val="en-GB"/>
        </w:rPr>
        <w:t xml:space="preserve"> and in the specific case of Africa, as seen in the PVP laws of OAPI and ARIPO. The African Model Law, in particular, received opposition and criticism from WIPO and UPOV, OAPI and the African Seed Trade Association (AFSTA).</w:t>
      </w:r>
      <w:r w:rsidRPr="00F60AC1">
        <w:rPr>
          <w:rStyle w:val="FootnoteReference"/>
          <w:rFonts w:cstheme="minorHAnsi"/>
          <w:color w:val="000000" w:themeColor="text1"/>
          <w:szCs w:val="24"/>
          <w:lang w:val="en-GB"/>
        </w:rPr>
        <w:footnoteReference w:id="139"/>
      </w:r>
      <w:r w:rsidRPr="00F60AC1">
        <w:rPr>
          <w:lang w:val="en-GB"/>
        </w:rPr>
        <w:t xml:space="preserve"> WIPO, for example</w:t>
      </w:r>
      <w:r w:rsidRPr="00F60AC1">
        <w:rPr>
          <w:rStyle w:val="A1"/>
          <w:rFonts w:cstheme="minorHAnsi"/>
          <w:sz w:val="24"/>
          <w:szCs w:val="24"/>
          <w:lang w:val="en-GB"/>
        </w:rPr>
        <w:t>, rejected the principle of inalienability of community rights, which is one of the pillars of the Model Law,</w:t>
      </w:r>
      <w:r w:rsidRPr="00F60AC1">
        <w:rPr>
          <w:rStyle w:val="FootnoteReference"/>
          <w:rFonts w:cstheme="minorHAnsi"/>
          <w:color w:val="000000"/>
          <w:szCs w:val="24"/>
          <w:lang w:val="en-GB"/>
        </w:rPr>
        <w:footnoteReference w:id="140"/>
      </w:r>
      <w:r w:rsidRPr="00F60AC1">
        <w:rPr>
          <w:rStyle w:val="A2"/>
          <w:rFonts w:cstheme="minorHAnsi"/>
          <w:sz w:val="24"/>
          <w:szCs w:val="24"/>
          <w:lang w:val="en-GB"/>
        </w:rPr>
        <w:t xml:space="preserve"> </w:t>
      </w:r>
      <w:r w:rsidRPr="00F60AC1">
        <w:rPr>
          <w:rStyle w:val="A1"/>
          <w:rFonts w:cstheme="minorHAnsi"/>
          <w:sz w:val="24"/>
          <w:szCs w:val="24"/>
          <w:lang w:val="en-GB"/>
        </w:rPr>
        <w:t xml:space="preserve">and further argued that the </w:t>
      </w:r>
      <w:r w:rsidRPr="00F60AC1">
        <w:rPr>
          <w:rStyle w:val="A1"/>
          <w:rFonts w:cstheme="minorHAnsi"/>
          <w:color w:val="000000" w:themeColor="text1"/>
          <w:sz w:val="24"/>
          <w:szCs w:val="24"/>
          <w:lang w:val="en-GB"/>
        </w:rPr>
        <w:t xml:space="preserve">Model Law’s prohibition of patent </w:t>
      </w:r>
      <w:r w:rsidRPr="00F60AC1">
        <w:rPr>
          <w:lang w:val="en-GB"/>
        </w:rPr>
        <w:t xml:space="preserve">on life forms was a violation of TRIPS Art. 27.3(b) which require patents on at least </w:t>
      </w:r>
      <w:r w:rsidRPr="00F60AC1">
        <w:rPr>
          <w:lang w:val="en-GB"/>
        </w:rPr>
        <w:lastRenderedPageBreak/>
        <w:t>micro-organisms</w:t>
      </w:r>
      <w:r w:rsidRPr="00F60AC1">
        <w:rPr>
          <w:rStyle w:val="A1"/>
          <w:rFonts w:cstheme="minorHAnsi"/>
          <w:color w:val="000000" w:themeColor="text1"/>
          <w:sz w:val="24"/>
          <w:szCs w:val="24"/>
          <w:lang w:val="en-GB"/>
        </w:rPr>
        <w:t>.</w:t>
      </w:r>
      <w:r w:rsidRPr="00F60AC1">
        <w:rPr>
          <w:rStyle w:val="FootnoteReference"/>
          <w:rFonts w:cstheme="minorHAnsi"/>
          <w:color w:val="000000" w:themeColor="text1"/>
          <w:szCs w:val="24"/>
          <w:lang w:val="en-GB"/>
        </w:rPr>
        <w:footnoteReference w:id="141"/>
      </w:r>
      <w:r w:rsidRPr="00F60AC1">
        <w:rPr>
          <w:rStyle w:val="A1"/>
          <w:rFonts w:cstheme="minorHAnsi"/>
          <w:color w:val="000000" w:themeColor="text1"/>
          <w:sz w:val="24"/>
          <w:szCs w:val="24"/>
          <w:lang w:val="en-GB"/>
        </w:rPr>
        <w:t xml:space="preserve"> On its part, UPOV submitted a ten-page document criticizing and reworking more than thirty articles of the Model Law, recommending, among others, that farmers rights should be subject to or subordinate to plant breeders’ rights.</w:t>
      </w:r>
      <w:r w:rsidRPr="00F60AC1">
        <w:rPr>
          <w:rStyle w:val="FootnoteReference"/>
          <w:rFonts w:cstheme="minorHAnsi"/>
          <w:color w:val="000000" w:themeColor="text1"/>
          <w:szCs w:val="24"/>
          <w:lang w:val="en-GB"/>
        </w:rPr>
        <w:footnoteReference w:id="142"/>
      </w:r>
      <w:r w:rsidRPr="00F60AC1">
        <w:rPr>
          <w:rStyle w:val="A1"/>
          <w:rFonts w:cstheme="minorHAnsi"/>
          <w:color w:val="000000" w:themeColor="text1"/>
          <w:sz w:val="24"/>
          <w:szCs w:val="24"/>
          <w:lang w:val="en-GB"/>
        </w:rPr>
        <w:t xml:space="preserve"> In 2001, the AU sought to reconcile its differences with WIPO and UPOV but to no avail.</w:t>
      </w:r>
      <w:r w:rsidRPr="00F60AC1">
        <w:rPr>
          <w:rStyle w:val="FootnoteReference"/>
          <w:rFonts w:cstheme="minorHAnsi"/>
          <w:color w:val="000000" w:themeColor="text1"/>
          <w:szCs w:val="24"/>
          <w:lang w:val="en-GB"/>
        </w:rPr>
        <w:footnoteReference w:id="143"/>
      </w:r>
      <w:r w:rsidRPr="00F60AC1">
        <w:rPr>
          <w:rStyle w:val="A1"/>
          <w:rFonts w:cstheme="minorHAnsi"/>
          <w:color w:val="000000" w:themeColor="text1"/>
          <w:sz w:val="24"/>
          <w:szCs w:val="24"/>
          <w:lang w:val="en-GB"/>
        </w:rPr>
        <w:t xml:space="preserve"> Importantly, however, the text of the current Model Law shows that the AU did not implement those recommendations. Even so, the African Model Law was overlooked by regional IP organizations, RECs and many African countries when enacting plant variety laws. </w:t>
      </w:r>
    </w:p>
    <w:p w14:paraId="1C569092" w14:textId="77777777" w:rsidR="007B79E6" w:rsidRPr="00F60AC1" w:rsidRDefault="007B79E6">
      <w:pPr>
        <w:rPr>
          <w:rStyle w:val="A1"/>
          <w:rFonts w:cstheme="minorHAnsi"/>
          <w:sz w:val="24"/>
          <w:szCs w:val="24"/>
          <w:lang w:val="en-GB"/>
        </w:rPr>
      </w:pPr>
    </w:p>
    <w:p w14:paraId="3FF4E843" w14:textId="4E8657BC" w:rsidR="007B79E6" w:rsidRPr="00F60AC1" w:rsidRDefault="007317C8" w:rsidP="007317C8">
      <w:pPr>
        <w:pStyle w:val="IPEbene2"/>
        <w:rPr>
          <w:rFonts w:ascii="Calibri" w:hAnsi="Calibri" w:cs="Calibri"/>
          <w:color w:val="000000"/>
          <w:lang w:val="en-GB"/>
        </w:rPr>
      </w:pPr>
      <w:bookmarkStart w:id="17" w:name="_Toc86845032"/>
      <w:bookmarkStart w:id="18" w:name="_Toc86845107"/>
      <w:r w:rsidRPr="00F60AC1">
        <w:rPr>
          <w:lang w:val="en-GB"/>
        </w:rPr>
        <w:t xml:space="preserve">II. </w:t>
      </w:r>
      <w:r w:rsidR="00AF30FA" w:rsidRPr="00F60AC1">
        <w:rPr>
          <w:lang w:val="en-GB"/>
        </w:rPr>
        <w:t>The Protection of Plant Variety Under OAPI</w:t>
      </w:r>
      <w:bookmarkEnd w:id="17"/>
      <w:bookmarkEnd w:id="18"/>
      <w:r w:rsidR="00AF30FA" w:rsidRPr="00F60AC1">
        <w:rPr>
          <w:lang w:val="en-GB"/>
        </w:rPr>
        <w:t xml:space="preserve"> </w:t>
      </w:r>
    </w:p>
    <w:p w14:paraId="317F2729" w14:textId="12E0B43F" w:rsidR="007B79E6" w:rsidRPr="00F60AC1" w:rsidRDefault="00AF30FA" w:rsidP="007317C8">
      <w:pPr>
        <w:rPr>
          <w:lang w:val="en-GB"/>
        </w:rPr>
      </w:pPr>
      <w:r w:rsidRPr="00F60AC1">
        <w:rPr>
          <w:lang w:val="en-GB"/>
        </w:rPr>
        <w:t>As noted earlier, the revised Bangui Agreement had as one of its outstanding features the inclusion of Annex X on PVP that establishes a regional framework applicable to the members of OAPI. WIPO, the UPOV Office, WTO and INPI played key roles in this. It started with a series of meetings and discussions between the UPOV Secretariat and WIPO about proposals for revising the Bangui Agreement and the need to include the creation of a PVP system in the OAPI region in 1996.</w:t>
      </w:r>
      <w:r w:rsidRPr="00F60AC1">
        <w:rPr>
          <w:rStyle w:val="FootnoteReference"/>
          <w:rFonts w:cstheme="minorHAnsi"/>
          <w:color w:val="000000" w:themeColor="text1"/>
          <w:szCs w:val="24"/>
          <w:lang w:val="en-GB"/>
        </w:rPr>
        <w:footnoteReference w:id="144"/>
      </w:r>
      <w:r w:rsidRPr="00F60AC1">
        <w:rPr>
          <w:lang w:val="en-GB"/>
        </w:rPr>
        <w:t xml:space="preserve"> In 1997, the UPOV Office consulted the French Ministry of Agriculture as well as Francois Burgaud, who was in charge of international relations within the French National Interprofessional Seed and Seedlings Grouping (</w:t>
      </w:r>
      <w:r w:rsidRPr="00F60AC1">
        <w:rPr>
          <w:rStyle w:val="A6"/>
          <w:rFonts w:cstheme="minorHAnsi"/>
          <w:color w:val="000000" w:themeColor="text1"/>
          <w:sz w:val="24"/>
          <w:szCs w:val="24"/>
          <w:lang w:val="en-GB"/>
        </w:rPr>
        <w:t>GNIS</w:t>
      </w:r>
      <w:r w:rsidRPr="00F60AC1">
        <w:rPr>
          <w:lang w:val="en-GB"/>
        </w:rPr>
        <w:t xml:space="preserve">), about providing technical assistance on </w:t>
      </w:r>
      <w:r w:rsidRPr="00F60AC1">
        <w:rPr>
          <w:rStyle w:val="A6"/>
          <w:rFonts w:cstheme="minorHAnsi"/>
          <w:color w:val="000000" w:themeColor="text1"/>
          <w:sz w:val="24"/>
          <w:szCs w:val="24"/>
          <w:lang w:val="en-GB"/>
        </w:rPr>
        <w:t xml:space="preserve">plant variety protection </w:t>
      </w:r>
      <w:r w:rsidRPr="00F60AC1">
        <w:rPr>
          <w:lang w:val="en-GB"/>
        </w:rPr>
        <w:t>to francophone African countries, including providing a financial contribution for the organization of a regional seminar in Burkina Faso.</w:t>
      </w:r>
      <w:r w:rsidRPr="00F60AC1">
        <w:rPr>
          <w:rStyle w:val="FootnoteReference"/>
          <w:rFonts w:cstheme="minorHAnsi"/>
          <w:color w:val="000000" w:themeColor="text1"/>
          <w:szCs w:val="24"/>
          <w:lang w:val="en-GB"/>
        </w:rPr>
        <w:footnoteReference w:id="145"/>
      </w:r>
      <w:r w:rsidRPr="00F60AC1">
        <w:rPr>
          <w:rStyle w:val="A11"/>
          <w:rFonts w:cstheme="minorHAnsi"/>
          <w:color w:val="000000" w:themeColor="text1"/>
          <w:sz w:val="24"/>
          <w:szCs w:val="24"/>
          <w:lang w:val="en-GB"/>
        </w:rPr>
        <w:t xml:space="preserve"> </w:t>
      </w:r>
      <w:r w:rsidRPr="00F60AC1">
        <w:rPr>
          <w:lang w:val="en-GB"/>
        </w:rPr>
        <w:t xml:space="preserve">There was also a meeting between the Director-General of </w:t>
      </w:r>
      <w:r w:rsidRPr="00F60AC1">
        <w:rPr>
          <w:rStyle w:val="A6"/>
          <w:rFonts w:cstheme="minorHAnsi"/>
          <w:color w:val="000000" w:themeColor="text1"/>
          <w:sz w:val="24"/>
          <w:szCs w:val="24"/>
          <w:lang w:val="en-GB"/>
        </w:rPr>
        <w:t xml:space="preserve">OAPI </w:t>
      </w:r>
      <w:r w:rsidRPr="00F60AC1">
        <w:rPr>
          <w:lang w:val="en-GB"/>
        </w:rPr>
        <w:t xml:space="preserve">Anthioumane N’Diaye and </w:t>
      </w:r>
      <w:r w:rsidRPr="00F60AC1">
        <w:rPr>
          <w:rStyle w:val="A6"/>
          <w:rFonts w:cstheme="minorHAnsi"/>
          <w:color w:val="000000" w:themeColor="text1"/>
          <w:sz w:val="24"/>
          <w:szCs w:val="24"/>
          <w:lang w:val="en-GB"/>
        </w:rPr>
        <w:t xml:space="preserve">UPOV </w:t>
      </w:r>
      <w:r w:rsidRPr="00F60AC1">
        <w:rPr>
          <w:lang w:val="en-GB"/>
        </w:rPr>
        <w:t xml:space="preserve">officials to discuss the possible inclusion of PVP in the revised Bangui Agreement in September 1997. </w:t>
      </w:r>
    </w:p>
    <w:p w14:paraId="516F8C68" w14:textId="77777777" w:rsidR="007317C8" w:rsidRPr="00F60AC1" w:rsidRDefault="007317C8" w:rsidP="007317C8">
      <w:pPr>
        <w:rPr>
          <w:lang w:val="en-GB"/>
        </w:rPr>
      </w:pPr>
    </w:p>
    <w:p w14:paraId="760E1B0B" w14:textId="0A677C4A" w:rsidR="007B79E6" w:rsidRDefault="00AF30FA" w:rsidP="007317C8">
      <w:pPr>
        <w:rPr>
          <w:rStyle w:val="A11"/>
          <w:rFonts w:cstheme="minorHAnsi"/>
          <w:color w:val="000000" w:themeColor="text1"/>
          <w:sz w:val="24"/>
          <w:szCs w:val="24"/>
          <w:lang w:val="en-GB"/>
        </w:rPr>
      </w:pPr>
      <w:r w:rsidRPr="00F60AC1">
        <w:rPr>
          <w:rStyle w:val="A11"/>
          <w:rFonts w:cstheme="minorHAnsi"/>
          <w:color w:val="000000" w:themeColor="text1"/>
          <w:sz w:val="24"/>
          <w:szCs w:val="24"/>
          <w:lang w:val="en-GB"/>
        </w:rPr>
        <w:t xml:space="preserve">With funding from the French government, UPOV organized the said regional seminar in </w:t>
      </w:r>
      <w:r w:rsidRPr="00F60AC1">
        <w:rPr>
          <w:lang w:val="en-GB"/>
        </w:rPr>
        <w:t>Ouagadougou, Burkina Faso, on 17</w:t>
      </w:r>
      <w:r w:rsidR="00DB45E4" w:rsidRPr="00F60AC1">
        <w:rPr>
          <w:lang w:val="en-GB"/>
        </w:rPr>
        <w:t>–</w:t>
      </w:r>
      <w:r w:rsidRPr="00F60AC1">
        <w:rPr>
          <w:lang w:val="en-GB"/>
        </w:rPr>
        <w:t xml:space="preserve">19 December 1997 in cooperation with the Government of Burkina Faso and </w:t>
      </w:r>
      <w:r w:rsidRPr="00F60AC1">
        <w:rPr>
          <w:rStyle w:val="A6"/>
          <w:rFonts w:cstheme="minorHAnsi"/>
          <w:color w:val="000000" w:themeColor="text1"/>
          <w:sz w:val="24"/>
          <w:szCs w:val="24"/>
          <w:lang w:val="en-GB"/>
        </w:rPr>
        <w:t>OAPI.</w:t>
      </w:r>
      <w:r w:rsidRPr="00F60AC1">
        <w:rPr>
          <w:rStyle w:val="FootnoteReference"/>
          <w:rFonts w:cstheme="minorHAnsi"/>
          <w:color w:val="000000" w:themeColor="text1"/>
          <w:szCs w:val="24"/>
          <w:lang w:val="en-GB"/>
        </w:rPr>
        <w:footnoteReference w:id="146"/>
      </w:r>
      <w:r w:rsidRPr="00F60AC1">
        <w:rPr>
          <w:rStyle w:val="A6"/>
          <w:rFonts w:cstheme="minorHAnsi"/>
          <w:color w:val="000000" w:themeColor="text1"/>
          <w:sz w:val="24"/>
          <w:szCs w:val="24"/>
          <w:lang w:val="en-GB"/>
        </w:rPr>
        <w:t xml:space="preserve"> The seminar focused on nature and rationale for the protection of plant varieties </w:t>
      </w:r>
      <w:r w:rsidRPr="00F60AC1">
        <w:rPr>
          <w:lang w:val="en-GB"/>
        </w:rPr>
        <w:t>and was attended by participants from Benin, Burkina Faso, Cameroon, Chad, Cote d’Ivoire, Gabon, Guinea, Mali, Mauritania, Niger, Senegal and Togo.</w:t>
      </w:r>
      <w:r w:rsidRPr="00F60AC1">
        <w:rPr>
          <w:rStyle w:val="FootnoteReference"/>
          <w:rFonts w:cstheme="minorHAnsi"/>
          <w:color w:val="000000" w:themeColor="text1"/>
          <w:szCs w:val="24"/>
          <w:lang w:val="en-GB"/>
        </w:rPr>
        <w:footnoteReference w:id="147"/>
      </w:r>
      <w:r w:rsidRPr="00F60AC1">
        <w:rPr>
          <w:lang w:val="en-GB"/>
        </w:rPr>
        <w:t xml:space="preserve"> </w:t>
      </w:r>
      <w:r w:rsidRPr="00F60AC1">
        <w:rPr>
          <w:rStyle w:val="A6"/>
          <w:rFonts w:cstheme="minorHAnsi"/>
          <w:color w:val="000000" w:themeColor="text1"/>
          <w:sz w:val="24"/>
          <w:szCs w:val="24"/>
          <w:lang w:val="en-GB"/>
        </w:rPr>
        <w:t xml:space="preserve">UPOV </w:t>
      </w:r>
      <w:r w:rsidRPr="00F60AC1">
        <w:rPr>
          <w:lang w:val="en-GB"/>
        </w:rPr>
        <w:t xml:space="preserve">also participated in a </w:t>
      </w:r>
      <w:r w:rsidRPr="00F60AC1">
        <w:rPr>
          <w:rStyle w:val="A6"/>
          <w:rFonts w:cstheme="minorHAnsi"/>
          <w:color w:val="000000" w:themeColor="text1"/>
          <w:sz w:val="24"/>
          <w:szCs w:val="24"/>
          <w:lang w:val="en-GB"/>
        </w:rPr>
        <w:t xml:space="preserve">WIPO </w:t>
      </w:r>
      <w:r w:rsidRPr="00F60AC1">
        <w:rPr>
          <w:lang w:val="en-GB"/>
        </w:rPr>
        <w:t xml:space="preserve">Academy session for French-speaking countries to lecture on </w:t>
      </w:r>
      <w:r w:rsidRPr="00F60AC1">
        <w:rPr>
          <w:rStyle w:val="A6"/>
          <w:rFonts w:cstheme="minorHAnsi"/>
          <w:color w:val="000000" w:themeColor="text1"/>
          <w:sz w:val="24"/>
          <w:szCs w:val="24"/>
          <w:lang w:val="en-GB"/>
        </w:rPr>
        <w:t xml:space="preserve">UPOV </w:t>
      </w:r>
      <w:r w:rsidRPr="00F60AC1">
        <w:rPr>
          <w:lang w:val="en-GB"/>
        </w:rPr>
        <w:t xml:space="preserve">and </w:t>
      </w:r>
      <w:r w:rsidRPr="00F60AC1">
        <w:rPr>
          <w:rStyle w:val="A6"/>
          <w:rFonts w:cstheme="minorHAnsi"/>
          <w:color w:val="000000" w:themeColor="text1"/>
          <w:sz w:val="24"/>
          <w:szCs w:val="24"/>
          <w:lang w:val="en-GB"/>
        </w:rPr>
        <w:t>plant variety protection</w:t>
      </w:r>
      <w:r w:rsidRPr="00F60AC1">
        <w:rPr>
          <w:lang w:val="en-GB"/>
        </w:rPr>
        <w:t>.</w:t>
      </w:r>
      <w:r w:rsidRPr="00F60AC1">
        <w:rPr>
          <w:rStyle w:val="FootnoteReference"/>
          <w:rFonts w:cstheme="minorHAnsi"/>
          <w:color w:val="000000" w:themeColor="text1"/>
          <w:szCs w:val="24"/>
          <w:lang w:val="en-GB"/>
        </w:rPr>
        <w:footnoteReference w:id="148"/>
      </w:r>
      <w:r w:rsidRPr="00F60AC1">
        <w:rPr>
          <w:lang w:val="en-GB"/>
        </w:rPr>
        <w:t xml:space="preserve"> UPOV further engaged the Head of the Seed and Plant Breeding Office in the French Ministry of Agriculture and Fisheries on the organization and financing of </w:t>
      </w:r>
      <w:r w:rsidR="004B5056" w:rsidRPr="00F60AC1">
        <w:rPr>
          <w:lang w:val="en-GB"/>
        </w:rPr>
        <w:t>“</w:t>
      </w:r>
      <w:r w:rsidRPr="00F60AC1">
        <w:rPr>
          <w:lang w:val="en-GB"/>
        </w:rPr>
        <w:t>roving seminars</w:t>
      </w:r>
      <w:r w:rsidR="009D0307" w:rsidRPr="00F60AC1">
        <w:rPr>
          <w:lang w:val="en-GB"/>
        </w:rPr>
        <w:t>“</w:t>
      </w:r>
      <w:r w:rsidRPr="00F60AC1">
        <w:rPr>
          <w:lang w:val="en-GB"/>
        </w:rPr>
        <w:t xml:space="preserve"> in OAPI </w:t>
      </w:r>
      <w:r w:rsidR="002E1B7B" w:rsidRPr="00F60AC1">
        <w:rPr>
          <w:lang w:val="en-GB"/>
        </w:rPr>
        <w:t>M</w:t>
      </w:r>
      <w:r w:rsidRPr="00F60AC1">
        <w:rPr>
          <w:lang w:val="en-GB"/>
        </w:rPr>
        <w:t xml:space="preserve">ember </w:t>
      </w:r>
      <w:r w:rsidR="002E1B7B" w:rsidRPr="00F60AC1">
        <w:rPr>
          <w:lang w:val="en-GB"/>
        </w:rPr>
        <w:t>S</w:t>
      </w:r>
      <w:r w:rsidRPr="00F60AC1">
        <w:rPr>
          <w:lang w:val="en-GB"/>
        </w:rPr>
        <w:t xml:space="preserve">tates. Earlier, in April 1997, the Director-General of </w:t>
      </w:r>
      <w:r w:rsidRPr="00F60AC1">
        <w:rPr>
          <w:rStyle w:val="A6"/>
          <w:rFonts w:cstheme="minorHAnsi"/>
          <w:color w:val="000000" w:themeColor="text1"/>
          <w:sz w:val="24"/>
          <w:szCs w:val="24"/>
          <w:lang w:val="en-GB"/>
        </w:rPr>
        <w:t xml:space="preserve">WIPO had </w:t>
      </w:r>
      <w:r w:rsidRPr="00F60AC1">
        <w:rPr>
          <w:lang w:val="en-GB"/>
        </w:rPr>
        <w:t xml:space="preserve">sent to </w:t>
      </w:r>
      <w:r w:rsidRPr="00F60AC1">
        <w:rPr>
          <w:rStyle w:val="A6"/>
          <w:rFonts w:cstheme="minorHAnsi"/>
          <w:color w:val="000000" w:themeColor="text1"/>
          <w:sz w:val="24"/>
          <w:szCs w:val="24"/>
          <w:lang w:val="en-GB"/>
        </w:rPr>
        <w:t xml:space="preserve">OAPI </w:t>
      </w:r>
      <w:r w:rsidRPr="00F60AC1">
        <w:rPr>
          <w:lang w:val="en-GB"/>
        </w:rPr>
        <w:t xml:space="preserve">draft texts for the revision of the Bangui Agreement, which included a draft Annex relating to plant variety protection drawn up by the </w:t>
      </w:r>
      <w:r w:rsidRPr="00F60AC1">
        <w:rPr>
          <w:rStyle w:val="A6"/>
          <w:rFonts w:cstheme="minorHAnsi"/>
          <w:color w:val="000000" w:themeColor="text1"/>
          <w:sz w:val="24"/>
          <w:szCs w:val="24"/>
          <w:lang w:val="en-GB"/>
        </w:rPr>
        <w:t xml:space="preserve">UPOV </w:t>
      </w:r>
      <w:r w:rsidRPr="00F60AC1">
        <w:rPr>
          <w:lang w:val="en-GB"/>
        </w:rPr>
        <w:t>secretariat.</w:t>
      </w:r>
      <w:r w:rsidRPr="00F60AC1">
        <w:rPr>
          <w:rStyle w:val="FootnoteReference"/>
          <w:rFonts w:cstheme="minorHAnsi"/>
          <w:color w:val="000000" w:themeColor="text1"/>
          <w:szCs w:val="24"/>
          <w:lang w:val="en-GB"/>
        </w:rPr>
        <w:footnoteReference w:id="149"/>
      </w:r>
      <w:r w:rsidRPr="00F60AC1">
        <w:rPr>
          <w:rStyle w:val="A11"/>
          <w:rFonts w:cstheme="minorHAnsi"/>
          <w:color w:val="000000" w:themeColor="text1"/>
          <w:sz w:val="24"/>
          <w:szCs w:val="24"/>
          <w:lang w:val="en-GB"/>
        </w:rPr>
        <w:t xml:space="preserve"> </w:t>
      </w:r>
    </w:p>
    <w:p w14:paraId="3F17E1E6" w14:textId="77777777" w:rsidR="00F60AC1" w:rsidRPr="00F60AC1" w:rsidRDefault="00F60AC1" w:rsidP="007317C8">
      <w:pPr>
        <w:rPr>
          <w:rStyle w:val="A11"/>
          <w:rFonts w:ascii="Calibri" w:hAnsi="Calibri" w:cs="Calibri"/>
          <w:sz w:val="24"/>
          <w:szCs w:val="24"/>
          <w:lang w:val="en-GB"/>
        </w:rPr>
      </w:pPr>
    </w:p>
    <w:p w14:paraId="16307C52" w14:textId="156A7AB7" w:rsidR="007B79E6" w:rsidRPr="00F60AC1" w:rsidRDefault="00AF30FA">
      <w:pPr>
        <w:rPr>
          <w:rFonts w:cstheme="minorHAnsi"/>
          <w:color w:val="000000"/>
          <w:szCs w:val="24"/>
          <w:lang w:val="en-GB"/>
        </w:rPr>
      </w:pPr>
      <w:r w:rsidRPr="00F60AC1">
        <w:rPr>
          <w:rFonts w:cstheme="minorHAnsi"/>
          <w:color w:val="000000" w:themeColor="text1"/>
          <w:szCs w:val="24"/>
          <w:lang w:val="en-GB"/>
        </w:rPr>
        <w:t xml:space="preserve">According to the OAPI Secretariat, the draft text was submitted to governments for comments, suggestions, and further elaboration, and also to other partners, such as WIPO, UPOV, the </w:t>
      </w:r>
      <w:r w:rsidRPr="00F60AC1">
        <w:rPr>
          <w:rFonts w:cstheme="minorHAnsi"/>
          <w:color w:val="000000" w:themeColor="text1"/>
          <w:szCs w:val="24"/>
          <w:lang w:val="en-GB"/>
        </w:rPr>
        <w:lastRenderedPageBreak/>
        <w:t>EPO, and INPI. This process was followed by meetings of experts</w:t>
      </w:r>
      <w:r w:rsidRPr="00F60AC1">
        <w:rPr>
          <w:rFonts w:cstheme="minorHAnsi"/>
          <w:b/>
          <w:bCs/>
          <w:color w:val="000000" w:themeColor="text1"/>
          <w:szCs w:val="24"/>
          <w:lang w:val="en-GB"/>
        </w:rPr>
        <w:t xml:space="preserve"> </w:t>
      </w:r>
      <w:r w:rsidRPr="00F60AC1">
        <w:rPr>
          <w:rFonts w:cstheme="minorHAnsi"/>
          <w:color w:val="000000" w:themeColor="text1"/>
          <w:szCs w:val="24"/>
          <w:lang w:val="en-GB"/>
        </w:rPr>
        <w:t xml:space="preserve">from OAPI </w:t>
      </w:r>
      <w:r w:rsidR="002E1B7B" w:rsidRPr="00F60AC1">
        <w:rPr>
          <w:rFonts w:cstheme="minorHAnsi"/>
          <w:color w:val="000000" w:themeColor="text1"/>
          <w:szCs w:val="24"/>
          <w:lang w:val="en-GB"/>
        </w:rPr>
        <w:t>M</w:t>
      </w:r>
      <w:r w:rsidRPr="00F60AC1">
        <w:rPr>
          <w:rFonts w:cstheme="minorHAnsi"/>
          <w:color w:val="000000" w:themeColor="text1"/>
          <w:szCs w:val="24"/>
          <w:lang w:val="en-GB"/>
        </w:rPr>
        <w:t xml:space="preserve">ember </w:t>
      </w:r>
      <w:r w:rsidR="002E1B7B" w:rsidRPr="00F60AC1">
        <w:rPr>
          <w:rFonts w:cstheme="minorHAnsi"/>
          <w:color w:val="000000" w:themeColor="text1"/>
          <w:szCs w:val="24"/>
          <w:lang w:val="en-GB"/>
        </w:rPr>
        <w:t>S</w:t>
      </w:r>
      <w:r w:rsidRPr="00F60AC1">
        <w:rPr>
          <w:rFonts w:cstheme="minorHAnsi"/>
          <w:color w:val="000000" w:themeColor="text1"/>
          <w:szCs w:val="24"/>
          <w:lang w:val="en-GB"/>
        </w:rPr>
        <w:t>tates and partners in Conakry (November 1997), Abidjan (February 1998), Ouagadougou (July 1998), and Nouakchott (November 1998).</w:t>
      </w:r>
      <w:r w:rsidRPr="00F60AC1">
        <w:rPr>
          <w:rStyle w:val="FootnoteReference"/>
          <w:rFonts w:cstheme="minorHAnsi"/>
          <w:color w:val="000000" w:themeColor="text1"/>
          <w:szCs w:val="24"/>
          <w:lang w:val="en-GB"/>
        </w:rPr>
        <w:footnoteReference w:id="150"/>
      </w:r>
      <w:r w:rsidRPr="00F60AC1">
        <w:rPr>
          <w:rFonts w:cstheme="minorHAnsi"/>
          <w:color w:val="000000" w:themeColor="text1"/>
          <w:szCs w:val="24"/>
          <w:lang w:val="en-GB"/>
        </w:rPr>
        <w:t xml:space="preserve"> The definitive text was adopted by national IP officials at a further meeting in Nouakchott (Mauritania) at the end of December 1998.</w:t>
      </w:r>
      <w:r w:rsidRPr="00F60AC1">
        <w:rPr>
          <w:rStyle w:val="FootnoteReference"/>
          <w:rFonts w:cstheme="minorHAnsi"/>
          <w:color w:val="000000" w:themeColor="text1"/>
          <w:szCs w:val="24"/>
          <w:lang w:val="en-GB"/>
        </w:rPr>
        <w:footnoteReference w:id="151"/>
      </w:r>
      <w:r w:rsidRPr="00F60AC1">
        <w:rPr>
          <w:rFonts w:cstheme="minorHAnsi"/>
          <w:color w:val="000000" w:themeColor="text1"/>
          <w:szCs w:val="24"/>
          <w:lang w:val="en-GB"/>
        </w:rPr>
        <w:t xml:space="preserve"> On 15 February 1999, ten days to the diplomatic conference where OAPI members were scheduled to sign the revised Bangui Agreement, a joint </w:t>
      </w:r>
      <w:r w:rsidRPr="00F60AC1">
        <w:rPr>
          <w:rStyle w:val="A6"/>
          <w:rFonts w:cstheme="minorHAnsi"/>
          <w:color w:val="000000" w:themeColor="text1"/>
          <w:sz w:val="24"/>
          <w:szCs w:val="24"/>
          <w:lang w:val="en-GB"/>
        </w:rPr>
        <w:t>UPOV</w:t>
      </w:r>
      <w:r w:rsidRPr="00F60AC1">
        <w:rPr>
          <w:rFonts w:cstheme="minorHAnsi"/>
          <w:color w:val="000000" w:themeColor="text1"/>
          <w:szCs w:val="24"/>
          <w:lang w:val="en-GB"/>
        </w:rPr>
        <w:t>-</w:t>
      </w:r>
      <w:r w:rsidRPr="00F60AC1">
        <w:rPr>
          <w:rStyle w:val="A6"/>
          <w:rFonts w:cstheme="minorHAnsi"/>
          <w:color w:val="000000" w:themeColor="text1"/>
          <w:sz w:val="24"/>
          <w:szCs w:val="24"/>
          <w:lang w:val="en-GB"/>
        </w:rPr>
        <w:t>WIPO</w:t>
      </w:r>
      <w:r w:rsidRPr="00F60AC1">
        <w:rPr>
          <w:rFonts w:cstheme="minorHAnsi"/>
          <w:color w:val="000000" w:themeColor="text1"/>
          <w:szCs w:val="24"/>
          <w:lang w:val="en-GB"/>
        </w:rPr>
        <w:t>-</w:t>
      </w:r>
      <w:r w:rsidRPr="00F60AC1">
        <w:rPr>
          <w:rStyle w:val="A6"/>
          <w:rFonts w:cstheme="minorHAnsi"/>
          <w:color w:val="000000" w:themeColor="text1"/>
          <w:sz w:val="24"/>
          <w:szCs w:val="24"/>
          <w:lang w:val="en-GB"/>
        </w:rPr>
        <w:t xml:space="preserve">WTO </w:t>
      </w:r>
      <w:r w:rsidRPr="00F60AC1">
        <w:rPr>
          <w:rFonts w:cstheme="minorHAnsi"/>
          <w:color w:val="000000" w:themeColor="text1"/>
          <w:szCs w:val="24"/>
          <w:lang w:val="en-GB"/>
        </w:rPr>
        <w:t xml:space="preserve">workshop was held for developing country delegates in Geneva to convey the message that </w:t>
      </w:r>
      <w:r w:rsidRPr="00F60AC1">
        <w:rPr>
          <w:rStyle w:val="A6"/>
          <w:rFonts w:cstheme="minorHAnsi"/>
          <w:color w:val="000000" w:themeColor="text1"/>
          <w:sz w:val="24"/>
          <w:szCs w:val="24"/>
          <w:lang w:val="en-GB"/>
        </w:rPr>
        <w:t xml:space="preserve">UPOV </w:t>
      </w:r>
      <w:r w:rsidRPr="00F60AC1">
        <w:rPr>
          <w:rFonts w:cstheme="minorHAnsi"/>
          <w:color w:val="000000" w:themeColor="text1"/>
          <w:szCs w:val="24"/>
          <w:lang w:val="en-GB"/>
        </w:rPr>
        <w:t xml:space="preserve">1991 would be the best option for implementing the </w:t>
      </w:r>
      <w:r w:rsidRPr="00F60AC1">
        <w:rPr>
          <w:rStyle w:val="A6"/>
          <w:rFonts w:cstheme="minorHAnsi"/>
          <w:color w:val="000000" w:themeColor="text1"/>
          <w:sz w:val="24"/>
          <w:szCs w:val="24"/>
          <w:lang w:val="en-GB"/>
        </w:rPr>
        <w:t xml:space="preserve">plant variety protection </w:t>
      </w:r>
      <w:r w:rsidRPr="00F60AC1">
        <w:rPr>
          <w:rFonts w:cstheme="minorHAnsi"/>
          <w:color w:val="000000" w:themeColor="text1"/>
          <w:szCs w:val="24"/>
          <w:lang w:val="en-GB"/>
        </w:rPr>
        <w:t>system required by Article 27.3(b).</w:t>
      </w:r>
      <w:r w:rsidRPr="00F60AC1">
        <w:rPr>
          <w:rStyle w:val="FootnoteReference"/>
          <w:rFonts w:cstheme="minorHAnsi"/>
          <w:color w:val="000000" w:themeColor="text1"/>
          <w:szCs w:val="24"/>
          <w:lang w:val="en-GB"/>
        </w:rPr>
        <w:footnoteReference w:id="152"/>
      </w:r>
      <w:r w:rsidRPr="00F60AC1">
        <w:rPr>
          <w:rFonts w:cstheme="minorHAnsi"/>
          <w:color w:val="000000" w:themeColor="text1"/>
          <w:szCs w:val="24"/>
          <w:lang w:val="en-GB"/>
        </w:rPr>
        <w:t xml:space="preserve"> </w:t>
      </w:r>
    </w:p>
    <w:p w14:paraId="5D1E0B10" w14:textId="77777777" w:rsidR="007B79E6" w:rsidRPr="00F60AC1" w:rsidRDefault="007B79E6">
      <w:pPr>
        <w:rPr>
          <w:rFonts w:cstheme="minorHAnsi"/>
          <w:color w:val="000000"/>
          <w:szCs w:val="24"/>
          <w:lang w:val="en-GB"/>
        </w:rPr>
      </w:pPr>
    </w:p>
    <w:p w14:paraId="649B4445" w14:textId="7E8870CA" w:rsidR="007B79E6" w:rsidRPr="00F60AC1" w:rsidRDefault="00AF30FA" w:rsidP="007317C8">
      <w:pPr>
        <w:rPr>
          <w:rStyle w:val="A1"/>
          <w:rFonts w:ascii="Calibri" w:hAnsi="Calibri" w:cs="Calibri"/>
          <w:sz w:val="24"/>
          <w:szCs w:val="24"/>
          <w:lang w:val="en-GB"/>
        </w:rPr>
      </w:pPr>
      <w:r w:rsidRPr="00F60AC1">
        <w:rPr>
          <w:lang w:val="en-GB"/>
        </w:rPr>
        <w:t xml:space="preserve">To be sure, a position paper by UPOV on the outstanding issue of the review of Art. 27.3(b) before the WTO Council for TRIPS in 2002 affirmed this position when it stated that </w:t>
      </w:r>
      <w:r w:rsidR="004B5056" w:rsidRPr="00F60AC1">
        <w:rPr>
          <w:lang w:val="en-GB"/>
        </w:rPr>
        <w:t>“</w:t>
      </w:r>
      <w:r w:rsidRPr="00F60AC1">
        <w:rPr>
          <w:lang w:val="en-GB"/>
        </w:rPr>
        <w:t>the plant variety protection system established on the UPOV Convention meets the requirements of Article 27.3(b) of the TRIPS Agreement.</w:t>
      </w:r>
      <w:r w:rsidR="009D0307" w:rsidRPr="00F60AC1">
        <w:rPr>
          <w:lang w:val="en-GB"/>
        </w:rPr>
        <w:t>“</w:t>
      </w:r>
      <w:r w:rsidRPr="00F60AC1">
        <w:rPr>
          <w:rStyle w:val="FootnoteReference"/>
          <w:rFonts w:cstheme="minorHAnsi"/>
          <w:color w:val="000000" w:themeColor="text1"/>
          <w:szCs w:val="24"/>
          <w:lang w:val="en-GB"/>
        </w:rPr>
        <w:footnoteReference w:id="153"/>
      </w:r>
      <w:r w:rsidRPr="00F60AC1">
        <w:rPr>
          <w:lang w:val="en-GB"/>
        </w:rPr>
        <w:t xml:space="preserve"> The statement further noted that </w:t>
      </w:r>
      <w:r w:rsidR="004B5056" w:rsidRPr="00F60AC1">
        <w:rPr>
          <w:lang w:val="en-GB"/>
        </w:rPr>
        <w:t>“</w:t>
      </w:r>
      <w:r w:rsidRPr="00F60AC1">
        <w:rPr>
          <w:lang w:val="en-GB"/>
        </w:rPr>
        <w:t>the introduction of a system which differs significantly from the harmonized approach</w:t>
      </w:r>
      <w:r w:rsidRPr="00F60AC1">
        <w:rPr>
          <w:color w:val="FF0000"/>
          <w:lang w:val="en-GB"/>
        </w:rPr>
        <w:t xml:space="preserve"> </w:t>
      </w:r>
      <w:r w:rsidRPr="00F60AC1">
        <w:rPr>
          <w:lang w:val="en-GB"/>
        </w:rPr>
        <w:t>based on the UPOV Convention will raise questions with regard to the implementation of the TRIPS Agreement.</w:t>
      </w:r>
      <w:r w:rsidR="009D0307" w:rsidRPr="00F60AC1">
        <w:rPr>
          <w:lang w:val="en-GB"/>
        </w:rPr>
        <w:t>“</w:t>
      </w:r>
      <w:r w:rsidRPr="00F60AC1">
        <w:rPr>
          <w:lang w:val="en-GB"/>
        </w:rPr>
        <w:t xml:space="preserve"> As Graham Dutfield notes, </w:t>
      </w:r>
      <w:r w:rsidR="004B5056" w:rsidRPr="00F60AC1">
        <w:rPr>
          <w:lang w:val="en-GB"/>
        </w:rPr>
        <w:t>“</w:t>
      </w:r>
      <w:r w:rsidRPr="00F60AC1">
        <w:rPr>
          <w:lang w:val="en-GB"/>
        </w:rPr>
        <w:t>this statement gives the impression that UPOV membership</w:t>
      </w:r>
      <w:r w:rsidRPr="00F60AC1">
        <w:rPr>
          <w:color w:val="FF0000"/>
          <w:lang w:val="en-GB"/>
        </w:rPr>
        <w:t xml:space="preserve"> </w:t>
      </w:r>
      <w:r w:rsidRPr="00F60AC1">
        <w:rPr>
          <w:lang w:val="en-GB"/>
        </w:rPr>
        <w:t>is essential for TRIPS compliance, which is false. But</w:t>
      </w:r>
      <w:r w:rsidRPr="00F60AC1">
        <w:rPr>
          <w:color w:val="FF0000"/>
          <w:lang w:val="en-GB"/>
        </w:rPr>
        <w:t xml:space="preserve"> </w:t>
      </w:r>
      <w:r w:rsidRPr="00F60AC1">
        <w:rPr>
          <w:lang w:val="en-GB"/>
        </w:rPr>
        <w:t>for countries unsure of where their interests lie concerning IP protection in the field of plant breeding and anxious to avoid being criticized for failing to meet their TRIPS commitments, this is a powerful statement.</w:t>
      </w:r>
      <w:r w:rsidR="009D0307" w:rsidRPr="00F60AC1">
        <w:rPr>
          <w:lang w:val="en-GB"/>
        </w:rPr>
        <w:t>“</w:t>
      </w:r>
      <w:r w:rsidRPr="00F60AC1">
        <w:rPr>
          <w:rStyle w:val="FootnoteReference"/>
          <w:rFonts w:cstheme="minorHAnsi"/>
          <w:color w:val="000000" w:themeColor="text1"/>
          <w:szCs w:val="24"/>
          <w:lang w:val="en-GB"/>
        </w:rPr>
        <w:footnoteReference w:id="154"/>
      </w:r>
      <w:r w:rsidRPr="00F60AC1">
        <w:rPr>
          <w:lang w:val="en-GB"/>
        </w:rPr>
        <w:t xml:space="preserve"> It appears that the TRIPS Agreement has been good for UPOV membership despite the flexibilities, special and preferential treatments for LDCs included in it. In the context of Africa, instead of advising the countries – especially the LDCs – on how to utilize the flexibilities and transitional arrangement inherent in the Agreement for their economic and social development, the UPOV, WIPO and developed nations like the EU and the US</w:t>
      </w:r>
      <w:r w:rsidR="007F4F1E" w:rsidRPr="00F60AC1">
        <w:rPr>
          <w:lang w:val="en-GB"/>
        </w:rPr>
        <w:t>A</w:t>
      </w:r>
      <w:r w:rsidRPr="00F60AC1">
        <w:rPr>
          <w:lang w:val="en-GB"/>
        </w:rPr>
        <w:t xml:space="preserve"> along with their seed industries saw an opportunity to get these countries to join the UPOV Act</w:t>
      </w:r>
      <w:r w:rsidR="00996E0E" w:rsidRPr="00F60AC1">
        <w:rPr>
          <w:lang w:val="en-GB"/>
        </w:rPr>
        <w:t xml:space="preserve"> 1991</w:t>
      </w:r>
      <w:r w:rsidRPr="00F60AC1">
        <w:rPr>
          <w:lang w:val="en-GB"/>
        </w:rPr>
        <w:t>.</w:t>
      </w:r>
    </w:p>
    <w:p w14:paraId="3396F4A4" w14:textId="77777777" w:rsidR="007B79E6" w:rsidRPr="00F60AC1" w:rsidRDefault="007B79E6">
      <w:pPr>
        <w:rPr>
          <w:rFonts w:ascii="Calibri" w:hAnsi="Calibri" w:cs="Calibri"/>
          <w:color w:val="000000"/>
          <w:szCs w:val="24"/>
          <w:lang w:val="en-GB"/>
        </w:rPr>
      </w:pPr>
    </w:p>
    <w:p w14:paraId="41340ECB" w14:textId="08933C8F" w:rsidR="007B79E6" w:rsidRPr="00F60AC1" w:rsidRDefault="00AF30FA" w:rsidP="007317C8">
      <w:pPr>
        <w:rPr>
          <w:color w:val="000000"/>
          <w:lang w:val="en-GB"/>
        </w:rPr>
      </w:pPr>
      <w:r w:rsidRPr="00F60AC1">
        <w:rPr>
          <w:lang w:val="en-GB"/>
        </w:rPr>
        <w:t>From 22</w:t>
      </w:r>
      <w:r w:rsidR="007317C8" w:rsidRPr="00F60AC1">
        <w:rPr>
          <w:lang w:val="en-GB"/>
        </w:rPr>
        <w:t>-</w:t>
      </w:r>
      <w:r w:rsidRPr="00F60AC1">
        <w:rPr>
          <w:lang w:val="en-GB"/>
        </w:rPr>
        <w:t xml:space="preserve">25 February 1999, the revised Bangui Agreement was opened for signature at a Diplomatic Conference in Bangui with 15 OAPI </w:t>
      </w:r>
      <w:r w:rsidR="002E1B7B" w:rsidRPr="00F60AC1">
        <w:rPr>
          <w:lang w:val="en-GB"/>
        </w:rPr>
        <w:t>M</w:t>
      </w:r>
      <w:r w:rsidRPr="00F60AC1">
        <w:rPr>
          <w:lang w:val="en-GB"/>
        </w:rPr>
        <w:t xml:space="preserve">ember </w:t>
      </w:r>
      <w:r w:rsidR="002E1B7B" w:rsidRPr="00F60AC1">
        <w:rPr>
          <w:lang w:val="en-GB"/>
        </w:rPr>
        <w:t>S</w:t>
      </w:r>
      <w:r w:rsidRPr="00F60AC1">
        <w:rPr>
          <w:lang w:val="en-GB"/>
        </w:rPr>
        <w:t>tates signing. Before Annex X was adopted, the UPOV Council had to certify it in 2000 as complying with UPOV 1991, as required under Art. 34(3) of the UPOV 1991 Convention. The UPOV Council has conducted this task over the years through a detailed examination of the legislation of would-be acceding countries, thereby strongly influencing the legal regime applicable to plant variety protection. Countries that deviate from the rigid model established by the Convention are not allowed to join.</w:t>
      </w:r>
      <w:r w:rsidRPr="00F60AC1">
        <w:rPr>
          <w:rStyle w:val="FootnoteReference"/>
          <w:rFonts w:cstheme="minorHAnsi"/>
          <w:color w:val="000000" w:themeColor="text1"/>
          <w:szCs w:val="24"/>
          <w:lang w:val="en-GB"/>
        </w:rPr>
        <w:footnoteReference w:id="155"/>
      </w:r>
      <w:r w:rsidRPr="00F60AC1">
        <w:rPr>
          <w:lang w:val="en-GB"/>
        </w:rPr>
        <w:t xml:space="preserve"> The revised Bangui Agreement came into force in 2002 for all OAPI members. However, Annex X was delayed due to a lack of capacity to implement plant variety protection.</w:t>
      </w:r>
      <w:r w:rsidRPr="00F60AC1">
        <w:rPr>
          <w:rStyle w:val="FootnoteReference"/>
          <w:rFonts w:cstheme="minorHAnsi"/>
          <w:color w:val="000000" w:themeColor="text1"/>
          <w:szCs w:val="24"/>
          <w:lang w:val="en-GB"/>
        </w:rPr>
        <w:footnoteReference w:id="156"/>
      </w:r>
      <w:r w:rsidRPr="00F60AC1">
        <w:rPr>
          <w:lang w:val="en-GB"/>
        </w:rPr>
        <w:t xml:space="preserve"> Funding and technical support of the French government and the UPOV office were directed toward capacity building, especially regarding the establishment of the system for technical examination of plant varieties, identification of initial eligible genera and species </w:t>
      </w:r>
      <w:r w:rsidRPr="00F60AC1">
        <w:rPr>
          <w:lang w:val="en-GB"/>
        </w:rPr>
        <w:lastRenderedPageBreak/>
        <w:t>for PVP and required personnel and institutional support.</w:t>
      </w:r>
      <w:r w:rsidRPr="00F60AC1">
        <w:rPr>
          <w:rStyle w:val="FootnoteReference"/>
          <w:rFonts w:cstheme="minorHAnsi"/>
          <w:color w:val="000000" w:themeColor="text1"/>
          <w:szCs w:val="24"/>
          <w:lang w:val="en-GB"/>
        </w:rPr>
        <w:footnoteReference w:id="157"/>
      </w:r>
      <w:r w:rsidRPr="00F60AC1">
        <w:rPr>
          <w:lang w:val="en-GB"/>
        </w:rPr>
        <w:t xml:space="preserve"> In January 2006, Annex X of the Bagui Agreement became operational – paving the way for OAPI and its </w:t>
      </w:r>
      <w:r w:rsidR="002E1B7B" w:rsidRPr="00F60AC1">
        <w:rPr>
          <w:lang w:val="en-GB"/>
        </w:rPr>
        <w:t>M</w:t>
      </w:r>
      <w:r w:rsidRPr="00F60AC1">
        <w:rPr>
          <w:lang w:val="en-GB"/>
        </w:rPr>
        <w:t xml:space="preserve">ember </w:t>
      </w:r>
      <w:r w:rsidR="002E1B7B" w:rsidRPr="00F60AC1">
        <w:rPr>
          <w:lang w:val="en-GB"/>
        </w:rPr>
        <w:t>S</w:t>
      </w:r>
      <w:r w:rsidRPr="00F60AC1">
        <w:rPr>
          <w:lang w:val="en-GB"/>
        </w:rPr>
        <w:t>tates to deposit instruments of accession to UPOV.</w:t>
      </w:r>
      <w:r w:rsidRPr="00F60AC1">
        <w:rPr>
          <w:rStyle w:val="FootnoteReference"/>
          <w:rFonts w:cstheme="minorHAnsi"/>
          <w:color w:val="000000" w:themeColor="text1"/>
          <w:szCs w:val="24"/>
          <w:lang w:val="en-GB"/>
        </w:rPr>
        <w:footnoteReference w:id="158"/>
      </w:r>
      <w:r w:rsidRPr="00F60AC1">
        <w:rPr>
          <w:lang w:val="en-GB"/>
        </w:rPr>
        <w:t xml:space="preserve"> Key provisions of Annex X, modelled after the UPOV</w:t>
      </w:r>
      <w:r w:rsidR="00996E0E" w:rsidRPr="00F60AC1">
        <w:rPr>
          <w:lang w:val="en-GB"/>
        </w:rPr>
        <w:t xml:space="preserve"> Act 1991</w:t>
      </w:r>
      <w:r w:rsidRPr="00F60AC1">
        <w:rPr>
          <w:lang w:val="en-GB"/>
        </w:rPr>
        <w:t>, may be problematic for the region. For example, Annex X extends to “all botanical taxa,”</w:t>
      </w:r>
      <w:r w:rsidR="006955AF" w:rsidRPr="00F60AC1">
        <w:rPr>
          <w:lang w:val="en-GB"/>
        </w:rPr>
        <w:t xml:space="preserve"> </w:t>
      </w:r>
      <w:r w:rsidRPr="00F60AC1">
        <w:rPr>
          <w:lang w:val="en-GB"/>
        </w:rPr>
        <w:t>except for wild species, that is species that have been neither planted nor improved by man.</w:t>
      </w:r>
      <w:r w:rsidRPr="00F60AC1">
        <w:rPr>
          <w:rStyle w:val="FootnoteReference"/>
          <w:rFonts w:cstheme="minorHAnsi"/>
          <w:color w:val="000000" w:themeColor="text1"/>
          <w:szCs w:val="24"/>
          <w:lang w:val="en-GB"/>
        </w:rPr>
        <w:footnoteReference w:id="159"/>
      </w:r>
      <w:r w:rsidRPr="00F60AC1">
        <w:rPr>
          <w:lang w:val="en-GB"/>
        </w:rPr>
        <w:t xml:space="preserve"> This means that any variety that fulfils the required criteria may be granted protection.</w:t>
      </w:r>
      <w:r w:rsidRPr="00F60AC1">
        <w:rPr>
          <w:rStyle w:val="FootnoteReference"/>
          <w:rFonts w:cstheme="minorHAnsi"/>
          <w:color w:val="000000" w:themeColor="text1"/>
          <w:szCs w:val="24"/>
          <w:lang w:val="en-GB"/>
        </w:rPr>
        <w:footnoteReference w:id="160"/>
      </w:r>
      <w:r w:rsidRPr="00F60AC1">
        <w:rPr>
          <w:lang w:val="en-GB"/>
        </w:rPr>
        <w:t xml:space="preserve"> Critics contend that it is unnecessary to extend PVP to all genera and species in the OAPI region, not least because of the lack of experience and capacity concerning implementation, but it may not be wise to develop procedures and extend protection to crops with no or limited commercial value to the country.</w:t>
      </w:r>
      <w:r w:rsidRPr="00F60AC1">
        <w:rPr>
          <w:rStyle w:val="FootnoteReference"/>
          <w:rFonts w:cstheme="minorHAnsi"/>
          <w:color w:val="000000" w:themeColor="text1"/>
          <w:szCs w:val="24"/>
          <w:lang w:val="en-GB"/>
        </w:rPr>
        <w:footnoteReference w:id="161"/>
      </w:r>
      <w:r w:rsidRPr="00F60AC1">
        <w:rPr>
          <w:lang w:val="en-GB"/>
        </w:rPr>
        <w:t xml:space="preserve"> </w:t>
      </w:r>
    </w:p>
    <w:p w14:paraId="05286C13" w14:textId="77777777" w:rsidR="007B79E6" w:rsidRPr="00F60AC1" w:rsidRDefault="007B79E6">
      <w:pPr>
        <w:rPr>
          <w:rFonts w:ascii="Calibri" w:hAnsi="Calibri" w:cs="Calibri"/>
          <w:color w:val="000000"/>
          <w:szCs w:val="24"/>
          <w:lang w:val="en-GB"/>
        </w:rPr>
      </w:pPr>
    </w:p>
    <w:p w14:paraId="7AC6BEB6" w14:textId="1386E4A9" w:rsidR="007B79E6" w:rsidRPr="00F60AC1" w:rsidRDefault="00AF30FA" w:rsidP="007317C8">
      <w:pPr>
        <w:rPr>
          <w:rFonts w:ascii="Calibri" w:hAnsi="Calibri" w:cs="Calibri"/>
          <w:color w:val="000000"/>
          <w:lang w:val="en-GB"/>
        </w:rPr>
      </w:pPr>
      <w:r w:rsidRPr="00F60AC1">
        <w:rPr>
          <w:lang w:val="en-GB"/>
        </w:rPr>
        <w:t>Furthermore, Annex X of the Bangui Agreement fails to include any flexibility for its members, not even the limited transitional arrangement contained in UPOV 1991 concerning scope and protection.</w:t>
      </w:r>
      <w:r w:rsidRPr="00F60AC1">
        <w:rPr>
          <w:rStyle w:val="FootnoteReference"/>
          <w:rFonts w:cstheme="minorHAnsi"/>
          <w:color w:val="000000" w:themeColor="text1"/>
          <w:szCs w:val="24"/>
          <w:lang w:val="en-GB"/>
        </w:rPr>
        <w:footnoteReference w:id="162"/>
      </w:r>
      <w:r w:rsidRPr="00F60AC1">
        <w:rPr>
          <w:lang w:val="en-GB"/>
        </w:rPr>
        <w:t xml:space="preserve"> This goes beyond the UPOV Act</w:t>
      </w:r>
      <w:r w:rsidR="00996E0E" w:rsidRPr="00F60AC1">
        <w:rPr>
          <w:lang w:val="en-GB"/>
        </w:rPr>
        <w:t xml:space="preserve"> 1991</w:t>
      </w:r>
      <w:r w:rsidRPr="00F60AC1">
        <w:rPr>
          <w:lang w:val="en-GB"/>
        </w:rPr>
        <w:t>, and further ignores the TRIPS Agreement’s transitional arrangements, in essence, failing to consider the fact that OAPI member countries may need policy space in fulfilling their treaty obligations. Concerning the duration of protection, Art. 33(1) of Annex X states that a plant variety certificate shall expire 25 years after its date of issue. The duration of protection is more extensive than in both UPOV 1978 and 1991 Conventions. In addition, the rights conferred by a plant variety certificate in Art. 32 of Annex X is extensive as far as it covers harvested material obtained through unauthorized use of the propagating material of the protected variety unless the breeder has had a reasonable opportunity to exercise his right concerning the said propagating material.</w:t>
      </w:r>
      <w:r w:rsidRPr="00F60AC1">
        <w:rPr>
          <w:rStyle w:val="FootnoteReference"/>
          <w:rFonts w:cstheme="minorHAnsi"/>
          <w:color w:val="000000" w:themeColor="text1"/>
          <w:szCs w:val="24"/>
          <w:lang w:val="en-GB"/>
        </w:rPr>
        <w:footnoteReference w:id="163"/>
      </w:r>
      <w:r w:rsidRPr="00F60AC1">
        <w:rPr>
          <w:lang w:val="en-GB"/>
        </w:rPr>
        <w:t xml:space="preserve"> </w:t>
      </w:r>
    </w:p>
    <w:p w14:paraId="358F3398" w14:textId="77777777" w:rsidR="007B79E6" w:rsidRPr="00F60AC1" w:rsidRDefault="007B79E6">
      <w:pPr>
        <w:rPr>
          <w:rFonts w:ascii="Calibri" w:hAnsi="Calibri" w:cs="Calibri"/>
          <w:color w:val="000000"/>
          <w:szCs w:val="24"/>
          <w:lang w:val="en-GB"/>
        </w:rPr>
      </w:pPr>
    </w:p>
    <w:p w14:paraId="51BB2236" w14:textId="66C5D467" w:rsidR="007B79E6" w:rsidRPr="00F60AC1" w:rsidRDefault="00AF30FA" w:rsidP="007317C8">
      <w:pPr>
        <w:rPr>
          <w:color w:val="000000"/>
          <w:lang w:val="en-GB"/>
        </w:rPr>
      </w:pPr>
      <w:r w:rsidRPr="00F60AC1">
        <w:rPr>
          <w:lang w:val="en-GB"/>
        </w:rPr>
        <w:t xml:space="preserve">Moreover, Art. 32(4) of Annex X further applies breeders’ rights to (a) varieties that are essentially derived from the protected variety where the protected variety is not itself an essentially derived variety; </w:t>
      </w:r>
      <w:r w:rsidRPr="00F60AC1">
        <w:rPr>
          <w:bCs/>
          <w:lang w:val="en-GB"/>
        </w:rPr>
        <w:t>(b)</w:t>
      </w:r>
      <w:r w:rsidRPr="00F60AC1">
        <w:rPr>
          <w:b/>
          <w:bCs/>
          <w:lang w:val="en-GB"/>
        </w:rPr>
        <w:t xml:space="preserve"> </w:t>
      </w:r>
      <w:r w:rsidRPr="00F60AC1">
        <w:rPr>
          <w:lang w:val="en-GB"/>
        </w:rPr>
        <w:t xml:space="preserve">varieties that are not clearly distinguishable from the protected variety as provided in Article 6; and </w:t>
      </w:r>
      <w:r w:rsidRPr="00F60AC1">
        <w:rPr>
          <w:bCs/>
          <w:lang w:val="en-GB"/>
        </w:rPr>
        <w:t>(c)</w:t>
      </w:r>
      <w:r w:rsidRPr="00F60AC1">
        <w:rPr>
          <w:b/>
          <w:bCs/>
          <w:lang w:val="en-GB"/>
        </w:rPr>
        <w:t xml:space="preserve"> </w:t>
      </w:r>
      <w:r w:rsidRPr="00F60AC1">
        <w:rPr>
          <w:lang w:val="en-GB"/>
        </w:rPr>
        <w:t>varieties whose production requires repeated use of the protected variety. The provision on essentially derived varieties (EDVs) – a concept introduced by UPOV 1991 – has become one of the most problematic provisions for interpretation and application by administrative authorities and judges.</w:t>
      </w:r>
      <w:r w:rsidRPr="00F60AC1">
        <w:rPr>
          <w:rStyle w:val="FootnoteReference"/>
          <w:rFonts w:cstheme="minorHAnsi"/>
          <w:color w:val="000000" w:themeColor="text1"/>
          <w:szCs w:val="24"/>
          <w:lang w:val="en-GB"/>
        </w:rPr>
        <w:footnoteReference w:id="164"/>
      </w:r>
      <w:r w:rsidRPr="00F60AC1">
        <w:rPr>
          <w:lang w:val="en-GB"/>
        </w:rPr>
        <w:t xml:space="preserve"> Further, of major concern is the extensive provisions dealing with infringement and other unlawful acts, that among others, stipulate injunctions, civil damages, criminal sanctions and seizures. According to Art. 54 of Annex X, any person who knowingly commits an act of infringement under sub-paragraph (1) of Article 48 or an act of unfair competition within the meaning of Annex VIII commits an offence and is liable to a fine of between 5,000,000 and 15,000,000 CFA francs or imprisonment of one to six months or both of these penalties, without prejudice to civil damages. Considering that criminal sanctions are not required under TRIPS except in cases of wilful trademark counterfeiting or copyright piracy on a commercial scale, it is excessive to include such provisions in an Agreement allegedly concluded by some of the world’s most </w:t>
      </w:r>
      <w:r w:rsidRPr="00F60AC1">
        <w:rPr>
          <w:lang w:val="en-GB"/>
        </w:rPr>
        <w:lastRenderedPageBreak/>
        <w:t>deprived countries.</w:t>
      </w:r>
      <w:r w:rsidRPr="00F60AC1">
        <w:rPr>
          <w:rStyle w:val="FootnoteReference"/>
          <w:rFonts w:cstheme="minorHAnsi"/>
          <w:color w:val="000000" w:themeColor="text1"/>
          <w:szCs w:val="24"/>
          <w:lang w:val="en-GB"/>
        </w:rPr>
        <w:footnoteReference w:id="165"/>
      </w:r>
      <w:r w:rsidRPr="00F60AC1">
        <w:rPr>
          <w:lang w:val="en-GB"/>
        </w:rPr>
        <w:t xml:space="preserve"> In most countries (including the developed countries), no criminal sanctions are provided for in the area of PVP as well as in other areas of IP, such as patents.</w:t>
      </w:r>
      <w:r w:rsidRPr="00F60AC1">
        <w:rPr>
          <w:rStyle w:val="FootnoteReference"/>
          <w:rFonts w:cstheme="minorHAnsi"/>
          <w:color w:val="000000" w:themeColor="text1"/>
          <w:szCs w:val="24"/>
          <w:lang w:val="en-GB"/>
        </w:rPr>
        <w:footnoteReference w:id="166"/>
      </w:r>
    </w:p>
    <w:p w14:paraId="131C6336" w14:textId="77777777" w:rsidR="007B79E6" w:rsidRPr="00F60AC1" w:rsidRDefault="007B79E6">
      <w:pPr>
        <w:rPr>
          <w:rFonts w:cstheme="minorHAnsi"/>
          <w:color w:val="000000"/>
          <w:szCs w:val="24"/>
          <w:lang w:val="en-GB"/>
        </w:rPr>
      </w:pPr>
    </w:p>
    <w:p w14:paraId="4316D02E" w14:textId="77777777" w:rsidR="007B79E6" w:rsidRPr="00F60AC1" w:rsidRDefault="00AF30FA" w:rsidP="007317C8">
      <w:pPr>
        <w:rPr>
          <w:rFonts w:ascii="Calibri" w:eastAsia="code2000" w:hAnsi="Calibri" w:cs="Calibri"/>
          <w:b/>
          <w:color w:val="000000"/>
          <w:lang w:val="en-GB"/>
        </w:rPr>
      </w:pPr>
      <w:r w:rsidRPr="00F60AC1">
        <w:rPr>
          <w:lang w:val="en-GB"/>
        </w:rPr>
        <w:t>No wonder ten years after the entry into force of Annex X of the Bangui Agreement, a 2019 research paper by Coulibaly and his colleagues revealed that only seven of OAPI’s seventeen members had used the PVP system and “at great cost and the expense of public funds.” Further adding that the system has neither produced a substantial increase in plant breeding activities in the OAPI Member States nor result in the growth of the seed industry in the sub-region. On the reverse, it has raised alarms about the misappropriation of farmers’ varieties.</w:t>
      </w:r>
      <w:r w:rsidRPr="00F60AC1">
        <w:rPr>
          <w:rStyle w:val="FootnoteReference"/>
          <w:rFonts w:cstheme="minorHAnsi"/>
          <w:color w:val="000000" w:themeColor="text1"/>
          <w:szCs w:val="24"/>
          <w:lang w:val="en-GB"/>
        </w:rPr>
        <w:footnoteReference w:id="167"/>
      </w:r>
    </w:p>
    <w:p w14:paraId="5D3D4C13" w14:textId="77777777" w:rsidR="007B79E6" w:rsidRPr="00F60AC1" w:rsidRDefault="007B79E6">
      <w:pPr>
        <w:rPr>
          <w:rFonts w:ascii="Calibri" w:hAnsi="Calibri" w:cs="Calibri"/>
          <w:color w:val="000000"/>
          <w:szCs w:val="24"/>
          <w:lang w:val="en-GB"/>
        </w:rPr>
      </w:pPr>
    </w:p>
    <w:p w14:paraId="139C6D2A" w14:textId="394EB420" w:rsidR="007B79E6" w:rsidRPr="00F60AC1" w:rsidRDefault="007317C8" w:rsidP="007317C8">
      <w:pPr>
        <w:pStyle w:val="IPEbene2"/>
        <w:rPr>
          <w:rFonts w:ascii="Calibri" w:hAnsi="Calibri" w:cs="Calibri"/>
          <w:color w:val="000000"/>
          <w:lang w:val="en-GB"/>
        </w:rPr>
      </w:pPr>
      <w:bookmarkStart w:id="19" w:name="_Toc86845033"/>
      <w:bookmarkStart w:id="20" w:name="_Toc86845108"/>
      <w:r w:rsidRPr="00F60AC1">
        <w:rPr>
          <w:lang w:val="en-GB"/>
        </w:rPr>
        <w:t>II</w:t>
      </w:r>
      <w:r w:rsidR="00BD7C25" w:rsidRPr="00F60AC1">
        <w:rPr>
          <w:lang w:val="en-GB"/>
        </w:rPr>
        <w:t>I</w:t>
      </w:r>
      <w:r w:rsidRPr="00F60AC1">
        <w:rPr>
          <w:lang w:val="en-GB"/>
        </w:rPr>
        <w:t xml:space="preserve">. </w:t>
      </w:r>
      <w:r w:rsidR="00AF30FA" w:rsidRPr="00F60AC1">
        <w:rPr>
          <w:lang w:val="en-GB"/>
        </w:rPr>
        <w:t xml:space="preserve">Plant Variety Protection </w:t>
      </w:r>
      <w:r w:rsidR="00F62075" w:rsidRPr="00F60AC1">
        <w:rPr>
          <w:lang w:val="en-GB"/>
        </w:rPr>
        <w:t>U</w:t>
      </w:r>
      <w:r w:rsidR="00AF30FA" w:rsidRPr="00F60AC1">
        <w:rPr>
          <w:lang w:val="en-GB"/>
        </w:rPr>
        <w:t>nder ARIPO and Others</w:t>
      </w:r>
      <w:bookmarkEnd w:id="19"/>
      <w:bookmarkEnd w:id="20"/>
    </w:p>
    <w:p w14:paraId="7314AC30" w14:textId="38FEEF67" w:rsidR="007B79E6" w:rsidRPr="00F60AC1" w:rsidRDefault="00AF30FA" w:rsidP="007317C8">
      <w:pPr>
        <w:rPr>
          <w:color w:val="000000"/>
          <w:lang w:val="en-GB"/>
        </w:rPr>
      </w:pPr>
      <w:r w:rsidRPr="00F60AC1">
        <w:rPr>
          <w:lang w:val="en-GB"/>
        </w:rPr>
        <w:t>Amidst the AU’s effort to promote a non-UPOV 1991 plant variety regime in Africa and its consequential call on OAPI to reconsider the provisions of Annex X of the revised Bangui Agreement, ARIPO pre-emptively announced in 1998 that it would stand by the AU position and not endorse any specific IP regime for plants.</w:t>
      </w:r>
      <w:r w:rsidRPr="00F60AC1">
        <w:rPr>
          <w:rStyle w:val="FootnoteReference"/>
          <w:rFonts w:cstheme="minorHAnsi"/>
          <w:color w:val="000000" w:themeColor="text1"/>
          <w:szCs w:val="24"/>
          <w:lang w:val="en-GB"/>
        </w:rPr>
        <w:footnoteReference w:id="168"/>
      </w:r>
      <w:r w:rsidRPr="00F60AC1">
        <w:rPr>
          <w:lang w:val="en-GB"/>
        </w:rPr>
        <w:t xml:space="preserve"> It may therefore come as a surprise that in 2015, ARIPO adopted a PVP regime along the lines of the UPOV Act</w:t>
      </w:r>
      <w:r w:rsidR="00996E0E" w:rsidRPr="00F60AC1">
        <w:rPr>
          <w:lang w:val="en-GB"/>
        </w:rPr>
        <w:t xml:space="preserve"> 1991</w:t>
      </w:r>
      <w:r w:rsidRPr="00F60AC1">
        <w:rPr>
          <w:lang w:val="en-GB"/>
        </w:rPr>
        <w:t>. It all started in 2009 when the ARIPO Council of Ministers requested the ARIPO Office to implement its decision to develop a regional legal framework for the protection of plant varieties.</w:t>
      </w:r>
      <w:r w:rsidRPr="00F60AC1">
        <w:rPr>
          <w:rStyle w:val="FootnoteReference"/>
          <w:rFonts w:cstheme="minorHAnsi"/>
          <w:color w:val="000000" w:themeColor="text1"/>
          <w:szCs w:val="24"/>
          <w:lang w:val="en-GB"/>
        </w:rPr>
        <w:footnoteReference w:id="169"/>
      </w:r>
      <w:r w:rsidRPr="00F60AC1">
        <w:rPr>
          <w:lang w:val="en-GB"/>
        </w:rPr>
        <w:t xml:space="preserve"> Based on this mandate, ARIPO initiated the process of developing a legal framework for plant varieties in collaboration with UPOV and WIPO. After consultations with the latter organizations, a first draft was drawn in 2011. Further revisions on the first draft led to the release of a second draft in 2013.</w:t>
      </w:r>
      <w:r w:rsidRPr="00F60AC1">
        <w:rPr>
          <w:rStyle w:val="FootnoteReference"/>
          <w:rFonts w:cstheme="minorHAnsi"/>
          <w:color w:val="000000" w:themeColor="text1"/>
          <w:szCs w:val="24"/>
          <w:lang w:val="en-GB"/>
        </w:rPr>
        <w:footnoteReference w:id="170"/>
      </w:r>
      <w:r w:rsidRPr="00F60AC1">
        <w:rPr>
          <w:lang w:val="en-GB"/>
        </w:rPr>
        <w:t xml:space="preserve"> After further consultations and clarifications with UPOV on specific issues, the ARIPO agreed on a final text of Draft Legal Framework for Plant Variety Protection in March 2014. </w:t>
      </w:r>
    </w:p>
    <w:p w14:paraId="7B1E95A9" w14:textId="77777777" w:rsidR="007B79E6" w:rsidRPr="00F60AC1" w:rsidRDefault="007B79E6">
      <w:pPr>
        <w:rPr>
          <w:rFonts w:cstheme="minorHAnsi"/>
          <w:color w:val="000000"/>
          <w:szCs w:val="24"/>
          <w:lang w:val="en-GB"/>
        </w:rPr>
      </w:pPr>
    </w:p>
    <w:p w14:paraId="5F6067B5" w14:textId="77777777" w:rsidR="007B79E6" w:rsidRPr="00F60AC1" w:rsidRDefault="00AF30FA" w:rsidP="007317C8">
      <w:pPr>
        <w:rPr>
          <w:color w:val="000000"/>
          <w:lang w:val="en-GB"/>
        </w:rPr>
      </w:pPr>
      <w:r w:rsidRPr="00F60AC1">
        <w:rPr>
          <w:lang w:val="en-GB"/>
        </w:rPr>
        <w:t>The last Regional Workshop on Draft ARIPO Plant Variety Protocol was co-organized by ARIPO, UPOV and the US Patent and Trademarks Office</w:t>
      </w:r>
      <w:r w:rsidRPr="00F60AC1">
        <w:rPr>
          <w:rStyle w:val="FootnoteReference"/>
          <w:rFonts w:cstheme="minorHAnsi"/>
          <w:color w:val="000000" w:themeColor="text1"/>
          <w:szCs w:val="24"/>
          <w:lang w:val="en-GB"/>
        </w:rPr>
        <w:footnoteReference w:id="171"/>
      </w:r>
      <w:r w:rsidRPr="00F60AC1">
        <w:rPr>
          <w:lang w:val="en-GB"/>
        </w:rPr>
        <w:t xml:space="preserve"> – further showing the extent of the contribution and power of these international organizations in shaping ARIPO’s development agenda through PVP. As the UPOV rules require, the draft instrument was sent to the UPOV Council for examination and approval. The UPOV Council replied noting that:</w:t>
      </w:r>
    </w:p>
    <w:p w14:paraId="10777993" w14:textId="77777777" w:rsidR="007B79E6" w:rsidRPr="00F60AC1" w:rsidRDefault="007B79E6">
      <w:pPr>
        <w:rPr>
          <w:rFonts w:cstheme="minorHAnsi"/>
          <w:color w:val="000000"/>
          <w:szCs w:val="24"/>
          <w:lang w:val="en-GB"/>
        </w:rPr>
      </w:pPr>
    </w:p>
    <w:p w14:paraId="527FC8AE" w14:textId="77777777" w:rsidR="007B79E6" w:rsidRPr="00F60AC1" w:rsidRDefault="00AF30FA" w:rsidP="007317C8">
      <w:pPr>
        <w:ind w:left="720"/>
        <w:rPr>
          <w:color w:val="000000"/>
          <w:lang w:val="en-GB"/>
        </w:rPr>
      </w:pPr>
      <w:r w:rsidRPr="00F60AC1">
        <w:rPr>
          <w:lang w:val="en-GB"/>
        </w:rPr>
        <w:t>The Draft [ARIPO] protocols incorporate the substantive provisions of the 1991 UPOV Act. Once the Draft Protocol is adopted with no changes and the Protocol is in force, the Contracting States of the Protocol and ARIPO itself, in relation to the territories of the Contracting States to the Protocol, would be in a position to “give effect” to the provisions of the 1991 Act, as required by Article 30(2).</w:t>
      </w:r>
      <w:r w:rsidRPr="00F60AC1">
        <w:rPr>
          <w:rStyle w:val="FootnoteReference"/>
          <w:rFonts w:cstheme="minorHAnsi"/>
          <w:color w:val="000000" w:themeColor="text1"/>
          <w:szCs w:val="24"/>
          <w:lang w:val="en-GB"/>
        </w:rPr>
        <w:footnoteReference w:id="172"/>
      </w:r>
    </w:p>
    <w:p w14:paraId="0B42919B" w14:textId="77777777" w:rsidR="007B79E6" w:rsidRPr="00F60AC1" w:rsidRDefault="007B79E6">
      <w:pPr>
        <w:rPr>
          <w:rFonts w:cstheme="minorHAnsi"/>
          <w:color w:val="000000"/>
          <w:szCs w:val="24"/>
          <w:lang w:val="en-GB"/>
        </w:rPr>
      </w:pPr>
    </w:p>
    <w:p w14:paraId="13D8AB59" w14:textId="39C4585E" w:rsidR="007B79E6" w:rsidRPr="00F60AC1" w:rsidRDefault="00AF30FA" w:rsidP="007317C8">
      <w:pPr>
        <w:rPr>
          <w:color w:val="000000"/>
          <w:lang w:val="en-GB"/>
        </w:rPr>
      </w:pPr>
      <w:r w:rsidRPr="00F60AC1">
        <w:rPr>
          <w:lang w:val="en-GB"/>
        </w:rPr>
        <w:lastRenderedPageBreak/>
        <w:t>Technically, this qualified ARIPO to join UPOV. However, during the meeting of the Administrative Council to adopt the Arusha Protocol, ARIPO Member States opposed and rejected Art. 4 of the Draft Plant Variety Protocol which empowered ARIPO to grant plant variety protection rights on behalf of its members without their consent.</w:t>
      </w:r>
      <w:r w:rsidRPr="00F60AC1">
        <w:rPr>
          <w:rStyle w:val="FootnoteReference"/>
          <w:rFonts w:cstheme="minorHAnsi"/>
          <w:color w:val="000000" w:themeColor="text1"/>
          <w:szCs w:val="24"/>
          <w:lang w:val="en-GB"/>
        </w:rPr>
        <w:footnoteReference w:id="173"/>
      </w:r>
      <w:r w:rsidRPr="00F60AC1">
        <w:rPr>
          <w:lang w:val="en-GB"/>
        </w:rPr>
        <w:t xml:space="preserve"> The amendment of this article meant that ARIPO could not become a member of UPOV 1991.</w:t>
      </w:r>
      <w:r w:rsidRPr="00F60AC1">
        <w:rPr>
          <w:rStyle w:val="FootnoteReference"/>
          <w:rFonts w:cstheme="minorHAnsi"/>
          <w:color w:val="000000" w:themeColor="text1"/>
          <w:szCs w:val="24"/>
          <w:lang w:val="en-GB"/>
        </w:rPr>
        <w:footnoteReference w:id="174"/>
      </w:r>
      <w:r w:rsidRPr="00F60AC1">
        <w:rPr>
          <w:lang w:val="en-GB"/>
        </w:rPr>
        <w:t xml:space="preserve"> However, according to the </w:t>
      </w:r>
      <w:r w:rsidR="004B5056" w:rsidRPr="00F60AC1">
        <w:rPr>
          <w:lang w:val="en-GB"/>
        </w:rPr>
        <w:t>“</w:t>
      </w:r>
      <w:r w:rsidRPr="00F60AC1">
        <w:rPr>
          <w:lang w:val="en-GB"/>
        </w:rPr>
        <w:t>Status in relation to UPOV Report 2021,</w:t>
      </w:r>
      <w:r w:rsidR="009D0307" w:rsidRPr="00F60AC1">
        <w:rPr>
          <w:lang w:val="en-GB"/>
        </w:rPr>
        <w:t>“</w:t>
      </w:r>
      <w:r w:rsidRPr="00F60AC1">
        <w:rPr>
          <w:rStyle w:val="FootnoteReference"/>
          <w:rFonts w:cstheme="minorHAnsi"/>
          <w:color w:val="000000" w:themeColor="text1"/>
          <w:szCs w:val="24"/>
          <w:lang w:val="en-GB"/>
        </w:rPr>
        <w:footnoteReference w:id="175"/>
      </w:r>
      <w:r w:rsidRPr="00F60AC1">
        <w:rPr>
          <w:lang w:val="en-GB"/>
        </w:rPr>
        <w:t xml:space="preserve"> ARIPO is in the process of becoming a party to UPOV 1991. At the meeting of the ARIPO Administrative Council which adopted the Arusha Protocol were inter-governmental organizations and</w:t>
      </w:r>
      <w:r w:rsidR="006955AF" w:rsidRPr="00F60AC1">
        <w:rPr>
          <w:lang w:val="en-GB"/>
        </w:rPr>
        <w:t xml:space="preserve"> </w:t>
      </w:r>
      <w:r w:rsidRPr="00F60AC1">
        <w:rPr>
          <w:lang w:val="en-GB"/>
        </w:rPr>
        <w:t>cooperating partners, including WIPO and UPOV.</w:t>
      </w:r>
      <w:r w:rsidRPr="00F60AC1">
        <w:rPr>
          <w:rStyle w:val="FootnoteReference"/>
          <w:rFonts w:cstheme="minorHAnsi"/>
          <w:color w:val="000000" w:themeColor="text1"/>
          <w:szCs w:val="24"/>
          <w:lang w:val="en-GB"/>
        </w:rPr>
        <w:footnoteReference w:id="176"/>
      </w:r>
      <w:r w:rsidRPr="00F60AC1">
        <w:rPr>
          <w:lang w:val="en-GB"/>
        </w:rPr>
        <w:t xml:space="preserve"> Similar to the case of OAPI, stakeholders, including representatives of farmer groups in Africa were not invited to the processes and discussions leading to the draft legislation and the subsequent adoption of the Arusha Protocol.</w:t>
      </w:r>
      <w:r w:rsidRPr="00F60AC1">
        <w:rPr>
          <w:rStyle w:val="FootnoteReference"/>
          <w:rFonts w:cstheme="minorHAnsi"/>
          <w:color w:val="000000" w:themeColor="text1"/>
          <w:szCs w:val="24"/>
          <w:lang w:val="en-GB"/>
        </w:rPr>
        <w:footnoteReference w:id="177"/>
      </w:r>
    </w:p>
    <w:p w14:paraId="7A32261B" w14:textId="77777777" w:rsidR="007B79E6" w:rsidRPr="00F60AC1" w:rsidRDefault="007B79E6">
      <w:pPr>
        <w:rPr>
          <w:rFonts w:cstheme="minorHAnsi"/>
          <w:color w:val="000000"/>
          <w:szCs w:val="24"/>
          <w:lang w:val="en-GB"/>
        </w:rPr>
      </w:pPr>
    </w:p>
    <w:p w14:paraId="70ECE386" w14:textId="407977A3" w:rsidR="007B79E6" w:rsidRPr="00F60AC1" w:rsidRDefault="00AF30FA" w:rsidP="007317C8">
      <w:pPr>
        <w:rPr>
          <w:rFonts w:ascii="Calibri" w:hAnsi="Calibri" w:cs="Calibri"/>
          <w:color w:val="000000"/>
          <w:lang w:val="en-GB"/>
        </w:rPr>
      </w:pPr>
      <w:r w:rsidRPr="00F60AC1">
        <w:rPr>
          <w:lang w:val="en-GB"/>
        </w:rPr>
        <w:t>As it turns out, most of the concerns expressed about OAPI’s Bangui Agreement’s Annex X apply here. Art. 3 of the Arusha Protocol extend the scope of protection of PVP to all plant genera and species. While its Preamble acknowledges the need to fulfil the TRIPS Agreement Art. 27.3(b), the Protocol falls short of including the flexibilities inherent in the TRIPS Agreement or its transitional arrangements. Concerning the duration of protection for PVP, the Protocol follows the UPOV 1991 order of twenty years from the date of the grant of the breeder’s right excluding trees and vines, for which a breeder’s right shall be granted for a period of twenty-five years from the said date.</w:t>
      </w:r>
      <w:r w:rsidRPr="00F60AC1">
        <w:rPr>
          <w:rStyle w:val="FootnoteReference"/>
          <w:rFonts w:cstheme="minorHAnsi"/>
          <w:color w:val="000000" w:themeColor="text1"/>
          <w:szCs w:val="24"/>
          <w:lang w:val="en-GB"/>
        </w:rPr>
        <w:footnoteReference w:id="178"/>
      </w:r>
      <w:r w:rsidRPr="00F60AC1">
        <w:rPr>
          <w:lang w:val="en-GB"/>
        </w:rPr>
        <w:t xml:space="preserve"> The following Art. 26(2) of the Protocol however carries that </w:t>
      </w:r>
      <w:r w:rsidR="004B5056" w:rsidRPr="00F60AC1">
        <w:rPr>
          <w:lang w:val="en-GB"/>
        </w:rPr>
        <w:t>“</w:t>
      </w:r>
      <w:r w:rsidRPr="00F60AC1">
        <w:rPr>
          <w:lang w:val="en-GB"/>
        </w:rPr>
        <w:t>Notwithstanding sub-paragraph (1), the term of protection may be extended for an additional five years by a notice in writing to the ARIPO Office in respect of specific genera and species.</w:t>
      </w:r>
      <w:r w:rsidR="009D0307" w:rsidRPr="00F60AC1">
        <w:rPr>
          <w:lang w:val="en-GB"/>
        </w:rPr>
        <w:t>“</w:t>
      </w:r>
      <w:r w:rsidRPr="00F60AC1">
        <w:rPr>
          <w:lang w:val="en-GB"/>
        </w:rPr>
        <w:t xml:space="preserve"> The conditions for such an extension are not spelt out, thus making it possible to go beyond the UPOV standard. Furthermore, the Protocols Art. 21.3(a) on the scope of a breeder’s right extends to harvested material obtained through unauthorized use of the propagating material of the protected variety unless the breeder has had a reasonable opportunity to exercise his right concerning the said propagating material. And just as the case of OAPI, the Arusha Protocol's Art. 21.4(a) stipulate that the breeder’s right extends to varieties that are essentially derived from the protected variety, where the protected variety is not itself an essentially derived variety.</w:t>
      </w:r>
    </w:p>
    <w:p w14:paraId="4AE1867D" w14:textId="77777777" w:rsidR="007B79E6" w:rsidRPr="00F60AC1" w:rsidRDefault="007B79E6">
      <w:pPr>
        <w:rPr>
          <w:rFonts w:ascii="Calibri" w:hAnsi="Calibri" w:cs="Calibri"/>
          <w:color w:val="000000"/>
          <w:szCs w:val="24"/>
          <w:lang w:val="en-GB"/>
        </w:rPr>
      </w:pPr>
    </w:p>
    <w:p w14:paraId="48F13829" w14:textId="6836D4CB" w:rsidR="007B79E6" w:rsidRPr="00F60AC1" w:rsidRDefault="00AF30FA" w:rsidP="007317C8">
      <w:pPr>
        <w:rPr>
          <w:lang w:val="en-GB"/>
        </w:rPr>
      </w:pPr>
      <w:r w:rsidRPr="00F60AC1">
        <w:rPr>
          <w:lang w:val="en-GB"/>
        </w:rPr>
        <w:t xml:space="preserve">Last, but not all, Art. 22.1(a) of the Protocol on </w:t>
      </w:r>
      <w:r w:rsidR="009D0307" w:rsidRPr="00F60AC1">
        <w:rPr>
          <w:lang w:val="en-GB"/>
        </w:rPr>
        <w:t>“</w:t>
      </w:r>
      <w:r w:rsidRPr="00F60AC1">
        <w:rPr>
          <w:lang w:val="en-GB"/>
        </w:rPr>
        <w:t>Exception to Breeder’s rights</w:t>
      </w:r>
      <w:r w:rsidR="009D0307" w:rsidRPr="00F60AC1">
        <w:rPr>
          <w:lang w:val="en-GB"/>
        </w:rPr>
        <w:t>”</w:t>
      </w:r>
      <w:r w:rsidRPr="00F60AC1">
        <w:rPr>
          <w:lang w:val="en-GB"/>
        </w:rPr>
        <w:t xml:space="preserve"> allows farmers to use protected material only for </w:t>
      </w:r>
      <w:r w:rsidR="004B5056" w:rsidRPr="00F60AC1">
        <w:rPr>
          <w:lang w:val="en-GB"/>
        </w:rPr>
        <w:t>“</w:t>
      </w:r>
      <w:r w:rsidRPr="00F60AC1">
        <w:rPr>
          <w:lang w:val="en-GB"/>
        </w:rPr>
        <w:t xml:space="preserve">private </w:t>
      </w:r>
      <w:r w:rsidRPr="00F60AC1">
        <w:rPr>
          <w:iCs/>
          <w:lang w:val="en-GB"/>
        </w:rPr>
        <w:t xml:space="preserve">and </w:t>
      </w:r>
      <w:r w:rsidRPr="00F60AC1">
        <w:rPr>
          <w:lang w:val="en-GB"/>
        </w:rPr>
        <w:t>non-commercial use.</w:t>
      </w:r>
      <w:r w:rsidR="009D0307" w:rsidRPr="00F60AC1">
        <w:rPr>
          <w:lang w:val="en-GB"/>
        </w:rPr>
        <w:t>“</w:t>
      </w:r>
      <w:r w:rsidRPr="00F60AC1">
        <w:rPr>
          <w:lang w:val="en-GB"/>
        </w:rPr>
        <w:t xml:space="preserve"> As there is no further definition, it is unclear which acts are covered by this exception. Disturbingly, a similar exception has been defined by UPOV as prohibiting regular exchange and sale of seeds/propagating material of protected varieties, even in small amounts, among farmers. Article 22(2) of the Protocol allows in certain circumstances, farmers to save protected seed for propagating purposes on their holdings, but this appears to be subject to payment of royalties, which many smallholder farmers will not be able to afford. It is such concerns about the Arusha Protocol and the non-transparent and non-inclusive process by which the Protocol was adopted that led the UN Special Rapporteur on the right to food, Hilal Elver, to write a </w:t>
      </w:r>
      <w:r w:rsidRPr="00F60AC1">
        <w:rPr>
          <w:lang w:val="en-GB"/>
        </w:rPr>
        <w:lastRenderedPageBreak/>
        <w:t xml:space="preserve">special </w:t>
      </w:r>
      <w:r w:rsidR="004B5056" w:rsidRPr="00F60AC1">
        <w:rPr>
          <w:lang w:val="en-GB"/>
        </w:rPr>
        <w:t>“</w:t>
      </w:r>
      <w:r w:rsidRPr="00F60AC1">
        <w:rPr>
          <w:lang w:val="en-GB"/>
        </w:rPr>
        <w:t>Open Letter</w:t>
      </w:r>
      <w:r w:rsidR="009D0307" w:rsidRPr="00F60AC1">
        <w:rPr>
          <w:lang w:val="en-GB"/>
        </w:rPr>
        <w:t>“</w:t>
      </w:r>
      <w:r w:rsidRPr="00F60AC1">
        <w:rPr>
          <w:rStyle w:val="FootnoteReference"/>
          <w:rFonts w:cstheme="minorHAnsi"/>
          <w:color w:val="000000" w:themeColor="text1"/>
          <w:szCs w:val="24"/>
          <w:lang w:val="en-GB"/>
        </w:rPr>
        <w:footnoteReference w:id="179"/>
      </w:r>
      <w:r w:rsidRPr="00F60AC1">
        <w:rPr>
          <w:lang w:val="en-GB"/>
        </w:rPr>
        <w:t xml:space="preserve"> to the Member States of ARIPO expressing her concerns about the adoption of the Arusha Protocol in November 2016. The Arusha Protocol has not yet entered into force. It will do so once four states have ratified or acceded to it. It is said that since the ARIPO IP framework serves a harmonizing function, its protocols have a potentially less devastating effect as they may not be domesticated by the Member States.</w:t>
      </w:r>
      <w:r w:rsidRPr="00F60AC1">
        <w:rPr>
          <w:rStyle w:val="FootnoteReference"/>
          <w:rFonts w:cstheme="minorHAnsi"/>
          <w:color w:val="000000" w:themeColor="text1"/>
          <w:szCs w:val="24"/>
          <w:lang w:val="en-GB"/>
        </w:rPr>
        <w:footnoteReference w:id="180"/>
      </w:r>
      <w:r w:rsidRPr="00F60AC1">
        <w:rPr>
          <w:lang w:val="en-GB"/>
        </w:rPr>
        <w:t xml:space="preserve"> </w:t>
      </w:r>
    </w:p>
    <w:p w14:paraId="1A8E4D69" w14:textId="77777777" w:rsidR="007317C8" w:rsidRPr="00F60AC1" w:rsidRDefault="007317C8" w:rsidP="007317C8">
      <w:pPr>
        <w:rPr>
          <w:rFonts w:ascii="Calibri" w:hAnsi="Calibri" w:cs="Calibri"/>
          <w:color w:val="000000"/>
          <w:lang w:val="en-GB"/>
        </w:rPr>
      </w:pPr>
    </w:p>
    <w:p w14:paraId="6904530F" w14:textId="78D9B459" w:rsidR="007B79E6" w:rsidRPr="00F60AC1" w:rsidRDefault="00AF30FA" w:rsidP="007317C8">
      <w:pPr>
        <w:rPr>
          <w:color w:val="000000"/>
          <w:lang w:val="en-GB"/>
        </w:rPr>
      </w:pPr>
      <w:r w:rsidRPr="00F60AC1">
        <w:rPr>
          <w:lang w:val="en-GB"/>
        </w:rPr>
        <w:t xml:space="preserve">Similar to OAPI, thirteen of ARIPO’s twenty </w:t>
      </w:r>
      <w:r w:rsidR="009A63BF" w:rsidRPr="00F60AC1">
        <w:rPr>
          <w:lang w:val="en-GB"/>
        </w:rPr>
        <w:t>M</w:t>
      </w:r>
      <w:r w:rsidRPr="00F60AC1">
        <w:rPr>
          <w:lang w:val="en-GB"/>
        </w:rPr>
        <w:t xml:space="preserve">ember </w:t>
      </w:r>
      <w:r w:rsidR="009A63BF" w:rsidRPr="00F60AC1">
        <w:rPr>
          <w:lang w:val="en-GB"/>
        </w:rPr>
        <w:t>S</w:t>
      </w:r>
      <w:r w:rsidRPr="00F60AC1">
        <w:rPr>
          <w:lang w:val="en-GB"/>
        </w:rPr>
        <w:t>tates are LDCs. With the benefit of hindsight, one would have thought that ARIPO would stick to the AU Model Law when developing its PVP regime. However, ARIPO did not, and that should not come as a surprise. Throughout Africa, to borrow from Hong Xue’s words, the West Wind has been blowing.</w:t>
      </w:r>
      <w:r w:rsidRPr="00F60AC1">
        <w:rPr>
          <w:rStyle w:val="FootnoteReference"/>
          <w:rFonts w:cstheme="minorHAnsi"/>
          <w:color w:val="000000" w:themeColor="text1"/>
          <w:szCs w:val="24"/>
          <w:lang w:val="en-GB"/>
        </w:rPr>
        <w:footnoteReference w:id="181"/>
      </w:r>
      <w:r w:rsidRPr="00F60AC1">
        <w:rPr>
          <w:lang w:val="en-GB"/>
        </w:rPr>
        <w:t xml:space="preserve"> Xue, referring to Shelleys’ masterpiece </w:t>
      </w:r>
      <w:r w:rsidR="004B5056" w:rsidRPr="00F60AC1">
        <w:rPr>
          <w:lang w:val="en-GB"/>
        </w:rPr>
        <w:t>“</w:t>
      </w:r>
      <w:r w:rsidRPr="00F60AC1">
        <w:rPr>
          <w:lang w:val="en-GB"/>
        </w:rPr>
        <w:t>Ode to the West Wind,</w:t>
      </w:r>
      <w:r w:rsidR="009D0307" w:rsidRPr="00F60AC1">
        <w:rPr>
          <w:lang w:val="en-GB"/>
        </w:rPr>
        <w:t>“</w:t>
      </w:r>
      <w:r w:rsidRPr="00F60AC1">
        <w:rPr>
          <w:rStyle w:val="FootnoteReference"/>
          <w:rFonts w:cstheme="minorHAnsi"/>
          <w:color w:val="000000" w:themeColor="text1"/>
          <w:szCs w:val="24"/>
          <w:lang w:val="en-GB"/>
        </w:rPr>
        <w:footnoteReference w:id="182"/>
      </w:r>
      <w:r w:rsidRPr="00F60AC1">
        <w:rPr>
          <w:lang w:val="en-GB"/>
        </w:rPr>
        <w:t xml:space="preserve"> argues that</w:t>
      </w:r>
      <w:r w:rsidRPr="00F60AC1">
        <w:rPr>
          <w:sz w:val="20"/>
          <w:szCs w:val="20"/>
          <w:lang w:val="en-GB"/>
        </w:rPr>
        <w:t xml:space="preserve"> </w:t>
      </w:r>
      <w:r w:rsidR="009D0307" w:rsidRPr="00F60AC1">
        <w:rPr>
          <w:sz w:val="20"/>
          <w:szCs w:val="20"/>
          <w:lang w:val="en-GB"/>
        </w:rPr>
        <w:t>“</w:t>
      </w:r>
      <w:r w:rsidRPr="00F60AC1">
        <w:rPr>
          <w:lang w:val="en-GB"/>
        </w:rPr>
        <w:t>in international political circles, anyone with basic knowledge of IP law knows that the West Wind is sweeping through the world. Namely, the developed countries are leading the trend toward greater IP protections and are aggressively pushing the developing countries to follow.</w:t>
      </w:r>
      <w:r w:rsidR="009D0307" w:rsidRPr="00F60AC1">
        <w:rPr>
          <w:lang w:val="en-GB"/>
        </w:rPr>
        <w:t>“</w:t>
      </w:r>
      <w:r w:rsidRPr="00F60AC1">
        <w:rPr>
          <w:lang w:val="en-GB"/>
        </w:rPr>
        <w:t xml:space="preserve"> She worries that the developing countries are internally surrendering to the West Wind. Under the power of the West Wind, the developing countries are educated to believe that the West is the way by default and that they should not only proceed along its prescribed path but should even go further than the West. As a result, the developing countries are losing, step by step, their internal capacity for normative innovation.</w:t>
      </w:r>
    </w:p>
    <w:p w14:paraId="65F3624E" w14:textId="77777777" w:rsidR="007B79E6" w:rsidRPr="00F60AC1" w:rsidRDefault="007B79E6">
      <w:pPr>
        <w:rPr>
          <w:rFonts w:cstheme="minorHAnsi"/>
          <w:color w:val="000000"/>
          <w:szCs w:val="24"/>
          <w:lang w:val="en-GB"/>
        </w:rPr>
      </w:pPr>
    </w:p>
    <w:p w14:paraId="450F2DD7" w14:textId="42CAC83A" w:rsidR="007B79E6" w:rsidRPr="00F60AC1" w:rsidRDefault="00AF30FA" w:rsidP="007317C8">
      <w:pPr>
        <w:rPr>
          <w:lang w:val="en-GB"/>
        </w:rPr>
      </w:pPr>
      <w:r w:rsidRPr="00F60AC1">
        <w:rPr>
          <w:lang w:val="en-GB"/>
        </w:rPr>
        <w:t xml:space="preserve">As demonstrated throughout the chapter, this seems to be the case in Africa. Besides OAPI and its </w:t>
      </w:r>
      <w:r w:rsidR="009A63BF" w:rsidRPr="00F60AC1">
        <w:rPr>
          <w:lang w:val="en-GB"/>
        </w:rPr>
        <w:t>M</w:t>
      </w:r>
      <w:r w:rsidRPr="00F60AC1">
        <w:rPr>
          <w:lang w:val="en-GB"/>
        </w:rPr>
        <w:t xml:space="preserve">ember </w:t>
      </w:r>
      <w:r w:rsidR="009A63BF" w:rsidRPr="00F60AC1">
        <w:rPr>
          <w:lang w:val="en-GB"/>
        </w:rPr>
        <w:t>S</w:t>
      </w:r>
      <w:r w:rsidRPr="00F60AC1">
        <w:rPr>
          <w:lang w:val="en-GB"/>
        </w:rPr>
        <w:t xml:space="preserve">tates who are all members of UPOV, currently, </w:t>
      </w:r>
      <w:r w:rsidRPr="00F60AC1">
        <w:rPr>
          <w:rStyle w:val="vkif2"/>
          <w:rFonts w:cs="Times New Roman"/>
          <w:color w:val="000000" w:themeColor="text1"/>
          <w:lang w:val="en-GB"/>
        </w:rPr>
        <w:t xml:space="preserve">Egypt, Ethiopia, Kenya, Morocco, Rwanda, South Africa, Tanzania, Tunisia, Zambia and </w:t>
      </w:r>
      <w:r w:rsidRPr="00F60AC1">
        <w:rPr>
          <w:lang w:val="en-GB"/>
        </w:rPr>
        <w:t>Zimbabwe</w:t>
      </w:r>
      <w:r w:rsidRPr="00F60AC1">
        <w:rPr>
          <w:rStyle w:val="vkif2"/>
          <w:rFonts w:cs="Times New Roman"/>
          <w:color w:val="000000" w:themeColor="text1"/>
          <w:lang w:val="en-GB"/>
        </w:rPr>
        <w:t xml:space="preserve"> all have national plant variety laws and offices.</w:t>
      </w:r>
      <w:r w:rsidRPr="00F60AC1">
        <w:rPr>
          <w:rStyle w:val="FootnoteReference"/>
          <w:rFonts w:cs="Times New Roman"/>
          <w:color w:val="000000" w:themeColor="text1"/>
          <w:lang w:val="en-GB"/>
        </w:rPr>
        <w:footnoteReference w:id="183"/>
      </w:r>
      <w:r w:rsidRPr="00F60AC1">
        <w:rPr>
          <w:lang w:val="en-GB"/>
        </w:rPr>
        <w:t xml:space="preserve"> Moreover, Ghana recently adopted a PVP law after its Parliament approved the Plant Variety Protection Bill 2020.</w:t>
      </w:r>
      <w:r w:rsidRPr="00F60AC1">
        <w:rPr>
          <w:rStyle w:val="FootnoteReference"/>
          <w:rFonts w:cs="Times New Roman"/>
          <w:lang w:val="en-GB"/>
        </w:rPr>
        <w:footnoteReference w:id="184"/>
      </w:r>
      <w:r w:rsidRPr="00F60AC1">
        <w:rPr>
          <w:lang w:val="en-GB"/>
        </w:rPr>
        <w:t xml:space="preserve"> The Bill has since 29 December 2020 received Presidential assent. A</w:t>
      </w:r>
      <w:r w:rsidRPr="00F60AC1">
        <w:rPr>
          <w:iCs/>
          <w:lang w:val="en-GB"/>
        </w:rPr>
        <w:t>s of February 22, 2021</w:t>
      </w:r>
      <w:r w:rsidRPr="00F60AC1">
        <w:rPr>
          <w:lang w:val="en-GB"/>
        </w:rPr>
        <w:t>, Ghana, Nigeria, Mauritius and Zimbabwe are among the list of countries that have initiated procedures for acceding to the UPOV Convention.</w:t>
      </w:r>
      <w:r w:rsidRPr="00F60AC1">
        <w:rPr>
          <w:rStyle w:val="FootnoteReference"/>
          <w:rFonts w:cs="Times New Roman"/>
          <w:color w:val="000000" w:themeColor="text1"/>
          <w:lang w:val="en-GB"/>
        </w:rPr>
        <w:footnoteReference w:id="185"/>
      </w:r>
      <w:r w:rsidRPr="00F60AC1">
        <w:rPr>
          <w:lang w:val="en-GB"/>
        </w:rPr>
        <w:t xml:space="preserve"> </w:t>
      </w:r>
    </w:p>
    <w:p w14:paraId="725E7355" w14:textId="77777777" w:rsidR="007B79E6" w:rsidRPr="00F60AC1" w:rsidRDefault="007B79E6" w:rsidP="007317C8">
      <w:pPr>
        <w:rPr>
          <w:rFonts w:cstheme="minorHAnsi"/>
          <w:color w:val="000000"/>
          <w:szCs w:val="24"/>
          <w:lang w:val="en-GB"/>
        </w:rPr>
      </w:pPr>
    </w:p>
    <w:p w14:paraId="2C7B891A" w14:textId="27330B40" w:rsidR="007B79E6" w:rsidRPr="00F60AC1" w:rsidRDefault="00AF30FA" w:rsidP="007317C8">
      <w:pPr>
        <w:rPr>
          <w:color w:val="000000"/>
          <w:lang w:val="en-GB"/>
        </w:rPr>
      </w:pPr>
      <w:r w:rsidRPr="00F60AC1">
        <w:rPr>
          <w:lang w:val="en-GB"/>
        </w:rPr>
        <w:t>Finally, it bears mentioning that in May 2014, the Southern African Development Community (SADC)</w:t>
      </w:r>
      <w:r w:rsidRPr="00F60AC1">
        <w:rPr>
          <w:rStyle w:val="FootnoteReference"/>
          <w:rFonts w:cstheme="minorHAnsi"/>
          <w:color w:val="000000" w:themeColor="text1"/>
          <w:szCs w:val="24"/>
          <w:lang w:val="en-GB"/>
        </w:rPr>
        <w:footnoteReference w:id="186"/>
      </w:r>
      <w:r w:rsidRPr="00F60AC1">
        <w:rPr>
          <w:lang w:val="en-GB"/>
        </w:rPr>
        <w:t xml:space="preserve"> adopted a </w:t>
      </w:r>
      <w:r w:rsidRPr="00F60AC1">
        <w:rPr>
          <w:rStyle w:val="Strong"/>
          <w:rFonts w:cstheme="minorHAnsi"/>
          <w:b w:val="0"/>
          <w:color w:val="000000" w:themeColor="text1"/>
          <w:szCs w:val="24"/>
          <w:lang w:val="en-GB"/>
        </w:rPr>
        <w:t>Protocol for the Protection of New Varieties of Plants, based primarily on the UPOV 1991.</w:t>
      </w:r>
      <w:r w:rsidRPr="00F60AC1">
        <w:rPr>
          <w:rStyle w:val="FootnoteReference"/>
          <w:rFonts w:cstheme="minorHAnsi"/>
          <w:bCs/>
          <w:color w:val="000000" w:themeColor="text1"/>
          <w:szCs w:val="24"/>
          <w:lang w:val="en-GB"/>
        </w:rPr>
        <w:footnoteReference w:id="187"/>
      </w:r>
      <w:r w:rsidRPr="00F60AC1">
        <w:rPr>
          <w:rStyle w:val="Strong"/>
          <w:rFonts w:cstheme="minorHAnsi"/>
          <w:b w:val="0"/>
          <w:bCs w:val="0"/>
          <w:color w:val="000000" w:themeColor="text1"/>
          <w:szCs w:val="24"/>
          <w:lang w:val="en-GB"/>
        </w:rPr>
        <w:t xml:space="preserve"> </w:t>
      </w:r>
      <w:r w:rsidRPr="00F60AC1">
        <w:rPr>
          <w:lang w:val="en-GB"/>
        </w:rPr>
        <w:t xml:space="preserve">According to </w:t>
      </w:r>
      <w:r w:rsidR="00567A0A" w:rsidRPr="00F60AC1">
        <w:rPr>
          <w:lang w:val="en-GB"/>
        </w:rPr>
        <w:t xml:space="preserve">Art. </w:t>
      </w:r>
      <w:r w:rsidRPr="00F60AC1">
        <w:rPr>
          <w:lang w:val="en-GB"/>
        </w:rPr>
        <w:t xml:space="preserve">44 of the Protocol, </w:t>
      </w:r>
      <w:r w:rsidRPr="00F60AC1">
        <w:rPr>
          <w:rStyle w:val="Strong"/>
          <w:rFonts w:cstheme="minorHAnsi"/>
          <w:b w:val="0"/>
          <w:color w:val="000000" w:themeColor="text1"/>
          <w:szCs w:val="24"/>
          <w:lang w:val="en-GB"/>
        </w:rPr>
        <w:t xml:space="preserve">it will come into force thirty days </w:t>
      </w:r>
      <w:r w:rsidRPr="00F60AC1">
        <w:rPr>
          <w:rStyle w:val="Strong"/>
          <w:rFonts w:cstheme="minorHAnsi"/>
          <w:b w:val="0"/>
          <w:color w:val="000000" w:themeColor="text1"/>
          <w:szCs w:val="24"/>
          <w:lang w:val="en-GB"/>
        </w:rPr>
        <w:lastRenderedPageBreak/>
        <w:t>after signature by two-thirds (ten) of the SADC Member States</w:t>
      </w:r>
      <w:r w:rsidRPr="00F60AC1">
        <w:rPr>
          <w:lang w:val="en-GB"/>
        </w:rPr>
        <w:t xml:space="preserve">. </w:t>
      </w:r>
      <w:r w:rsidRPr="00F60AC1">
        <w:rPr>
          <w:rStyle w:val="Strong"/>
          <w:rFonts w:cstheme="minorHAnsi"/>
          <w:b w:val="0"/>
          <w:bCs w:val="0"/>
          <w:color w:val="000000" w:themeColor="text1"/>
          <w:szCs w:val="24"/>
          <w:lang w:val="en-GB"/>
        </w:rPr>
        <w:t>On</w:t>
      </w:r>
      <w:r w:rsidRPr="00F60AC1">
        <w:rPr>
          <w:lang w:val="en-GB"/>
        </w:rPr>
        <w:t xml:space="preserve"> 29 June 2020, Botswana became the ninth </w:t>
      </w:r>
      <w:r w:rsidR="009A63BF" w:rsidRPr="00F60AC1">
        <w:rPr>
          <w:lang w:val="en-GB"/>
        </w:rPr>
        <w:t>M</w:t>
      </w:r>
      <w:r w:rsidRPr="00F60AC1">
        <w:rPr>
          <w:lang w:val="en-GB"/>
        </w:rPr>
        <w:t xml:space="preserve">ember </w:t>
      </w:r>
      <w:r w:rsidR="009A63BF" w:rsidRPr="00F60AC1">
        <w:rPr>
          <w:lang w:val="en-GB"/>
        </w:rPr>
        <w:t>S</w:t>
      </w:r>
      <w:r w:rsidRPr="00F60AC1">
        <w:rPr>
          <w:lang w:val="en-GB"/>
        </w:rPr>
        <w:t xml:space="preserve">tate to sign the SADC Protocol. Once it comes into force, the Protocol will provide a regional system for PVP rights in the signatory states. Each </w:t>
      </w:r>
      <w:r w:rsidR="009A63BF" w:rsidRPr="00F60AC1">
        <w:rPr>
          <w:lang w:val="en-GB"/>
        </w:rPr>
        <w:t>M</w:t>
      </w:r>
      <w:r w:rsidRPr="00F60AC1">
        <w:rPr>
          <w:lang w:val="en-GB"/>
        </w:rPr>
        <w:t xml:space="preserve">ember </w:t>
      </w:r>
      <w:r w:rsidR="009A63BF" w:rsidRPr="00F60AC1">
        <w:rPr>
          <w:lang w:val="en-GB"/>
        </w:rPr>
        <w:t>S</w:t>
      </w:r>
      <w:r w:rsidRPr="00F60AC1">
        <w:rPr>
          <w:lang w:val="en-GB"/>
        </w:rPr>
        <w:t>tate will need to have a national PVP for the protection to be effective. South Africa, arguably one of the most developed economies in Africa, is not a member of either ARIPO or OAPI but is a member of SADC. It is also a party to the 1978 UPOV Convention. If the SADC Protocol comes into force, it will effectively upgrade South Africa to UPOV 1991.</w:t>
      </w:r>
      <w:r w:rsidRPr="00F60AC1">
        <w:rPr>
          <w:rStyle w:val="FootnoteReference"/>
          <w:rFonts w:cstheme="minorHAnsi"/>
          <w:color w:val="000000" w:themeColor="text1"/>
          <w:szCs w:val="24"/>
          <w:lang w:val="en-GB"/>
        </w:rPr>
        <w:footnoteReference w:id="188"/>
      </w:r>
    </w:p>
    <w:p w14:paraId="1A4782CA" w14:textId="77777777" w:rsidR="007B79E6" w:rsidRPr="00F60AC1" w:rsidRDefault="007B79E6">
      <w:pPr>
        <w:rPr>
          <w:rFonts w:cstheme="minorHAnsi"/>
          <w:color w:val="000000"/>
          <w:szCs w:val="24"/>
          <w:lang w:val="en-GB"/>
        </w:rPr>
      </w:pPr>
    </w:p>
    <w:p w14:paraId="447138C7" w14:textId="6DE4A3FA" w:rsidR="007B79E6" w:rsidRPr="00F60AC1" w:rsidRDefault="00625D0C" w:rsidP="007317C8">
      <w:pPr>
        <w:pStyle w:val="IPEbene1"/>
        <w:rPr>
          <w:color w:val="000000"/>
          <w:lang w:val="en-GB"/>
        </w:rPr>
      </w:pPr>
      <w:bookmarkStart w:id="21" w:name="_Toc86845034"/>
      <w:bookmarkStart w:id="22" w:name="_Toc86845109"/>
      <w:r w:rsidRPr="00F60AC1">
        <w:rPr>
          <w:lang w:val="en-GB"/>
        </w:rPr>
        <w:t xml:space="preserve">E. </w:t>
      </w:r>
      <w:r w:rsidR="00AF30FA" w:rsidRPr="00F60AC1">
        <w:rPr>
          <w:lang w:val="en-GB"/>
        </w:rPr>
        <w:t>Conclusion</w:t>
      </w:r>
      <w:bookmarkEnd w:id="21"/>
      <w:bookmarkEnd w:id="22"/>
    </w:p>
    <w:p w14:paraId="469C0960" w14:textId="23C963C7" w:rsidR="007B79E6" w:rsidRPr="00F60AC1" w:rsidRDefault="00AF30FA" w:rsidP="007317C8">
      <w:pPr>
        <w:rPr>
          <w:color w:val="000000"/>
          <w:lang w:val="en-GB"/>
        </w:rPr>
      </w:pPr>
      <w:r w:rsidRPr="00F60AC1">
        <w:rPr>
          <w:color w:val="000000" w:themeColor="text1"/>
          <w:lang w:val="en-GB"/>
        </w:rPr>
        <w:t>By relying on TWAIL scholarship and doctrine, this chapter looked critically</w:t>
      </w:r>
      <w:r w:rsidRPr="00F60AC1">
        <w:rPr>
          <w:lang w:val="en-GB"/>
        </w:rPr>
        <w:t xml:space="preserve"> at the role of technical assistance in the institution and implementation of international IP treaty obligations in</w:t>
      </w:r>
      <w:r w:rsidRPr="00F60AC1">
        <w:rPr>
          <w:color w:val="000000" w:themeColor="text1"/>
          <w:lang w:val="en-GB"/>
        </w:rPr>
        <w:t xml:space="preserve"> Africa</w:t>
      </w:r>
      <w:r w:rsidRPr="00F60AC1">
        <w:rPr>
          <w:lang w:val="en-GB"/>
        </w:rPr>
        <w:t xml:space="preserve"> using the protection of plant variety as an illustrative example. It first examined the contribution of WIPO to the development of IP laws in Africa through its technical assistance programme from the post-war period to the present, elaborating the relationship that has evolved between </w:t>
      </w:r>
      <w:r w:rsidRPr="00F60AC1">
        <w:rPr>
          <w:color w:val="000000" w:themeColor="text1"/>
          <w:lang w:val="en-GB"/>
        </w:rPr>
        <w:t xml:space="preserve">WIPO and the two regional IP organizations – OAPI and ARIPO – in a way that sheds light on WIPO’s influence on IP law and administration in Africa (both regionally and nationally). Not only were the IP laws instituted post-independence unbefitting to the development needs, priorities and situations of African countries, but </w:t>
      </w:r>
      <w:r w:rsidRPr="00F60AC1">
        <w:rPr>
          <w:rFonts w:eastAsia="code2000"/>
          <w:color w:val="000000" w:themeColor="text1"/>
          <w:lang w:val="en-GB"/>
        </w:rPr>
        <w:t xml:space="preserve">the wave of </w:t>
      </w:r>
      <w:r w:rsidRPr="00F60AC1">
        <w:rPr>
          <w:color w:val="000000" w:themeColor="text1"/>
          <w:lang w:val="en-GB"/>
        </w:rPr>
        <w:t xml:space="preserve">economic liberalization processes that swept across the globe in the 1980s and 1990s, and </w:t>
      </w:r>
      <w:r w:rsidRPr="00F60AC1">
        <w:rPr>
          <w:rFonts w:eastAsia="code2000"/>
          <w:color w:val="000000" w:themeColor="text1"/>
          <w:lang w:val="en-GB"/>
        </w:rPr>
        <w:t>the related mushrooming of the various IP and investment regimes addressed in this volume,</w:t>
      </w:r>
      <w:r w:rsidRPr="00F60AC1">
        <w:rPr>
          <w:color w:val="000000" w:themeColor="text1"/>
          <w:lang w:val="en-GB"/>
        </w:rPr>
        <w:t xml:space="preserve"> has often forced African countries to agree to adopt UPOV 1991 compatible legislation, as well as occasional </w:t>
      </w:r>
      <w:r w:rsidR="004B5056" w:rsidRPr="00F60AC1">
        <w:rPr>
          <w:color w:val="000000" w:themeColor="text1"/>
          <w:lang w:val="en-GB"/>
        </w:rPr>
        <w:t>“</w:t>
      </w:r>
      <w:r w:rsidRPr="00F60AC1">
        <w:rPr>
          <w:color w:val="000000" w:themeColor="text1"/>
          <w:lang w:val="en-GB"/>
        </w:rPr>
        <w:t>UPOV-plus</w:t>
      </w:r>
      <w:r w:rsidR="009D0307" w:rsidRPr="00F60AC1">
        <w:rPr>
          <w:color w:val="000000" w:themeColor="text1"/>
          <w:lang w:val="en-GB"/>
        </w:rPr>
        <w:t>“</w:t>
      </w:r>
      <w:r w:rsidRPr="00F60AC1">
        <w:rPr>
          <w:color w:val="000000" w:themeColor="text1"/>
          <w:lang w:val="en-GB"/>
        </w:rPr>
        <w:t xml:space="preserve"> protections, regardless of its implications.</w:t>
      </w:r>
    </w:p>
    <w:p w14:paraId="6B2094F8" w14:textId="77777777" w:rsidR="007B79E6" w:rsidRPr="00F60AC1" w:rsidRDefault="007B79E6">
      <w:pPr>
        <w:pStyle w:val="ListParagraph"/>
        <w:ind w:left="0"/>
        <w:rPr>
          <w:rFonts w:cstheme="minorHAnsi"/>
          <w:color w:val="000000"/>
          <w:szCs w:val="24"/>
          <w:lang w:val="en-GB"/>
        </w:rPr>
      </w:pPr>
    </w:p>
    <w:p w14:paraId="5BFFD9EA" w14:textId="6C435F01" w:rsidR="007B79E6" w:rsidRPr="00F60AC1" w:rsidRDefault="00AF30FA" w:rsidP="007317C8">
      <w:pPr>
        <w:rPr>
          <w:color w:val="000000"/>
          <w:lang w:val="en-GB"/>
        </w:rPr>
      </w:pPr>
      <w:r w:rsidRPr="00F60AC1">
        <w:rPr>
          <w:lang w:val="en-GB"/>
        </w:rPr>
        <w:t>In this regard, the TRIPS Agreement has been good for UPOV membership despite the flexibilities and the special and preferential treatments for LDCs included in it. Instead of advising countries – especially the LDCs – on how to utilize the flexibilities and transitional arrangement integral to the TRIPS Agreement for their economic and social development, the UPOV, WIPO and developed nations like the EU and the US</w:t>
      </w:r>
      <w:r w:rsidR="007F4F1E" w:rsidRPr="00F60AC1">
        <w:rPr>
          <w:lang w:val="en-GB"/>
        </w:rPr>
        <w:t>A</w:t>
      </w:r>
      <w:r w:rsidRPr="00F60AC1">
        <w:rPr>
          <w:lang w:val="en-GB"/>
        </w:rPr>
        <w:t xml:space="preserve"> along with their seed industries saw an opportunity to get African countries to join the UPOV Act</w:t>
      </w:r>
      <w:r w:rsidR="00996E0E" w:rsidRPr="00F60AC1">
        <w:rPr>
          <w:lang w:val="en-GB"/>
        </w:rPr>
        <w:t xml:space="preserve"> 1991</w:t>
      </w:r>
      <w:r w:rsidRPr="00F60AC1">
        <w:rPr>
          <w:lang w:val="en-GB"/>
        </w:rPr>
        <w:t>. WIPO and UPOV cooperated and spearheaded this move. Today, we have a system of PVP laws in Africa</w:t>
      </w:r>
      <w:r w:rsidRPr="00F60AC1">
        <w:rPr>
          <w:color w:val="FF0000"/>
          <w:lang w:val="en-GB"/>
        </w:rPr>
        <w:t xml:space="preserve"> </w:t>
      </w:r>
      <w:r w:rsidRPr="00F60AC1">
        <w:rPr>
          <w:lang w:val="en-GB"/>
        </w:rPr>
        <w:t xml:space="preserve">that can be described as TRIPS-plus or even UPOV-plus. As seen in the analysis of a few of the provisions of Annex X of the Bangui Agreement and the Arusha Protocol, these Agreements have been criticized as unfavourable for the continent’s social and economic development because they are based on the 1991 Act of the UPOV Convention. The latter Convention is deemed inappropriate for Africa because it potentially facilitates biopiracy, does not support farmer's rights, and includes PVP eligibility criteria that are ill-suited to the continent. </w:t>
      </w:r>
    </w:p>
    <w:p w14:paraId="0157CE89" w14:textId="77777777" w:rsidR="007B79E6" w:rsidRPr="00F60AC1" w:rsidRDefault="007B79E6">
      <w:pPr>
        <w:rPr>
          <w:rFonts w:ascii="Calibri" w:hAnsi="Calibri" w:cs="Calibri"/>
          <w:color w:val="000000"/>
          <w:szCs w:val="24"/>
          <w:lang w:val="en-GB"/>
        </w:rPr>
      </w:pPr>
    </w:p>
    <w:p w14:paraId="209B2029" w14:textId="2A13B5A3" w:rsidR="007B79E6" w:rsidRPr="00F60AC1" w:rsidRDefault="00AF30FA">
      <w:pPr>
        <w:pStyle w:val="ListParagraph"/>
        <w:ind w:left="0"/>
        <w:rPr>
          <w:rFonts w:cstheme="minorHAnsi"/>
          <w:color w:val="000000"/>
          <w:szCs w:val="24"/>
          <w:lang w:val="en-GB"/>
        </w:rPr>
      </w:pPr>
      <w:r w:rsidRPr="00F60AC1">
        <w:rPr>
          <w:rFonts w:cstheme="minorHAnsi"/>
          <w:color w:val="000000" w:themeColor="text1"/>
          <w:szCs w:val="24"/>
          <w:lang w:val="en-GB"/>
        </w:rPr>
        <w:t xml:space="preserve">Despite opposition and criticism from WIPO and UPOV, the AU adopted an African Model Law designed specifically to fit the African context by protecting the innovations, technologies and practices of local communities, including farming communities and indigenous peoples who conserve and enhance biological diversity for the benefit of present and future generations alongside commercial plant breeders who develop new plant varieties based on farmers’ varieties. Curiously, the African Model Law was overlooked by both OAPI, ARIPO and even SADC when designing their PVP laws. And while it may be difficult to rationalize the adoption by OAPI, ARIPO and SADC of the UPOV </w:t>
      </w:r>
      <w:r w:rsidR="00996E0E" w:rsidRPr="00F60AC1">
        <w:rPr>
          <w:rFonts w:cstheme="minorHAnsi"/>
          <w:color w:val="000000" w:themeColor="text1"/>
          <w:szCs w:val="24"/>
          <w:lang w:val="en-GB"/>
        </w:rPr>
        <w:t xml:space="preserve">Act 1991 </w:t>
      </w:r>
      <w:r w:rsidRPr="00F60AC1">
        <w:rPr>
          <w:rFonts w:cstheme="minorHAnsi"/>
          <w:color w:val="000000" w:themeColor="text1"/>
          <w:szCs w:val="24"/>
          <w:lang w:val="en-GB"/>
        </w:rPr>
        <w:t xml:space="preserve">when there is an alternative home-grown model, it in a way also substantiates the argument that in areas where the African countries might be poised to derive some benefits from improved and properly tailored IP protections, </w:t>
      </w:r>
      <w:r w:rsidRPr="00F60AC1">
        <w:rPr>
          <w:rFonts w:cstheme="minorHAnsi"/>
          <w:color w:val="000000" w:themeColor="text1"/>
          <w:szCs w:val="24"/>
          <w:lang w:val="en-GB"/>
        </w:rPr>
        <w:lastRenderedPageBreak/>
        <w:t xml:space="preserve">there are shortcomings in the drafting of the rules or their implementation efforts have been least effective. It also validates the idea that technical assistance can (and should) be seen as a vector of ideas and practices that have progressively led to the systemic integration of African countries into the global protection of IP beyond borders, as designed, nurtured and developed by the </w:t>
      </w:r>
      <w:r w:rsidR="00133C5C" w:rsidRPr="00F60AC1">
        <w:rPr>
          <w:rFonts w:cstheme="minorHAnsi"/>
          <w:color w:val="000000" w:themeColor="text1"/>
          <w:szCs w:val="24"/>
          <w:lang w:val="en-GB"/>
        </w:rPr>
        <w:t>g</w:t>
      </w:r>
      <w:r w:rsidRPr="00F60AC1">
        <w:rPr>
          <w:rFonts w:cstheme="minorHAnsi"/>
          <w:color w:val="000000" w:themeColor="text1"/>
          <w:szCs w:val="24"/>
          <w:lang w:val="en-GB"/>
        </w:rPr>
        <w:t xml:space="preserve">lobal </w:t>
      </w:r>
      <w:r w:rsidR="00133C5C" w:rsidRPr="00F60AC1">
        <w:rPr>
          <w:rFonts w:cstheme="minorHAnsi"/>
          <w:color w:val="000000" w:themeColor="text1"/>
          <w:szCs w:val="24"/>
          <w:lang w:val="en-GB"/>
        </w:rPr>
        <w:t>n</w:t>
      </w:r>
      <w:r w:rsidRPr="00F60AC1">
        <w:rPr>
          <w:rFonts w:cstheme="minorHAnsi"/>
          <w:color w:val="000000" w:themeColor="text1"/>
          <w:szCs w:val="24"/>
          <w:lang w:val="en-GB"/>
        </w:rPr>
        <w:t>orth. This has led to the curious case of African countries inadvertently neglecting the flexibilities inherent in the international IP system when formulating national IP laws and policy.</w:t>
      </w:r>
    </w:p>
    <w:p w14:paraId="7A2D75D2" w14:textId="77777777" w:rsidR="007B79E6" w:rsidRPr="00F60AC1" w:rsidRDefault="007B79E6">
      <w:pPr>
        <w:rPr>
          <w:rFonts w:ascii="Calibri" w:hAnsi="Calibri" w:cs="Calibri"/>
          <w:color w:val="000000"/>
          <w:szCs w:val="24"/>
          <w:lang w:val="en-GB"/>
        </w:rPr>
      </w:pPr>
    </w:p>
    <w:p w14:paraId="3D0DF615" w14:textId="77777777" w:rsidR="007B79E6" w:rsidRPr="00F60AC1" w:rsidRDefault="007B79E6">
      <w:pPr>
        <w:pStyle w:val="ListParagraph"/>
        <w:ind w:left="0"/>
        <w:rPr>
          <w:color w:val="000000"/>
          <w:lang w:val="en-GB"/>
        </w:rPr>
      </w:pPr>
    </w:p>
    <w:sectPr w:rsidR="007B79E6" w:rsidRPr="00F60AC1">
      <w:headerReference w:type="even" r:id="rId9"/>
      <w:headerReference w:type="default" r:id="rId10"/>
      <w:footerReference w:type="even" r:id="rId11"/>
      <w:footerReference w:type="default" r:id="rId12"/>
      <w:headerReference w:type="first" r:id="rId13"/>
      <w:footerReference w:type="first" r:id="rId14"/>
      <w:pgSz w:w="11907"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0943F" w14:textId="77777777" w:rsidR="000240CE" w:rsidRDefault="000240CE">
      <w:r>
        <w:separator/>
      </w:r>
    </w:p>
  </w:endnote>
  <w:endnote w:type="continuationSeparator" w:id="0">
    <w:p w14:paraId="698EC406" w14:textId="77777777" w:rsidR="000240CE" w:rsidRDefault="00024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 vu serif">
    <w:altName w:val="Calibri"/>
    <w:charset w:val="00"/>
    <w:family w:val="auto"/>
    <w:pitch w:val="default"/>
  </w:font>
  <w:font w:name="minion pro">
    <w:altName w:val="Calibri"/>
    <w:charset w:val="00"/>
    <w:family w:val="auto"/>
    <w:pitch w:val="default"/>
  </w:font>
  <w:font w:name="adobe garamond pro">
    <w:altName w:val="Garamond"/>
    <w:charset w:val="00"/>
    <w:family w:val="auto"/>
    <w:pitch w:val="default"/>
  </w:font>
  <w:font w:name="gtsectra-book">
    <w:altName w:val="Calibri"/>
    <w:charset w:val="00"/>
    <w:family w:val="auto"/>
    <w:pitch w:val="default"/>
  </w:font>
  <w:font w:name="radikal">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auto"/>
    <w:pitch w:val="default"/>
  </w:font>
  <w:font w:name="code2000">
    <w:charset w:val="00"/>
    <w:family w:val="auto"/>
    <w:pitch w:val="default"/>
  </w:font>
  <w:font w:name="MyriadPro-Regular">
    <w:altName w:val="MS Gothic"/>
    <w:panose1 w:val="00000000000000000000"/>
    <w:charset w:val="80"/>
    <w:family w:val="swiss"/>
    <w:notTrueType/>
    <w:pitch w:val="default"/>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dvtt4350c63d">
    <w:charset w:val="00"/>
    <w:family w:val="auto"/>
    <w:pitch w:val="default"/>
  </w:font>
  <w:font w:name="advp3e76b0">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DFE72" w14:textId="77777777" w:rsidR="000240CE" w:rsidRDefault="000240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5196780"/>
      <w:docPartObj>
        <w:docPartGallery w:val="Page Numbers (Bottom of Page)"/>
        <w:docPartUnique/>
      </w:docPartObj>
    </w:sdtPr>
    <w:sdtEndPr/>
    <w:sdtContent>
      <w:p w14:paraId="0FB13A0B" w14:textId="0FB86253" w:rsidR="000240CE" w:rsidRDefault="000240CE">
        <w:pPr>
          <w:pStyle w:val="Footer"/>
          <w:jc w:val="center"/>
        </w:pPr>
        <w:r>
          <w:fldChar w:fldCharType="begin"/>
        </w:r>
        <w:r>
          <w:instrText xml:space="preserve"> PAGE   \* MERGEFORMAT </w:instrText>
        </w:r>
        <w:r>
          <w:fldChar w:fldCharType="separate"/>
        </w:r>
        <w:r w:rsidR="00963E15">
          <w:rPr>
            <w:noProof/>
          </w:rPr>
          <w:t>2</w:t>
        </w:r>
        <w:r>
          <w:fldChar w:fldCharType="end"/>
        </w:r>
      </w:p>
    </w:sdtContent>
  </w:sdt>
  <w:p w14:paraId="1D0C7F1B" w14:textId="77777777" w:rsidR="000240CE" w:rsidRDefault="000240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22629" w14:textId="77777777" w:rsidR="000240CE" w:rsidRDefault="00024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E431A" w14:textId="77777777" w:rsidR="000240CE" w:rsidRDefault="000240CE">
      <w:r>
        <w:separator/>
      </w:r>
    </w:p>
  </w:footnote>
  <w:footnote w:type="continuationSeparator" w:id="0">
    <w:p w14:paraId="09A1FF6B" w14:textId="77777777" w:rsidR="000240CE" w:rsidRDefault="000240CE">
      <w:r>
        <w:continuationSeparator/>
      </w:r>
    </w:p>
  </w:footnote>
  <w:footnote w:id="1">
    <w:p w14:paraId="20ACA28E" w14:textId="1301D268" w:rsidR="000240CE" w:rsidRDefault="000240CE" w:rsidP="00EB1AFB">
      <w:pPr>
        <w:pStyle w:val="FootnoteText"/>
        <w:rPr>
          <w:color w:val="000000"/>
        </w:rPr>
      </w:pPr>
      <w:r>
        <w:rPr>
          <w:rStyle w:val="FootnoteReference"/>
          <w:rFonts w:cstheme="minorHAnsi"/>
          <w:color w:val="000000" w:themeColor="text1"/>
        </w:rPr>
        <w:footnoteRef/>
      </w:r>
      <w:r>
        <w:t xml:space="preserve"> In the form of the Paris and the Berne Conventions. See the Paris Convention for the Protection of Industrial Property, Mar. 20, 1883, 13 U.S.T. 2, 828 U.N.T.S. 107, as last revised at the Stockholm Revision Conference, July 14, 1967, 21 U.S.T. 1538, 828 U.N.T.S. 303 [hereinafter Paris Convention]. The Paris Convention governed “patents, utility models, industrial designs, trademarks, service marks, trade names, indications of source or appellations of origin, and repression of unfair competition.” The second was the Berne Convention for the Protection of Literary and Artistic Works, Sept. 9, 1886, as last revised July 24, 1971, 25 U.S.T. 1341, 828 U.N.T.S. 221. [hereinafter Berne Convention], which governed copyright and related rights.</w:t>
      </w:r>
    </w:p>
  </w:footnote>
  <w:footnote w:id="2">
    <w:p w14:paraId="19E4EB52" w14:textId="0044AFDC" w:rsidR="000240CE" w:rsidRDefault="000240CE" w:rsidP="00EB1AFB">
      <w:pPr>
        <w:pStyle w:val="FootnoteText"/>
        <w:rPr>
          <w:color w:val="000000"/>
          <w:lang w:val="en-GB"/>
        </w:rPr>
      </w:pPr>
      <w:r>
        <w:rPr>
          <w:rStyle w:val="FootnoteReference"/>
          <w:rFonts w:cstheme="minorHAnsi"/>
          <w:color w:val="000000" w:themeColor="text1"/>
        </w:rPr>
        <w:footnoteRef/>
      </w:r>
      <w:r>
        <w:t xml:space="preserve"> Alexander Peukert (2016), “The Colonial Legacy of the International Copyright System“, in Ute Röchenthaler and Mamadou Diawara (eds), </w:t>
      </w:r>
      <w:r>
        <w:rPr>
          <w:iCs/>
        </w:rPr>
        <w:t xml:space="preserve">Copyright Africa: How Intellectual Property, Media and Markets Transform Immaterial Goods </w:t>
      </w:r>
      <w:r>
        <w:t xml:space="preserve">(Canon Pyon, UK: Sean Kingston Publishing); </w:t>
      </w:r>
      <w:r>
        <w:rPr>
          <w:lang w:val="en-GB"/>
        </w:rPr>
        <w:t>Tsimanga Kongolo (2014), “Historical evolution of copyright legislation in Africa“, 5 The WIPO Journal 2; Tsimanga Kongolo (2013), “Historical developments of industrial property laws in Africa“, 5 The WIPO Journal 1</w:t>
      </w:r>
      <w:r>
        <w:rPr>
          <w:bCs/>
          <w:lang w:val="en-GB"/>
        </w:rPr>
        <w:t xml:space="preserve">; </w:t>
      </w:r>
      <w:r>
        <w:rPr>
          <w:iCs/>
          <w:lang w:val="en-GB"/>
        </w:rPr>
        <w:t>Ruth L. Okediji (2003), “</w:t>
      </w:r>
      <w:r>
        <w:rPr>
          <w:lang w:val="en-GB"/>
        </w:rPr>
        <w:t>The international relations of intellectual property: narratives of developing country participation in the global intellectual property system“, 7 Singapore Journal of International &amp; Comparative Law.</w:t>
      </w:r>
    </w:p>
  </w:footnote>
  <w:footnote w:id="3">
    <w:p w14:paraId="7E245D93" w14:textId="77777777" w:rsidR="000240CE" w:rsidRDefault="000240CE" w:rsidP="00EB1AFB">
      <w:pPr>
        <w:pStyle w:val="FootnoteText"/>
        <w:rPr>
          <w:color w:val="000000"/>
        </w:rPr>
      </w:pPr>
      <w:r>
        <w:rPr>
          <w:rStyle w:val="FootnoteReference"/>
          <w:rFonts w:cstheme="minorHAnsi"/>
          <w:color w:val="000000" w:themeColor="text1"/>
        </w:rPr>
        <w:footnoteRef/>
      </w:r>
      <w:r>
        <w:t xml:space="preserve"> Paris and Berne Conventions, n 1.</w:t>
      </w:r>
    </w:p>
  </w:footnote>
  <w:footnote w:id="4">
    <w:p w14:paraId="5426BC1C" w14:textId="77777777" w:rsidR="000240CE" w:rsidRDefault="000240CE" w:rsidP="00EB1AFB">
      <w:pPr>
        <w:pStyle w:val="FootnoteText"/>
        <w:rPr>
          <w:color w:val="000000"/>
        </w:rPr>
      </w:pPr>
      <w:r>
        <w:rPr>
          <w:rStyle w:val="FootnoteReference"/>
          <w:rFonts w:cstheme="minorHAnsi"/>
          <w:color w:val="000000" w:themeColor="text1"/>
        </w:rPr>
        <w:footnoteRef/>
      </w:r>
      <w:r>
        <w:t xml:space="preserve"> </w:t>
      </w:r>
      <w:r>
        <w:rPr>
          <w:lang w:val="en-GB"/>
        </w:rPr>
        <w:t xml:space="preserve">Accounts have it that this happened in the absence of their African colonies (except Tunisia and Liberia in Berne) and Asian colonies (except India), and in most of the cases, without their consent. In the case of Tunisia, </w:t>
      </w:r>
      <w:r>
        <w:t xml:space="preserve">a French law professor represented the country in Berne, while French diplomats represented it in Madrid and The Hague. See Peukert, n 2;  </w:t>
      </w:r>
      <w:r>
        <w:rPr>
          <w:lang w:val="en-GB"/>
        </w:rPr>
        <w:t>Kongolo, n 2</w:t>
      </w:r>
      <w:r>
        <w:rPr>
          <w:bCs/>
        </w:rPr>
        <w:t xml:space="preserve">. </w:t>
      </w:r>
    </w:p>
  </w:footnote>
  <w:footnote w:id="5">
    <w:p w14:paraId="6D0B6F63" w14:textId="082A26A7" w:rsidR="000240CE" w:rsidRDefault="000240CE" w:rsidP="00EB1AFB">
      <w:pPr>
        <w:pStyle w:val="FootnoteText"/>
        <w:rPr>
          <w:color w:val="000000"/>
        </w:rPr>
      </w:pPr>
      <w:r>
        <w:rPr>
          <w:rStyle w:val="FootnoteReference"/>
          <w:rFonts w:cstheme="minorHAnsi"/>
          <w:color w:val="000000" w:themeColor="text1"/>
        </w:rPr>
        <w:footnoteRef/>
      </w:r>
      <w:r>
        <w:t xml:space="preserve"> </w:t>
      </w:r>
      <w:r>
        <w:rPr>
          <w:lang w:val="en-GB"/>
        </w:rPr>
        <w:t>Declaration of the application of the Berne Convention was made following Article 19 of the original text of the convention.</w:t>
      </w:r>
      <w:r>
        <w:rPr>
          <w:rFonts w:eastAsia="TimesNewRomanPSMT"/>
          <w:lang w:val="en-GB"/>
        </w:rPr>
        <w:t xml:space="preserve"> Art.19 carried that “the countries acceding to this Convention also have the right to accede at any time for their colonies or foreign possessions.“</w:t>
      </w:r>
      <w:r>
        <w:rPr>
          <w:lang w:val="en-GB"/>
        </w:rPr>
        <w:t xml:space="preserve"> Declaration of the applicability of the Paris Convention was made in terms of Article 16 </w:t>
      </w:r>
      <w:r>
        <w:rPr>
          <w:i/>
          <w:lang w:val="en-GB"/>
        </w:rPr>
        <w:t xml:space="preserve">bis </w:t>
      </w:r>
      <w:r>
        <w:rPr>
          <w:lang w:val="en-GB"/>
        </w:rPr>
        <w:t>(1) – (2) of the London Act of 1934 and the Lisbon Act of 1958 of the convention. Today, this provision can be found in Article 24 of the 1979 Act of the convention – albeit in a refined language.</w:t>
      </w:r>
    </w:p>
  </w:footnote>
  <w:footnote w:id="6">
    <w:p w14:paraId="6ABD1469" w14:textId="71079671" w:rsidR="000240CE" w:rsidRDefault="000240CE" w:rsidP="00EB1AFB">
      <w:pPr>
        <w:pStyle w:val="FootnoteText"/>
        <w:rPr>
          <w:color w:val="000000"/>
        </w:rPr>
      </w:pPr>
      <w:r>
        <w:rPr>
          <w:rStyle w:val="FootnoteReference"/>
          <w:rFonts w:cstheme="minorHAnsi"/>
          <w:color w:val="000000" w:themeColor="text1"/>
        </w:rPr>
        <w:footnoteRef/>
      </w:r>
      <w:r>
        <w:t xml:space="preserve"> It should however be noted that some colonial powers offered technical assistance early on – especially before and during the interwar period. In relation to Britain, see </w:t>
      </w:r>
      <w:r>
        <w:rPr>
          <w:bCs/>
          <w:lang w:val="en-GB"/>
        </w:rPr>
        <w:t>Michael Wohys (1996), “</w:t>
      </w:r>
      <w:r>
        <w:rPr>
          <w:bCs/>
          <w:iCs/>
          <w:lang w:val="en-GB"/>
        </w:rPr>
        <w:t xml:space="preserve">British </w:t>
      </w:r>
      <w:r>
        <w:rPr>
          <w:bCs/>
          <w:lang w:val="en-GB"/>
        </w:rPr>
        <w:t xml:space="preserve">Colonial Science Policy: 1918 – </w:t>
      </w:r>
      <w:r>
        <w:rPr>
          <w:bCs/>
          <w:iCs/>
          <w:lang w:val="en-GB"/>
        </w:rPr>
        <w:t xml:space="preserve">1939“, in </w:t>
      </w:r>
      <w:r>
        <w:rPr>
          <w:bCs/>
          <w:lang w:val="en-GB"/>
        </w:rPr>
        <w:t xml:space="preserve">Patrick Petitjean (Ed), </w:t>
      </w:r>
      <w:r>
        <w:rPr>
          <w:lang w:val="en-GB"/>
        </w:rPr>
        <w:t>Colonial Sciences: Researchers and Institution (Volume 2,</w:t>
      </w:r>
      <w:r>
        <w:rPr>
          <w:bCs/>
          <w:lang w:val="en-GB"/>
        </w:rPr>
        <w:t xml:space="preserve"> L'institfurta Nçaidse Recherchsec Ientifipquoeu Rle Développement En Cooperation Paris).</w:t>
      </w:r>
      <w:r>
        <w:rPr>
          <w:lang w:val="en-GB"/>
        </w:rPr>
        <w:t xml:space="preserve"> </w:t>
      </w:r>
    </w:p>
  </w:footnote>
  <w:footnote w:id="7">
    <w:p w14:paraId="72C4EC43" w14:textId="4F54A99C" w:rsidR="000240CE" w:rsidRDefault="000240CE" w:rsidP="00EB1AFB">
      <w:pPr>
        <w:pStyle w:val="FootnoteText"/>
        <w:rPr>
          <w:color w:val="000000"/>
          <w:lang w:val="en-GB"/>
        </w:rPr>
      </w:pPr>
      <w:r>
        <w:rPr>
          <w:rStyle w:val="FootnoteReference"/>
          <w:rFonts w:cstheme="minorHAnsi"/>
          <w:color w:val="000000" w:themeColor="text1"/>
        </w:rPr>
        <w:footnoteRef/>
      </w:r>
      <w:r>
        <w:t xml:space="preserve"> Daniel Acquah (2017), “Intellectual Property, Developing Countries and the Law and Policy of the European Union: Towards Postcolonial Control of Development”, IPR University Center.</w:t>
      </w:r>
    </w:p>
  </w:footnote>
  <w:footnote w:id="8">
    <w:p w14:paraId="07A8CAAB" w14:textId="386ED26F" w:rsidR="000240CE" w:rsidRDefault="000240CE" w:rsidP="00EB1AFB">
      <w:pPr>
        <w:pStyle w:val="FootnoteText"/>
        <w:rPr>
          <w:color w:val="000000"/>
          <w:lang w:val="en-GB"/>
        </w:rPr>
      </w:pPr>
      <w:r>
        <w:rPr>
          <w:rStyle w:val="FootnoteReference"/>
          <w:rFonts w:cstheme="minorHAnsi"/>
          <w:color w:val="000000" w:themeColor="text1"/>
        </w:rPr>
        <w:footnoteRef/>
      </w:r>
      <w:r>
        <w:t xml:space="preserve"> Keith Aoki (1998), “</w:t>
      </w:r>
      <w:r>
        <w:rPr>
          <w:bCs/>
        </w:rPr>
        <w:t xml:space="preserve">Neocolonialism, Anticommons Property, and Biopiracy in the (not-so-brave) New World Order of International Intellectual Property Protection“, </w:t>
      </w:r>
      <w:r>
        <w:t xml:space="preserve">6 </w:t>
      </w:r>
      <w:r>
        <w:rPr>
          <w:i/>
        </w:rPr>
        <w:t>Indiana Journal of Global Legal Studies</w:t>
      </w:r>
      <w:r>
        <w:t xml:space="preserve"> 11.</w:t>
      </w:r>
    </w:p>
  </w:footnote>
  <w:footnote w:id="9">
    <w:p w14:paraId="7173AD34" w14:textId="0E8BCEC9" w:rsidR="000240CE" w:rsidRDefault="000240CE" w:rsidP="00EB1AFB">
      <w:pPr>
        <w:pStyle w:val="FootnoteText"/>
        <w:rPr>
          <w:color w:val="000000"/>
        </w:rPr>
      </w:pPr>
      <w:r>
        <w:rPr>
          <w:rStyle w:val="FootnoteReference"/>
          <w:rFonts w:cstheme="minorHAnsi"/>
          <w:color w:val="000000" w:themeColor="text1"/>
        </w:rPr>
        <w:footnoteRef/>
      </w:r>
      <w:r>
        <w:t xml:space="preserve"> Prabhakar Singh and </w:t>
      </w:r>
      <w:r>
        <w:rPr>
          <w:rFonts w:eastAsia="Times New Roman"/>
        </w:rPr>
        <w:t>Benoît</w:t>
      </w:r>
      <w:r>
        <w:t xml:space="preserve"> Mayer (2014), “Critical International Law: Postrealism, Postcolonialism, and Transnationalism“, (OUP, India, New Delhi), p. 12.</w:t>
      </w:r>
    </w:p>
  </w:footnote>
  <w:footnote w:id="10">
    <w:p w14:paraId="7DC88EBC" w14:textId="3608C44D" w:rsidR="000240CE" w:rsidRPr="00131AFD" w:rsidRDefault="000240CE" w:rsidP="00EB1AFB">
      <w:pPr>
        <w:pStyle w:val="FootnoteText"/>
        <w:rPr>
          <w:rStyle w:val="FootnoteTextChar"/>
        </w:rPr>
      </w:pPr>
      <w:r>
        <w:rPr>
          <w:rStyle w:val="FootnoteReference"/>
          <w:rFonts w:cstheme="minorHAnsi"/>
          <w:color w:val="000000" w:themeColor="text1"/>
        </w:rPr>
        <w:footnoteRef/>
      </w:r>
      <w:r>
        <w:t xml:space="preserve"> </w:t>
      </w:r>
      <w:r w:rsidRPr="00131AFD">
        <w:rPr>
          <w:rStyle w:val="FootnoteTextChar"/>
        </w:rPr>
        <w:t>For a detailed di</w:t>
      </w:r>
      <w:r>
        <w:rPr>
          <w:rStyle w:val="FootnoteTextChar"/>
        </w:rPr>
        <w:t>s</w:t>
      </w:r>
      <w:r w:rsidRPr="00131AFD">
        <w:rPr>
          <w:rStyle w:val="FootnoteTextChar"/>
        </w:rPr>
        <w:t>cussion of WIPO’s leading role, see Daniel Acquah (2021), “Technical Assistance as a Hedge to IP Exclusivity,“ in Jonathan Griffiths and Tuomas Mylly (eds.) Global Intellectual Property Protection and New Constitutionalism</w:t>
      </w:r>
      <w:r>
        <w:rPr>
          <w:rStyle w:val="FootnoteTextChar"/>
        </w:rPr>
        <w:t>: Hedging Exclusive Rights</w:t>
      </w:r>
      <w:r w:rsidRPr="00131AFD">
        <w:rPr>
          <w:rStyle w:val="FootnoteTextChar"/>
        </w:rPr>
        <w:t xml:space="preserve"> (Oxford: Oxford </w:t>
      </w:r>
      <w:r>
        <w:rPr>
          <w:rStyle w:val="FootnoteTextChar"/>
        </w:rPr>
        <w:t>University Press).</w:t>
      </w:r>
      <w:r w:rsidRPr="00131AFD">
        <w:rPr>
          <w:rStyle w:val="FootnoteTextChar"/>
        </w:rPr>
        <w:t xml:space="preserve"> Available on SSRN at </w:t>
      </w:r>
      <w:r w:rsidRPr="00D2590F">
        <w:rPr>
          <w:rStyle w:val="FootnoteTextChar"/>
        </w:rPr>
        <w:t>https://papers.ssrn.com/sol3/papers.cfm?abstract_id=3682646.</w:t>
      </w:r>
      <w:r w:rsidRPr="00131AFD">
        <w:rPr>
          <w:rStyle w:val="FootnoteTextChar"/>
        </w:rPr>
        <w:t xml:space="preserve"> </w:t>
      </w:r>
    </w:p>
  </w:footnote>
  <w:footnote w:id="11">
    <w:p w14:paraId="1218C367" w14:textId="77777777" w:rsidR="000240CE" w:rsidRDefault="000240CE" w:rsidP="00EB1AFB">
      <w:pPr>
        <w:pStyle w:val="FootnoteText"/>
        <w:rPr>
          <w:lang w:val="en-GB"/>
        </w:rPr>
      </w:pPr>
      <w:r>
        <w:rPr>
          <w:rStyle w:val="FootnoteReference"/>
          <w:rFonts w:cstheme="minorHAnsi"/>
        </w:rPr>
        <w:footnoteRef/>
      </w:r>
      <w:r>
        <w:t xml:space="preserve"> </w:t>
      </w:r>
      <w:r w:rsidRPr="00131AFD">
        <w:t>Article 67 TRIPS.</w:t>
      </w:r>
    </w:p>
  </w:footnote>
  <w:footnote w:id="12">
    <w:p w14:paraId="1BAD99EF" w14:textId="7A3E87A2" w:rsidR="000240CE" w:rsidRPr="00FB3C08" w:rsidRDefault="000240CE" w:rsidP="00EB1AFB">
      <w:pPr>
        <w:pStyle w:val="FootnoteText"/>
        <w:rPr>
          <w:lang w:val="en-GB"/>
        </w:rPr>
      </w:pPr>
      <w:r>
        <w:rPr>
          <w:rStyle w:val="FootnoteReference"/>
          <w:rFonts w:asciiTheme="minorHAnsi" w:hAnsiTheme="minorHAnsi" w:cstheme="minorHAnsi"/>
          <w:color w:val="000000" w:themeColor="text1"/>
        </w:rPr>
        <w:footnoteRef/>
      </w:r>
      <w:r>
        <w:rPr>
          <w:lang w:val="en-GB"/>
        </w:rPr>
        <w:t xml:space="preserve"> International Convention for the Protection of New Varieties of Plants (UPOV) of December 2, 1961 (entered into force 10 August 1968), as Revised at Geneva on November 10, 1972, on October 23, 1978, and on March 19, 1991.</w:t>
      </w:r>
    </w:p>
  </w:footnote>
  <w:footnote w:id="13">
    <w:p w14:paraId="6DF7346C" w14:textId="24889C0F" w:rsidR="000240CE" w:rsidRDefault="000240CE" w:rsidP="00EB1AFB">
      <w:pPr>
        <w:pStyle w:val="FootnoteText"/>
        <w:rPr>
          <w:color w:val="000000"/>
          <w:lang w:val="en-GB"/>
        </w:rPr>
      </w:pPr>
      <w:r>
        <w:rPr>
          <w:rStyle w:val="FootnoteReference"/>
          <w:rFonts w:cstheme="minorHAnsi"/>
          <w:color w:val="000000" w:themeColor="text1"/>
        </w:rPr>
        <w:footnoteRef/>
      </w:r>
      <w:r>
        <w:t xml:space="preserve"> </w:t>
      </w:r>
      <w:r>
        <w:rPr>
          <w:lang w:val="en-GB"/>
        </w:rPr>
        <w:t>Guy Fiti Sinclair (2020), “Forging Modern States with Imperfect Tools: United Nations Technical Assistance for Public Administration in Decolonized States“, Humanity Journal, p. 59.</w:t>
      </w:r>
    </w:p>
  </w:footnote>
  <w:footnote w:id="14">
    <w:p w14:paraId="3FA301D4" w14:textId="01ACBC6D" w:rsidR="000240CE" w:rsidRDefault="000240CE" w:rsidP="00EB1AFB">
      <w:pPr>
        <w:pStyle w:val="FootnoteText"/>
        <w:rPr>
          <w:color w:val="000000"/>
          <w:lang w:val="en-GB"/>
        </w:rPr>
      </w:pPr>
      <w:r>
        <w:rPr>
          <w:rStyle w:val="FootnoteReference"/>
          <w:rFonts w:cstheme="minorHAnsi"/>
          <w:color w:val="000000" w:themeColor="text1"/>
        </w:rPr>
        <w:footnoteRef/>
      </w:r>
      <w:r>
        <w:t xml:space="preserve"> </w:t>
      </w:r>
      <w:r>
        <w:rPr>
          <w:lang w:val="en-GB"/>
        </w:rPr>
        <w:t>Amy Staples (2006), “The Birth of Development“, (Kent State University Press). For more critical versions of this narrative, see Arturo Escobar (1995), “Encountering Development“, (Princeton University Press); Sundhya Pahuja (2011), “Decolonizing International Law“, (Cambridge University Press).</w:t>
      </w:r>
    </w:p>
  </w:footnote>
  <w:footnote w:id="15">
    <w:p w14:paraId="6B89FFC0" w14:textId="5AC55020" w:rsidR="000240CE" w:rsidRDefault="000240CE" w:rsidP="00EB1AFB">
      <w:pPr>
        <w:pStyle w:val="FootnoteText"/>
        <w:rPr>
          <w:color w:val="000000"/>
          <w:lang w:val="en-GB"/>
        </w:rPr>
      </w:pPr>
      <w:r>
        <w:rPr>
          <w:rStyle w:val="FootnoteReference"/>
          <w:rFonts w:cstheme="minorHAnsi"/>
          <w:color w:val="000000" w:themeColor="text1"/>
        </w:rPr>
        <w:footnoteRef/>
      </w:r>
      <w:r>
        <w:t xml:space="preserve"> </w:t>
      </w:r>
      <w:r>
        <w:rPr>
          <w:lang w:val="en-GB"/>
        </w:rPr>
        <w:t xml:space="preserve">Guy Fiti Sinclair (2017), “To Reform the World: International Organizations and the Making of Modern States“, (OUP), p 29 ff; Sinclair, n 13, p. 59 ff. (Arguing that such assistance had already been offered by institutions such as the International Labour Organization, the Permanent Mandates Commission, and the technical organizations of the League of Nations). </w:t>
      </w:r>
    </w:p>
  </w:footnote>
  <w:footnote w:id="16">
    <w:p w14:paraId="28254B82" w14:textId="520CFDF7" w:rsidR="000240CE" w:rsidRDefault="000240CE" w:rsidP="00EB1AFB">
      <w:pPr>
        <w:pStyle w:val="FootnoteText"/>
        <w:rPr>
          <w:lang w:val="en-GB"/>
        </w:rPr>
      </w:pPr>
      <w:r>
        <w:rPr>
          <w:rStyle w:val="FootnoteReference"/>
          <w:rFonts w:asciiTheme="minorHAnsi" w:hAnsiTheme="minorHAnsi" w:cstheme="minorHAnsi"/>
          <w:color w:val="000000" w:themeColor="text1"/>
        </w:rPr>
        <w:footnoteRef/>
      </w:r>
      <w:r>
        <w:rPr>
          <w:lang w:val="en-GB"/>
        </w:rPr>
        <w:t xml:space="preserve"> Ibid. Citing UNGA Res 198 (III) (4 December 1948) UN Doc A/ RES/ 198(III) para 3; UNGA Res 200 (III) (4 December 1948) UN Doc A/ RES/ 200(III).</w:t>
      </w:r>
    </w:p>
  </w:footnote>
  <w:footnote w:id="17">
    <w:p w14:paraId="39CE7D4A" w14:textId="4B235593" w:rsidR="000240CE" w:rsidRDefault="000240CE" w:rsidP="00EB1AFB">
      <w:pPr>
        <w:pStyle w:val="FootnoteText"/>
        <w:rPr>
          <w:lang w:val="en-GB"/>
        </w:rPr>
      </w:pPr>
      <w:r>
        <w:rPr>
          <w:rStyle w:val="FootnoteReference"/>
          <w:rFonts w:asciiTheme="minorHAnsi" w:hAnsiTheme="minorHAnsi" w:cstheme="minorHAnsi"/>
          <w:color w:val="000000" w:themeColor="text1"/>
        </w:rPr>
        <w:footnoteRef/>
      </w:r>
      <w:r>
        <w:rPr>
          <w:lang w:val="en-GB"/>
        </w:rPr>
        <w:t xml:space="preserve"> Olav Stokke (2009), “</w:t>
      </w:r>
      <w:r>
        <w:rPr>
          <w:iCs/>
          <w:lang w:val="en-GB"/>
        </w:rPr>
        <w:t>The UN and Development“,</w:t>
      </w:r>
      <w:r>
        <w:rPr>
          <w:i/>
          <w:iCs/>
          <w:lang w:val="en-GB"/>
        </w:rPr>
        <w:t xml:space="preserve"> </w:t>
      </w:r>
      <w:r>
        <w:rPr>
          <w:lang w:val="en-GB"/>
        </w:rPr>
        <w:t>(Indiana University Press), pp. 46–50.</w:t>
      </w:r>
    </w:p>
  </w:footnote>
  <w:footnote w:id="18">
    <w:p w14:paraId="41A9492A" w14:textId="34992A03" w:rsidR="000240CE" w:rsidRDefault="000240CE" w:rsidP="00EB1AFB">
      <w:pPr>
        <w:pStyle w:val="FootnoteText"/>
        <w:rPr>
          <w:lang w:val="en-GB"/>
        </w:rPr>
      </w:pPr>
      <w:r>
        <w:rPr>
          <w:rStyle w:val="FootnoteReference"/>
          <w:rFonts w:asciiTheme="minorHAnsi" w:hAnsiTheme="minorHAnsi" w:cstheme="minorHAnsi"/>
          <w:color w:val="000000" w:themeColor="text1"/>
        </w:rPr>
        <w:footnoteRef/>
      </w:r>
      <w:r>
        <w:rPr>
          <w:lang w:val="en-GB"/>
        </w:rPr>
        <w:t xml:space="preserve"> Guy Fiti Sinclair (2019), “</w:t>
      </w:r>
      <w:r>
        <w:rPr>
          <w:iCs/>
          <w:lang w:val="en-GB"/>
        </w:rPr>
        <w:t xml:space="preserve">A Battlefield Transformed: </w:t>
      </w:r>
      <w:r>
        <w:rPr>
          <w:lang w:val="en-GB"/>
        </w:rPr>
        <w:t>The United Nations and the Struggle over Postcolonial Statehood“,</w:t>
      </w:r>
      <w:r>
        <w:rPr>
          <w:i/>
          <w:iCs/>
          <w:lang w:val="en-GB"/>
        </w:rPr>
        <w:t xml:space="preserve"> </w:t>
      </w:r>
      <w:r>
        <w:rPr>
          <w:lang w:val="en-GB"/>
        </w:rPr>
        <w:t xml:space="preserve">in Jochen von Bernstorff and Philipp Dann (eds), </w:t>
      </w:r>
      <w:r>
        <w:rPr>
          <w:iCs/>
          <w:lang w:val="en-GB"/>
        </w:rPr>
        <w:t>The Battle for International Law: South-North Perspectives on the Decolonization Era</w:t>
      </w:r>
      <w:r>
        <w:rPr>
          <w:lang w:val="en-GB"/>
        </w:rPr>
        <w:t>, (Oxford University Press), p. 266.</w:t>
      </w:r>
    </w:p>
  </w:footnote>
  <w:footnote w:id="19">
    <w:p w14:paraId="16689C76" w14:textId="7922F969" w:rsidR="000240CE" w:rsidRDefault="000240CE" w:rsidP="00EB1AFB">
      <w:pPr>
        <w:pStyle w:val="FootnoteText"/>
        <w:rPr>
          <w:color w:val="000000"/>
          <w:lang w:val="en-GB"/>
        </w:rPr>
      </w:pPr>
      <w:r>
        <w:rPr>
          <w:rStyle w:val="FootnoteReference"/>
          <w:rFonts w:cstheme="minorHAnsi"/>
          <w:lang w:val="en-GB"/>
        </w:rPr>
        <w:footnoteRef/>
      </w:r>
      <w:r>
        <w:rPr>
          <w:lang w:val="en-GB"/>
        </w:rPr>
        <w:t xml:space="preserve"> The Point Four Program was a US policy of technical assistance and economic aid to underdeveloped countries. It was so named because it was the fourth point of President </w:t>
      </w:r>
      <w:hyperlink r:id="rId1" w:tooltip="https://academic.eb.com/levels/collegiate/article/Harry-S-Truman/73545" w:history="1">
        <w:r>
          <w:rPr>
            <w:lang w:val="en-GB"/>
          </w:rPr>
          <w:t>Harry S. Truman’s</w:t>
        </w:r>
      </w:hyperlink>
      <w:r>
        <w:rPr>
          <w:lang w:val="en-GB"/>
        </w:rPr>
        <w:t xml:space="preserve"> 1949 inaugural address. Some technical assistance was furnished through specialized UN agencies, but most was provided initially mainly by the USA and, on a bilateral basis, frequently through contracts with US business and educational organizations. Eventually several new national and international organizations were created to contribute to various aspects of development—such as the </w:t>
      </w:r>
      <w:hyperlink r:id="rId2" w:tooltip="https://academic.eb.com/levels/collegiate/article/International-Finance-Corporation/42586" w:history="1">
        <w:r>
          <w:rPr>
            <w:u w:val="single"/>
            <w:lang w:val="en-GB"/>
          </w:rPr>
          <w:t>I</w:t>
        </w:r>
        <w:r>
          <w:rPr>
            <w:lang w:val="en-GB"/>
          </w:rPr>
          <w:t>nternational Finance Corporation</w:t>
        </w:r>
      </w:hyperlink>
      <w:r>
        <w:rPr>
          <w:lang w:val="en-GB"/>
        </w:rPr>
        <w:t xml:space="preserve">, the Development Loan Fund, and the </w:t>
      </w:r>
      <w:hyperlink r:id="rId3" w:tooltip="https://academic.eb.com/levels/collegiate/article/Inter-American-Development-Bank/42536" w:history="1">
        <w:r>
          <w:rPr>
            <w:lang w:val="en-GB"/>
          </w:rPr>
          <w:t>Inter-American Development Bank</w:t>
        </w:r>
      </w:hyperlink>
      <w:r>
        <w:rPr>
          <w:lang w:val="en-GB"/>
        </w:rPr>
        <w:t xml:space="preserve">, the Export-Import Bank, the World Bank, and the International Monetary Fund. See </w:t>
      </w:r>
      <w:r w:rsidRPr="00F042C3">
        <w:rPr>
          <w:lang w:val="en-GB"/>
        </w:rPr>
        <w:t>https://academic.eb.com/levels/collegiate/article/Inter-American-Development-Bank/42536</w:t>
      </w:r>
      <w:r>
        <w:rPr>
          <w:lang w:val="en-GB"/>
        </w:rPr>
        <w:t xml:space="preserve">. </w:t>
      </w:r>
    </w:p>
  </w:footnote>
  <w:footnote w:id="20">
    <w:p w14:paraId="46472A4B" w14:textId="77777777" w:rsidR="000240CE" w:rsidRDefault="000240CE" w:rsidP="00EB1AFB">
      <w:pPr>
        <w:pStyle w:val="FootnoteText"/>
        <w:rPr>
          <w:color w:val="000000"/>
          <w:lang w:val="en-GB"/>
        </w:rPr>
      </w:pPr>
      <w:r>
        <w:rPr>
          <w:rStyle w:val="FootnoteReference"/>
          <w:rFonts w:cstheme="minorHAnsi"/>
          <w:color w:val="000000" w:themeColor="text1"/>
        </w:rPr>
        <w:footnoteRef/>
      </w:r>
      <w:r>
        <w:t xml:space="preserve"> </w:t>
      </w:r>
      <w:r>
        <w:rPr>
          <w:lang w:val="en-GB"/>
        </w:rPr>
        <w:t>Sinclair, n 18, p. 267.</w:t>
      </w:r>
    </w:p>
  </w:footnote>
  <w:footnote w:id="21">
    <w:p w14:paraId="332E4767" w14:textId="77777777" w:rsidR="000240CE" w:rsidRDefault="000240CE" w:rsidP="00EB1AFB">
      <w:pPr>
        <w:pStyle w:val="FootnoteText"/>
        <w:rPr>
          <w:color w:val="000000"/>
          <w:lang w:val="en-GB"/>
        </w:rPr>
      </w:pPr>
      <w:r>
        <w:rPr>
          <w:rStyle w:val="FootnoteReference"/>
          <w:rFonts w:cstheme="minorHAnsi"/>
        </w:rPr>
        <w:footnoteRef/>
      </w:r>
      <w:r>
        <w:t xml:space="preserve"> </w:t>
      </w:r>
      <w:r>
        <w:rPr>
          <w:lang w:val="en-GB"/>
        </w:rPr>
        <w:t>Aoki, n 8; Sinclair, n 13, p. 64.</w:t>
      </w:r>
    </w:p>
  </w:footnote>
  <w:footnote w:id="22">
    <w:p w14:paraId="11761130" w14:textId="2596D13B" w:rsidR="000240CE" w:rsidRDefault="000240CE" w:rsidP="00EB1AFB">
      <w:pPr>
        <w:pStyle w:val="FootnoteText"/>
        <w:rPr>
          <w:i/>
          <w:iCs/>
          <w:color w:val="000000"/>
          <w:lang w:val="en-GB"/>
        </w:rPr>
      </w:pPr>
      <w:r>
        <w:rPr>
          <w:rStyle w:val="FootnoteReference"/>
          <w:rFonts w:cstheme="minorHAnsi"/>
          <w:color w:val="000000" w:themeColor="text1"/>
          <w:lang w:val="en-GB"/>
        </w:rPr>
        <w:footnoteRef/>
      </w:r>
      <w:r>
        <w:rPr>
          <w:lang w:val="en-GB"/>
        </w:rPr>
        <w:t xml:space="preserve"> Richard Warren Perry </w:t>
      </w:r>
      <w:r>
        <w:rPr>
          <w:bCs/>
          <w:lang w:val="en-GB"/>
        </w:rPr>
        <w:t>(1996)</w:t>
      </w:r>
      <w:r>
        <w:rPr>
          <w:lang w:val="en-GB"/>
        </w:rPr>
        <w:t>, “</w:t>
      </w:r>
      <w:r>
        <w:rPr>
          <w:iCs/>
          <w:lang w:val="en-GB"/>
        </w:rPr>
        <w:t>Rethinking the Right to Development: After the Critique of Development, After the Critique of Rights“</w:t>
      </w:r>
      <w:r>
        <w:rPr>
          <w:i/>
          <w:iCs/>
          <w:lang w:val="en-GB"/>
        </w:rPr>
        <w:t xml:space="preserve">, </w:t>
      </w:r>
      <w:r>
        <w:rPr>
          <w:bCs/>
          <w:lang w:val="en-GB"/>
        </w:rPr>
        <w:t xml:space="preserve">18 </w:t>
      </w:r>
      <w:r>
        <w:rPr>
          <w:lang w:val="en-GB"/>
        </w:rPr>
        <w:t xml:space="preserve">Law &amp; Policy </w:t>
      </w:r>
      <w:r>
        <w:rPr>
          <w:bCs/>
          <w:lang w:val="en-GB"/>
        </w:rPr>
        <w:t xml:space="preserve">225, 237–8; </w:t>
      </w:r>
      <w:r>
        <w:rPr>
          <w:lang w:val="en-GB"/>
        </w:rPr>
        <w:t>Sinclair, n 13.</w:t>
      </w:r>
    </w:p>
  </w:footnote>
  <w:footnote w:id="23">
    <w:p w14:paraId="797E1EF3" w14:textId="1D82DE4B" w:rsidR="000240CE" w:rsidRDefault="000240CE" w:rsidP="00EB1AFB">
      <w:pPr>
        <w:pStyle w:val="FootnoteText"/>
        <w:rPr>
          <w:iCs/>
          <w:color w:val="000000"/>
          <w:lang w:val="en-GB"/>
        </w:rPr>
      </w:pPr>
      <w:r>
        <w:rPr>
          <w:rStyle w:val="FootnoteReference"/>
          <w:rFonts w:cstheme="minorHAnsi"/>
          <w:color w:val="000000" w:themeColor="text1"/>
        </w:rPr>
        <w:footnoteRef/>
      </w:r>
      <w:r>
        <w:t xml:space="preserve"> </w:t>
      </w:r>
      <w:r>
        <w:rPr>
          <w:lang w:val="en-GB"/>
        </w:rPr>
        <w:t xml:space="preserve">Sattorova, Mavluda (2018), </w:t>
      </w:r>
      <w:r>
        <w:rPr>
          <w:iCs/>
          <w:lang w:val="en-GB"/>
        </w:rPr>
        <w:t>The Impact of Investment Treaty Law on Host States: Enabling Good Governance?</w:t>
      </w:r>
      <w:r>
        <w:rPr>
          <w:lang w:val="en-GB"/>
        </w:rPr>
        <w:t>. Oxford: Hart Publishing.</w:t>
      </w:r>
    </w:p>
  </w:footnote>
  <w:footnote w:id="24">
    <w:p w14:paraId="7676392D" w14:textId="25E57C55" w:rsidR="000240CE" w:rsidRDefault="000240CE" w:rsidP="00EB1AFB">
      <w:pPr>
        <w:pStyle w:val="FootnoteText"/>
      </w:pPr>
      <w:r>
        <w:rPr>
          <w:rStyle w:val="FootnoteReference"/>
          <w:rFonts w:cstheme="minorHAnsi"/>
        </w:rPr>
        <w:footnoteRef/>
      </w:r>
      <w:r>
        <w:t xml:space="preserve"> </w:t>
      </w:r>
      <w:r>
        <w:rPr>
          <w:lang w:val="en-GB"/>
        </w:rPr>
        <w:t>Ibid, pp. 1–3. (Emphasis added).</w:t>
      </w:r>
    </w:p>
  </w:footnote>
  <w:footnote w:id="25">
    <w:p w14:paraId="307C5894" w14:textId="77777777" w:rsidR="000240CE" w:rsidRDefault="000240CE" w:rsidP="00EB1AFB">
      <w:pPr>
        <w:pStyle w:val="FootnoteText"/>
      </w:pPr>
      <w:r>
        <w:rPr>
          <w:rStyle w:val="FootnoteReference"/>
          <w:rFonts w:cstheme="minorHAnsi"/>
        </w:rPr>
        <w:footnoteRef/>
      </w:r>
      <w:r>
        <w:t xml:space="preserve"> Acquah, n 10.</w:t>
      </w:r>
    </w:p>
  </w:footnote>
  <w:footnote w:id="26">
    <w:p w14:paraId="2D5EE887" w14:textId="77777777" w:rsidR="000240CE" w:rsidRDefault="000240CE" w:rsidP="00EB1AFB">
      <w:pPr>
        <w:pStyle w:val="FootnoteText"/>
        <w:rPr>
          <w:color w:val="000000"/>
          <w:lang w:val="en-GB"/>
        </w:rPr>
      </w:pPr>
      <w:r>
        <w:rPr>
          <w:rStyle w:val="FootnoteReference"/>
          <w:rFonts w:cstheme="minorHAnsi"/>
          <w:color w:val="000000" w:themeColor="text1"/>
        </w:rPr>
        <w:footnoteRef/>
      </w:r>
      <w:r>
        <w:t xml:space="preserve"> See Industrial Property: </w:t>
      </w:r>
      <w:r>
        <w:rPr>
          <w:lang w:val="en-GB"/>
        </w:rPr>
        <w:t>Monthly Review of the United International Bureaux for the Protection of Intellectual Property (BIRPI) Geneva, 9th Year No. 1 (January 1970), (Hereafter, BIRPI Monthly Review).</w:t>
      </w:r>
    </w:p>
  </w:footnote>
  <w:footnote w:id="27">
    <w:p w14:paraId="2D0B56D0" w14:textId="6FDF8FAF" w:rsidR="000240CE" w:rsidRDefault="000240CE" w:rsidP="00EB1AFB">
      <w:pPr>
        <w:pStyle w:val="FootnoteText"/>
        <w:rPr>
          <w:lang w:val="en-GB"/>
        </w:rPr>
      </w:pPr>
      <w:r>
        <w:rPr>
          <w:rStyle w:val="FootnoteReference"/>
          <w:rFonts w:cstheme="minorHAnsi"/>
          <w:color w:val="000000" w:themeColor="text1"/>
        </w:rPr>
        <w:footnoteRef/>
      </w:r>
      <w:r>
        <w:t xml:space="preserve"> Ibid, pp. 4–5, and 18. </w:t>
      </w:r>
    </w:p>
  </w:footnote>
  <w:footnote w:id="28">
    <w:p w14:paraId="270E4640" w14:textId="77777777" w:rsidR="000240CE" w:rsidRDefault="000240CE" w:rsidP="00EB1AFB">
      <w:pPr>
        <w:pStyle w:val="FootnoteText"/>
      </w:pPr>
      <w:r>
        <w:rPr>
          <w:rStyle w:val="FootnoteReference"/>
          <w:rFonts w:cstheme="minorHAnsi"/>
        </w:rPr>
        <w:footnoteRef/>
      </w:r>
      <w:r>
        <w:t xml:space="preserve"> Ibid.</w:t>
      </w:r>
    </w:p>
  </w:footnote>
  <w:footnote w:id="29">
    <w:p w14:paraId="69A9D32C" w14:textId="40969A05" w:rsidR="000240CE" w:rsidRDefault="000240CE" w:rsidP="00EB1AFB">
      <w:pPr>
        <w:pStyle w:val="FootnoteText"/>
        <w:rPr>
          <w:color w:val="000000"/>
        </w:rPr>
      </w:pPr>
      <w:r>
        <w:rPr>
          <w:rStyle w:val="FootnoteReference"/>
          <w:rFonts w:cstheme="minorHAnsi"/>
          <w:color w:val="000000" w:themeColor="text1"/>
        </w:rPr>
        <w:footnoteRef/>
      </w:r>
      <w:r>
        <w:t xml:space="preserve"> Edith Penrose (1973), “International Patenting and the Less-Developed Countries“, 83 The Economic Journal 331, p. 779.</w:t>
      </w:r>
    </w:p>
  </w:footnote>
  <w:footnote w:id="30">
    <w:p w14:paraId="33173B97" w14:textId="77777777" w:rsidR="000240CE" w:rsidRDefault="000240CE" w:rsidP="00EB1AFB">
      <w:pPr>
        <w:pStyle w:val="FootnoteText"/>
        <w:rPr>
          <w:color w:val="000000"/>
          <w:lang w:val="en-GB"/>
        </w:rPr>
      </w:pPr>
      <w:r>
        <w:rPr>
          <w:rStyle w:val="FootnoteReference"/>
          <w:rFonts w:cstheme="minorHAnsi"/>
          <w:color w:val="000000" w:themeColor="text1"/>
        </w:rPr>
        <w:footnoteRef/>
      </w:r>
      <w:r>
        <w:t xml:space="preserve"> See BIRPI Monthly Review, n 26, p. 5. BIRPI did more. For example, it also</w:t>
      </w:r>
      <w:r>
        <w:rPr>
          <w:lang w:val="en-GB"/>
        </w:rPr>
        <w:t xml:space="preserve"> provided technical assistance programme for government officials of developing countries, in cooperation with the competent authorities of member countries of the Paris Union. Fellowships for the training of nine government officials of developing countries were organized in 1969. </w:t>
      </w:r>
    </w:p>
  </w:footnote>
  <w:footnote w:id="31">
    <w:p w14:paraId="1D55EC52" w14:textId="77777777" w:rsidR="000240CE" w:rsidRDefault="000240CE" w:rsidP="00EB1AFB">
      <w:pPr>
        <w:pStyle w:val="FootnoteText"/>
        <w:rPr>
          <w:lang w:val="en-GB"/>
        </w:rPr>
      </w:pPr>
      <w:r>
        <w:rPr>
          <w:rStyle w:val="FootnoteReference"/>
          <w:rFonts w:cstheme="minorHAnsi"/>
          <w:lang w:val="en-GB"/>
        </w:rPr>
        <w:footnoteRef/>
      </w:r>
      <w:r>
        <w:rPr>
          <w:lang w:val="en-GB"/>
        </w:rPr>
        <w:t xml:space="preserve"> Art 4 (v) Convention Establishing WIPO. </w:t>
      </w:r>
    </w:p>
  </w:footnote>
  <w:footnote w:id="32">
    <w:p w14:paraId="0457BED0" w14:textId="6C9F8330" w:rsidR="000240CE" w:rsidRDefault="000240CE" w:rsidP="00EB1AFB">
      <w:pPr>
        <w:pStyle w:val="FootnoteText"/>
        <w:rPr>
          <w:rFonts w:eastAsia="Times New Roman"/>
          <w:bCs/>
          <w:lang w:val="en-GB" w:eastAsia="fi-FI"/>
        </w:rPr>
      </w:pPr>
      <w:r>
        <w:rPr>
          <w:rStyle w:val="FootnoteReference"/>
          <w:rFonts w:cstheme="minorHAnsi"/>
          <w:lang w:val="en-GB"/>
        </w:rPr>
        <w:footnoteRef/>
      </w:r>
      <w:r>
        <w:rPr>
          <w:lang w:val="en-GB"/>
        </w:rPr>
        <w:t xml:space="preserve"> </w:t>
      </w:r>
      <w:r>
        <w:rPr>
          <w:rFonts w:eastAsia="Times New Roman"/>
          <w:bCs/>
          <w:lang w:val="en-GB" w:eastAsia="fi-FI"/>
        </w:rPr>
        <w:t xml:space="preserve">Health Action International (HAI) and </w:t>
      </w:r>
      <w:r>
        <w:rPr>
          <w:shd w:val="clear" w:color="auto" w:fill="FFFFFF"/>
          <w:lang w:val="en-GB"/>
        </w:rPr>
        <w:t>Médecins Sans Frontières (MSF)</w:t>
      </w:r>
      <w:r>
        <w:rPr>
          <w:rFonts w:eastAsia="Times New Roman"/>
          <w:lang w:val="en-GB" w:eastAsia="fi-FI"/>
        </w:rPr>
        <w:t xml:space="preserve"> (</w:t>
      </w:r>
      <w:r>
        <w:rPr>
          <w:lang w:val="en-GB"/>
        </w:rPr>
        <w:t>September 2015)</w:t>
      </w:r>
      <w:r>
        <w:rPr>
          <w:shd w:val="clear" w:color="auto" w:fill="FFFFFF"/>
          <w:lang w:val="en-GB"/>
        </w:rPr>
        <w:t>, “</w:t>
      </w:r>
      <w:r>
        <w:rPr>
          <w:rFonts w:eastAsia="Times New Roman"/>
          <w:bCs/>
          <w:lang w:val="en-GB" w:eastAsia="fi-FI"/>
        </w:rPr>
        <w:t xml:space="preserve">Empty gestures: The EU’s commitments to safeguard access to medicines”: </w:t>
      </w:r>
      <w:r>
        <w:rPr>
          <w:rFonts w:eastAsia="Times New Roman"/>
          <w:lang w:val="en-GB" w:eastAsia="fi-FI"/>
        </w:rPr>
        <w:t xml:space="preserve">Review of the European Union’s Trade &amp; Investment Policy“, </w:t>
      </w:r>
      <w:r>
        <w:rPr>
          <w:lang w:val="en-GB"/>
        </w:rPr>
        <w:t>6, available at</w:t>
      </w:r>
      <w:r>
        <w:t xml:space="preserve"> &lt;</w:t>
      </w:r>
      <w:r>
        <w:rPr>
          <w:lang w:val="en-GB"/>
        </w:rPr>
        <w:t>https://haiweb.org/publication/empty-gestures-the-eus-commitments-to-safeguard-access-to-medicines/&gt; .</w:t>
      </w:r>
    </w:p>
  </w:footnote>
  <w:footnote w:id="33">
    <w:p w14:paraId="353FEDCE" w14:textId="3E78AC51" w:rsidR="000240CE" w:rsidRDefault="000240CE" w:rsidP="00EB1AFB">
      <w:pPr>
        <w:pStyle w:val="FootnoteText"/>
        <w:rPr>
          <w:lang w:val="en-GB"/>
        </w:rPr>
      </w:pPr>
      <w:r>
        <w:rPr>
          <w:rStyle w:val="FootnoteReference"/>
          <w:rFonts w:asciiTheme="minorHAnsi" w:hAnsiTheme="minorHAnsi" w:cstheme="minorHAnsi"/>
        </w:rPr>
        <w:footnoteRef/>
      </w:r>
      <w:r>
        <w:rPr>
          <w:lang w:val="en-GB"/>
        </w:rPr>
        <w:t xml:space="preserve"> B. N. Pandey and Prabhat Kumar Saha (2011), “</w:t>
      </w:r>
      <w:r>
        <w:rPr>
          <w:bCs/>
          <w:lang w:val="en-GB"/>
        </w:rPr>
        <w:t xml:space="preserve">Technical Cooperation Under Trips Agreement: Flexibilities And Options For Developing Countries“, 53 </w:t>
      </w:r>
      <w:r>
        <w:rPr>
          <w:rFonts w:eastAsia="Times New Roman"/>
          <w:iCs/>
          <w:lang w:val="en-GB" w:eastAsia="fi-FI"/>
        </w:rPr>
        <w:t>Journal of the Indian Law Institute</w:t>
      </w:r>
      <w:r>
        <w:rPr>
          <w:rFonts w:eastAsia="Times New Roman"/>
          <w:lang w:val="en-GB" w:eastAsia="fi-FI"/>
        </w:rPr>
        <w:t xml:space="preserve"> 4.</w:t>
      </w:r>
    </w:p>
  </w:footnote>
  <w:footnote w:id="34">
    <w:p w14:paraId="7092D32C" w14:textId="5777BDA7" w:rsidR="000240CE" w:rsidRDefault="000240CE" w:rsidP="00EB1AFB">
      <w:pPr>
        <w:pStyle w:val="FootnoteText"/>
        <w:rPr>
          <w:lang w:val="en-GB"/>
        </w:rPr>
      </w:pPr>
      <w:r>
        <w:rPr>
          <w:rStyle w:val="FootnoteReference"/>
          <w:rFonts w:cstheme="minorHAnsi"/>
          <w:lang w:val="en-GB"/>
        </w:rPr>
        <w:footnoteRef/>
      </w:r>
      <w:r>
        <w:rPr>
          <w:lang w:val="en-GB"/>
        </w:rPr>
        <w:t xml:space="preserve"> Christopher May (2004), “Capacity Building and the (Re)production of Intellectual Property Rights“, 25 Third World Quarterly 5. (Emphasis added); Acquah, n 10.</w:t>
      </w:r>
    </w:p>
  </w:footnote>
  <w:footnote w:id="35">
    <w:p w14:paraId="4BBC28EF" w14:textId="2131AED7" w:rsidR="000240CE" w:rsidRDefault="000240CE" w:rsidP="00EB1AFB">
      <w:pPr>
        <w:pStyle w:val="FootnoteText"/>
        <w:rPr>
          <w:color w:val="000000"/>
          <w:lang w:val="en-GB"/>
        </w:rPr>
      </w:pPr>
      <w:r>
        <w:rPr>
          <w:rStyle w:val="FootnoteReference"/>
          <w:rFonts w:cstheme="minorHAnsi"/>
        </w:rPr>
        <w:footnoteRef/>
      </w:r>
      <w:r>
        <w:t xml:space="preserve"> </w:t>
      </w:r>
      <w:r>
        <w:rPr>
          <w:color w:val="000000"/>
          <w:lang w:val="en-GB"/>
        </w:rPr>
        <w:t>Makau W. Mutua (2000), “</w:t>
      </w:r>
      <w:r>
        <w:rPr>
          <w:iCs/>
          <w:color w:val="000000"/>
          <w:lang w:val="en-GB"/>
        </w:rPr>
        <w:t>What Is TWAIL?“</w:t>
      </w:r>
      <w:r>
        <w:rPr>
          <w:color w:val="000000"/>
          <w:lang w:val="en-GB"/>
        </w:rPr>
        <w:t xml:space="preserve">, 94 Proceedings of the ASIL Ann. Meeting, p. 31. Available at: </w:t>
      </w:r>
      <w:r w:rsidRPr="00F042C3">
        <w:rPr>
          <w:lang w:val="en-GB"/>
        </w:rPr>
        <w:t>https://digitalcommons.law.buffalo.edu/articles/560.</w:t>
      </w:r>
    </w:p>
  </w:footnote>
  <w:footnote w:id="36">
    <w:p w14:paraId="0C7B2CAC" w14:textId="6E981F5D" w:rsidR="000240CE" w:rsidRDefault="000240CE" w:rsidP="00EB1AFB">
      <w:pPr>
        <w:pStyle w:val="FootnoteText"/>
        <w:rPr>
          <w:lang w:val="en-GB"/>
        </w:rPr>
      </w:pPr>
      <w:r>
        <w:rPr>
          <w:rStyle w:val="FootnoteReference"/>
          <w:rFonts w:cstheme="minorHAnsi"/>
        </w:rPr>
        <w:footnoteRef/>
      </w:r>
      <w:r w:rsidRPr="00B04A24">
        <w:rPr>
          <w:lang w:val="sv-SE"/>
        </w:rPr>
        <w:t xml:space="preserve"> Mickelson, K., Odumosu, I., &amp; Parmar, P. (2008). </w:t>
      </w:r>
      <w:r>
        <w:rPr>
          <w:lang w:val="en-GB"/>
        </w:rPr>
        <w:t>Situating Third World Approaches to International Law (TWAIL): Inspirations, Challenges and Possibilities. International Community Law Review 10(4), 351.–.354.</w:t>
      </w:r>
    </w:p>
  </w:footnote>
  <w:footnote w:id="37">
    <w:p w14:paraId="6C6D7FC6" w14:textId="77777777" w:rsidR="000240CE" w:rsidRDefault="000240CE" w:rsidP="00EB1AFB">
      <w:pPr>
        <w:pStyle w:val="FootnoteText"/>
      </w:pPr>
      <w:r>
        <w:rPr>
          <w:rStyle w:val="FootnoteReference"/>
          <w:rFonts w:cstheme="minorHAnsi"/>
        </w:rPr>
        <w:footnoteRef/>
      </w:r>
      <w:r>
        <w:t xml:space="preserve"> Ibid.</w:t>
      </w:r>
    </w:p>
  </w:footnote>
  <w:footnote w:id="38">
    <w:p w14:paraId="3FCBBF19" w14:textId="39F86750" w:rsidR="000240CE" w:rsidRDefault="000240CE" w:rsidP="00EB1AFB">
      <w:pPr>
        <w:pStyle w:val="FootnoteText"/>
        <w:rPr>
          <w:rFonts w:eastAsia="code2000"/>
          <w:b/>
          <w:color w:val="000000"/>
        </w:rPr>
      </w:pPr>
      <w:r>
        <w:rPr>
          <w:rStyle w:val="FootnoteReference"/>
          <w:rFonts w:cstheme="minorHAnsi"/>
          <w:color w:val="000000" w:themeColor="text1"/>
        </w:rPr>
        <w:footnoteRef/>
      </w:r>
      <w:r>
        <w:t xml:space="preserve"> </w:t>
      </w:r>
      <w:r>
        <w:rPr>
          <w:rFonts w:eastAsia="code2000"/>
          <w:lang w:val="en-GB"/>
        </w:rPr>
        <w:t xml:space="preserve">In the wake of the </w:t>
      </w:r>
      <w:r>
        <w:rPr>
          <w:lang w:val="en-GB"/>
        </w:rPr>
        <w:t xml:space="preserve">economic liberalization processes that swept across the globe in the 1980s and 1990s, and </w:t>
      </w:r>
      <w:r>
        <w:rPr>
          <w:rFonts w:eastAsia="code2000"/>
          <w:lang w:val="en-GB"/>
        </w:rPr>
        <w:t xml:space="preserve">the related mushrooming of the various IP regimes addressed in this volume – whose implications on developing countries is well studied, some commentators started looking at the role of colonialism and neo-colonialism in the pervasive international IP system, </w:t>
      </w:r>
      <w:r>
        <w:rPr>
          <w:lang w:val="en-GB"/>
        </w:rPr>
        <w:t>and to rationalize the persistent crises of legitimacy that confront the system as applied to developing countries.</w:t>
      </w:r>
      <w:r>
        <w:rPr>
          <w:rFonts w:eastAsia="code2000"/>
          <w:b/>
        </w:rPr>
        <w:t xml:space="preserve"> </w:t>
      </w:r>
      <w:r>
        <w:rPr>
          <w:rFonts w:eastAsia="code2000"/>
        </w:rPr>
        <w:t>See,</w:t>
      </w:r>
      <w:r>
        <w:rPr>
          <w:lang w:val="en-GB"/>
        </w:rPr>
        <w:t xml:space="preserve"> for example, Alan H Lazar (1969), “Developing Countries and Authors' Rights in International Copyright”, 19 Copyright Law Symposium 1, 18; </w:t>
      </w:r>
      <w:r>
        <w:t xml:space="preserve">Andreas Rahmatian (2009), “Neo-Colonial Aspects of Global Intellectual Property Protection“, 12 The Journal of World Intellectual Property 1; </w:t>
      </w:r>
      <w:r>
        <w:rPr>
          <w:lang w:val="en-GB"/>
        </w:rPr>
        <w:t>Acquah, n 7; Acquah, n 10; Kongolo, n 2; Peukert, n 2; Aoki, n 8.</w:t>
      </w:r>
    </w:p>
  </w:footnote>
  <w:footnote w:id="39">
    <w:p w14:paraId="066EF8C7" w14:textId="09A03192" w:rsidR="000240CE" w:rsidRDefault="000240CE" w:rsidP="00EB1AFB">
      <w:pPr>
        <w:pStyle w:val="FootnoteText"/>
        <w:rPr>
          <w:color w:val="000000"/>
          <w:lang w:val="en-GB"/>
        </w:rPr>
      </w:pPr>
      <w:r>
        <w:rPr>
          <w:rStyle w:val="FootnoteReference"/>
          <w:rFonts w:cstheme="minorHAnsi"/>
          <w:color w:val="000000" w:themeColor="text1"/>
          <w:lang w:val="en-GB"/>
        </w:rPr>
        <w:footnoteRef/>
      </w:r>
      <w:r>
        <w:rPr>
          <w:lang w:val="en-GB"/>
        </w:rPr>
        <w:t xml:space="preserve"> Antony Anghie (2000), “Civilization and Commerce: The Concept of Governance in Historical Perspective“, 45 </w:t>
      </w:r>
      <w:r>
        <w:rPr>
          <w:iCs/>
          <w:lang w:val="en-GB"/>
        </w:rPr>
        <w:t>Villanova Law Review</w:t>
      </w:r>
      <w:r>
        <w:rPr>
          <w:lang w:val="en-GB"/>
        </w:rPr>
        <w:t>, 887.</w:t>
      </w:r>
    </w:p>
  </w:footnote>
  <w:footnote w:id="40">
    <w:p w14:paraId="6A4AA3D6" w14:textId="619A68C8" w:rsidR="000240CE" w:rsidRDefault="000240CE" w:rsidP="00EB1AFB">
      <w:pPr>
        <w:pStyle w:val="FootnoteText"/>
        <w:rPr>
          <w:lang w:val="en-GB"/>
        </w:rPr>
      </w:pPr>
      <w:r>
        <w:rPr>
          <w:rStyle w:val="FootnoteReference"/>
          <w:rFonts w:cstheme="minorHAnsi"/>
        </w:rPr>
        <w:footnoteRef/>
      </w:r>
      <w:r>
        <w:t xml:space="preserve"> An exception to this was the South African colonies, which became a dominion in 1910, known as the Union of South Africa,</w:t>
      </w:r>
      <w:r>
        <w:rPr>
          <w:lang w:val="en-GB"/>
        </w:rPr>
        <w:t xml:space="preserve"> some of the states who had their local copyright laws by 1880. </w:t>
      </w:r>
      <w:r>
        <w:rPr>
          <w:rFonts w:eastAsia="Times New Roman"/>
          <w:bCs/>
          <w:lang w:val="en-GB" w:eastAsia="fi-FI"/>
        </w:rPr>
        <w:t>According to the Encyclopaedia Britannica, dominion</w:t>
      </w:r>
      <w:r>
        <w:rPr>
          <w:rFonts w:eastAsia="Times New Roman"/>
          <w:lang w:val="en-GB" w:eastAsia="fi-FI"/>
        </w:rPr>
        <w:t xml:space="preserve"> was the status, prior to 1939, of each of the British Commonwealth countries of Canada, Australia, New Zealand, the Union of South Africa, Eire, and Newfoundland. Although there was no formal definition of dominion status, a pronouncement by the Imperial Conference of 1926 described Great Britain and the dominions as “autonomous communities within the British Empire, equal in status, in no way subordinate one to another in any aspect of their domestic or external affairs, though united by a common allegiance to the Crown and freely associated as members of the British Commonwealth of Nations.“</w:t>
      </w:r>
    </w:p>
  </w:footnote>
  <w:footnote w:id="41">
    <w:p w14:paraId="4C7C35C3" w14:textId="5CF8171D" w:rsidR="000240CE" w:rsidRDefault="000240CE" w:rsidP="00EB1AFB">
      <w:pPr>
        <w:pStyle w:val="FootnoteText"/>
        <w:rPr>
          <w:rFonts w:eastAsiaTheme="minorEastAsia"/>
          <w:lang w:val="en-GB" w:eastAsia="fi-FI"/>
        </w:rPr>
      </w:pPr>
      <w:r>
        <w:rPr>
          <w:rStyle w:val="FootnoteReference"/>
          <w:rFonts w:cstheme="minorHAnsi"/>
        </w:rPr>
        <w:footnoteRef/>
      </w:r>
      <w:r>
        <w:t xml:space="preserve"> George Sipa-Adjah Yankey (1987), “</w:t>
      </w:r>
      <w:r>
        <w:rPr>
          <w:iCs/>
        </w:rPr>
        <w:t>International Patents and Technology Transfer to Less Developed Countries: The Case of Ghana and Nigeria“,</w:t>
      </w:r>
      <w:r>
        <w:t xml:space="preserve"> (Gower Publishing Co.)</w:t>
      </w:r>
      <w:r>
        <w:rPr>
          <w:rFonts w:eastAsiaTheme="minorEastAsia"/>
          <w:lang w:val="en-GB" w:eastAsia="fi-FI"/>
        </w:rPr>
        <w:t>, p. 104;</w:t>
      </w:r>
      <w:r>
        <w:rPr>
          <w:rFonts w:eastAsiaTheme="minorEastAsia"/>
        </w:rPr>
        <w:t xml:space="preserve"> Samuel O. Manteaw (2008.–.2010), “Patents and Development in Ghana: Proposals for Change“, 24 University of Ghana Law Journal 111,</w:t>
      </w:r>
      <w:r>
        <w:rPr>
          <w:rFonts w:eastAsiaTheme="minorEastAsia"/>
          <w:lang w:val="en-GB" w:eastAsia="fi-FI"/>
        </w:rPr>
        <w:t xml:space="preserve"> p. 6.</w:t>
      </w:r>
    </w:p>
  </w:footnote>
  <w:footnote w:id="42">
    <w:p w14:paraId="54275EB1" w14:textId="4FCD5F10" w:rsidR="000240CE" w:rsidRDefault="000240CE" w:rsidP="00EB1AFB">
      <w:pPr>
        <w:pStyle w:val="FootnoteText"/>
        <w:rPr>
          <w:color w:val="000000"/>
          <w:lang w:val="en-GB"/>
        </w:rPr>
      </w:pPr>
      <w:r>
        <w:rPr>
          <w:rStyle w:val="FootnoteReference"/>
          <w:rFonts w:eastAsiaTheme="minorEastAsia" w:cstheme="minorHAnsi"/>
          <w:color w:val="000000" w:themeColor="text1"/>
        </w:rPr>
        <w:footnoteRef/>
      </w:r>
      <w:r>
        <w:rPr>
          <w:rFonts w:eastAsiaTheme="minorEastAsia"/>
        </w:rPr>
        <w:t xml:space="preserve"> For the Paris Convention, see </w:t>
      </w:r>
      <w:r>
        <w:rPr>
          <w:rFonts w:eastAsiaTheme="minorEastAsia"/>
          <w:lang w:val="en-GB"/>
        </w:rPr>
        <w:t>Alfredo C. Robles, Jr. (1999), “History of the Paris Convention“, 15 World Bulletin: Bulletin of the International Studies of the Philippines, pp. 1–75; For the Berne Convention, see Sam Ricketson and Jane Ginsburg (2015), “The Berne Convention: Historical and Institutional Aspects“, in Daniel J. Gervais (ed), International Intellectual Property: A Handbook of Contemporary Research, (Edward Elgar Publishing, Cheltenham, UK), pp. 5–16.</w:t>
      </w:r>
    </w:p>
  </w:footnote>
  <w:footnote w:id="43">
    <w:p w14:paraId="056898E0" w14:textId="77777777" w:rsidR="000240CE" w:rsidRDefault="000240CE" w:rsidP="00EB1AFB">
      <w:pPr>
        <w:pStyle w:val="FootnoteText"/>
        <w:rPr>
          <w:lang w:val="en-GB"/>
        </w:rPr>
      </w:pPr>
      <w:r>
        <w:rPr>
          <w:rStyle w:val="FootnoteReference"/>
          <w:rFonts w:eastAsiaTheme="minorEastAsia" w:cstheme="minorHAnsi"/>
        </w:rPr>
        <w:footnoteRef/>
      </w:r>
      <w:r>
        <w:rPr>
          <w:rFonts w:eastAsiaTheme="minorEastAsia"/>
        </w:rPr>
        <w:t xml:space="preserve"> </w:t>
      </w:r>
      <w:r>
        <w:rPr>
          <w:rFonts w:eastAsiaTheme="minorEastAsia"/>
          <w:lang w:val="en-GB"/>
        </w:rPr>
        <w:t>Robles, n 42, p. 1.</w:t>
      </w:r>
    </w:p>
  </w:footnote>
  <w:footnote w:id="44">
    <w:p w14:paraId="18BD846C" w14:textId="421161FF" w:rsidR="000240CE" w:rsidRDefault="000240CE" w:rsidP="00EB1AFB">
      <w:pPr>
        <w:pStyle w:val="FootnoteText"/>
        <w:rPr>
          <w:iCs/>
          <w:color w:val="000000"/>
          <w:lang w:val="en-GB"/>
        </w:rPr>
      </w:pPr>
      <w:r>
        <w:rPr>
          <w:rStyle w:val="FootnoteReference"/>
          <w:rFonts w:eastAsiaTheme="minorEastAsia" w:cstheme="minorHAnsi"/>
          <w:color w:val="000000" w:themeColor="text1"/>
        </w:rPr>
        <w:footnoteRef/>
      </w:r>
      <w:r>
        <w:rPr>
          <w:rFonts w:eastAsiaTheme="minorEastAsia"/>
        </w:rPr>
        <w:t xml:space="preserve"> Sinclair, n 13, p. 54. Citing </w:t>
      </w:r>
      <w:r>
        <w:rPr>
          <w:rFonts w:eastAsiaTheme="minorEastAsia"/>
          <w:lang w:val="en-GB"/>
        </w:rPr>
        <w:t xml:space="preserve">Dag Hammarskjöld, “An International Administrative Service“, in </w:t>
      </w:r>
      <w:r>
        <w:rPr>
          <w:rFonts w:eastAsiaTheme="minorEastAsia"/>
          <w:iCs/>
          <w:lang w:val="en-GB"/>
        </w:rPr>
        <w:t>Servant of Peace: A Selection of the Speeches and Statements of Dag Hammarskjöld</w:t>
      </w:r>
      <w:r>
        <w:rPr>
          <w:rFonts w:eastAsiaTheme="minorEastAsia"/>
          <w:lang w:val="en-GB"/>
        </w:rPr>
        <w:t>, ed. Wilder Foote (New York: Harper &amp; Row, 1962), 115.</w:t>
      </w:r>
    </w:p>
  </w:footnote>
  <w:footnote w:id="45">
    <w:p w14:paraId="398DDBCE" w14:textId="77777777" w:rsidR="000240CE" w:rsidRDefault="000240CE" w:rsidP="00EB1AFB">
      <w:pPr>
        <w:pStyle w:val="FootnoteText"/>
        <w:rPr>
          <w:iCs/>
          <w:color w:val="000000"/>
          <w:lang w:val="en-GB"/>
        </w:rPr>
      </w:pPr>
      <w:r>
        <w:rPr>
          <w:rStyle w:val="FootnoteReference"/>
          <w:rFonts w:eastAsiaTheme="minorEastAsia" w:cstheme="minorHAnsi"/>
          <w:color w:val="000000" w:themeColor="text1"/>
        </w:rPr>
        <w:footnoteRef/>
      </w:r>
      <w:r>
        <w:rPr>
          <w:rFonts w:eastAsiaTheme="minorEastAsia"/>
        </w:rPr>
        <w:t xml:space="preserve"> Ibid. </w:t>
      </w:r>
    </w:p>
  </w:footnote>
  <w:footnote w:id="46">
    <w:p w14:paraId="12364CFF" w14:textId="77777777" w:rsidR="000240CE" w:rsidRDefault="000240CE" w:rsidP="00EB1AFB">
      <w:pPr>
        <w:pStyle w:val="FootnoteText"/>
        <w:rPr>
          <w:color w:val="000000"/>
        </w:rPr>
      </w:pPr>
      <w:r>
        <w:rPr>
          <w:rStyle w:val="FootnoteReference"/>
          <w:rFonts w:eastAsiaTheme="minorEastAsia" w:cstheme="minorHAnsi"/>
          <w:color w:val="000000" w:themeColor="text1"/>
        </w:rPr>
        <w:footnoteRef/>
      </w:r>
      <w:r>
        <w:rPr>
          <w:rFonts w:eastAsiaTheme="minorEastAsia"/>
        </w:rPr>
        <w:t xml:space="preserve"> For consistency, the African Union (AU) will be used in place of the OAU, unless where its use will otherwise alter meaning.</w:t>
      </w:r>
    </w:p>
  </w:footnote>
  <w:footnote w:id="47">
    <w:p w14:paraId="4834A056" w14:textId="14C4C102" w:rsidR="000240CE" w:rsidRDefault="000240CE" w:rsidP="00EB1AFB">
      <w:pPr>
        <w:pStyle w:val="FootnoteText"/>
        <w:rPr>
          <w:color w:val="000000"/>
        </w:rPr>
      </w:pPr>
      <w:r>
        <w:rPr>
          <w:rStyle w:val="FootnoteReference"/>
          <w:rFonts w:eastAsiaTheme="minorEastAsia" w:cstheme="minorHAnsi"/>
          <w:color w:val="000000" w:themeColor="text1"/>
        </w:rPr>
        <w:footnoteRef/>
      </w:r>
      <w:r>
        <w:rPr>
          <w:rFonts w:eastAsiaTheme="minorEastAsia"/>
        </w:rPr>
        <w:t xml:space="preserve"> These instruments are: the AU’s </w:t>
      </w:r>
      <w:r>
        <w:rPr>
          <w:rFonts w:eastAsiaTheme="minorEastAsia"/>
          <w:iCs/>
        </w:rPr>
        <w:t xml:space="preserve">African Model Legislation for the Protection of the Rights of Local Communities, Farmers and Breeders, and for the Regulation of Access to Biological Resources 2000, </w:t>
      </w:r>
      <w:r>
        <w:rPr>
          <w:rFonts w:eastAsiaTheme="minorEastAsia"/>
        </w:rPr>
        <w:t>the Continental Strategy for Geographical Indications in Africa 2018–2023, the African Union Strategic Guidelines for the Coordinated Implementation of the Nagoya Protocol on Access to Genetic Resources and the Fair and Equitable Sharing of Benefits Arising from their Utilisation in Africa’, the Science, Technology and Innovation Strategy for Africa (STISA-2024) and the Pan African Intellectual Property Organisation (PAIPO) Statute. These instruments embody the AU’s positions on plant variety protection, GIs, copyright and IP policies. The instruments also inform the African Group’s submissions at the international level, in fora like the WTO and WIPO. As their names suggest, they are only ‘Model laws’ or ‘non-prescriptive guidelines’ and as such, non-binding on AU Member States.</w:t>
      </w:r>
    </w:p>
  </w:footnote>
  <w:footnote w:id="48">
    <w:p w14:paraId="25F7EAF2" w14:textId="77708EBB" w:rsidR="000240CE" w:rsidRDefault="000240CE" w:rsidP="00EB1AFB">
      <w:pPr>
        <w:pStyle w:val="FootnoteText"/>
        <w:rPr>
          <w:lang w:val="en-GB"/>
        </w:rPr>
      </w:pPr>
      <w:r>
        <w:rPr>
          <w:rStyle w:val="FootnoteReference"/>
          <w:rFonts w:asciiTheme="minorHAnsi" w:eastAsiaTheme="minorEastAsia" w:hAnsiTheme="minorHAnsi" w:cstheme="minorHAnsi"/>
          <w:color w:val="000000" w:themeColor="text1"/>
        </w:rPr>
        <w:footnoteRef/>
      </w:r>
      <w:r>
        <w:rPr>
          <w:rFonts w:eastAsiaTheme="minorEastAsia"/>
          <w:lang w:val="en-GB"/>
        </w:rPr>
        <w:t xml:space="preserve"> The Regional Economic Communities recognized by the AU are: the Arab Maghreb Union (UMA); the Common Market for Eastern and Southern Africa (COMESA); the Community of Sahel-Saharan States (CEN-SAD); the East African Community (EAC); the Economic Community of Central African States (ECCAS); the Economic Community of West African States (ECOWAS); the Intergovernmental Authority on Development (IGAD) and the Southern African Development Community (SADC). </w:t>
      </w:r>
    </w:p>
  </w:footnote>
  <w:footnote w:id="49">
    <w:p w14:paraId="32FD0860" w14:textId="77777777" w:rsidR="000240CE" w:rsidRDefault="000240CE" w:rsidP="00EB1AFB">
      <w:pPr>
        <w:pStyle w:val="FootnoteText"/>
        <w:rPr>
          <w:color w:val="000000"/>
        </w:rPr>
      </w:pPr>
      <w:r>
        <w:rPr>
          <w:rStyle w:val="FootnoteReference"/>
          <w:rFonts w:eastAsiaTheme="minorEastAsia" w:cstheme="minorHAnsi"/>
          <w:color w:val="000000" w:themeColor="text1"/>
        </w:rPr>
        <w:footnoteRef/>
      </w:r>
      <w:r>
        <w:rPr>
          <w:rFonts w:eastAsiaTheme="minorEastAsia"/>
        </w:rPr>
        <w:t xml:space="preserve"> ARIPO advances a flexible IP structure. Beyond the Lusaka Agreement, which confers ARIPO membership, Member States are not automatically bound to any of its Protocols. ARIPO Member States can choose which Protocols to sign. On the contrary, the Libreville Agreement forming OAPI introduced a threefold standards for cooperation, which are still in force in the OAPI region: uniform laws, common authority/IP office for Member States and common/centralised procedures, including the issuance of a single title of registration for all Member States.</w:t>
      </w:r>
    </w:p>
  </w:footnote>
  <w:footnote w:id="50">
    <w:p w14:paraId="30372923" w14:textId="77777777" w:rsidR="000240CE" w:rsidRDefault="000240CE" w:rsidP="00EB1AFB">
      <w:pPr>
        <w:pStyle w:val="FootnoteText"/>
      </w:pPr>
      <w:r>
        <w:rPr>
          <w:rStyle w:val="FootnoteReference"/>
          <w:rFonts w:eastAsiaTheme="minorEastAsia" w:cstheme="minorHAnsi"/>
          <w:color w:val="000000" w:themeColor="text1"/>
        </w:rPr>
        <w:footnoteRef/>
      </w:r>
      <w:r>
        <w:rPr>
          <w:rFonts w:eastAsiaTheme="minorEastAsia"/>
        </w:rPr>
        <w:t xml:space="preserve"> For example, countries like Algeria, Angola, Burundi, Egypt, Djibouti, Democratic Republic of Congo, Nigeria and Ethiopia etc are members of neither organizations.</w:t>
      </w:r>
    </w:p>
  </w:footnote>
  <w:footnote w:id="51">
    <w:p w14:paraId="4F31EA85" w14:textId="2FE959EA" w:rsidR="000240CE" w:rsidRDefault="000240CE" w:rsidP="00EB1AFB">
      <w:pPr>
        <w:pStyle w:val="FootnoteText"/>
        <w:rPr>
          <w:rFonts w:ascii="Calibri" w:hAnsi="Calibri" w:cs="Calibri"/>
          <w:lang w:val="en-GB"/>
        </w:rPr>
      </w:pPr>
      <w:r>
        <w:rPr>
          <w:rStyle w:val="FootnoteReference"/>
          <w:rFonts w:asciiTheme="minorHAnsi" w:eastAsiaTheme="minorEastAsia" w:hAnsiTheme="minorHAnsi" w:cstheme="minorHAnsi"/>
          <w:color w:val="000000" w:themeColor="text1"/>
        </w:rPr>
        <w:footnoteRef/>
      </w:r>
      <w:r>
        <w:rPr>
          <w:rFonts w:eastAsiaTheme="minorEastAsia"/>
          <w:lang w:val="en-GB"/>
        </w:rPr>
        <w:t xml:space="preserve"> Titilayo Adebola (2020), “</w:t>
      </w:r>
      <w:r>
        <w:rPr>
          <w:rFonts w:eastAsiaTheme="minorEastAsia"/>
          <w:iCs/>
          <w:lang w:val="en-GB"/>
        </w:rPr>
        <w:t xml:space="preserve">Mapping Africa’s Complex Regimes: Towards an African Centred AfCFTA </w:t>
      </w:r>
    </w:p>
    <w:p w14:paraId="48FEE31B" w14:textId="274DEBBE" w:rsidR="000240CE" w:rsidRDefault="000240CE" w:rsidP="00EB1AFB">
      <w:pPr>
        <w:pStyle w:val="FootnoteText"/>
        <w:rPr>
          <w:rFonts w:ascii="Calibri" w:hAnsi="Calibri" w:cs="Calibri"/>
          <w:color w:val="000000"/>
        </w:rPr>
      </w:pPr>
      <w:r>
        <w:rPr>
          <w:rFonts w:eastAsiaTheme="minorEastAsia"/>
          <w:iCs/>
          <w:lang w:val="en-GB"/>
        </w:rPr>
        <w:t>Intellectual Property Protocol“,</w:t>
      </w:r>
      <w:r>
        <w:rPr>
          <w:rFonts w:eastAsiaTheme="minorEastAsia"/>
          <w:lang w:val="en-GB"/>
        </w:rPr>
        <w:t xml:space="preserve"> </w:t>
      </w:r>
      <w:r>
        <w:rPr>
          <w:rFonts w:eastAsiaTheme="minorEastAsia"/>
        </w:rPr>
        <w:t xml:space="preserve">African Journal </w:t>
      </w:r>
      <w:r>
        <w:rPr>
          <w:rStyle w:val="A7"/>
          <w:rFonts w:eastAsiaTheme="minorEastAsia" w:cstheme="minorHAnsi"/>
          <w:color w:val="000000" w:themeColor="text1"/>
          <w:sz w:val="20"/>
          <w:szCs w:val="20"/>
        </w:rPr>
        <w:t>o</w:t>
      </w:r>
      <w:r>
        <w:rPr>
          <w:rFonts w:eastAsiaTheme="minorEastAsia"/>
        </w:rPr>
        <w:t xml:space="preserve">f </w:t>
      </w:r>
      <w:r w:rsidR="00DF47F6">
        <w:rPr>
          <w:rFonts w:eastAsiaTheme="minorEastAsia"/>
        </w:rPr>
        <w:t>International Economic Law 1.</w:t>
      </w:r>
      <w:r>
        <w:rPr>
          <w:rFonts w:eastAsiaTheme="minorEastAsia"/>
        </w:rPr>
        <w:t xml:space="preserve"> </w:t>
      </w:r>
    </w:p>
  </w:footnote>
  <w:footnote w:id="52">
    <w:p w14:paraId="755B6722" w14:textId="77777777" w:rsidR="000240CE" w:rsidRDefault="000240CE" w:rsidP="00EB1AFB">
      <w:pPr>
        <w:pStyle w:val="FootnoteText"/>
        <w:rPr>
          <w:lang w:val="en-GB"/>
        </w:rPr>
      </w:pPr>
      <w:r>
        <w:rPr>
          <w:rStyle w:val="FootnoteReference"/>
          <w:rFonts w:eastAsiaTheme="minorEastAsia" w:cstheme="minorHAnsi"/>
        </w:rPr>
        <w:footnoteRef/>
      </w:r>
      <w:r>
        <w:rPr>
          <w:rFonts w:eastAsiaTheme="minorEastAsia"/>
        </w:rPr>
        <w:t xml:space="preserve"> Ibid.</w:t>
      </w:r>
    </w:p>
  </w:footnote>
  <w:footnote w:id="53">
    <w:p w14:paraId="4E908BDF" w14:textId="77777777" w:rsidR="000240CE" w:rsidRDefault="000240CE" w:rsidP="00EB1AFB">
      <w:pPr>
        <w:pStyle w:val="FootnoteText"/>
        <w:rPr>
          <w:color w:val="000000"/>
        </w:rPr>
      </w:pPr>
      <w:r>
        <w:rPr>
          <w:rStyle w:val="FootnoteReference"/>
          <w:rFonts w:eastAsiaTheme="minorEastAsia" w:cstheme="minorHAnsi"/>
          <w:color w:val="000000" w:themeColor="text1"/>
        </w:rPr>
        <w:footnoteRef/>
      </w:r>
      <w:r>
        <w:rPr>
          <w:rFonts w:eastAsiaTheme="minorEastAsia"/>
        </w:rPr>
        <w:t xml:space="preserve"> See generally, Articles 3, 4 and 5 of the Agreement Establsihing the African Continental Free Trade Area (Hereafter, AfCFTA Agreement). Also, see Wend Wendland, </w:t>
      </w:r>
      <w:r>
        <w:rPr>
          <w:rFonts w:eastAsiaTheme="minorEastAsia"/>
          <w:bCs/>
          <w:lang w:val="en-GB" w:eastAsia="fi-FI"/>
        </w:rPr>
        <w:t xml:space="preserve">Multilateral Matters #7: The draft Protocol on Intellectual Property Rights to the African Continental Free Trade Agreement (AfCFTA): Annotations on Genetic Resources, Traditional Knowledge and Cultural Expressions, (Infojustice, </w:t>
      </w:r>
      <w:r>
        <w:rPr>
          <w:rFonts w:eastAsiaTheme="minorEastAsia"/>
        </w:rPr>
        <w:t>October 7, 2020</w:t>
      </w:r>
      <w:r>
        <w:rPr>
          <w:rFonts w:eastAsiaTheme="minorEastAsia"/>
          <w:bCs/>
          <w:lang w:val="en-GB" w:eastAsia="fi-FI"/>
        </w:rPr>
        <w:t>).</w:t>
      </w:r>
    </w:p>
  </w:footnote>
  <w:footnote w:id="54">
    <w:p w14:paraId="1A52C20E" w14:textId="262B3D87" w:rsidR="000240CE" w:rsidRDefault="000240CE" w:rsidP="00EB1AFB">
      <w:pPr>
        <w:pStyle w:val="FootnoteText"/>
        <w:rPr>
          <w:color w:val="000000"/>
        </w:rPr>
      </w:pPr>
      <w:r>
        <w:rPr>
          <w:rStyle w:val="FootnoteReference"/>
          <w:rFonts w:eastAsiaTheme="minorEastAsia" w:cstheme="minorHAnsi"/>
          <w:color w:val="000000" w:themeColor="text1"/>
        </w:rPr>
        <w:footnoteRef/>
      </w:r>
      <w:r>
        <w:rPr>
          <w:rFonts w:eastAsiaTheme="minorEastAsia"/>
        </w:rPr>
        <w:t xml:space="preserve"> Daniel Acquah, “The AfCFTA, Technical Assistance and the Reproduction of Western-Styled IP Norms in Africa“, Symposium on Intellectual Property Law, </w:t>
      </w:r>
      <w:r>
        <w:rPr>
          <w:rFonts w:eastAsiaTheme="minorEastAsia"/>
          <w:i/>
          <w:iCs/>
        </w:rPr>
        <w:t>Afronomics law</w:t>
      </w:r>
      <w:r>
        <w:rPr>
          <w:rFonts w:eastAsiaTheme="minorEastAsia"/>
        </w:rPr>
        <w:t xml:space="preserve">, (8 October 2020); </w:t>
      </w:r>
      <w:r>
        <w:rPr>
          <w:rFonts w:eastAsiaTheme="minorEastAsia"/>
          <w:lang w:val="en-GB"/>
        </w:rPr>
        <w:t>Adebola, n 49.</w:t>
      </w:r>
    </w:p>
  </w:footnote>
  <w:footnote w:id="55">
    <w:p w14:paraId="73EB56F8" w14:textId="63E41D83" w:rsidR="000240CE" w:rsidRDefault="000240CE" w:rsidP="00EB1AFB">
      <w:pPr>
        <w:pStyle w:val="FootnoteText"/>
        <w:rPr>
          <w:color w:val="000000"/>
        </w:rPr>
      </w:pPr>
      <w:r>
        <w:rPr>
          <w:rStyle w:val="FootnoteReference"/>
          <w:rFonts w:eastAsiaTheme="minorEastAsia" w:cstheme="minorHAnsi"/>
          <w:color w:val="000000" w:themeColor="text1"/>
        </w:rPr>
        <w:footnoteRef/>
      </w:r>
      <w:r>
        <w:rPr>
          <w:rFonts w:eastAsiaTheme="minorEastAsia"/>
        </w:rPr>
        <w:t xml:space="preserve"> </w:t>
      </w:r>
      <w:r>
        <w:rPr>
          <w:rFonts w:eastAsiaTheme="minorEastAsia"/>
          <w:bCs/>
          <w:lang w:val="en-GB" w:eastAsia="fi-FI"/>
        </w:rPr>
        <w:t xml:space="preserve">Gerhard Erasmus, “What happens to the RECs once the AfCFTA is in force?“ (tralacBlog, </w:t>
      </w:r>
      <w:r>
        <w:rPr>
          <w:rFonts w:eastAsiaTheme="majorEastAsia"/>
        </w:rPr>
        <w:t>17 May 2019</w:t>
      </w:r>
      <w:r>
        <w:rPr>
          <w:rFonts w:eastAsiaTheme="majorEastAsia"/>
          <w:bCs/>
          <w:lang w:val="en-GB" w:eastAsia="fi-FI"/>
        </w:rPr>
        <w:t>);</w:t>
      </w:r>
      <w:r>
        <w:rPr>
          <w:rFonts w:eastAsiaTheme="majorEastAsia"/>
        </w:rPr>
        <w:t xml:space="preserve"> </w:t>
      </w:r>
      <w:r>
        <w:rPr>
          <w:rStyle w:val="Emphasis"/>
          <w:rFonts w:eastAsiaTheme="majorEastAsia" w:cstheme="minorHAnsi"/>
          <w:i w:val="0"/>
          <w:color w:val="000000" w:themeColor="text1"/>
        </w:rPr>
        <w:t xml:space="preserve">Sofía Baliño, </w:t>
      </w:r>
      <w:r>
        <w:rPr>
          <w:rFonts w:eastAsiaTheme="majorEastAsia"/>
        </w:rPr>
        <w:t>African Continental Free Trade Area Completes First Month of Trading, International Institute for Sustainable Development (1 February 2021).</w:t>
      </w:r>
    </w:p>
  </w:footnote>
  <w:footnote w:id="56">
    <w:p w14:paraId="267457AA" w14:textId="77777777" w:rsidR="000240CE" w:rsidRDefault="000240CE" w:rsidP="00EB1AFB">
      <w:pPr>
        <w:pStyle w:val="FootnoteText"/>
        <w:rPr>
          <w:lang w:val="en-GB"/>
        </w:rPr>
      </w:pPr>
      <w:r>
        <w:rPr>
          <w:rStyle w:val="FootnoteReference"/>
          <w:rFonts w:eastAsiaTheme="majorEastAsia" w:cstheme="minorHAnsi"/>
        </w:rPr>
        <w:footnoteRef/>
      </w:r>
      <w:r>
        <w:rPr>
          <w:rFonts w:eastAsiaTheme="majorEastAsia"/>
        </w:rPr>
        <w:t xml:space="preserve"> Article 19 (2), AfCFTA Agreement.</w:t>
      </w:r>
    </w:p>
  </w:footnote>
  <w:footnote w:id="57">
    <w:p w14:paraId="5853DA11" w14:textId="77777777" w:rsidR="000240CE" w:rsidRDefault="000240CE" w:rsidP="00EB1AFB">
      <w:pPr>
        <w:pStyle w:val="FootnoteText"/>
        <w:rPr>
          <w:lang w:val="en-GB"/>
        </w:rPr>
      </w:pPr>
      <w:r>
        <w:rPr>
          <w:rStyle w:val="FootnoteReference"/>
          <w:rFonts w:eastAsiaTheme="majorEastAsia" w:cstheme="minorHAnsi"/>
        </w:rPr>
        <w:footnoteRef/>
      </w:r>
      <w:r>
        <w:rPr>
          <w:rFonts w:eastAsiaTheme="majorEastAsia"/>
        </w:rPr>
        <w:t xml:space="preserve"> Article 19 (1), AfCFTA Agreement.</w:t>
      </w:r>
    </w:p>
  </w:footnote>
  <w:footnote w:id="58">
    <w:p w14:paraId="23E198B1" w14:textId="77777777" w:rsidR="000240CE" w:rsidRDefault="000240CE" w:rsidP="00EB1AFB">
      <w:pPr>
        <w:pStyle w:val="FootnoteText"/>
        <w:rPr>
          <w:lang w:val="en-GB"/>
        </w:rPr>
      </w:pPr>
      <w:r>
        <w:rPr>
          <w:rStyle w:val="FootnoteReference"/>
          <w:rFonts w:eastAsiaTheme="majorEastAsia" w:cstheme="minorHAnsi"/>
        </w:rPr>
        <w:footnoteRef/>
      </w:r>
      <w:r>
        <w:rPr>
          <w:rFonts w:eastAsiaTheme="majorEastAsia"/>
        </w:rPr>
        <w:t xml:space="preserve"> Acquah, n 54. </w:t>
      </w:r>
    </w:p>
  </w:footnote>
  <w:footnote w:id="59">
    <w:p w14:paraId="20AB81F7" w14:textId="481F9C86" w:rsidR="000240CE" w:rsidRDefault="000240CE" w:rsidP="00EB1AFB">
      <w:pPr>
        <w:pStyle w:val="FootnoteText"/>
        <w:rPr>
          <w:color w:val="000000"/>
          <w:lang w:val="en-GB"/>
        </w:rPr>
      </w:pPr>
      <w:r>
        <w:rPr>
          <w:rStyle w:val="FootnoteReference"/>
          <w:rFonts w:eastAsiaTheme="majorEastAsia" w:cstheme="minorHAnsi"/>
          <w:color w:val="000000" w:themeColor="text1"/>
        </w:rPr>
        <w:footnoteRef/>
      </w:r>
      <w:r>
        <w:rPr>
          <w:rFonts w:eastAsiaTheme="majorEastAsia"/>
        </w:rPr>
        <w:t xml:space="preserve"> </w:t>
      </w:r>
      <w:r>
        <w:rPr>
          <w:rStyle w:val="A3"/>
          <w:rFonts w:eastAsiaTheme="majorEastAsia" w:cstheme="minorHAnsi"/>
          <w:color w:val="000000" w:themeColor="text1"/>
        </w:rPr>
        <w:t>The twelve countries were Cameroon, Central African Republic, Chad, Congo, Côte d’Ivoire, Dahomey (now Benin), Upper Volta (now Burkina Faso), Gabon, Mauritania, Senegal, Niger and Malagasy Republic. The Agreement entered into force on January 1, 1964.</w:t>
      </w:r>
    </w:p>
  </w:footnote>
  <w:footnote w:id="60">
    <w:p w14:paraId="6EA59507" w14:textId="1011F9F5" w:rsidR="000240CE" w:rsidRDefault="000240CE" w:rsidP="00EB1AFB">
      <w:pPr>
        <w:pStyle w:val="FootnoteText"/>
        <w:rPr>
          <w:color w:val="000000"/>
        </w:rPr>
      </w:pPr>
      <w:r>
        <w:rPr>
          <w:rStyle w:val="FootnoteReference"/>
          <w:rFonts w:eastAsiaTheme="majorEastAsia" w:cstheme="minorHAnsi"/>
          <w:color w:val="000000" w:themeColor="text1"/>
        </w:rPr>
        <w:footnoteRef/>
      </w:r>
      <w:r>
        <w:rPr>
          <w:rFonts w:eastAsiaTheme="majorEastAsia"/>
        </w:rPr>
        <w:t xml:space="preserve"> Carolyn Deere, The Implementation Game: The TRIPS Agreement and the Global Politics of Intellectual Property Reform in Developing Countries, (Oxford University Press, 2009), p. 250.</w:t>
      </w:r>
    </w:p>
  </w:footnote>
  <w:footnote w:id="61">
    <w:p w14:paraId="61532580" w14:textId="7BAC2442" w:rsidR="000240CE" w:rsidRDefault="000240CE" w:rsidP="00EB1AFB">
      <w:pPr>
        <w:pStyle w:val="FootnoteText"/>
        <w:rPr>
          <w:color w:val="000000"/>
        </w:rPr>
      </w:pPr>
      <w:r>
        <w:rPr>
          <w:rStyle w:val="FootnoteReference"/>
          <w:rFonts w:eastAsiaTheme="majorEastAsia" w:cstheme="minorHAnsi"/>
          <w:color w:val="000000" w:themeColor="text1"/>
        </w:rPr>
        <w:footnoteRef/>
      </w:r>
      <w:r>
        <w:rPr>
          <w:rFonts w:eastAsiaTheme="majorEastAsia"/>
        </w:rPr>
        <w:t xml:space="preserve"> Ibid.</w:t>
      </w:r>
    </w:p>
  </w:footnote>
  <w:footnote w:id="62">
    <w:p w14:paraId="4DD2985C" w14:textId="77777777" w:rsidR="000240CE" w:rsidRDefault="000240CE" w:rsidP="00EB1AFB">
      <w:pPr>
        <w:pStyle w:val="FootnoteText"/>
        <w:rPr>
          <w:color w:val="000000"/>
        </w:rPr>
      </w:pPr>
      <w:r>
        <w:rPr>
          <w:rStyle w:val="FootnoteReference"/>
          <w:rFonts w:eastAsiaTheme="majorEastAsia" w:cstheme="minorHAnsi"/>
          <w:color w:val="000000" w:themeColor="text1"/>
        </w:rPr>
        <w:footnoteRef/>
      </w:r>
      <w:r>
        <w:rPr>
          <w:rFonts w:eastAsiaTheme="majorEastAsia"/>
        </w:rPr>
        <w:t xml:space="preserve"> </w:t>
      </w:r>
      <w:r>
        <w:rPr>
          <w:rFonts w:eastAsiaTheme="majorEastAsia"/>
          <w:lang w:val="en-GB" w:eastAsia="fi-FI"/>
        </w:rPr>
        <w:t xml:space="preserve">The African Intellectual Property Organization (OAPI) was created by the Bangui Agreement on March 2, 1977 and came into force on February 8, 1982. </w:t>
      </w:r>
      <w:r>
        <w:rPr>
          <w:rFonts w:eastAsiaTheme="majorEastAsia"/>
          <w:color w:val="000000"/>
          <w:sz w:val="19"/>
          <w:szCs w:val="19"/>
        </w:rPr>
        <w:t>It was revised in 1999, and the revision entered into force on February 28, 2002.</w:t>
      </w:r>
      <w:r>
        <w:rPr>
          <w:rFonts w:eastAsiaTheme="majorEastAsia"/>
        </w:rPr>
        <w:t xml:space="preserve"> </w:t>
      </w:r>
      <w:r>
        <w:rPr>
          <w:rFonts w:eastAsiaTheme="majorEastAsia"/>
          <w:lang w:val="en-GB" w:eastAsia="fi-FI"/>
        </w:rPr>
        <w:t>The current members of OAPI are: Benin, Burkina Faso, Cameroon, the Central African Republic, Chad, the Comoros, the Congo, Côte d’Ivoire, Equatorial Guinea, Gabon, Guinea, Guinea-Bissau, Mali, Mauritania, the Niger, Senegal, and Togo.</w:t>
      </w:r>
      <w:r>
        <w:rPr>
          <w:rFonts w:eastAsiaTheme="majorEastAsia"/>
        </w:rPr>
        <w:t xml:space="preserve"> </w:t>
      </w:r>
    </w:p>
  </w:footnote>
  <w:footnote w:id="63">
    <w:p w14:paraId="232BDABD" w14:textId="77777777" w:rsidR="000240CE" w:rsidRDefault="000240CE" w:rsidP="00EB1AFB">
      <w:pPr>
        <w:pStyle w:val="FootnoteText"/>
      </w:pPr>
      <w:r>
        <w:rPr>
          <w:rStyle w:val="FootnoteReference"/>
          <w:rFonts w:eastAsiaTheme="majorEastAsia" w:cstheme="minorHAnsi"/>
        </w:rPr>
        <w:footnoteRef/>
      </w:r>
      <w:r>
        <w:rPr>
          <w:rFonts w:eastAsiaTheme="majorEastAsia"/>
        </w:rPr>
        <w:t xml:space="preserve"> Deere, n 60, p. 255.</w:t>
      </w:r>
    </w:p>
  </w:footnote>
  <w:footnote w:id="64">
    <w:p w14:paraId="64734BEA" w14:textId="2069E457" w:rsidR="000240CE" w:rsidRDefault="000240CE" w:rsidP="00EB1AFB">
      <w:pPr>
        <w:pStyle w:val="FootnoteText"/>
        <w:rPr>
          <w:color w:val="000000"/>
        </w:rPr>
      </w:pPr>
      <w:r>
        <w:rPr>
          <w:rStyle w:val="FootnoteReference"/>
          <w:rFonts w:eastAsiaTheme="majorEastAsia" w:cstheme="minorHAnsi"/>
          <w:color w:val="000000" w:themeColor="text1"/>
        </w:rPr>
        <w:footnoteRef/>
      </w:r>
      <w:r>
        <w:rPr>
          <w:rFonts w:eastAsiaTheme="majorEastAsia"/>
        </w:rPr>
        <w:t xml:space="preserve"> United Nations, Department of Economic and Social Affairs. Economic Analysis: LDCs at a Glance. See </w:t>
      </w:r>
      <w:r w:rsidRPr="00F042C3">
        <w:rPr>
          <w:rFonts w:eastAsiaTheme="majorEastAsia"/>
        </w:rPr>
        <w:t>www.un.org/development/desa/dpad/least-developed-country-category/ldcs-at-a-glance.html</w:t>
      </w:r>
      <w:r>
        <w:rPr>
          <w:rFonts w:eastAsiaTheme="majorEastAsia"/>
        </w:rPr>
        <w:t xml:space="preserve">. 33 out of the 46 LDCs are from Africa. Out of the the 17 members of OAPI, only </w:t>
      </w:r>
      <w:r>
        <w:rPr>
          <w:rFonts w:eastAsiaTheme="majorEastAsia"/>
          <w:lang w:val="en-GB" w:eastAsia="fi-FI"/>
        </w:rPr>
        <w:t xml:space="preserve">Cameroon, Côte d’Ivoire, Equatorial Guinea, and Gabon are developing countries. The rest are all LDCs. </w:t>
      </w:r>
      <w:r>
        <w:rPr>
          <w:rFonts w:eastAsiaTheme="majorEastAsia"/>
          <w:lang w:val="en-GB"/>
        </w:rPr>
        <w:t>The purpose of the amendment was to make the Agreement consistent with the requirements of the TRIPS Agreement, to simplify procedures for issuing titles, and to broaden the scope of protection, among others.</w:t>
      </w:r>
    </w:p>
  </w:footnote>
  <w:footnote w:id="65">
    <w:p w14:paraId="3634463F" w14:textId="77777777" w:rsidR="000240CE" w:rsidRDefault="000240CE" w:rsidP="00EB1AFB">
      <w:pPr>
        <w:pStyle w:val="FootnoteText"/>
        <w:rPr>
          <w:color w:val="000000"/>
          <w:lang w:val="en-GB"/>
        </w:rPr>
      </w:pPr>
      <w:r>
        <w:rPr>
          <w:rStyle w:val="FootnoteReference"/>
          <w:rFonts w:eastAsiaTheme="majorEastAsia" w:cstheme="minorHAnsi"/>
          <w:color w:val="000000" w:themeColor="text1"/>
        </w:rPr>
        <w:footnoteRef/>
      </w:r>
      <w:r>
        <w:rPr>
          <w:rFonts w:eastAsiaTheme="majorEastAsia"/>
        </w:rPr>
        <w:t xml:space="preserve"> </w:t>
      </w:r>
      <w:r>
        <w:rPr>
          <w:rFonts w:eastAsiaTheme="majorEastAsia"/>
          <w:lang w:val="en-GB"/>
        </w:rPr>
        <w:t xml:space="preserve">Annex X of the revised Bangui Agreement 2002. </w:t>
      </w:r>
    </w:p>
  </w:footnote>
  <w:footnote w:id="66">
    <w:p w14:paraId="0E77AA7E" w14:textId="77777777" w:rsidR="000240CE" w:rsidRDefault="000240CE" w:rsidP="00EB1AFB">
      <w:pPr>
        <w:pStyle w:val="FootnoteText"/>
        <w:rPr>
          <w:color w:val="000000"/>
          <w:lang w:val="en-GB"/>
        </w:rPr>
      </w:pPr>
      <w:r>
        <w:rPr>
          <w:rStyle w:val="FootnoteReference"/>
          <w:rFonts w:eastAsiaTheme="majorEastAsia" w:cstheme="minorHAnsi"/>
          <w:color w:val="000000" w:themeColor="text1"/>
        </w:rPr>
        <w:footnoteRef/>
      </w:r>
      <w:r>
        <w:rPr>
          <w:rFonts w:eastAsiaTheme="majorEastAsia"/>
        </w:rPr>
        <w:t xml:space="preserve"> Deere, n 60, p. 253.</w:t>
      </w:r>
    </w:p>
  </w:footnote>
  <w:footnote w:id="67">
    <w:p w14:paraId="1FD461D1" w14:textId="77777777" w:rsidR="000240CE" w:rsidRDefault="000240CE" w:rsidP="00EB1AFB">
      <w:pPr>
        <w:pStyle w:val="FootnoteText"/>
        <w:rPr>
          <w:lang w:val="en-GB"/>
        </w:rPr>
      </w:pPr>
      <w:r>
        <w:rPr>
          <w:rStyle w:val="FootnoteReference"/>
          <w:rFonts w:eastAsiaTheme="majorEastAsia" w:cstheme="minorHAnsi"/>
        </w:rPr>
        <w:footnoteRef/>
      </w:r>
      <w:r>
        <w:rPr>
          <w:rFonts w:eastAsiaTheme="majorEastAsia"/>
        </w:rPr>
        <w:t xml:space="preserve"> </w:t>
      </w:r>
      <w:r>
        <w:rPr>
          <w:rFonts w:eastAsiaTheme="majorEastAsia"/>
          <w:lang w:val="en-GB"/>
        </w:rPr>
        <w:t>Ibid, p. 259.</w:t>
      </w:r>
    </w:p>
  </w:footnote>
  <w:footnote w:id="68">
    <w:p w14:paraId="31B951B0" w14:textId="0FB59371" w:rsidR="000240CE" w:rsidRDefault="000240CE" w:rsidP="00EB1AFB">
      <w:pPr>
        <w:pStyle w:val="FootnoteText"/>
      </w:pPr>
      <w:r>
        <w:rPr>
          <w:rStyle w:val="FootnoteReference"/>
          <w:rFonts w:eastAsiaTheme="majorEastAsia" w:cstheme="minorHAnsi"/>
        </w:rPr>
        <w:footnoteRef/>
      </w:r>
      <w:r>
        <w:rPr>
          <w:rFonts w:eastAsiaTheme="majorEastAsia"/>
        </w:rPr>
        <w:t xml:space="preserve"> Article 3(3) of Annex I of the Bangui Agreement.</w:t>
      </w:r>
    </w:p>
  </w:footnote>
  <w:footnote w:id="69">
    <w:p w14:paraId="2D7FA0B5" w14:textId="1BBE83BE" w:rsidR="000240CE" w:rsidRPr="00DF7482" w:rsidRDefault="000240CE" w:rsidP="00EB1AFB">
      <w:pPr>
        <w:pStyle w:val="FootnoteText"/>
        <w:rPr>
          <w:color w:val="000000" w:themeColor="text1"/>
        </w:rPr>
      </w:pPr>
      <w:r>
        <w:rPr>
          <w:rStyle w:val="FootnoteReference"/>
          <w:rFonts w:eastAsiaTheme="majorEastAsia" w:cstheme="minorHAnsi"/>
        </w:rPr>
        <w:footnoteRef/>
      </w:r>
      <w:r>
        <w:rPr>
          <w:rFonts w:eastAsiaTheme="majorEastAsia"/>
        </w:rPr>
        <w:t xml:space="preserve"> Deere, n 60, p. 257.</w:t>
      </w:r>
      <w:r w:rsidRPr="005C27F4">
        <w:rPr>
          <w:color w:val="FF0000"/>
        </w:rPr>
        <w:t xml:space="preserve"> </w:t>
      </w:r>
      <w:r w:rsidRPr="00DF7482">
        <w:rPr>
          <w:color w:val="000000" w:themeColor="text1"/>
        </w:rPr>
        <w:t>Also, see Articles 49 – 52 of Annex I of the Bangi Agreement.</w:t>
      </w:r>
    </w:p>
  </w:footnote>
  <w:footnote w:id="70">
    <w:p w14:paraId="14451C71" w14:textId="3CFB417E" w:rsidR="000240CE" w:rsidRPr="00DF7482" w:rsidRDefault="000240CE" w:rsidP="00EB1AFB">
      <w:pPr>
        <w:pStyle w:val="FootnoteText"/>
        <w:rPr>
          <w:color w:val="000000" w:themeColor="text1"/>
        </w:rPr>
      </w:pPr>
      <w:r w:rsidRPr="00DF7482">
        <w:rPr>
          <w:rStyle w:val="FootnoteReference"/>
          <w:rFonts w:eastAsiaTheme="majorEastAsia" w:cstheme="minorHAnsi"/>
          <w:color w:val="000000" w:themeColor="text1"/>
        </w:rPr>
        <w:footnoteRef/>
      </w:r>
      <w:r w:rsidRPr="00DF7482">
        <w:rPr>
          <w:rFonts w:eastAsiaTheme="majorEastAsia"/>
          <w:color w:val="000000" w:themeColor="text1"/>
        </w:rPr>
        <w:t xml:space="preserve"> Article 51 – 52 of Annex I of the Bangui Agreement. Even though Article 58 </w:t>
      </w:r>
      <w:r>
        <w:rPr>
          <w:rFonts w:eastAsiaTheme="majorEastAsia"/>
          <w:color w:val="000000" w:themeColor="text1"/>
        </w:rPr>
        <w:t>of Annex I of the</w:t>
      </w:r>
      <w:r w:rsidRPr="00DF7482">
        <w:rPr>
          <w:rFonts w:eastAsiaTheme="majorEastAsia"/>
          <w:color w:val="000000" w:themeColor="text1"/>
        </w:rPr>
        <w:t xml:space="preserve"> Agreement provides for </w:t>
      </w:r>
      <w:r>
        <w:rPr>
          <w:rFonts w:eastAsiaTheme="majorEastAsia"/>
          <w:color w:val="000000" w:themeColor="text1"/>
        </w:rPr>
        <w:t xml:space="preserve">non </w:t>
      </w:r>
      <w:r w:rsidRPr="00DF7482">
        <w:rPr>
          <w:rFonts w:eastAsiaTheme="majorEastAsia"/>
          <w:color w:val="000000" w:themeColor="text1"/>
        </w:rPr>
        <w:t xml:space="preserve">voluntary licenses in the national interest by </w:t>
      </w:r>
      <w:r>
        <w:rPr>
          <w:rFonts w:eastAsiaTheme="majorEastAsia"/>
          <w:color w:val="000000" w:themeColor="text1"/>
        </w:rPr>
        <w:t xml:space="preserve">an </w:t>
      </w:r>
      <w:r w:rsidRPr="00DF7482">
        <w:rPr>
          <w:rFonts w:eastAsiaTheme="majorEastAsia"/>
          <w:color w:val="000000" w:themeColor="text1"/>
        </w:rPr>
        <w:t xml:space="preserve">administrative order, it is not entirely free from </w:t>
      </w:r>
      <w:r>
        <w:rPr>
          <w:rFonts w:eastAsiaTheme="majorEastAsia"/>
          <w:color w:val="000000" w:themeColor="text1"/>
        </w:rPr>
        <w:t xml:space="preserve">related </w:t>
      </w:r>
      <w:r w:rsidRPr="00DF7482">
        <w:rPr>
          <w:rFonts w:eastAsiaTheme="majorEastAsia"/>
          <w:color w:val="000000" w:themeColor="text1"/>
        </w:rPr>
        <w:t xml:space="preserve">conditions and judicial review. </w:t>
      </w:r>
    </w:p>
  </w:footnote>
  <w:footnote w:id="71">
    <w:p w14:paraId="3A60E8FA" w14:textId="0F827FBE" w:rsidR="000240CE" w:rsidRPr="00F01D50" w:rsidRDefault="000240CE" w:rsidP="00F01D50">
      <w:pPr>
        <w:pStyle w:val="FootnoteText"/>
        <w:rPr>
          <w:iCs/>
        </w:rPr>
      </w:pPr>
      <w:r w:rsidRPr="00F01D50">
        <w:rPr>
          <w:rStyle w:val="FootnoteReference"/>
          <w:rFonts w:eastAsiaTheme="majorEastAsia" w:cstheme="minorHAnsi"/>
        </w:rPr>
        <w:footnoteRef/>
      </w:r>
      <w:r w:rsidRPr="00F01D50">
        <w:rPr>
          <w:rFonts w:eastAsiaTheme="majorEastAsia"/>
        </w:rPr>
        <w:t xml:space="preserve"> </w:t>
      </w:r>
      <w:r w:rsidRPr="00F01D50">
        <w:rPr>
          <w:rFonts w:eastAsiaTheme="majorEastAsia"/>
          <w:lang w:val="en"/>
        </w:rPr>
        <w:t>The TRIPS Agreement Article 66 obliged developed countries to create incentives for technology transfer to LDCs and to support their efforts to implement the Agreement through technical and financial co-operation, on request and on mutually agreed terms and conditions. It allowed LDCs 10 years from 1995 to apply the bulk of TRIPS obligations. This transition period has been extended twice for all LDC members in response to a specific request by the LDC Group. In its decision of 29 November 2005, the TRIPS Council extended the period until 1 July 2013, and on 11 June 2013, it extended this further until 1 July 2021 — or when a particular country ceases to be in the least developed category if that happens before 2021.</w:t>
      </w:r>
      <w:r w:rsidRPr="00F01D50">
        <w:rPr>
          <w:rFonts w:eastAsiaTheme="majorEastAsia"/>
          <w:i/>
          <w:lang w:val="en"/>
        </w:rPr>
        <w:t xml:space="preserve"> </w:t>
      </w:r>
      <w:r w:rsidRPr="00F01D50">
        <w:rPr>
          <w:rFonts w:eastAsiaTheme="majorEastAsia"/>
        </w:rPr>
        <w:t xml:space="preserve">At the meeting of the Council for TRIPS on 15–16 October 2020, WTO members discussed, among other issues, the proposal presented by Chad, </w:t>
      </w:r>
      <w:r w:rsidRPr="00F01D50">
        <w:rPr>
          <w:rStyle w:val="Emphasis"/>
          <w:rFonts w:eastAsiaTheme="majorEastAsia" w:cstheme="minorHAnsi"/>
          <w:i w:val="0"/>
        </w:rPr>
        <w:t xml:space="preserve">on behalf of the LDC Group, to extend the general transitional period for LDCs to implement the TRIPS Agreement. </w:t>
      </w:r>
      <w:r w:rsidRPr="00F01D50">
        <w:rPr>
          <w:rFonts w:eastAsiaTheme="majorEastAsia"/>
        </w:rPr>
        <w:t xml:space="preserve">At its meeting on 29 June 2021, of the Council agreed to extend the deadline until 1 July 2034. Under the agreed decision, LDC country members shall not be required to apply the provisions of the TRIPS Agreement, other than Articles 3, 4 and 5, until 1 July 2034, or until the date when they cease to be a least developed country, whichever date is earlier. www.wto.org/english/news_e/news21_e/trip_30jun21_e.htm. </w:t>
      </w:r>
    </w:p>
  </w:footnote>
  <w:footnote w:id="72">
    <w:p w14:paraId="32D69510" w14:textId="12CA2942" w:rsidR="000240CE" w:rsidRPr="0055037B" w:rsidRDefault="000240CE" w:rsidP="000240CE">
      <w:pPr>
        <w:autoSpaceDE w:val="0"/>
        <w:autoSpaceDN w:val="0"/>
        <w:adjustRightInd w:val="0"/>
        <w:rPr>
          <w:rFonts w:eastAsia="MyriadPro-Regular" w:cs="Times New Roman"/>
          <w:color w:val="000000" w:themeColor="text1"/>
          <w:sz w:val="20"/>
          <w:szCs w:val="20"/>
          <w:lang w:val="en-GB"/>
        </w:rPr>
      </w:pPr>
      <w:r w:rsidRPr="00F01D50">
        <w:rPr>
          <w:rStyle w:val="FootnoteReference"/>
          <w:rFonts w:eastAsiaTheme="majorEastAsia" w:cstheme="minorHAnsi"/>
          <w:sz w:val="20"/>
          <w:szCs w:val="20"/>
        </w:rPr>
        <w:footnoteRef/>
      </w:r>
      <w:r w:rsidRPr="00F01D50">
        <w:rPr>
          <w:rFonts w:eastAsiaTheme="majorEastAsia"/>
          <w:sz w:val="20"/>
          <w:szCs w:val="20"/>
        </w:rPr>
        <w:t xml:space="preserve"> The extension of the “pharmaceutical transition period“ was originally set to expire on 1st January 2016, but has been further extended to 1st January 2033 (or earlier in case a particular country ceases to be in the LDC category). https://docs.wto.org/dol2fe/Pages/FE_Search/FE_S_S009-DP.aspx?CatalogueIdList=228924,135697,117294,75909,77445,11737,50512,1530,12953,20730&amp;CurrentCatalogueIdIndex=1. This claim is true despite the fact that Article 46 of the Bangui Agreement on transitional provisions relating to pharmaceutical products specifically refer to this waiver for LDCs. </w:t>
      </w:r>
      <w:r w:rsidR="0000075D">
        <w:rPr>
          <w:rFonts w:eastAsiaTheme="majorEastAsia"/>
          <w:sz w:val="20"/>
          <w:szCs w:val="20"/>
        </w:rPr>
        <w:t>However, its effectiveness is</w:t>
      </w:r>
      <w:r>
        <w:rPr>
          <w:rFonts w:eastAsiaTheme="majorEastAsia"/>
          <w:sz w:val="20"/>
          <w:szCs w:val="20"/>
        </w:rPr>
        <w:t xml:space="preserve"> ambivalent because of the</w:t>
      </w:r>
      <w:r w:rsidRPr="000240CE">
        <w:rPr>
          <w:rFonts w:cs="Times New Roman"/>
          <w:color w:val="000000" w:themeColor="text1"/>
          <w:sz w:val="20"/>
          <w:szCs w:val="20"/>
          <w:lang w:val="en-GB"/>
        </w:rPr>
        <w:t xml:space="preserve"> </w:t>
      </w:r>
      <w:r w:rsidRPr="000346AF">
        <w:rPr>
          <w:rFonts w:cs="Times New Roman"/>
          <w:color w:val="000000" w:themeColor="text1"/>
          <w:sz w:val="20"/>
          <w:szCs w:val="20"/>
          <w:lang w:val="en-GB"/>
        </w:rPr>
        <w:t>uniform treatment of LDC member states with no</w:t>
      </w:r>
      <w:r w:rsidR="0000075D">
        <w:rPr>
          <w:rFonts w:cs="Times New Roman"/>
          <w:color w:val="000000" w:themeColor="text1"/>
          <w:sz w:val="20"/>
          <w:szCs w:val="20"/>
          <w:lang w:val="en-GB"/>
        </w:rPr>
        <w:t>n LDCs member states by OAPI and ARIPO</w:t>
      </w:r>
      <w:r>
        <w:rPr>
          <w:rFonts w:cs="Times New Roman"/>
          <w:color w:val="000000" w:themeColor="text1"/>
          <w:sz w:val="20"/>
          <w:szCs w:val="20"/>
          <w:lang w:val="en-GB"/>
        </w:rPr>
        <w:t>.</w:t>
      </w:r>
      <w:r>
        <w:rPr>
          <w:rFonts w:eastAsiaTheme="majorEastAsia"/>
          <w:sz w:val="20"/>
          <w:szCs w:val="20"/>
        </w:rPr>
        <w:t xml:space="preserve"> This is corroborated by research. </w:t>
      </w:r>
      <w:r>
        <w:rPr>
          <w:rFonts w:cs="Times New Roman"/>
          <w:sz w:val="20"/>
          <w:szCs w:val="20"/>
          <w:lang w:val="en-GB"/>
        </w:rPr>
        <w:t>New empirical evidence</w:t>
      </w:r>
      <w:r w:rsidRPr="00F01D50">
        <w:rPr>
          <w:rFonts w:cs="Times New Roman"/>
          <w:sz w:val="20"/>
          <w:szCs w:val="20"/>
          <w:lang w:val="en-GB"/>
        </w:rPr>
        <w:t xml:space="preserve"> shows that LDC signatories to the Bangui Agreement and members of OAPI do not exempt pharmaceutical products from patentable subject matter. In</w:t>
      </w:r>
      <w:r>
        <w:rPr>
          <w:rFonts w:cs="Times New Roman"/>
          <w:sz w:val="20"/>
          <w:szCs w:val="20"/>
          <w:lang w:val="en-GB"/>
        </w:rPr>
        <w:t xml:space="preserve"> fact, out of the 33 LDCs in</w:t>
      </w:r>
      <w:r w:rsidRPr="00F01D50">
        <w:rPr>
          <w:rFonts w:cs="Times New Roman"/>
          <w:sz w:val="20"/>
          <w:szCs w:val="20"/>
          <w:lang w:val="en-GB"/>
        </w:rPr>
        <w:t xml:space="preserve"> Africa, only Angola, Madagascar, Liberia, Rwanda and Uganda have explicitly excluded pharmaceutical products from patentability criteria in their national laws. </w:t>
      </w:r>
      <w:r w:rsidR="0055037B">
        <w:rPr>
          <w:rFonts w:cs="Times New Roman"/>
          <w:sz w:val="20"/>
          <w:szCs w:val="20"/>
          <w:lang w:val="en-GB"/>
        </w:rPr>
        <w:t xml:space="preserve">For more on this </w:t>
      </w:r>
      <w:r>
        <w:rPr>
          <w:rFonts w:cs="Times New Roman"/>
          <w:sz w:val="20"/>
          <w:szCs w:val="20"/>
          <w:lang w:val="en-GB"/>
        </w:rPr>
        <w:t xml:space="preserve">analysis, see </w:t>
      </w:r>
      <w:r w:rsidR="0055037B" w:rsidRPr="000346AF">
        <w:rPr>
          <w:rFonts w:cs="Times New Roman"/>
          <w:color w:val="000000" w:themeColor="text1"/>
          <w:sz w:val="20"/>
          <w:szCs w:val="20"/>
          <w:lang w:val="en-GB"/>
        </w:rPr>
        <w:t xml:space="preserve">Marion Motari, Jean-Baptiste Nikiema, Ossy M. J. Kasilo, Stanislav Kniazkov, Andre Loua, Aissatou Sougou and Prosper Tumusiime (2021), “The Role of Intellectual Property Rights on Access to Medicines in the WHO African Region: 25 Years After the TRIPS Agreement”, 21 BMC Public Health, </w:t>
      </w:r>
      <w:r w:rsidR="0055037B" w:rsidRPr="000346AF">
        <w:rPr>
          <w:rFonts w:eastAsia="MyriadPro-Regular" w:cs="Times New Roman"/>
          <w:color w:val="000000" w:themeColor="text1"/>
          <w:sz w:val="20"/>
          <w:szCs w:val="20"/>
          <w:lang w:val="en-GB"/>
        </w:rPr>
        <w:t>490</w:t>
      </w:r>
      <w:r w:rsidR="0019280E">
        <w:rPr>
          <w:rFonts w:cs="Times New Roman"/>
          <w:sz w:val="20"/>
          <w:szCs w:val="20"/>
          <w:lang w:val="en-GB"/>
        </w:rPr>
        <w:t>.</w:t>
      </w:r>
    </w:p>
  </w:footnote>
  <w:footnote w:id="73">
    <w:p w14:paraId="6D216346" w14:textId="77777777" w:rsidR="000240CE" w:rsidRPr="00F01D50" w:rsidRDefault="000240CE" w:rsidP="00F01D50">
      <w:pPr>
        <w:pStyle w:val="FootnoteText"/>
        <w:rPr>
          <w:lang w:val="en-GB"/>
        </w:rPr>
      </w:pPr>
      <w:r w:rsidRPr="00F01D50">
        <w:rPr>
          <w:rStyle w:val="FootnoteReference"/>
          <w:rFonts w:eastAsiaTheme="majorEastAsia" w:cstheme="minorHAnsi"/>
        </w:rPr>
        <w:footnoteRef/>
      </w:r>
      <w:r w:rsidRPr="00F01D50">
        <w:rPr>
          <w:rFonts w:eastAsiaTheme="majorEastAsia"/>
        </w:rPr>
        <w:t xml:space="preserve"> Article 65(5) TRIPS.</w:t>
      </w:r>
    </w:p>
  </w:footnote>
  <w:footnote w:id="74">
    <w:p w14:paraId="34EA53D0" w14:textId="77777777" w:rsidR="000240CE" w:rsidRPr="00F01D50" w:rsidRDefault="000240CE" w:rsidP="00F01D50">
      <w:pPr>
        <w:pStyle w:val="FootnoteText"/>
      </w:pPr>
      <w:r w:rsidRPr="00F01D50">
        <w:rPr>
          <w:rStyle w:val="FootnoteReference"/>
          <w:rFonts w:eastAsiaTheme="majorEastAsia" w:cstheme="minorHAnsi"/>
        </w:rPr>
        <w:footnoteRef/>
      </w:r>
      <w:r w:rsidRPr="00F01D50">
        <w:rPr>
          <w:rFonts w:eastAsiaTheme="majorEastAsia"/>
        </w:rPr>
        <w:t xml:space="preserve"> Article 48 Bangui Agreement.</w:t>
      </w:r>
    </w:p>
  </w:footnote>
  <w:footnote w:id="75">
    <w:p w14:paraId="1C9E353F" w14:textId="77777777" w:rsidR="000240CE" w:rsidRPr="00F01D50" w:rsidRDefault="000240CE" w:rsidP="00F01D50">
      <w:pPr>
        <w:pStyle w:val="FootnoteText"/>
      </w:pPr>
      <w:r w:rsidRPr="00F01D50">
        <w:rPr>
          <w:rStyle w:val="FootnoteReference"/>
          <w:rFonts w:eastAsiaTheme="majorEastAsia" w:cstheme="minorHAnsi"/>
        </w:rPr>
        <w:footnoteRef/>
      </w:r>
      <w:r w:rsidRPr="00F01D50">
        <w:rPr>
          <w:rFonts w:eastAsiaTheme="majorEastAsia"/>
        </w:rPr>
        <w:t xml:space="preserve"> Deere, n 60, p. 257. (Emphasis added).</w:t>
      </w:r>
    </w:p>
  </w:footnote>
  <w:footnote w:id="76">
    <w:p w14:paraId="7C6D6DD3" w14:textId="77777777" w:rsidR="000240CE" w:rsidRDefault="000240CE" w:rsidP="00EB1AFB">
      <w:pPr>
        <w:pStyle w:val="FootnoteText"/>
        <w:rPr>
          <w:color w:val="000000"/>
          <w:lang w:val="en-GB"/>
        </w:rPr>
      </w:pPr>
      <w:r>
        <w:rPr>
          <w:rStyle w:val="FootnoteReference"/>
          <w:rFonts w:eastAsiaTheme="majorEastAsia" w:cstheme="minorHAnsi"/>
        </w:rPr>
        <w:footnoteRef/>
      </w:r>
      <w:r>
        <w:rPr>
          <w:rFonts w:eastAsiaTheme="majorEastAsia"/>
        </w:rPr>
        <w:t xml:space="preserve"> </w:t>
      </w:r>
      <w:r>
        <w:rPr>
          <w:rFonts w:eastAsiaTheme="majorEastAsia"/>
          <w:lang w:val="en-GB"/>
        </w:rPr>
        <w:t>OECD, Policy Response to Coronavirus (COVID-19), Africa’s Response to COVID-19: What roles for trade, manufacturing and intellectual property? (23 June 2020).</w:t>
      </w:r>
    </w:p>
  </w:footnote>
  <w:footnote w:id="77">
    <w:p w14:paraId="0D1B43D9" w14:textId="77777777" w:rsidR="000240CE" w:rsidRDefault="000240CE" w:rsidP="00EB1AFB">
      <w:pPr>
        <w:pStyle w:val="FootnoteText"/>
      </w:pPr>
      <w:r>
        <w:rPr>
          <w:rStyle w:val="FootnoteReference"/>
          <w:rFonts w:eastAsiaTheme="majorEastAsia" w:cstheme="minorHAnsi"/>
        </w:rPr>
        <w:footnoteRef/>
      </w:r>
      <w:r>
        <w:rPr>
          <w:rFonts w:eastAsiaTheme="majorEastAsia"/>
        </w:rPr>
        <w:t xml:space="preserve"> Ibid.</w:t>
      </w:r>
    </w:p>
  </w:footnote>
  <w:footnote w:id="78">
    <w:p w14:paraId="6A06899C" w14:textId="77777777" w:rsidR="000240CE" w:rsidRDefault="000240CE" w:rsidP="00EB1AFB">
      <w:pPr>
        <w:pStyle w:val="FootnoteText"/>
        <w:rPr>
          <w:rFonts w:ascii="Calibri" w:hAnsi="Calibri" w:cs="Calibri"/>
          <w:color w:val="000000"/>
          <w:lang w:val="en-GB"/>
        </w:rPr>
      </w:pPr>
      <w:r>
        <w:rPr>
          <w:rStyle w:val="FootnoteReference"/>
          <w:rFonts w:eastAsiaTheme="majorEastAsia" w:cstheme="minorHAnsi"/>
          <w:color w:val="000000" w:themeColor="text1"/>
        </w:rPr>
        <w:footnoteRef/>
      </w:r>
      <w:r>
        <w:rPr>
          <w:rFonts w:eastAsiaTheme="majorEastAsia"/>
        </w:rPr>
        <w:t xml:space="preserve"> Deere, n 60, p. 260.</w:t>
      </w:r>
    </w:p>
  </w:footnote>
  <w:footnote w:id="79">
    <w:p w14:paraId="17DA2534" w14:textId="77777777" w:rsidR="000240CE" w:rsidRDefault="000240CE" w:rsidP="00EB1AFB">
      <w:pPr>
        <w:pStyle w:val="FootnoteText"/>
        <w:rPr>
          <w:rFonts w:ascii="Calibri" w:hAnsi="Calibri" w:cs="Calibri"/>
          <w:color w:val="000000"/>
          <w:lang w:val="en-GB"/>
        </w:rPr>
      </w:pPr>
      <w:r>
        <w:rPr>
          <w:rStyle w:val="FootnoteReference"/>
          <w:rFonts w:eastAsiaTheme="majorEastAsia" w:cstheme="minorHAnsi"/>
          <w:color w:val="000000" w:themeColor="text1"/>
        </w:rPr>
        <w:footnoteRef/>
      </w:r>
      <w:r>
        <w:rPr>
          <w:rFonts w:eastAsiaTheme="majorEastAsia"/>
        </w:rPr>
        <w:t xml:space="preserve"> Ibid.</w:t>
      </w:r>
    </w:p>
  </w:footnote>
  <w:footnote w:id="80">
    <w:p w14:paraId="26D1F536" w14:textId="77777777" w:rsidR="000240CE" w:rsidRDefault="000240CE" w:rsidP="00EB1AFB">
      <w:pPr>
        <w:pStyle w:val="FootnoteText"/>
        <w:rPr>
          <w:rFonts w:eastAsia="Times New Roman"/>
          <w:lang w:val="en-GB" w:eastAsia="fi-FI"/>
        </w:rPr>
      </w:pPr>
      <w:r>
        <w:rPr>
          <w:rStyle w:val="FootnoteReference"/>
          <w:rFonts w:eastAsiaTheme="majorEastAsia" w:cstheme="minorHAnsi"/>
          <w:lang w:val="en-GB"/>
        </w:rPr>
        <w:footnoteRef/>
      </w:r>
      <w:r>
        <w:rPr>
          <w:lang w:val="en-GB"/>
        </w:rPr>
        <w:t xml:space="preserve"> </w:t>
      </w:r>
      <w:r>
        <w:rPr>
          <w:lang w:val="en-GB" w:eastAsia="fi-FI"/>
        </w:rPr>
        <w:t xml:space="preserve">Acquah, n 10. </w:t>
      </w:r>
    </w:p>
  </w:footnote>
  <w:footnote w:id="81">
    <w:p w14:paraId="5FB8F0BB" w14:textId="77777777" w:rsidR="000240CE" w:rsidRDefault="000240CE" w:rsidP="00EB1AFB">
      <w:pPr>
        <w:pStyle w:val="FootnoteText"/>
        <w:rPr>
          <w:lang w:val="en-GB"/>
        </w:rPr>
      </w:pPr>
      <w:r>
        <w:rPr>
          <w:rStyle w:val="FootnoteReference"/>
          <w:rFonts w:eastAsiaTheme="majorEastAsia" w:cstheme="minorHAnsi"/>
        </w:rPr>
        <w:footnoteRef/>
      </w:r>
      <w:r>
        <w:rPr>
          <w:rFonts w:eastAsiaTheme="majorEastAsia"/>
        </w:rPr>
        <w:t xml:space="preserve"> Acquah, n 7.</w:t>
      </w:r>
    </w:p>
  </w:footnote>
  <w:footnote w:id="82">
    <w:p w14:paraId="54F82726" w14:textId="77777777" w:rsidR="000240CE" w:rsidRDefault="000240CE" w:rsidP="00EB1AFB">
      <w:pPr>
        <w:pStyle w:val="FootnoteText"/>
        <w:rPr>
          <w:lang w:val="en-GB"/>
        </w:rPr>
      </w:pPr>
      <w:r>
        <w:rPr>
          <w:rStyle w:val="FootnoteReference"/>
          <w:rFonts w:eastAsiaTheme="majorEastAsia" w:cstheme="minorHAnsi"/>
        </w:rPr>
        <w:footnoteRef/>
      </w:r>
      <w:r>
        <w:rPr>
          <w:rFonts w:eastAsiaTheme="majorEastAsia"/>
        </w:rPr>
        <w:t xml:space="preserve"> </w:t>
      </w:r>
      <w:r>
        <w:rPr>
          <w:rFonts w:eastAsiaTheme="majorEastAsia"/>
          <w:lang w:val="en-GB"/>
        </w:rPr>
        <w:t>Deere, n 60, p. 262.</w:t>
      </w:r>
    </w:p>
  </w:footnote>
  <w:footnote w:id="83">
    <w:p w14:paraId="4F02C840" w14:textId="77777777" w:rsidR="000240CE" w:rsidRDefault="000240CE" w:rsidP="00EB1AFB">
      <w:pPr>
        <w:pStyle w:val="FootnoteText"/>
        <w:rPr>
          <w:color w:val="000000"/>
          <w:lang w:val="en-GB"/>
        </w:rPr>
      </w:pPr>
      <w:r>
        <w:rPr>
          <w:rStyle w:val="FootnoteReference"/>
          <w:rFonts w:eastAsiaTheme="majorEastAsia" w:cstheme="minorHAnsi"/>
          <w:color w:val="000000" w:themeColor="text1"/>
        </w:rPr>
        <w:footnoteRef/>
      </w:r>
      <w:r>
        <w:rPr>
          <w:rFonts w:eastAsiaTheme="majorEastAsia"/>
        </w:rPr>
        <w:t xml:space="preserve"> Deere, n 60, p. 261.</w:t>
      </w:r>
    </w:p>
  </w:footnote>
  <w:footnote w:id="84">
    <w:p w14:paraId="38C92B39" w14:textId="414D10A4" w:rsidR="000240CE" w:rsidRDefault="000240CE" w:rsidP="00EB1AFB">
      <w:pPr>
        <w:pStyle w:val="FootnoteText"/>
        <w:rPr>
          <w:color w:val="000000"/>
          <w:lang w:val="en-GB"/>
        </w:rPr>
      </w:pPr>
      <w:r>
        <w:rPr>
          <w:rStyle w:val="FootnoteReference"/>
          <w:rFonts w:eastAsiaTheme="majorEastAsia" w:cstheme="minorHAnsi"/>
          <w:color w:val="000000" w:themeColor="text1"/>
        </w:rPr>
        <w:footnoteRef/>
      </w:r>
      <w:r>
        <w:rPr>
          <w:rFonts w:eastAsiaTheme="majorEastAsia"/>
        </w:rPr>
        <w:t xml:space="preserve"> </w:t>
      </w:r>
      <w:r>
        <w:rPr>
          <w:rFonts w:eastAsiaTheme="majorEastAsia"/>
          <w:lang w:val="en-GB"/>
        </w:rPr>
        <w:t>OAPI (2001) “Information Memo on the Revised Bangui Agreement,“ Yaoundé, Cameroun.</w:t>
      </w:r>
      <w:r>
        <w:rPr>
          <w:rFonts w:eastAsiaTheme="majorEastAsia"/>
        </w:rPr>
        <w:t xml:space="preserve"> According to the OAPI Secretariat, </w:t>
      </w:r>
      <w:r>
        <w:rPr>
          <w:rFonts w:eastAsiaTheme="majorEastAsia"/>
          <w:lang w:val="en-GB"/>
        </w:rPr>
        <w:t>the draft instruments were submitted in 1997 to governments for comments, suggestions, and further elaboration, and also to other partners, such as WIPO, UPOV, the European Patent Office, and INPI. This process was combined with meetings of experts</w:t>
      </w:r>
      <w:r>
        <w:rPr>
          <w:rFonts w:eastAsiaTheme="majorEastAsia"/>
          <w:b/>
          <w:bCs/>
          <w:lang w:val="en-GB"/>
        </w:rPr>
        <w:t xml:space="preserve"> </w:t>
      </w:r>
      <w:r>
        <w:rPr>
          <w:rFonts w:eastAsiaTheme="majorEastAsia"/>
          <w:lang w:val="en-GB"/>
        </w:rPr>
        <w:t xml:space="preserve">from OAPI member states and partners in Conakry (November 1997), Abidjan (February 1998), Ouagadougou (July 1998), and Nouakchott (November 1998). </w:t>
      </w:r>
    </w:p>
  </w:footnote>
  <w:footnote w:id="85">
    <w:p w14:paraId="188BF9BC" w14:textId="77777777" w:rsidR="000240CE" w:rsidRDefault="000240CE" w:rsidP="00EB1AFB">
      <w:pPr>
        <w:pStyle w:val="FootnoteText"/>
        <w:rPr>
          <w:color w:val="000000"/>
          <w:lang w:val="en-GB"/>
        </w:rPr>
      </w:pPr>
      <w:r>
        <w:rPr>
          <w:rStyle w:val="FootnoteReference"/>
          <w:rFonts w:eastAsiaTheme="majorEastAsia" w:cstheme="minorHAnsi"/>
          <w:color w:val="000000" w:themeColor="text1"/>
        </w:rPr>
        <w:footnoteRef/>
      </w:r>
      <w:r>
        <w:rPr>
          <w:rFonts w:eastAsiaTheme="majorEastAsia"/>
        </w:rPr>
        <w:t xml:space="preserve">Deere, n 60, p. 261. </w:t>
      </w:r>
    </w:p>
  </w:footnote>
  <w:footnote w:id="86">
    <w:p w14:paraId="4CF85479" w14:textId="6B929366" w:rsidR="000240CE" w:rsidRDefault="000240CE" w:rsidP="00EB1AFB">
      <w:pPr>
        <w:pStyle w:val="FootnoteText"/>
        <w:rPr>
          <w:lang w:val="en-GB"/>
        </w:rPr>
      </w:pPr>
      <w:r>
        <w:rPr>
          <w:rStyle w:val="FootnoteReference"/>
          <w:rFonts w:eastAsiaTheme="majorEastAsia" w:cstheme="minorHAnsi"/>
        </w:rPr>
        <w:footnoteRef/>
      </w:r>
      <w:r>
        <w:rPr>
          <w:rFonts w:eastAsiaTheme="majorEastAsia"/>
          <w:lang w:val="en-GB"/>
        </w:rPr>
        <w:t xml:space="preserve"> Adebola, n 51, pp. 257–8.</w:t>
      </w:r>
    </w:p>
  </w:footnote>
  <w:footnote w:id="87">
    <w:p w14:paraId="6DCD821E" w14:textId="6D831B46" w:rsidR="000240CE" w:rsidRDefault="000240CE" w:rsidP="00EB1AFB">
      <w:pPr>
        <w:pStyle w:val="FootnoteText"/>
        <w:rPr>
          <w:lang w:val="en-GB"/>
        </w:rPr>
      </w:pPr>
      <w:r>
        <w:rPr>
          <w:rStyle w:val="FootnoteReference"/>
          <w:rFonts w:eastAsiaTheme="majorEastAsia" w:cstheme="minorHAnsi"/>
        </w:rPr>
        <w:footnoteRef/>
      </w:r>
      <w:r>
        <w:rPr>
          <w:rFonts w:eastAsiaTheme="majorEastAsia"/>
        </w:rPr>
        <w:t xml:space="preserve"> </w:t>
      </w:r>
      <w:r>
        <w:rPr>
          <w:rFonts w:eastAsiaTheme="majorEastAsia"/>
          <w:color w:val="000000"/>
        </w:rPr>
        <w:t>The nine countries were Ghana, Kenya, Lesotho, Liberia, Malawi, Nigeria, Tanzania, Uganda and Zambia.</w:t>
      </w:r>
    </w:p>
  </w:footnote>
  <w:footnote w:id="88">
    <w:p w14:paraId="0005A2C7" w14:textId="77777777" w:rsidR="000240CE" w:rsidRDefault="000240CE" w:rsidP="00EB1AFB">
      <w:pPr>
        <w:pStyle w:val="FootnoteText"/>
        <w:rPr>
          <w:lang w:val="en-GB"/>
        </w:rPr>
      </w:pPr>
      <w:r>
        <w:rPr>
          <w:rStyle w:val="FootnoteReference"/>
          <w:rFonts w:eastAsiaTheme="majorEastAsia" w:cstheme="minorHAnsi"/>
        </w:rPr>
        <w:footnoteRef/>
      </w:r>
      <w:r>
        <w:rPr>
          <w:rFonts w:eastAsiaTheme="majorEastAsia"/>
        </w:rPr>
        <w:t xml:space="preserve"> ARIPO, Our History, 2021.</w:t>
      </w:r>
    </w:p>
  </w:footnote>
  <w:footnote w:id="89">
    <w:p w14:paraId="734252BA" w14:textId="44A90BEA" w:rsidR="000240CE" w:rsidRDefault="000240CE" w:rsidP="00EB1AFB">
      <w:pPr>
        <w:pStyle w:val="FootnoteText"/>
      </w:pPr>
      <w:r>
        <w:rPr>
          <w:rStyle w:val="FootnoteReference"/>
          <w:rFonts w:eastAsiaTheme="majorEastAsia" w:cstheme="minorHAnsi"/>
        </w:rPr>
        <w:footnoteRef/>
      </w:r>
      <w:r>
        <w:rPr>
          <w:rFonts w:eastAsiaTheme="majorEastAsia"/>
        </w:rPr>
        <w:t xml:space="preserve"> See ARIPO, Agreement on the Creation of the African Regional Intellectual Property Organization as adopted by the Diplomatic Conference for the adoption of an Agreement on the Creation of an Industrial Property Organization for English-Speaking Africa at Lusaka (Zambia) on December 9, 1976, and amended by the Administrative Council of ARIPO on December 10, 1982, December 12, 1986 and November 27, 1996, and as amended by the Council of Ministers on August 13, 2004)</w:t>
      </w:r>
      <w:r>
        <w:rPr>
          <w:rFonts w:eastAsiaTheme="majorEastAsia"/>
          <w:color w:val="000000"/>
        </w:rPr>
        <w:t xml:space="preserve">. Available at </w:t>
      </w:r>
      <w:r w:rsidRPr="00F042C3">
        <w:rPr>
          <w:rFonts w:eastAsiaTheme="majorEastAsia"/>
          <w:sz w:val="22"/>
          <w:szCs w:val="22"/>
        </w:rPr>
        <w:t>www.aripo.org/wp-content/uploads/2018/12/Lusaka-Agreement1.pdf</w:t>
      </w:r>
      <w:r>
        <w:rPr>
          <w:rFonts w:eastAsiaTheme="majorEastAsia"/>
          <w:sz w:val="22"/>
          <w:szCs w:val="22"/>
        </w:rPr>
        <w:t xml:space="preserve">. As of 31 December 2020, </w:t>
      </w:r>
      <w:r>
        <w:rPr>
          <w:rFonts w:eastAsiaTheme="majorEastAsia"/>
          <w:color w:val="000000"/>
        </w:rPr>
        <w:t xml:space="preserve">ARIPO has 20 Members, Botswana, Eswatini, Gambia, Ghana, Kenya, Lesotho, Liberia, Malawi, Mauritius, Mozambique, Namibia, Rwanda, Sao Tome and Principe, Sierra Leone, Somalia, Sudan, Tanzania, Uganda, Zambia and Zimbabwe. </w:t>
      </w:r>
      <w:r>
        <w:rPr>
          <w:rFonts w:eastAsiaTheme="majorEastAsia"/>
        </w:rPr>
        <w:t xml:space="preserve"> </w:t>
      </w:r>
    </w:p>
  </w:footnote>
  <w:footnote w:id="90">
    <w:p w14:paraId="526CB0BE" w14:textId="369AA8F8" w:rsidR="000240CE" w:rsidRDefault="000240CE" w:rsidP="00EB1AFB">
      <w:pPr>
        <w:pStyle w:val="FootnoteText"/>
        <w:rPr>
          <w:rFonts w:ascii="Calibri" w:hAnsi="Calibri" w:cs="Calibri"/>
        </w:rPr>
      </w:pPr>
      <w:r>
        <w:rPr>
          <w:rStyle w:val="FootnoteReference"/>
          <w:rFonts w:eastAsiaTheme="majorEastAsia" w:cstheme="minorHAnsi"/>
        </w:rPr>
        <w:footnoteRef/>
      </w:r>
      <w:r>
        <w:rPr>
          <w:rFonts w:eastAsiaTheme="majorEastAsia"/>
        </w:rPr>
        <w:t xml:space="preserve"> </w:t>
      </w:r>
      <w:r>
        <w:rPr>
          <w:rFonts w:eastAsiaTheme="majorEastAsia"/>
          <w:lang w:val="en-GB" w:eastAsia="fi-FI"/>
        </w:rPr>
        <w:t xml:space="preserve">Deere Birkbeck, Carolyn (2009), “Developing Country Perspectives on Intellectual Property in the WTO: Setting the Pre-TRIPS Context“, in Carlos Correa (ed.) Research Handbook on Intellectual Property Law and the WTO, (Edward Elgar: Oxford). Available at SSRN: </w:t>
      </w:r>
      <w:r w:rsidRPr="00F042C3">
        <w:rPr>
          <w:rFonts w:eastAsiaTheme="majorEastAsia"/>
          <w:lang w:val="en-GB" w:eastAsia="fi-FI"/>
        </w:rPr>
        <w:t xml:space="preserve">https://ssrn.com/abstract=1405430. </w:t>
      </w:r>
    </w:p>
  </w:footnote>
  <w:footnote w:id="91">
    <w:p w14:paraId="2EC54483" w14:textId="77777777" w:rsidR="000240CE" w:rsidRDefault="000240CE" w:rsidP="00EB1AFB">
      <w:pPr>
        <w:pStyle w:val="FootnoteText"/>
      </w:pPr>
      <w:r>
        <w:rPr>
          <w:rStyle w:val="FootnoteReference"/>
          <w:rFonts w:eastAsiaTheme="majorEastAsia" w:cstheme="minorHAnsi"/>
        </w:rPr>
        <w:footnoteRef/>
      </w:r>
      <w:r>
        <w:rPr>
          <w:rFonts w:eastAsiaTheme="majorEastAsia"/>
        </w:rPr>
        <w:t xml:space="preserve"> ARIPO, Our History, 2021.</w:t>
      </w:r>
    </w:p>
  </w:footnote>
  <w:footnote w:id="92">
    <w:p w14:paraId="60E2271C" w14:textId="77777777" w:rsidR="000240CE" w:rsidRDefault="000240CE" w:rsidP="00EB1AFB">
      <w:pPr>
        <w:pStyle w:val="FootnoteText"/>
      </w:pPr>
      <w:r>
        <w:rPr>
          <w:rStyle w:val="FootnoteReference"/>
          <w:rFonts w:eastAsiaTheme="majorEastAsia" w:cstheme="minorHAnsi"/>
        </w:rPr>
        <w:footnoteRef/>
      </w:r>
      <w:r>
        <w:rPr>
          <w:rFonts w:eastAsiaTheme="majorEastAsia"/>
        </w:rPr>
        <w:t xml:space="preserve"> Such as </w:t>
      </w:r>
      <w:r>
        <w:rPr>
          <w:rFonts w:eastAsiaTheme="majorEastAsia"/>
          <w:lang w:val="en-GB"/>
        </w:rPr>
        <w:t>traditional knowledge, copyright, genetic</w:t>
      </w:r>
      <w:r>
        <w:rPr>
          <w:rFonts w:eastAsiaTheme="majorEastAsia"/>
        </w:rPr>
        <w:t xml:space="preserve"> </w:t>
      </w:r>
      <w:r>
        <w:rPr>
          <w:rFonts w:eastAsiaTheme="majorEastAsia"/>
          <w:lang w:val="en-GB"/>
        </w:rPr>
        <w:t>resources, and expressions of folklore.</w:t>
      </w:r>
      <w:r>
        <w:rPr>
          <w:rFonts w:eastAsiaTheme="majorEastAsia"/>
        </w:rPr>
        <w:t xml:space="preserve"> </w:t>
      </w:r>
    </w:p>
  </w:footnote>
  <w:footnote w:id="93">
    <w:p w14:paraId="5F034EFD" w14:textId="76875F75" w:rsidR="000240CE" w:rsidRDefault="000240CE" w:rsidP="00EB1AFB">
      <w:pPr>
        <w:pStyle w:val="FootnoteText"/>
        <w:rPr>
          <w:lang w:val="en-GB"/>
        </w:rPr>
      </w:pPr>
      <w:r>
        <w:rPr>
          <w:rStyle w:val="FootnoteReference"/>
          <w:rFonts w:eastAsiaTheme="majorEastAsia" w:cstheme="minorHAnsi"/>
        </w:rPr>
        <w:footnoteRef/>
      </w:r>
      <w:r>
        <w:rPr>
          <w:rFonts w:eastAsiaTheme="majorEastAsia"/>
          <w:color w:val="000000"/>
        </w:rPr>
        <w:t xml:space="preserve"> The Harare Protocol on Patents was adopted on 10 December 1982. This Protocol has been amended on fourteen occasions, the latest one being on 20 November 2019. </w:t>
      </w:r>
      <w:r>
        <w:rPr>
          <w:rFonts w:eastAsiaTheme="majorEastAsia"/>
        </w:rPr>
        <w:t xml:space="preserve">The </w:t>
      </w:r>
      <w:r>
        <w:rPr>
          <w:rFonts w:eastAsiaTheme="majorEastAsia"/>
          <w:color w:val="000000"/>
        </w:rPr>
        <w:t xml:space="preserve">Banjul Protocol on Marks was adopted by the Administrative Council at Banjul, The Gambia, on 19 November 1993. Amended on nine occasions, the latest one being on 20 November 2019. The Swakopmund Protocol was adopted by a Diplomatic Conference of ARIPO at Swakopmund, Namibia, on 9 August 2010 and amended on 6 December 2016. The Arusha Protocol was adopted by a Diplomatic Conference of ARIPO at Arusha, Tanzania, on 6 July </w:t>
      </w:r>
      <w:r>
        <w:rPr>
          <w:rStyle w:val="A5"/>
          <w:rFonts w:eastAsiaTheme="majorEastAsia" w:cstheme="minorHAnsi"/>
          <w:sz w:val="20"/>
          <w:szCs w:val="20"/>
        </w:rPr>
        <w:t>2015. The Arusha Protocol is not yet in force. It will enter into force twelve months after four States have deposited their instruments of ratification or accession.</w:t>
      </w:r>
    </w:p>
  </w:footnote>
  <w:footnote w:id="94">
    <w:p w14:paraId="1CFA1661" w14:textId="77777777" w:rsidR="000240CE" w:rsidRDefault="000240CE" w:rsidP="00EB1AFB">
      <w:pPr>
        <w:pStyle w:val="FootnoteText"/>
      </w:pPr>
      <w:r>
        <w:rPr>
          <w:rStyle w:val="FootnoteReference"/>
          <w:rFonts w:eastAsiaTheme="majorEastAsia" w:cstheme="minorHAnsi"/>
        </w:rPr>
        <w:footnoteRef/>
      </w:r>
      <w:r>
        <w:rPr>
          <w:rFonts w:eastAsiaTheme="majorEastAsia"/>
        </w:rPr>
        <w:t xml:space="preserve"> Adebola, n 51 p. 262. </w:t>
      </w:r>
    </w:p>
  </w:footnote>
  <w:footnote w:id="95">
    <w:p w14:paraId="4139523E" w14:textId="2279A96C" w:rsidR="000240CE" w:rsidRDefault="000240CE" w:rsidP="00EB1AFB">
      <w:pPr>
        <w:pStyle w:val="FootnoteText"/>
        <w:rPr>
          <w:color w:val="000000"/>
          <w:lang w:val="en-GB"/>
        </w:rPr>
      </w:pPr>
      <w:r>
        <w:rPr>
          <w:rStyle w:val="FootnoteReference"/>
          <w:rFonts w:eastAsiaTheme="majorEastAsia" w:cstheme="minorHAnsi"/>
        </w:rPr>
        <w:footnoteRef/>
      </w:r>
      <w:r>
        <w:rPr>
          <w:rFonts w:eastAsiaTheme="majorEastAsia"/>
        </w:rPr>
        <w:t xml:space="preserve"> Section 5(2) of the Swakopmund Protocol provides that “Contracting States and ARIPO Office may maintain registers or other records of the knowledge, where appropriate and subject to relevant policies, laws and procedures.</w:t>
      </w:r>
    </w:p>
  </w:footnote>
  <w:footnote w:id="96">
    <w:p w14:paraId="4F14E78B" w14:textId="77777777" w:rsidR="000240CE" w:rsidRDefault="000240CE" w:rsidP="00EB1AFB">
      <w:pPr>
        <w:pStyle w:val="FootnoteText"/>
        <w:rPr>
          <w:lang w:val="en-GB"/>
        </w:rPr>
      </w:pPr>
      <w:r>
        <w:rPr>
          <w:rStyle w:val="FootnoteReference"/>
          <w:rFonts w:eastAsiaTheme="majorEastAsia" w:cstheme="minorHAnsi"/>
        </w:rPr>
        <w:footnoteRef/>
      </w:r>
      <w:r>
        <w:rPr>
          <w:rFonts w:eastAsiaTheme="majorEastAsia"/>
        </w:rPr>
        <w:t xml:space="preserve"> </w:t>
      </w:r>
      <w:r>
        <w:rPr>
          <w:rFonts w:eastAsiaTheme="majorEastAsia"/>
          <w:lang w:val="en-GB"/>
        </w:rPr>
        <w:t>Article 17 of the Arusha Protocol.</w:t>
      </w:r>
    </w:p>
  </w:footnote>
  <w:footnote w:id="97">
    <w:p w14:paraId="7003A339" w14:textId="2B285354" w:rsidR="000240CE" w:rsidRDefault="000240CE" w:rsidP="00EB1AFB">
      <w:pPr>
        <w:pStyle w:val="FootnoteText"/>
        <w:rPr>
          <w:lang w:val="en-GB"/>
        </w:rPr>
      </w:pPr>
      <w:r>
        <w:rPr>
          <w:rStyle w:val="FootnoteReference"/>
          <w:rFonts w:eastAsiaTheme="majorEastAsia" w:cstheme="minorHAnsi"/>
        </w:rPr>
        <w:footnoteRef/>
      </w:r>
      <w:r>
        <w:rPr>
          <w:rFonts w:eastAsiaTheme="majorEastAsia"/>
        </w:rPr>
        <w:t xml:space="preserve"> </w:t>
      </w:r>
      <w:r>
        <w:rPr>
          <w:rFonts w:eastAsiaTheme="majorEastAsia"/>
          <w:lang w:val="en-GB"/>
        </w:rPr>
        <w:t xml:space="preserve">Carolyn Deere Birkbeck(2016), “WIPO’s Development Agenda and the Push for Development-oriented Capacitybuilding on Intellectual Property: How Poor Governance, Weak Management, and Inconsistent Demand Hindered Progress“, Oxford University Global Economic Governance Programme Working Paper 105, 1, </w:t>
      </w:r>
      <w:r w:rsidRPr="00F042C3">
        <w:rPr>
          <w:rFonts w:eastAsiaTheme="majorEastAsia"/>
          <w:lang w:val="en-GB"/>
        </w:rPr>
        <w:t>www.geg.ox.ac.uk/publication/geg-wp-2015105-wipos-development-agenda-and-push-development-oriented-capacitybuilding</w:t>
      </w:r>
      <w:r>
        <w:rPr>
          <w:rFonts w:eastAsiaTheme="majorEastAsia"/>
          <w:lang w:val="en-GB"/>
        </w:rPr>
        <w:t>.</w:t>
      </w:r>
    </w:p>
  </w:footnote>
  <w:footnote w:id="98">
    <w:p w14:paraId="5699B8D8" w14:textId="77777777" w:rsidR="000240CE" w:rsidRDefault="000240CE" w:rsidP="00EB1AFB">
      <w:pPr>
        <w:pStyle w:val="FootnoteText"/>
        <w:rPr>
          <w:color w:val="000000"/>
          <w:lang w:val="en-GB"/>
        </w:rPr>
      </w:pPr>
      <w:r>
        <w:rPr>
          <w:rStyle w:val="FootnoteReference"/>
          <w:rFonts w:eastAsiaTheme="majorEastAsia" w:cstheme="minorHAnsi"/>
          <w:color w:val="000000" w:themeColor="text1"/>
        </w:rPr>
        <w:footnoteRef/>
      </w:r>
      <w:r>
        <w:rPr>
          <w:rFonts w:eastAsiaTheme="majorEastAsia"/>
        </w:rPr>
        <w:t xml:space="preserve"> </w:t>
      </w:r>
      <w:r>
        <w:rPr>
          <w:rFonts w:eastAsiaTheme="majorEastAsia"/>
          <w:lang w:val="en-GB"/>
        </w:rPr>
        <w:t>Ibid.</w:t>
      </w:r>
    </w:p>
  </w:footnote>
  <w:footnote w:id="99">
    <w:p w14:paraId="6255091D" w14:textId="4FBF2681" w:rsidR="000240CE" w:rsidRDefault="000240CE" w:rsidP="00EB1AFB">
      <w:pPr>
        <w:pStyle w:val="FootnoteText"/>
        <w:rPr>
          <w:color w:val="000000"/>
          <w:lang w:val="en-GB"/>
        </w:rPr>
      </w:pPr>
      <w:r>
        <w:rPr>
          <w:rStyle w:val="FootnoteReference"/>
          <w:rFonts w:eastAsiaTheme="majorEastAsia" w:cstheme="minorHAnsi"/>
          <w:color w:val="000000" w:themeColor="text1"/>
        </w:rPr>
        <w:footnoteRef/>
      </w:r>
      <w:r>
        <w:rPr>
          <w:rFonts w:eastAsiaTheme="majorEastAsia"/>
        </w:rPr>
        <w:t xml:space="preserve"> </w:t>
      </w:r>
      <w:r>
        <w:rPr>
          <w:rFonts w:eastAsiaTheme="majorEastAsia"/>
          <w:lang w:val="en-GB"/>
        </w:rPr>
        <w:t>Deere, n 60, p. 268. The Consultative Committee that meets annually, often attended by the heads of OAPI, ARIPO, and the Africa Bureau of WIPO, sometimes with additional staff or guests from OAPI and WIPO. Deere asserts that there are usually not more than nine participants at Committee meetings and no representatives of the OAPI or ARIPO member states ever attend. This further illustrates how through this Committee, a relatively small group of international bureaucrats exercise decisive leadership and influence on IP decision‐making and capacity in the region.</w:t>
      </w:r>
    </w:p>
  </w:footnote>
  <w:footnote w:id="100">
    <w:p w14:paraId="734B84C9" w14:textId="77777777" w:rsidR="000240CE" w:rsidRDefault="000240CE" w:rsidP="00EB1AFB">
      <w:pPr>
        <w:pStyle w:val="FootnoteText"/>
        <w:rPr>
          <w:lang w:val="en-GB"/>
        </w:rPr>
      </w:pPr>
      <w:r>
        <w:rPr>
          <w:rStyle w:val="FootnoteReference"/>
          <w:rFonts w:eastAsiaTheme="majorEastAsia" w:cstheme="minorHAnsi"/>
        </w:rPr>
        <w:footnoteRef/>
      </w:r>
      <w:r>
        <w:rPr>
          <w:rFonts w:eastAsiaTheme="majorEastAsia"/>
        </w:rPr>
        <w:t xml:space="preserve"> Ibid. </w:t>
      </w:r>
    </w:p>
  </w:footnote>
  <w:footnote w:id="101">
    <w:p w14:paraId="3331F866" w14:textId="77777777" w:rsidR="000240CE" w:rsidRDefault="000240CE" w:rsidP="00EB1AFB">
      <w:pPr>
        <w:pStyle w:val="FootnoteText"/>
        <w:rPr>
          <w:lang w:val="en-GB"/>
        </w:rPr>
      </w:pPr>
      <w:r>
        <w:rPr>
          <w:rStyle w:val="FootnoteReference"/>
          <w:rFonts w:eastAsiaTheme="majorEastAsia" w:cstheme="minorHAnsi"/>
          <w:lang w:val="en-GB"/>
        </w:rPr>
        <w:footnoteRef/>
      </w:r>
      <w:r>
        <w:rPr>
          <w:rFonts w:eastAsiaTheme="majorEastAsia"/>
          <w:lang w:val="en-GB"/>
        </w:rPr>
        <w:t xml:space="preserve"> Ibid.</w:t>
      </w:r>
    </w:p>
  </w:footnote>
  <w:footnote w:id="102">
    <w:p w14:paraId="1F1331C1" w14:textId="77777777" w:rsidR="000240CE" w:rsidRDefault="000240CE" w:rsidP="00EB1AFB">
      <w:pPr>
        <w:pStyle w:val="FootnoteText"/>
        <w:rPr>
          <w:lang w:val="en-GB"/>
        </w:rPr>
      </w:pPr>
      <w:r>
        <w:rPr>
          <w:rStyle w:val="FootnoteReference"/>
          <w:rFonts w:eastAsiaTheme="majorEastAsia" w:cstheme="minorHAnsi"/>
          <w:lang w:val="en-GB"/>
        </w:rPr>
        <w:footnoteRef/>
      </w:r>
      <w:r>
        <w:rPr>
          <w:rFonts w:eastAsiaTheme="majorEastAsia"/>
          <w:lang w:val="en-GB"/>
        </w:rPr>
        <w:t xml:space="preserve"> Ibid.</w:t>
      </w:r>
    </w:p>
  </w:footnote>
  <w:footnote w:id="103">
    <w:p w14:paraId="3E6884A4" w14:textId="6259ED0A" w:rsidR="000240CE" w:rsidRDefault="000240CE" w:rsidP="00EB1AFB">
      <w:pPr>
        <w:pStyle w:val="FootnoteText"/>
      </w:pPr>
      <w:r>
        <w:rPr>
          <w:rStyle w:val="FootnoteReference"/>
          <w:rFonts w:eastAsiaTheme="majorEastAsia" w:cstheme="minorHAnsi"/>
        </w:rPr>
        <w:footnoteRef/>
      </w:r>
      <w:r>
        <w:rPr>
          <w:rFonts w:eastAsiaTheme="majorEastAsia"/>
        </w:rPr>
        <w:t xml:space="preserve"> </w:t>
      </w:r>
      <w:r>
        <w:rPr>
          <w:rFonts w:eastAsiaTheme="majorEastAsia"/>
          <w:color w:val="000000"/>
        </w:rPr>
        <w:t>OAPI is a party to the UPOV 1991 Act</w:t>
      </w:r>
      <w:r>
        <w:rPr>
          <w:rFonts w:eastAsiaTheme="majorEastAsia"/>
        </w:rPr>
        <w:t xml:space="preserve">. See </w:t>
      </w:r>
      <w:r w:rsidRPr="00F042C3">
        <w:rPr>
          <w:rFonts w:eastAsiaTheme="majorEastAsia"/>
        </w:rPr>
        <w:t>www.upov.int/edocs/pubdocs/en/upov_pub_423.pdf</w:t>
      </w:r>
      <w:r>
        <w:rPr>
          <w:rFonts w:eastAsiaTheme="majorEastAsia"/>
        </w:rPr>
        <w:t xml:space="preserve">. </w:t>
      </w:r>
    </w:p>
  </w:footnote>
  <w:footnote w:id="104">
    <w:p w14:paraId="4AB56503" w14:textId="6ACA7097" w:rsidR="000240CE" w:rsidRDefault="000240CE" w:rsidP="00EB1AFB">
      <w:pPr>
        <w:pStyle w:val="FootnoteText"/>
        <w:rPr>
          <w:color w:val="000000"/>
        </w:rPr>
      </w:pPr>
      <w:r>
        <w:rPr>
          <w:rStyle w:val="FootnoteReference"/>
          <w:rFonts w:eastAsiaTheme="majorEastAsia" w:cstheme="minorHAnsi"/>
        </w:rPr>
        <w:footnoteRef/>
      </w:r>
      <w:r>
        <w:rPr>
          <w:rFonts w:eastAsiaTheme="majorEastAsia"/>
        </w:rPr>
        <w:t xml:space="preserve"> Article 3bis (4) of the Harare Protocol carries that the ARIPO Office “shall act as designated Office under Article 2(xiii) of the Patent Cooperation Treaty in relation to an international application referred to in Sub-section (2) of this section“. Article 3bis (3) further notes that “the Office may act as receiving Office under Article 2(xv) of the Patent Cooperation Treaty in relation to an international application filed by an applicant who is a resident or national of a Contracting State which is also bound by the Patent Cooperation Treaty“.</w:t>
      </w:r>
    </w:p>
    <w:p w14:paraId="2BF11156" w14:textId="77777777" w:rsidR="000240CE" w:rsidRDefault="000240CE" w:rsidP="00EB1AFB">
      <w:pPr>
        <w:pStyle w:val="FootnoteText"/>
        <w:rPr>
          <w:color w:val="FF0000"/>
        </w:rPr>
      </w:pPr>
    </w:p>
  </w:footnote>
  <w:footnote w:id="105">
    <w:p w14:paraId="5A32E3A3" w14:textId="77777777" w:rsidR="000240CE" w:rsidRDefault="000240CE" w:rsidP="00EB1AFB">
      <w:pPr>
        <w:pStyle w:val="FootnoteText"/>
      </w:pPr>
      <w:r>
        <w:rPr>
          <w:rStyle w:val="FootnoteReference"/>
          <w:rFonts w:eastAsiaTheme="majorEastAsia" w:cstheme="minorHAnsi"/>
        </w:rPr>
        <w:footnoteRef/>
      </w:r>
      <w:r>
        <w:rPr>
          <w:rFonts w:eastAsiaTheme="majorEastAsia"/>
        </w:rPr>
        <w:t xml:space="preserve"> For a list of these instruments, see n 47.</w:t>
      </w:r>
    </w:p>
  </w:footnote>
  <w:footnote w:id="106">
    <w:p w14:paraId="6D53C46C" w14:textId="77777777" w:rsidR="000240CE" w:rsidRDefault="000240CE" w:rsidP="00EB1AFB">
      <w:pPr>
        <w:pStyle w:val="FootnoteText"/>
        <w:rPr>
          <w:color w:val="000000"/>
        </w:rPr>
      </w:pPr>
      <w:r>
        <w:rPr>
          <w:rStyle w:val="FootnoteReference"/>
          <w:rFonts w:eastAsiaTheme="majorEastAsia" w:cstheme="minorHAnsi"/>
          <w:color w:val="000000" w:themeColor="text1"/>
        </w:rPr>
        <w:footnoteRef/>
      </w:r>
      <w:r>
        <w:rPr>
          <w:rFonts w:eastAsiaTheme="majorEastAsia"/>
        </w:rPr>
        <w:t xml:space="preserve"> The conference was organised by WIPO, in cooperation with the AU Commission, the Government of the Republic of Senegal and the Japan Patent Office. The objective of the conference was to highlight the relevance of intellectual property as an engine for promoting creativity, innovation, scientific and technological transformation of African economies.</w:t>
      </w:r>
    </w:p>
  </w:footnote>
  <w:footnote w:id="107">
    <w:p w14:paraId="41A345C4" w14:textId="199A96E6" w:rsidR="000240CE" w:rsidRDefault="000240CE" w:rsidP="00EB1AFB">
      <w:pPr>
        <w:pStyle w:val="FootnoteText"/>
        <w:rPr>
          <w:rFonts w:cs="advtt4350c63d"/>
          <w:color w:val="000000"/>
          <w:lang w:val="en-GB"/>
        </w:rPr>
      </w:pPr>
      <w:r>
        <w:rPr>
          <w:rStyle w:val="FootnoteReference"/>
          <w:rFonts w:eastAsiaTheme="majorEastAsia" w:cstheme="minorHAnsi"/>
          <w:color w:val="000000" w:themeColor="text1"/>
        </w:rPr>
        <w:footnoteRef/>
      </w:r>
      <w:r>
        <w:rPr>
          <w:rFonts w:eastAsiaTheme="majorEastAsia"/>
        </w:rPr>
        <w:t xml:space="preserve"> </w:t>
      </w:r>
      <w:r>
        <w:rPr>
          <w:rFonts w:eastAsiaTheme="majorEastAsia"/>
          <w:lang w:val="en-GB"/>
        </w:rPr>
        <w:t>Susan Isiko Strba (2017), “Legal and institutional considerations for plant variety protection and food security in African development agendas: solutions from WIPO?“, 12 Journal of Intellectual Property Law &amp; Practice 3, p. 195.</w:t>
      </w:r>
    </w:p>
  </w:footnote>
  <w:footnote w:id="108">
    <w:p w14:paraId="2FB844A6" w14:textId="4271F611" w:rsidR="000240CE" w:rsidRDefault="000240CE" w:rsidP="00EB1AFB">
      <w:pPr>
        <w:pStyle w:val="FootnoteText"/>
        <w:rPr>
          <w:rFonts w:cs="advp3e76b0"/>
          <w:color w:val="000000"/>
          <w:lang w:val="en-GB"/>
        </w:rPr>
      </w:pPr>
      <w:r>
        <w:rPr>
          <w:rStyle w:val="FootnoteReference"/>
          <w:rFonts w:eastAsiaTheme="majorEastAsia" w:cstheme="minorHAnsi"/>
          <w:color w:val="000000" w:themeColor="text1"/>
        </w:rPr>
        <w:footnoteRef/>
      </w:r>
      <w:r>
        <w:rPr>
          <w:rFonts w:eastAsiaTheme="majorEastAsia"/>
        </w:rPr>
        <w:t xml:space="preserve"> </w:t>
      </w:r>
      <w:r>
        <w:rPr>
          <w:rFonts w:eastAsiaTheme="majorEastAsia"/>
          <w:lang w:val="en-GB"/>
        </w:rPr>
        <w:t>African Ministerial Conference 2015: Intellectual Property for an Emerging Africa, 3–5 November 2015, Dakar, Senegal. For the full Programme, as prepared by WIPO, see</w:t>
      </w:r>
      <w:r>
        <w:rPr>
          <w:rFonts w:eastAsiaTheme="majorEastAsia"/>
        </w:rPr>
        <w:t xml:space="preserve"> </w:t>
      </w:r>
      <w:r w:rsidRPr="00F042C3">
        <w:rPr>
          <w:rFonts w:eastAsiaTheme="majorEastAsia"/>
        </w:rPr>
        <w:t>www.wipo.int/meetings/en/details.jsp?meeting_id=37206</w:t>
      </w:r>
      <w:r>
        <w:rPr>
          <w:rFonts w:eastAsiaTheme="majorEastAsia"/>
        </w:rPr>
        <w:t xml:space="preserve">. </w:t>
      </w:r>
    </w:p>
  </w:footnote>
  <w:footnote w:id="109">
    <w:p w14:paraId="4B2E62FB" w14:textId="77777777" w:rsidR="000240CE" w:rsidRDefault="000240CE" w:rsidP="00EB1AFB">
      <w:pPr>
        <w:pStyle w:val="FootnoteText"/>
        <w:rPr>
          <w:rFonts w:cs="advp3e76b0"/>
          <w:color w:val="000000"/>
          <w:lang w:val="en-GB"/>
        </w:rPr>
      </w:pPr>
      <w:r>
        <w:rPr>
          <w:rStyle w:val="FootnoteReference"/>
          <w:rFonts w:eastAsiaTheme="majorEastAsia" w:cstheme="minorHAnsi"/>
        </w:rPr>
        <w:footnoteRef/>
      </w:r>
      <w:r>
        <w:rPr>
          <w:rFonts w:eastAsiaTheme="majorEastAsia"/>
        </w:rPr>
        <w:t xml:space="preserve"> </w:t>
      </w:r>
      <w:r>
        <w:rPr>
          <w:rFonts w:eastAsiaTheme="majorEastAsia"/>
          <w:lang w:val="en-GB"/>
        </w:rPr>
        <w:t>Ibid.</w:t>
      </w:r>
      <w:r>
        <w:rPr>
          <w:rFonts w:eastAsiaTheme="majorEastAsia"/>
        </w:rPr>
        <w:t xml:space="preserve"> </w:t>
      </w:r>
    </w:p>
  </w:footnote>
  <w:footnote w:id="110">
    <w:p w14:paraId="4D980662" w14:textId="79F5AC98" w:rsidR="000240CE" w:rsidRDefault="000240CE" w:rsidP="00EB1AFB">
      <w:pPr>
        <w:pStyle w:val="FootnoteText"/>
      </w:pPr>
      <w:r>
        <w:rPr>
          <w:rStyle w:val="FootnoteReference"/>
          <w:rFonts w:eastAsiaTheme="majorEastAsia" w:cstheme="minorHAnsi"/>
        </w:rPr>
        <w:footnoteRef/>
      </w:r>
      <w:r>
        <w:rPr>
          <w:rFonts w:eastAsiaTheme="majorEastAsia"/>
        </w:rPr>
        <w:t xml:space="preserve"> </w:t>
      </w:r>
      <w:r>
        <w:rPr>
          <w:rFonts w:eastAsiaTheme="majorEastAsia"/>
          <w:lang w:val="en-GB"/>
        </w:rPr>
        <w:t xml:space="preserve">African Ministerial Conference 2015, “Cluster I Report: Science, Technology and Innovation for the Transformation of African Economies“, (5 November 2015), available at </w:t>
      </w:r>
      <w:r w:rsidRPr="00F042C3">
        <w:rPr>
          <w:rFonts w:eastAsiaTheme="majorEastAsia"/>
          <w:lang w:val="en-GB"/>
        </w:rPr>
        <w:t>www.wipo.int/meetings/en/doc_details.jsp?doc_id=321080</w:t>
      </w:r>
    </w:p>
  </w:footnote>
  <w:footnote w:id="111">
    <w:p w14:paraId="5C39B737" w14:textId="3E73F3D9" w:rsidR="000240CE" w:rsidRDefault="000240CE" w:rsidP="00EB1AFB">
      <w:pPr>
        <w:pStyle w:val="FootnoteText"/>
        <w:rPr>
          <w:rFonts w:cs="advp3e76b0"/>
          <w:lang w:val="en-GB"/>
        </w:rPr>
      </w:pPr>
      <w:r>
        <w:rPr>
          <w:rStyle w:val="FootnoteReference"/>
          <w:rFonts w:eastAsiaTheme="majorEastAsia" w:cstheme="minorHAnsi"/>
        </w:rPr>
        <w:footnoteRef/>
      </w:r>
      <w:r>
        <w:rPr>
          <w:rFonts w:eastAsiaTheme="majorEastAsia"/>
        </w:rPr>
        <w:t xml:space="preserve"> </w:t>
      </w:r>
      <w:r>
        <w:rPr>
          <w:rFonts w:eastAsiaTheme="majorEastAsia"/>
          <w:lang w:val="en-GB"/>
        </w:rPr>
        <w:t xml:space="preserve">WIPO, Dakar Declaration on Intellectual Property for Africa, WIPO Doc (5 November, 2015). </w:t>
      </w:r>
      <w:r w:rsidRPr="00F042C3">
        <w:rPr>
          <w:rFonts w:eastAsiaTheme="majorEastAsia"/>
          <w:lang w:val="en-GB"/>
        </w:rPr>
        <w:t>www.wipo.int/meetings/en/doc_details.jsp?doc_id=321041</w:t>
      </w:r>
      <w:r>
        <w:rPr>
          <w:rStyle w:val="Hyperlink"/>
          <w:rFonts w:eastAsiaTheme="majorEastAsia" w:cstheme="minorHAnsi"/>
          <w:lang w:val="en-GB"/>
        </w:rPr>
        <w:t>.</w:t>
      </w:r>
      <w:r>
        <w:rPr>
          <w:rFonts w:eastAsiaTheme="majorEastAsia"/>
          <w:lang w:val="en-GB"/>
        </w:rPr>
        <w:t xml:space="preserve"> </w:t>
      </w:r>
    </w:p>
  </w:footnote>
  <w:footnote w:id="112">
    <w:p w14:paraId="2D369C1D" w14:textId="77777777" w:rsidR="000240CE" w:rsidRDefault="000240CE" w:rsidP="00EB1AFB">
      <w:pPr>
        <w:pStyle w:val="FootnoteText"/>
      </w:pPr>
      <w:r>
        <w:rPr>
          <w:rStyle w:val="FootnoteReference"/>
          <w:rFonts w:eastAsiaTheme="majorEastAsia" w:cstheme="minorHAnsi"/>
        </w:rPr>
        <w:footnoteRef/>
      </w:r>
      <w:r>
        <w:rPr>
          <w:rFonts w:eastAsiaTheme="majorEastAsia"/>
        </w:rPr>
        <w:t xml:space="preserve"> Ibid.</w:t>
      </w:r>
    </w:p>
  </w:footnote>
  <w:footnote w:id="113">
    <w:p w14:paraId="230FC3ED" w14:textId="77777777" w:rsidR="000240CE" w:rsidRDefault="000240CE" w:rsidP="00EB1AFB">
      <w:pPr>
        <w:pStyle w:val="FootnoteText"/>
        <w:rPr>
          <w:lang w:val="en-GB"/>
        </w:rPr>
      </w:pPr>
      <w:r>
        <w:rPr>
          <w:rStyle w:val="FootnoteReference"/>
          <w:rFonts w:eastAsiaTheme="majorEastAsia" w:cstheme="minorHAnsi"/>
        </w:rPr>
        <w:footnoteRef/>
      </w:r>
      <w:r>
        <w:rPr>
          <w:rFonts w:eastAsiaTheme="majorEastAsia"/>
        </w:rPr>
        <w:t xml:space="preserve"> </w:t>
      </w:r>
      <w:r>
        <w:rPr>
          <w:rFonts w:eastAsiaTheme="majorEastAsia"/>
          <w:lang w:val="en-GB"/>
        </w:rPr>
        <w:t>Strba, n 107.</w:t>
      </w:r>
    </w:p>
  </w:footnote>
  <w:footnote w:id="114">
    <w:p w14:paraId="2EDC2833" w14:textId="77777777" w:rsidR="000240CE" w:rsidRDefault="000240CE" w:rsidP="00EB1AFB">
      <w:pPr>
        <w:pStyle w:val="FootnoteText"/>
        <w:rPr>
          <w:rFonts w:ascii="Calibri" w:hAnsi="Calibri" w:cs="Calibri"/>
          <w:color w:val="000000"/>
          <w:lang w:val="en-GB"/>
        </w:rPr>
      </w:pPr>
      <w:r>
        <w:rPr>
          <w:rStyle w:val="FootnoteReference"/>
          <w:rFonts w:eastAsiaTheme="majorEastAsia" w:cstheme="minorHAnsi"/>
          <w:color w:val="000000" w:themeColor="text1"/>
        </w:rPr>
        <w:footnoteRef/>
      </w:r>
      <w:r>
        <w:rPr>
          <w:rFonts w:eastAsiaTheme="majorEastAsia"/>
        </w:rPr>
        <w:t xml:space="preserve"> The </w:t>
      </w:r>
      <w:r>
        <w:rPr>
          <w:rFonts w:eastAsiaTheme="majorEastAsia"/>
          <w:iCs/>
        </w:rPr>
        <w:t>Science, Technology and Innovation Strategy for Africa</w:t>
      </w:r>
      <w:r>
        <w:rPr>
          <w:rFonts w:eastAsiaTheme="majorEastAsia"/>
          <w:i/>
          <w:iCs/>
        </w:rPr>
        <w:t xml:space="preserve"> </w:t>
      </w:r>
      <w:r>
        <w:rPr>
          <w:rFonts w:eastAsiaTheme="majorEastAsia"/>
        </w:rPr>
        <w:t>is the first phase of a ten-year strategy (2014-2024) that positions science, technology and innovation at the core of the AU Agenda 2063, and maintains the AU’s commitment to promoting IP in Africa.</w:t>
      </w:r>
    </w:p>
  </w:footnote>
  <w:footnote w:id="115">
    <w:p w14:paraId="4EFF02D8" w14:textId="4A15EB90" w:rsidR="000240CE" w:rsidRDefault="000240CE" w:rsidP="00EB1AFB">
      <w:pPr>
        <w:pStyle w:val="FootnoteText"/>
        <w:rPr>
          <w:rFonts w:ascii="Calibri" w:hAnsi="Calibri" w:cs="Calibri"/>
        </w:rPr>
      </w:pPr>
      <w:r>
        <w:rPr>
          <w:rStyle w:val="FootnoteReference"/>
          <w:rFonts w:eastAsiaTheme="majorEastAsia" w:cstheme="minorHAnsi"/>
          <w:color w:val="000000" w:themeColor="text1"/>
        </w:rPr>
        <w:footnoteRef/>
      </w:r>
      <w:r>
        <w:rPr>
          <w:rFonts w:eastAsiaTheme="majorEastAsia"/>
        </w:rPr>
        <w:t xml:space="preserve"> </w:t>
      </w:r>
      <w:r>
        <w:rPr>
          <w:rFonts w:eastAsiaTheme="majorEastAsia"/>
          <w:lang w:val="en-GB"/>
        </w:rPr>
        <w:t xml:space="preserve">M. Cimoli, D. Giovanni, K.E. Maskus, R.L. Okediji, J.H. Reichman and </w:t>
      </w:r>
      <w:r>
        <w:rPr>
          <w:rFonts w:eastAsiaTheme="majorEastAsia"/>
        </w:rPr>
        <w:t xml:space="preserve">J.E. Stiglitz (eds), </w:t>
      </w:r>
      <w:r>
        <w:rPr>
          <w:rFonts w:eastAsiaTheme="majorEastAsia"/>
          <w:iCs/>
        </w:rPr>
        <w:t>Intellectual Property Rights: Legal and Economic Challenges for</w:t>
      </w:r>
      <w:r>
        <w:rPr>
          <w:rFonts w:eastAsiaTheme="majorEastAsia"/>
          <w:lang w:val="en-GB"/>
        </w:rPr>
        <w:t xml:space="preserve"> </w:t>
      </w:r>
      <w:r>
        <w:rPr>
          <w:rFonts w:eastAsiaTheme="majorEastAsia"/>
          <w:iCs/>
        </w:rPr>
        <w:t>Development</w:t>
      </w:r>
      <w:r>
        <w:rPr>
          <w:rFonts w:eastAsiaTheme="majorEastAsia"/>
          <w:i/>
          <w:iCs/>
        </w:rPr>
        <w:t xml:space="preserve"> </w:t>
      </w:r>
      <w:r>
        <w:rPr>
          <w:rFonts w:eastAsiaTheme="majorEastAsia"/>
        </w:rPr>
        <w:t xml:space="preserve">(Oxford, Oxford University Press 2014), pp. 32-35. See also </w:t>
      </w:r>
      <w:r>
        <w:rPr>
          <w:rFonts w:eastAsiaTheme="majorEastAsia"/>
          <w:highlight w:val="yellow"/>
        </w:rPr>
        <w:t>section xxx of the contribution by Alexander Peukert, chapter zzz in this volume.</w:t>
      </w:r>
    </w:p>
  </w:footnote>
  <w:footnote w:id="116">
    <w:p w14:paraId="281CFBE6" w14:textId="7B429691" w:rsidR="000240CE" w:rsidRDefault="000240CE" w:rsidP="00EB1AFB">
      <w:pPr>
        <w:pStyle w:val="FootnoteText"/>
        <w:rPr>
          <w:rFonts w:ascii="Calibri" w:hAnsi="Calibri" w:cs="Calibri"/>
          <w:color w:val="000000"/>
          <w:lang w:val="en-GB"/>
        </w:rPr>
      </w:pPr>
      <w:r>
        <w:rPr>
          <w:rStyle w:val="FootnoteReference"/>
          <w:rFonts w:eastAsiaTheme="majorEastAsia" w:cstheme="minorHAnsi"/>
          <w:color w:val="000000" w:themeColor="text1"/>
          <w:lang w:val="en-GB"/>
        </w:rPr>
        <w:footnoteRef/>
      </w:r>
      <w:r>
        <w:rPr>
          <w:rFonts w:eastAsiaTheme="majorEastAsia"/>
          <w:lang w:val="en-GB"/>
        </w:rPr>
        <w:t xml:space="preserve">Kim Linsu (2003), “Technology Transfer &amp; Intellectual Property Rights: The Korean Experience“, UNCTAD-ICTSD Project on IPRs and Sustainable Development, Issue Paper No. 2, available at  &lt;https://unctad.org/en/PublicationsLibrary/ictsd2003ipd2_en.pdf&gt;.    </w:t>
      </w:r>
    </w:p>
  </w:footnote>
  <w:footnote w:id="117">
    <w:p w14:paraId="7AF881D0" w14:textId="0650C36F" w:rsidR="000240CE" w:rsidRDefault="000240CE" w:rsidP="00EB1AFB">
      <w:pPr>
        <w:pStyle w:val="FootnoteText"/>
        <w:rPr>
          <w:rFonts w:ascii="Calibri" w:hAnsi="Calibri" w:cs="Calibri"/>
          <w:color w:val="000000"/>
        </w:rPr>
      </w:pPr>
      <w:r>
        <w:rPr>
          <w:rStyle w:val="FootnoteReference"/>
          <w:rFonts w:eastAsiaTheme="majorEastAsia" w:cstheme="minorHAnsi"/>
          <w:color w:val="000000" w:themeColor="text1"/>
        </w:rPr>
        <w:footnoteRef/>
      </w:r>
      <w:r>
        <w:rPr>
          <w:rFonts w:eastAsiaTheme="majorEastAsia"/>
        </w:rPr>
        <w:t xml:space="preserve"> </w:t>
      </w:r>
      <w:r>
        <w:rPr>
          <w:rFonts w:eastAsiaTheme="majorEastAsia"/>
          <w:lang w:val="en-GB"/>
        </w:rPr>
        <w:t xml:space="preserve">The African Model Law was designed to assist AU Members craft national laws that reflect their “political orientation, national objectives and level of socio-economic development“ and to fulfil interconnected obligations under the WTO TRIPS </w:t>
      </w:r>
      <w:r>
        <w:rPr>
          <w:rFonts w:eastAsiaTheme="majorEastAsia"/>
          <w:iCs/>
          <w:lang w:val="en-GB"/>
        </w:rPr>
        <w:t>Agreement</w:t>
      </w:r>
      <w:r>
        <w:rPr>
          <w:rFonts w:eastAsiaTheme="majorEastAsia"/>
          <w:lang w:val="en-GB"/>
        </w:rPr>
        <w:t xml:space="preserve"> and the </w:t>
      </w:r>
      <w:r>
        <w:rPr>
          <w:rFonts w:eastAsiaTheme="majorEastAsia"/>
          <w:iCs/>
          <w:lang w:val="en-GB"/>
        </w:rPr>
        <w:t xml:space="preserve">Convention on Biological Diversity </w:t>
      </w:r>
      <w:r>
        <w:rPr>
          <w:rFonts w:eastAsiaTheme="majorEastAsia"/>
          <w:lang w:val="en-GB"/>
        </w:rPr>
        <w:t xml:space="preserve">(CBD). See </w:t>
      </w:r>
      <w:r>
        <w:rPr>
          <w:rFonts w:eastAsiaTheme="majorEastAsia"/>
        </w:rPr>
        <w:t>J. A. Ekpere (2000), “</w:t>
      </w:r>
      <w:r>
        <w:rPr>
          <w:rFonts w:eastAsiaTheme="majorEastAsia"/>
          <w:iCs/>
        </w:rPr>
        <w:t xml:space="preserve">The OAU’s Model Law: The Protection of the Rights of Local Communities, Farmers and Breeders, and for the Regulation of Access to Biological Resources. </w:t>
      </w:r>
      <w:r>
        <w:rPr>
          <w:rFonts w:eastAsiaTheme="majorEastAsia"/>
          <w:iCs/>
          <w:lang w:val="en-GB"/>
        </w:rPr>
        <w:t>An Explanatory Booklet</w:t>
      </w:r>
      <w:r>
        <w:rPr>
          <w:rFonts w:eastAsiaTheme="majorEastAsia"/>
          <w:iCs/>
        </w:rPr>
        <w:t>“</w:t>
      </w:r>
      <w:r>
        <w:rPr>
          <w:rFonts w:eastAsiaTheme="majorEastAsia"/>
        </w:rPr>
        <w:t>, (Organization of African Unity, Scientific, Technical and Research Commission, Lagos Nigeria).</w:t>
      </w:r>
      <w:r>
        <w:rPr>
          <w:rFonts w:eastAsiaTheme="majorEastAsia"/>
          <w:lang w:val="en-GB"/>
        </w:rPr>
        <w:t xml:space="preserve"> </w:t>
      </w:r>
    </w:p>
  </w:footnote>
  <w:footnote w:id="118">
    <w:p w14:paraId="2A9911E8" w14:textId="172B7647" w:rsidR="000240CE" w:rsidRDefault="000240CE" w:rsidP="00EB1AFB">
      <w:pPr>
        <w:pStyle w:val="FootnoteText"/>
        <w:rPr>
          <w:rFonts w:ascii="Calibri" w:hAnsi="Calibri" w:cs="Calibri"/>
          <w:lang w:val="en-GB"/>
        </w:rPr>
      </w:pPr>
      <w:r>
        <w:rPr>
          <w:rStyle w:val="FootnoteReference"/>
          <w:rFonts w:asciiTheme="minorHAnsi" w:eastAsiaTheme="majorEastAsia" w:hAnsiTheme="minorHAnsi" w:cstheme="minorHAnsi"/>
          <w:color w:val="000000" w:themeColor="text1"/>
        </w:rPr>
        <w:footnoteRef/>
      </w:r>
      <w:r>
        <w:rPr>
          <w:rFonts w:eastAsiaTheme="majorEastAsia"/>
          <w:lang w:val="en-GB"/>
        </w:rPr>
        <w:t xml:space="preserve"> Commentators argue that the African Model Law fails to offer clear templates to facilitate the implementation of novel provisions like community rights in Part IV and farmers’ rights in Part V – considering that most African countries lack expertise on plant variety protection and are unable to carve out IP/TRIPS complaint laws from it. Further, the AU does not offer support with the design and introduction of plant variety protection laws at the sub-regional and national levels. The Swakopmund Protocol has been criticized for vesting “control of third-party use of expressions of folklore” in Member States and their national competent authorities, rather than in their originating indigenous communities. It has also been criticized for granting ownership rights in respect of TK and folklore to individuals, as this is considered to be contrary to the practices of indigenous communities. See Adebola, n 49, p. 241; Caroline B. Ncube (2018), “Three Centuries and Counting: The Emergence and Development of Intellectual Property Law in Africa“, in Rochelle Dreyfuss and Justine Pila (eds), The Oxford Handbook of Intellectual Property Law, OUP, p. 422.</w:t>
      </w:r>
    </w:p>
  </w:footnote>
  <w:footnote w:id="119">
    <w:p w14:paraId="4D50C92C" w14:textId="77777777" w:rsidR="000240CE" w:rsidRDefault="000240CE" w:rsidP="00EB1AFB">
      <w:pPr>
        <w:pStyle w:val="FootnoteText"/>
        <w:rPr>
          <w:rFonts w:ascii="Calibri" w:hAnsi="Calibri" w:cs="Calibri"/>
          <w:color w:val="000000"/>
          <w:lang w:val="en-GB"/>
        </w:rPr>
      </w:pPr>
      <w:r>
        <w:rPr>
          <w:rStyle w:val="FootnoteReference"/>
          <w:rFonts w:eastAsiaTheme="majorEastAsia" w:cstheme="minorHAnsi"/>
          <w:color w:val="000000" w:themeColor="text1"/>
        </w:rPr>
        <w:footnoteRef/>
      </w:r>
      <w:r>
        <w:rPr>
          <w:rFonts w:eastAsiaTheme="majorEastAsia"/>
        </w:rPr>
        <w:t xml:space="preserve"> </w:t>
      </w:r>
      <w:r>
        <w:rPr>
          <w:rFonts w:eastAsiaTheme="majorEastAsia"/>
          <w:lang w:val="en-GB"/>
        </w:rPr>
        <w:t>Ekpere, n 117.</w:t>
      </w:r>
    </w:p>
  </w:footnote>
  <w:footnote w:id="120">
    <w:p w14:paraId="2F42794C" w14:textId="77777777" w:rsidR="000240CE" w:rsidRDefault="000240CE" w:rsidP="00EB1AFB">
      <w:pPr>
        <w:pStyle w:val="FootnoteText"/>
        <w:rPr>
          <w:color w:val="000000"/>
        </w:rPr>
      </w:pPr>
      <w:r>
        <w:rPr>
          <w:rStyle w:val="FootnoteReference"/>
          <w:rFonts w:eastAsiaTheme="majorEastAsia" w:cstheme="minorHAnsi"/>
          <w:color w:val="000000" w:themeColor="text1"/>
        </w:rPr>
        <w:footnoteRef/>
      </w:r>
      <w:r>
        <w:rPr>
          <w:rFonts w:eastAsiaTheme="majorEastAsia"/>
        </w:rPr>
        <w:t xml:space="preserve"> Ibid.</w:t>
      </w:r>
    </w:p>
  </w:footnote>
  <w:footnote w:id="121">
    <w:p w14:paraId="24342A0F" w14:textId="77777777" w:rsidR="000240CE" w:rsidRDefault="000240CE" w:rsidP="00EB1AFB">
      <w:pPr>
        <w:pStyle w:val="FootnoteText"/>
        <w:rPr>
          <w:color w:val="000000"/>
        </w:rPr>
      </w:pPr>
      <w:r>
        <w:rPr>
          <w:rStyle w:val="FootnoteReference"/>
          <w:rFonts w:eastAsiaTheme="majorEastAsia" w:cstheme="minorHAnsi"/>
          <w:color w:val="000000" w:themeColor="text1"/>
        </w:rPr>
        <w:footnoteRef/>
      </w:r>
      <w:r>
        <w:rPr>
          <w:rFonts w:eastAsiaTheme="majorEastAsia"/>
        </w:rPr>
        <w:t xml:space="preserve"> Ibid; Adebola, n 51 p. 238.</w:t>
      </w:r>
    </w:p>
  </w:footnote>
  <w:footnote w:id="122">
    <w:p w14:paraId="003E45F0" w14:textId="77777777" w:rsidR="000240CE" w:rsidRDefault="000240CE" w:rsidP="00EB1AFB">
      <w:pPr>
        <w:pStyle w:val="FootnoteText"/>
        <w:rPr>
          <w:i/>
          <w:iCs/>
          <w:color w:val="000000"/>
          <w:lang w:val="en-GB"/>
        </w:rPr>
      </w:pPr>
      <w:r>
        <w:rPr>
          <w:rStyle w:val="FootnoteReference"/>
          <w:rFonts w:eastAsiaTheme="majorEastAsia" w:cstheme="minorHAnsi"/>
          <w:color w:val="000000" w:themeColor="text1"/>
        </w:rPr>
        <w:footnoteRef/>
      </w:r>
      <w:r>
        <w:rPr>
          <w:rFonts w:eastAsiaTheme="majorEastAsia"/>
        </w:rPr>
        <w:t xml:space="preserve"> </w:t>
      </w:r>
      <w:r>
        <w:rPr>
          <w:rFonts w:eastAsiaTheme="majorEastAsia"/>
          <w:lang w:val="en-GB"/>
        </w:rPr>
        <w:t xml:space="preserve">UPOV (1982) </w:t>
      </w:r>
      <w:r>
        <w:rPr>
          <w:rFonts w:eastAsiaTheme="majorEastAsia"/>
          <w:iCs/>
          <w:lang w:val="en-GB"/>
        </w:rPr>
        <w:t>Agreement between the World Intellectual Property Organization and the International Union for the Protection of New Varieties of Plants</w:t>
      </w:r>
      <w:r>
        <w:rPr>
          <w:rFonts w:eastAsiaTheme="majorEastAsia"/>
          <w:i/>
          <w:iCs/>
          <w:lang w:val="en-GB"/>
        </w:rPr>
        <w:t xml:space="preserve">, </w:t>
      </w:r>
      <w:r>
        <w:rPr>
          <w:rFonts w:eastAsiaTheme="majorEastAsia"/>
          <w:lang w:val="en-GB"/>
        </w:rPr>
        <w:t>signed on Nov. 26, 1982. (UPOV/INF/8).</w:t>
      </w:r>
    </w:p>
  </w:footnote>
  <w:footnote w:id="123">
    <w:p w14:paraId="700DBC69" w14:textId="79652E4C" w:rsidR="000240CE" w:rsidRDefault="000240CE" w:rsidP="00EB1AFB">
      <w:pPr>
        <w:pStyle w:val="FootnoteText"/>
        <w:rPr>
          <w:color w:val="000000"/>
          <w:lang w:val="en-GB"/>
        </w:rPr>
      </w:pPr>
      <w:r>
        <w:rPr>
          <w:rStyle w:val="FootnoteReference"/>
          <w:rFonts w:eastAsiaTheme="majorEastAsia" w:cstheme="minorHAnsi"/>
          <w:color w:val="000000" w:themeColor="text1"/>
        </w:rPr>
        <w:footnoteRef/>
      </w:r>
      <w:r>
        <w:rPr>
          <w:rFonts w:eastAsiaTheme="majorEastAsia"/>
        </w:rPr>
        <w:t xml:space="preserve"> </w:t>
      </w:r>
      <w:r>
        <w:rPr>
          <w:rFonts w:eastAsiaTheme="majorEastAsia"/>
          <w:iCs/>
          <w:lang w:val="en-GB"/>
        </w:rPr>
        <w:t>Graham Dutfield (2011), “</w:t>
      </w:r>
      <w:r>
        <w:rPr>
          <w:rFonts w:eastAsiaTheme="majorEastAsia"/>
          <w:lang w:val="en-GB"/>
        </w:rPr>
        <w:t xml:space="preserve">Food, Biological Diversity and Intellectual Property: </w:t>
      </w:r>
      <w:r>
        <w:rPr>
          <w:rFonts w:eastAsiaTheme="majorEastAsia"/>
          <w:bCs/>
          <w:lang w:val="en-GB"/>
        </w:rPr>
        <w:t>The Role of the International</w:t>
      </w:r>
    </w:p>
    <w:p w14:paraId="5A01F923" w14:textId="2F3788FA" w:rsidR="000240CE" w:rsidRDefault="000240CE" w:rsidP="00EB1AFB">
      <w:pPr>
        <w:pStyle w:val="FootnoteText"/>
        <w:rPr>
          <w:bCs/>
          <w:color w:val="000000"/>
          <w:lang w:val="en-GB"/>
        </w:rPr>
      </w:pPr>
      <w:r>
        <w:rPr>
          <w:rFonts w:eastAsiaTheme="majorEastAsia"/>
          <w:bCs/>
          <w:lang w:val="en-GB"/>
        </w:rPr>
        <w:t xml:space="preserve">Union for the Protection of New Varieties of Plants (UPOV)“, </w:t>
      </w:r>
      <w:r>
        <w:rPr>
          <w:rFonts w:eastAsiaTheme="majorEastAsia"/>
          <w:lang w:val="en-GB"/>
        </w:rPr>
        <w:t>QUNO Intellectual Property Issues Paper 9, p. 12.</w:t>
      </w:r>
    </w:p>
  </w:footnote>
  <w:footnote w:id="124">
    <w:p w14:paraId="18BF98A5" w14:textId="77777777" w:rsidR="000240CE" w:rsidRDefault="000240CE" w:rsidP="00EB1AFB">
      <w:pPr>
        <w:pStyle w:val="FootnoteText"/>
        <w:rPr>
          <w:color w:val="000000"/>
        </w:rPr>
      </w:pPr>
      <w:r>
        <w:rPr>
          <w:rStyle w:val="FootnoteReference"/>
          <w:rFonts w:eastAsiaTheme="majorEastAsia" w:cstheme="minorHAnsi"/>
          <w:color w:val="000000" w:themeColor="text1"/>
        </w:rPr>
        <w:footnoteRef/>
      </w:r>
      <w:r>
        <w:rPr>
          <w:rFonts w:eastAsiaTheme="majorEastAsia"/>
        </w:rPr>
        <w:t xml:space="preserve"> Agreement between WIPO and UPOV, n 122, Article 1.</w:t>
      </w:r>
    </w:p>
  </w:footnote>
  <w:footnote w:id="125">
    <w:p w14:paraId="094FBF1F" w14:textId="39AE15C4" w:rsidR="000240CE" w:rsidRDefault="000240CE" w:rsidP="00EB1AFB">
      <w:pPr>
        <w:pStyle w:val="FootnoteText"/>
        <w:rPr>
          <w:lang w:val="en-GB"/>
        </w:rPr>
      </w:pPr>
      <w:r>
        <w:rPr>
          <w:rStyle w:val="FootnoteReference"/>
          <w:rFonts w:eastAsiaTheme="majorEastAsia" w:cstheme="minorHAnsi"/>
          <w:color w:val="000000" w:themeColor="text1"/>
        </w:rPr>
        <w:footnoteRef/>
      </w:r>
      <w:r>
        <w:rPr>
          <w:rFonts w:eastAsiaTheme="majorEastAsia"/>
        </w:rPr>
        <w:t xml:space="preserve"> Catherine Saez (2015), “</w:t>
      </w:r>
      <w:r>
        <w:rPr>
          <w:rFonts w:eastAsiaTheme="majorEastAsia"/>
          <w:bCs/>
          <w:lang w:val="en-GB" w:eastAsia="fi-FI"/>
        </w:rPr>
        <w:t>Interrelations Between Plant Treaty, UPOV, WIPO, Farmers’ Rights – Do They Equate?“, (Intellectual Property Watch).</w:t>
      </w:r>
    </w:p>
  </w:footnote>
  <w:footnote w:id="126">
    <w:p w14:paraId="5363BF2F" w14:textId="09B4F689" w:rsidR="000240CE" w:rsidRDefault="000240CE" w:rsidP="00EB1AFB">
      <w:pPr>
        <w:pStyle w:val="FootnoteText"/>
      </w:pPr>
      <w:r>
        <w:rPr>
          <w:rStyle w:val="FootnoteReference"/>
          <w:rFonts w:eastAsiaTheme="majorEastAsia" w:cstheme="minorHAnsi"/>
        </w:rPr>
        <w:footnoteRef/>
      </w:r>
      <w:r>
        <w:rPr>
          <w:rFonts w:eastAsiaTheme="majorEastAsia"/>
        </w:rPr>
        <w:t xml:space="preserve"> The other is on the “Introduction to the UPOV System of Plant Variety Protection (DL-205-UPOV)“. </w:t>
      </w:r>
      <w:r>
        <w:rPr>
          <w:rFonts w:eastAsiaTheme="majorEastAsia"/>
          <w:bCs/>
          <w:lang w:val="en-GB" w:eastAsia="fi-FI"/>
        </w:rPr>
        <w:t xml:space="preserve">See WIPO, The WIPO Academy Portfolio of Education, Training &amp; Skills Development Programs 2021. Available at </w:t>
      </w:r>
      <w:r w:rsidRPr="00F042C3">
        <w:rPr>
          <w:rFonts w:eastAsiaTheme="majorEastAsia"/>
          <w:bCs/>
          <w:lang w:val="en-GB" w:eastAsia="fi-FI"/>
        </w:rPr>
        <w:t>www.wipo.int/publications/en/details.jsp?id=4535</w:t>
      </w:r>
      <w:r>
        <w:rPr>
          <w:rFonts w:eastAsiaTheme="majorEastAsia"/>
          <w:bCs/>
          <w:lang w:val="en-GB" w:eastAsia="fi-FI"/>
        </w:rPr>
        <w:t xml:space="preserve">. </w:t>
      </w:r>
    </w:p>
  </w:footnote>
  <w:footnote w:id="127">
    <w:p w14:paraId="34AA4D62" w14:textId="77777777" w:rsidR="000240CE" w:rsidRDefault="000240CE" w:rsidP="00EB1AFB">
      <w:pPr>
        <w:pStyle w:val="FootnoteText"/>
      </w:pPr>
      <w:r>
        <w:rPr>
          <w:rStyle w:val="FootnoteReference"/>
          <w:rFonts w:eastAsiaTheme="majorEastAsia" w:cstheme="minorHAnsi"/>
        </w:rPr>
        <w:footnoteRef/>
      </w:r>
      <w:r>
        <w:rPr>
          <w:rFonts w:eastAsiaTheme="majorEastAsia"/>
        </w:rPr>
        <w:t xml:space="preserve"> Dutfield, n 123, p. 12</w:t>
      </w:r>
    </w:p>
  </w:footnote>
  <w:footnote w:id="128">
    <w:p w14:paraId="0467843E" w14:textId="77777777" w:rsidR="000240CE" w:rsidRDefault="000240CE" w:rsidP="00EB1AFB">
      <w:pPr>
        <w:pStyle w:val="FootnoteText"/>
        <w:rPr>
          <w:color w:val="FF0000"/>
          <w:lang w:val="en-GB"/>
        </w:rPr>
      </w:pPr>
      <w:r>
        <w:rPr>
          <w:rStyle w:val="FootnoteReference"/>
          <w:rFonts w:eastAsiaTheme="majorEastAsia" w:cstheme="minorHAnsi"/>
        </w:rPr>
        <w:footnoteRef/>
      </w:r>
      <w:r>
        <w:rPr>
          <w:rFonts w:eastAsiaTheme="majorEastAsia"/>
        </w:rPr>
        <w:t xml:space="preserve"> </w:t>
      </w:r>
      <w:r>
        <w:rPr>
          <w:rFonts w:eastAsiaTheme="majorEastAsia"/>
          <w:iCs/>
          <w:lang w:val="en-GB"/>
        </w:rPr>
        <w:t>Ibid</w:t>
      </w:r>
      <w:r>
        <w:rPr>
          <w:rFonts w:eastAsiaTheme="majorEastAsia"/>
          <w:lang w:val="en-GB"/>
        </w:rPr>
        <w:t>, p. 9.</w:t>
      </w:r>
    </w:p>
  </w:footnote>
  <w:footnote w:id="129">
    <w:p w14:paraId="1248F79F" w14:textId="77777777" w:rsidR="000240CE" w:rsidRDefault="000240CE" w:rsidP="00EB1AFB">
      <w:pPr>
        <w:pStyle w:val="FootnoteText"/>
        <w:rPr>
          <w:color w:val="000000"/>
          <w:lang w:val="en-GB"/>
        </w:rPr>
      </w:pPr>
      <w:r>
        <w:rPr>
          <w:rStyle w:val="FootnoteReference"/>
          <w:rFonts w:eastAsiaTheme="majorEastAsia" w:cstheme="minorHAnsi"/>
        </w:rPr>
        <w:footnoteRef/>
      </w:r>
      <w:r>
        <w:rPr>
          <w:rFonts w:eastAsiaTheme="majorEastAsia"/>
        </w:rPr>
        <w:t xml:space="preserve"> </w:t>
      </w:r>
      <w:r>
        <w:rPr>
          <w:rFonts w:eastAsiaTheme="majorEastAsia"/>
          <w:iCs/>
          <w:lang w:val="en-GB"/>
        </w:rPr>
        <w:t>Ibid.</w:t>
      </w:r>
    </w:p>
  </w:footnote>
  <w:footnote w:id="130">
    <w:p w14:paraId="145051FA" w14:textId="77777777" w:rsidR="000240CE" w:rsidRDefault="000240CE" w:rsidP="00EB1AFB">
      <w:pPr>
        <w:pStyle w:val="FootnoteText"/>
        <w:rPr>
          <w:lang w:val="en-GB"/>
        </w:rPr>
      </w:pPr>
      <w:r>
        <w:rPr>
          <w:rStyle w:val="FootnoteReference"/>
          <w:rFonts w:eastAsiaTheme="majorEastAsia" w:cstheme="minorHAnsi"/>
        </w:rPr>
        <w:footnoteRef/>
      </w:r>
      <w:r>
        <w:rPr>
          <w:rFonts w:eastAsiaTheme="majorEastAsia"/>
        </w:rPr>
        <w:t xml:space="preserve"> </w:t>
      </w:r>
      <w:r>
        <w:rPr>
          <w:rFonts w:eastAsiaTheme="majorEastAsia"/>
          <w:lang w:val="en-GB"/>
        </w:rPr>
        <w:t>Committee on Development and Intellectual Property, WIPO Methodology and Tools for the Development of National IP Strategies: Development Agenda project on Improvement of National, Sub-regional and Regional</w:t>
      </w:r>
    </w:p>
    <w:p w14:paraId="686594AC" w14:textId="34978395" w:rsidR="000240CE" w:rsidRDefault="000240CE" w:rsidP="00EB1AFB">
      <w:pPr>
        <w:pStyle w:val="FootnoteText"/>
        <w:rPr>
          <w:color w:val="000000"/>
          <w:lang w:val="en-GB"/>
        </w:rPr>
      </w:pPr>
      <w:r>
        <w:rPr>
          <w:rFonts w:eastAsiaTheme="majorEastAsia"/>
          <w:lang w:val="en-GB"/>
        </w:rPr>
        <w:t xml:space="preserve">Institutional User Capacity, Development Agenda Project DA_10_05 (2014). Available at </w:t>
      </w:r>
      <w:r w:rsidRPr="00F042C3">
        <w:rPr>
          <w:rFonts w:eastAsiaTheme="majorEastAsia"/>
          <w:lang w:val="en-GB"/>
        </w:rPr>
        <w:t>www.wipo.int/ipstrategies/en/methodology/</w:t>
      </w:r>
      <w:r>
        <w:rPr>
          <w:rFonts w:eastAsiaTheme="majorEastAsia"/>
          <w:lang w:val="en-GB"/>
        </w:rPr>
        <w:t xml:space="preserve">. </w:t>
      </w:r>
    </w:p>
  </w:footnote>
  <w:footnote w:id="131">
    <w:p w14:paraId="1C0574CF" w14:textId="77777777" w:rsidR="000240CE" w:rsidRDefault="000240CE" w:rsidP="00EB1AFB">
      <w:pPr>
        <w:pStyle w:val="FootnoteText"/>
        <w:rPr>
          <w:lang w:val="en-GB"/>
        </w:rPr>
      </w:pPr>
      <w:r>
        <w:rPr>
          <w:rStyle w:val="FootnoteReference"/>
          <w:rFonts w:eastAsiaTheme="majorEastAsia" w:cstheme="minorHAnsi"/>
        </w:rPr>
        <w:footnoteRef/>
      </w:r>
      <w:r>
        <w:rPr>
          <w:rFonts w:eastAsiaTheme="majorEastAsia"/>
        </w:rPr>
        <w:t xml:space="preserve"> </w:t>
      </w:r>
      <w:r>
        <w:rPr>
          <w:rFonts w:eastAsiaTheme="majorEastAsia"/>
          <w:lang w:val="en-GB"/>
        </w:rPr>
        <w:t>Ibid, Tool 1: The Process.</w:t>
      </w:r>
    </w:p>
  </w:footnote>
  <w:footnote w:id="132">
    <w:p w14:paraId="185EF960" w14:textId="77777777" w:rsidR="000240CE" w:rsidRDefault="000240CE" w:rsidP="00EB1AFB">
      <w:pPr>
        <w:pStyle w:val="FootnoteText"/>
      </w:pPr>
      <w:r>
        <w:rPr>
          <w:rStyle w:val="FootnoteReference"/>
          <w:rFonts w:eastAsiaTheme="majorEastAsia" w:cstheme="minorHAnsi"/>
        </w:rPr>
        <w:footnoteRef/>
      </w:r>
      <w:r>
        <w:rPr>
          <w:rFonts w:eastAsiaTheme="majorEastAsia"/>
        </w:rPr>
        <w:t xml:space="preserve"> </w:t>
      </w:r>
      <w:r>
        <w:rPr>
          <w:rFonts w:eastAsiaTheme="majorEastAsia"/>
          <w:lang w:val="en-GB"/>
        </w:rPr>
        <w:t>Ibid, Tool 2: Baseline Questionnaire.</w:t>
      </w:r>
    </w:p>
  </w:footnote>
  <w:footnote w:id="133">
    <w:p w14:paraId="0E9198FE" w14:textId="77777777" w:rsidR="000240CE" w:rsidRDefault="000240CE" w:rsidP="00EB1AFB">
      <w:pPr>
        <w:pStyle w:val="FootnoteText"/>
        <w:rPr>
          <w:lang w:val="en-GB"/>
        </w:rPr>
      </w:pPr>
      <w:r>
        <w:rPr>
          <w:rStyle w:val="FootnoteReference"/>
          <w:rFonts w:eastAsiaTheme="majorEastAsia" w:cstheme="minorHAnsi"/>
        </w:rPr>
        <w:footnoteRef/>
      </w:r>
      <w:r>
        <w:rPr>
          <w:rFonts w:eastAsiaTheme="majorEastAsia"/>
        </w:rPr>
        <w:t xml:space="preserve"> </w:t>
      </w:r>
      <w:r>
        <w:rPr>
          <w:rFonts w:eastAsiaTheme="majorEastAsia"/>
          <w:lang w:val="en-GB"/>
        </w:rPr>
        <w:t>Ibid, Tool 3: Benchmarking Indicators.</w:t>
      </w:r>
    </w:p>
  </w:footnote>
  <w:footnote w:id="134">
    <w:p w14:paraId="02A6F5D5" w14:textId="77777777" w:rsidR="000240CE" w:rsidRDefault="000240CE" w:rsidP="00EB1AFB">
      <w:pPr>
        <w:pStyle w:val="FootnoteText"/>
        <w:rPr>
          <w:lang w:val="en-GB"/>
        </w:rPr>
      </w:pPr>
      <w:r>
        <w:rPr>
          <w:rStyle w:val="FootnoteReference"/>
          <w:rFonts w:eastAsiaTheme="majorEastAsia" w:cstheme="minorHAnsi"/>
        </w:rPr>
        <w:footnoteRef/>
      </w:r>
      <w:r>
        <w:rPr>
          <w:rFonts w:eastAsiaTheme="majorEastAsia"/>
        </w:rPr>
        <w:t xml:space="preserve"> </w:t>
      </w:r>
      <w:r>
        <w:rPr>
          <w:rFonts w:eastAsiaTheme="majorEastAsia"/>
          <w:lang w:val="en-GB"/>
        </w:rPr>
        <w:t>Ibid, Tool 4: National IP Strategies, Online Survey.</w:t>
      </w:r>
    </w:p>
  </w:footnote>
  <w:footnote w:id="135">
    <w:p w14:paraId="5A31B0A3" w14:textId="77777777" w:rsidR="000240CE" w:rsidRDefault="000240CE" w:rsidP="00EB1AFB">
      <w:pPr>
        <w:pStyle w:val="FootnoteText"/>
      </w:pPr>
      <w:r>
        <w:rPr>
          <w:rStyle w:val="FootnoteReference"/>
          <w:rFonts w:eastAsiaTheme="majorEastAsia" w:cstheme="minorHAnsi"/>
        </w:rPr>
        <w:footnoteRef/>
      </w:r>
      <w:r>
        <w:rPr>
          <w:rFonts w:eastAsiaTheme="majorEastAsia"/>
        </w:rPr>
        <w:t xml:space="preserve"> Ibid, Tool 3: Benchmarking Indicators, p. 63.</w:t>
      </w:r>
    </w:p>
  </w:footnote>
  <w:footnote w:id="136">
    <w:p w14:paraId="3F524944" w14:textId="77777777" w:rsidR="000240CE" w:rsidRDefault="000240CE" w:rsidP="00EB1AFB">
      <w:pPr>
        <w:pStyle w:val="FootnoteText"/>
      </w:pPr>
      <w:r>
        <w:rPr>
          <w:rStyle w:val="FootnoteReference"/>
          <w:rFonts w:eastAsiaTheme="majorEastAsia" w:cstheme="minorHAnsi"/>
        </w:rPr>
        <w:footnoteRef/>
      </w:r>
      <w:r>
        <w:rPr>
          <w:rFonts w:eastAsiaTheme="majorEastAsia"/>
        </w:rPr>
        <w:t xml:space="preserve"> Saez, n 125.</w:t>
      </w:r>
    </w:p>
  </w:footnote>
  <w:footnote w:id="137">
    <w:p w14:paraId="52D17D55" w14:textId="77777777" w:rsidR="000240CE" w:rsidRDefault="000240CE" w:rsidP="00EB1AFB">
      <w:pPr>
        <w:pStyle w:val="FootnoteText"/>
      </w:pPr>
      <w:r>
        <w:rPr>
          <w:rStyle w:val="FootnoteReference"/>
          <w:rFonts w:eastAsiaTheme="majorEastAsia" w:cstheme="minorHAnsi"/>
        </w:rPr>
        <w:footnoteRef/>
      </w:r>
      <w:r>
        <w:rPr>
          <w:rFonts w:eastAsiaTheme="majorEastAsia"/>
        </w:rPr>
        <w:t xml:space="preserve"> See Committee on Development, n 130, Tool 3: Benchmarking Indicators.</w:t>
      </w:r>
    </w:p>
  </w:footnote>
  <w:footnote w:id="138">
    <w:p w14:paraId="49C21898" w14:textId="37EDEAF6" w:rsidR="000240CE" w:rsidRDefault="000240CE" w:rsidP="00EB1AFB">
      <w:pPr>
        <w:pStyle w:val="FootnoteText"/>
        <w:rPr>
          <w:iCs/>
          <w:lang w:val="en-GB"/>
        </w:rPr>
      </w:pPr>
      <w:r>
        <w:rPr>
          <w:rStyle w:val="FootnoteReference"/>
          <w:rFonts w:eastAsiaTheme="majorEastAsia" w:cstheme="minorHAnsi"/>
        </w:rPr>
        <w:footnoteRef/>
      </w:r>
      <w:r>
        <w:rPr>
          <w:rFonts w:eastAsiaTheme="majorEastAsia"/>
        </w:rPr>
        <w:t xml:space="preserve"> </w:t>
      </w:r>
      <w:r>
        <w:rPr>
          <w:rFonts w:eastAsiaTheme="majorEastAsia"/>
          <w:lang w:val="en-GB"/>
        </w:rPr>
        <w:t xml:space="preserve">Kanniah, R. (2005), </w:t>
      </w:r>
      <w:r>
        <w:rPr>
          <w:rFonts w:eastAsiaTheme="majorEastAsia"/>
          <w:iCs/>
          <w:lang w:val="en-GB"/>
        </w:rPr>
        <w:t>“Plant Variety Protection in Indonesia, Malaysia, the Philippines and Thailand</w:t>
      </w:r>
      <w:r>
        <w:rPr>
          <w:rFonts w:eastAsiaTheme="majorEastAsia"/>
          <w:lang w:val="en-GB"/>
        </w:rPr>
        <w:t>“, 8 Journal of World Intellectual Property 3, p. 283.</w:t>
      </w:r>
    </w:p>
  </w:footnote>
  <w:footnote w:id="139">
    <w:p w14:paraId="36365C95" w14:textId="0C2CED5F" w:rsidR="000240CE" w:rsidRDefault="000240CE" w:rsidP="00EB1AFB">
      <w:pPr>
        <w:pStyle w:val="FootnoteText"/>
        <w:rPr>
          <w:color w:val="000000"/>
          <w:lang w:val="en-GB"/>
        </w:rPr>
      </w:pPr>
      <w:r>
        <w:rPr>
          <w:rStyle w:val="FootnoteReference"/>
          <w:rFonts w:eastAsiaTheme="majorEastAsia" w:cstheme="minorHAnsi"/>
        </w:rPr>
        <w:footnoteRef/>
      </w:r>
      <w:r>
        <w:rPr>
          <w:rFonts w:eastAsiaTheme="majorEastAsia"/>
        </w:rPr>
        <w:t xml:space="preserve"> </w:t>
      </w:r>
      <w:r>
        <w:rPr>
          <w:rFonts w:eastAsiaTheme="majorEastAsia"/>
          <w:lang w:val="en-GB"/>
        </w:rPr>
        <w:t xml:space="preserve">It is said that in 2001, the AU (then OAU) hosted a conference to discuss the Model Law. UPOV and WIPO were invited to give comments. </w:t>
      </w:r>
      <w:r>
        <w:rPr>
          <w:rFonts w:eastAsiaTheme="majorEastAsia"/>
          <w:lang w:val="en"/>
        </w:rPr>
        <w:t xml:space="preserve">In a four-page submission to the AU, WIPO technical criticized some important issues that the Model Law addressed. The </w:t>
      </w:r>
      <w:r>
        <w:rPr>
          <w:rFonts w:eastAsiaTheme="majorEastAsia"/>
          <w:lang w:val="en-GB"/>
        </w:rPr>
        <w:t xml:space="preserve">UPOV Office, on the other hand, provided a 10-page critique. This included the redrafting of more than 30 of the model’s articles, allegedly to turn the Model Legislation into UPOV 1991. This highly critical stance did not sit well with those concerned about its enthusiastic promotion of the UPOV Convention at the OAPI. See </w:t>
      </w:r>
      <w:r>
        <w:rPr>
          <w:rFonts w:eastAsiaTheme="majorEastAsia"/>
        </w:rPr>
        <w:t xml:space="preserve">Genetic Resources Action International Network (GRAIN), </w:t>
      </w:r>
      <w:r>
        <w:rPr>
          <w:rFonts w:eastAsiaTheme="majorEastAsia"/>
          <w:iCs/>
        </w:rPr>
        <w:t>IPRs Agents Try to Derail OAU Process: UPOV and WIPO Attack Africa’s Model Law on Community Rights to Biodiversity</w:t>
      </w:r>
      <w:r>
        <w:rPr>
          <w:rFonts w:eastAsiaTheme="majorEastAsia"/>
          <w:i/>
          <w:iCs/>
        </w:rPr>
        <w:t xml:space="preserve"> </w:t>
      </w:r>
      <w:r>
        <w:rPr>
          <w:rFonts w:eastAsiaTheme="majorEastAsia"/>
        </w:rPr>
        <w:t xml:space="preserve">(June 18, 2001). (Hereafter, GRAIN IPR). Available at </w:t>
      </w:r>
      <w:r w:rsidRPr="00F042C3">
        <w:rPr>
          <w:rFonts w:eastAsiaTheme="majorEastAsia"/>
        </w:rPr>
        <w:t>https://grain.org/article/entries/1966</w:t>
      </w:r>
      <w:r>
        <w:rPr>
          <w:rFonts w:eastAsiaTheme="majorEastAsia"/>
        </w:rPr>
        <w:t>;</w:t>
      </w:r>
    </w:p>
  </w:footnote>
  <w:footnote w:id="140">
    <w:p w14:paraId="5E8A800B" w14:textId="77777777" w:rsidR="000240CE" w:rsidRDefault="000240CE" w:rsidP="00EB1AFB">
      <w:pPr>
        <w:pStyle w:val="FootnoteText"/>
        <w:rPr>
          <w:rFonts w:ascii="Calibri" w:hAnsi="Calibri" w:cs="Calibri"/>
          <w:lang w:val="en-GB"/>
        </w:rPr>
      </w:pPr>
      <w:r>
        <w:rPr>
          <w:rStyle w:val="FootnoteReference"/>
          <w:rFonts w:eastAsiaTheme="majorEastAsia" w:cstheme="minorHAnsi"/>
          <w:color w:val="000000" w:themeColor="text1"/>
        </w:rPr>
        <w:footnoteRef/>
      </w:r>
      <w:r>
        <w:rPr>
          <w:rFonts w:eastAsiaTheme="majorEastAsia"/>
        </w:rPr>
        <w:t xml:space="preserve"> Ibid; </w:t>
      </w:r>
      <w:r>
        <w:rPr>
          <w:rFonts w:eastAsiaTheme="majorEastAsia"/>
          <w:lang w:val="en-GB"/>
        </w:rPr>
        <w:t>Ekpere, n 117.</w:t>
      </w:r>
    </w:p>
  </w:footnote>
  <w:footnote w:id="141">
    <w:p w14:paraId="025EFD84" w14:textId="3D5BBB9B" w:rsidR="000240CE" w:rsidRDefault="000240CE" w:rsidP="00EB1AFB">
      <w:pPr>
        <w:pStyle w:val="FootnoteText"/>
        <w:rPr>
          <w:color w:val="000000"/>
          <w:lang w:val="en-GB"/>
        </w:rPr>
      </w:pPr>
      <w:r>
        <w:rPr>
          <w:rStyle w:val="FootnoteReference"/>
          <w:rFonts w:eastAsiaTheme="majorEastAsia" w:cstheme="minorHAnsi"/>
        </w:rPr>
        <w:footnoteRef/>
      </w:r>
      <w:r>
        <w:rPr>
          <w:rFonts w:eastAsiaTheme="majorEastAsia"/>
        </w:rPr>
        <w:t xml:space="preserve"> GRAIN, n 139; Also see, Noah Zerbe, </w:t>
      </w:r>
      <w:r>
        <w:rPr>
          <w:rFonts w:eastAsiaTheme="majorEastAsia"/>
          <w:iCs/>
        </w:rPr>
        <w:t>Biodiversity (2005), “Ownership, and Indigenous Knowledge: Exploring Legal Frameworks for Community, Farmers, and Intellectual Property Rights in Africa“</w:t>
      </w:r>
      <w:r>
        <w:rPr>
          <w:rFonts w:eastAsiaTheme="majorEastAsia"/>
        </w:rPr>
        <w:t>, 53 Ecological Econ. 493.</w:t>
      </w:r>
    </w:p>
  </w:footnote>
  <w:footnote w:id="142">
    <w:p w14:paraId="11306A6D" w14:textId="1A23BC83" w:rsidR="000240CE" w:rsidRDefault="000240CE" w:rsidP="00EB1AFB">
      <w:pPr>
        <w:pStyle w:val="FootnoteText"/>
      </w:pPr>
      <w:r>
        <w:rPr>
          <w:rStyle w:val="FootnoteReference"/>
          <w:rFonts w:eastAsiaTheme="majorEastAsia" w:cstheme="minorHAnsi"/>
          <w:color w:val="000000" w:themeColor="text1"/>
        </w:rPr>
        <w:footnoteRef/>
      </w:r>
      <w:r>
        <w:rPr>
          <w:rFonts w:eastAsiaTheme="majorEastAsia"/>
        </w:rPr>
        <w:t xml:space="preserve"> GRAIN, n 139;</w:t>
      </w:r>
      <w:r>
        <w:rPr>
          <w:rStyle w:val="FootnoteReference"/>
          <w:rFonts w:eastAsiaTheme="majorEastAsia" w:cstheme="minorHAnsi"/>
        </w:rPr>
        <w:t xml:space="preserve"> </w:t>
      </w:r>
      <w:r>
        <w:rPr>
          <w:rFonts w:eastAsiaTheme="majorEastAsia"/>
        </w:rPr>
        <w:t xml:space="preserve"> Mohamed Coulibaly, Robert Ali Brac de la Perriere and Sangeeta Shashikant, </w:t>
      </w:r>
      <w:r>
        <w:rPr>
          <w:rFonts w:eastAsiaTheme="majorEastAsia"/>
          <w:iCs/>
        </w:rPr>
        <w:t>A Dysfunctional Plant Variety Protection System: Ten Years of UPOV Implementation in Francophone Africa</w:t>
      </w:r>
      <w:r>
        <w:rPr>
          <w:rFonts w:eastAsiaTheme="majorEastAsia"/>
        </w:rPr>
        <w:t>, (APBREBES Working Paper, 2019), p. 13.</w:t>
      </w:r>
      <w:r>
        <w:rPr>
          <w:rFonts w:eastAsiaTheme="majorEastAsia"/>
          <w:lang w:val="en-GB"/>
        </w:rPr>
        <w:t xml:space="preserve"> </w:t>
      </w:r>
      <w:r>
        <w:rPr>
          <w:rFonts w:eastAsiaTheme="majorEastAsia"/>
        </w:rPr>
        <w:t xml:space="preserve">Available at </w:t>
      </w:r>
      <w:r w:rsidRPr="00F042C3">
        <w:rPr>
          <w:rFonts w:eastAsiaTheme="majorEastAsia"/>
        </w:rPr>
        <w:t>www.apbrebes.org/files/seeds/APBREBES_OAPI_EN_def_0.pdf.</w:t>
      </w:r>
    </w:p>
  </w:footnote>
  <w:footnote w:id="143">
    <w:p w14:paraId="096F974B" w14:textId="77777777" w:rsidR="000240CE" w:rsidRDefault="000240CE" w:rsidP="00EB1AFB">
      <w:pPr>
        <w:pStyle w:val="FootnoteText"/>
        <w:rPr>
          <w:lang w:val="en-GB"/>
        </w:rPr>
      </w:pPr>
      <w:r>
        <w:rPr>
          <w:rStyle w:val="FootnoteReference"/>
          <w:rFonts w:eastAsiaTheme="majorEastAsia" w:cstheme="minorHAnsi"/>
        </w:rPr>
        <w:footnoteRef/>
      </w:r>
      <w:r>
        <w:rPr>
          <w:rFonts w:eastAsiaTheme="majorEastAsia"/>
        </w:rPr>
        <w:t xml:space="preserve"> </w:t>
      </w:r>
      <w:r>
        <w:rPr>
          <w:rFonts w:eastAsiaTheme="majorEastAsia"/>
          <w:lang w:val="en-GB"/>
        </w:rPr>
        <w:t>Strba, n 107, p. 193.</w:t>
      </w:r>
    </w:p>
  </w:footnote>
  <w:footnote w:id="144">
    <w:p w14:paraId="190BCB80" w14:textId="77777777" w:rsidR="000240CE" w:rsidRDefault="000240CE" w:rsidP="00EB1AFB">
      <w:pPr>
        <w:pStyle w:val="FootnoteText"/>
      </w:pPr>
      <w:r>
        <w:rPr>
          <w:rStyle w:val="FootnoteReference"/>
          <w:rFonts w:eastAsiaTheme="majorEastAsia" w:cstheme="minorHAnsi"/>
        </w:rPr>
        <w:footnoteRef/>
      </w:r>
      <w:r>
        <w:rPr>
          <w:rFonts w:eastAsiaTheme="majorEastAsia"/>
        </w:rPr>
        <w:t xml:space="preserve"> Coulibaly et al, n, 142, p. 9. Citing UPOV doc. C/31/2.</w:t>
      </w:r>
    </w:p>
  </w:footnote>
  <w:footnote w:id="145">
    <w:p w14:paraId="748AAA44" w14:textId="77777777" w:rsidR="000240CE" w:rsidRDefault="000240CE" w:rsidP="00EB1AFB">
      <w:pPr>
        <w:pStyle w:val="FootnoteText"/>
        <w:rPr>
          <w:lang w:val="en-GB"/>
        </w:rPr>
      </w:pPr>
      <w:r>
        <w:rPr>
          <w:rStyle w:val="FootnoteReference"/>
          <w:rFonts w:eastAsiaTheme="majorEastAsia" w:cstheme="minorHAnsi"/>
        </w:rPr>
        <w:footnoteRef/>
      </w:r>
      <w:r>
        <w:rPr>
          <w:rFonts w:eastAsiaTheme="majorEastAsia"/>
        </w:rPr>
        <w:t xml:space="preserve"> Ibid. Citing UPOV doc. C/32/2.</w:t>
      </w:r>
    </w:p>
  </w:footnote>
  <w:footnote w:id="146">
    <w:p w14:paraId="06B2D876" w14:textId="77777777" w:rsidR="000240CE" w:rsidRDefault="000240CE" w:rsidP="00EB1AFB">
      <w:pPr>
        <w:pStyle w:val="FootnoteText"/>
        <w:rPr>
          <w:lang w:val="en-GB"/>
        </w:rPr>
      </w:pPr>
      <w:r>
        <w:rPr>
          <w:rStyle w:val="FootnoteReference"/>
          <w:rFonts w:eastAsiaTheme="majorEastAsia" w:cstheme="minorHAnsi"/>
        </w:rPr>
        <w:footnoteRef/>
      </w:r>
      <w:r>
        <w:rPr>
          <w:rFonts w:eastAsiaTheme="majorEastAsia"/>
        </w:rPr>
        <w:t xml:space="preserve"> </w:t>
      </w:r>
      <w:r>
        <w:rPr>
          <w:rFonts w:eastAsiaTheme="majorEastAsia"/>
          <w:lang w:val="en-GB"/>
        </w:rPr>
        <w:t>Ibid.</w:t>
      </w:r>
    </w:p>
  </w:footnote>
  <w:footnote w:id="147">
    <w:p w14:paraId="1626CDC2" w14:textId="77777777" w:rsidR="000240CE" w:rsidRDefault="000240CE" w:rsidP="00EB1AFB">
      <w:pPr>
        <w:pStyle w:val="FootnoteText"/>
        <w:rPr>
          <w:lang w:val="en-GB"/>
        </w:rPr>
      </w:pPr>
      <w:r>
        <w:rPr>
          <w:rStyle w:val="FootnoteReference"/>
          <w:rFonts w:eastAsiaTheme="majorEastAsia" w:cstheme="minorHAnsi"/>
        </w:rPr>
        <w:footnoteRef/>
      </w:r>
      <w:r>
        <w:rPr>
          <w:rFonts w:eastAsiaTheme="majorEastAsia"/>
        </w:rPr>
        <w:t xml:space="preserve"> Ibid.</w:t>
      </w:r>
    </w:p>
  </w:footnote>
  <w:footnote w:id="148">
    <w:p w14:paraId="69B0495D" w14:textId="77777777" w:rsidR="000240CE" w:rsidRDefault="000240CE" w:rsidP="00EB1AFB">
      <w:pPr>
        <w:pStyle w:val="FootnoteText"/>
      </w:pPr>
      <w:r>
        <w:rPr>
          <w:rStyle w:val="FootnoteReference"/>
          <w:rFonts w:eastAsiaTheme="majorEastAsia" w:cstheme="minorHAnsi"/>
        </w:rPr>
        <w:footnoteRef/>
      </w:r>
      <w:r>
        <w:rPr>
          <w:rFonts w:eastAsiaTheme="majorEastAsia"/>
        </w:rPr>
        <w:t xml:space="preserve"> Ibid.</w:t>
      </w:r>
    </w:p>
  </w:footnote>
  <w:footnote w:id="149">
    <w:p w14:paraId="2AFB7656" w14:textId="77777777" w:rsidR="000240CE" w:rsidRDefault="000240CE" w:rsidP="00EB1AFB">
      <w:pPr>
        <w:pStyle w:val="FootnoteText"/>
        <w:rPr>
          <w:lang w:val="en-GB"/>
        </w:rPr>
      </w:pPr>
      <w:r>
        <w:rPr>
          <w:rStyle w:val="FootnoteReference"/>
          <w:rFonts w:eastAsiaTheme="majorEastAsia" w:cstheme="minorHAnsi"/>
        </w:rPr>
        <w:footnoteRef/>
      </w:r>
      <w:r>
        <w:rPr>
          <w:rFonts w:eastAsiaTheme="majorEastAsia"/>
        </w:rPr>
        <w:t xml:space="preserve"> Ibid.</w:t>
      </w:r>
    </w:p>
  </w:footnote>
  <w:footnote w:id="150">
    <w:p w14:paraId="0BF79D42" w14:textId="712D9C66" w:rsidR="000240CE" w:rsidRDefault="000240CE" w:rsidP="00EB1AFB">
      <w:pPr>
        <w:pStyle w:val="FootnoteText"/>
      </w:pPr>
      <w:r>
        <w:rPr>
          <w:rStyle w:val="FootnoteReference"/>
          <w:rFonts w:eastAsiaTheme="majorEastAsia" w:cstheme="minorHAnsi"/>
        </w:rPr>
        <w:footnoteRef/>
      </w:r>
      <w:r>
        <w:rPr>
          <w:rFonts w:eastAsiaTheme="majorEastAsia"/>
        </w:rPr>
        <w:t xml:space="preserve"> Deere, n 60, p. 260–1.</w:t>
      </w:r>
    </w:p>
  </w:footnote>
  <w:footnote w:id="151">
    <w:p w14:paraId="3558A28D" w14:textId="77777777" w:rsidR="000240CE" w:rsidRDefault="000240CE" w:rsidP="00EB1AFB">
      <w:pPr>
        <w:pStyle w:val="FootnoteText"/>
      </w:pPr>
      <w:r>
        <w:rPr>
          <w:rStyle w:val="FootnoteReference"/>
          <w:rFonts w:eastAsiaTheme="majorEastAsia" w:cstheme="minorHAnsi"/>
        </w:rPr>
        <w:footnoteRef/>
      </w:r>
      <w:r>
        <w:rPr>
          <w:rFonts w:eastAsiaTheme="majorEastAsia"/>
        </w:rPr>
        <w:t xml:space="preserve"> Ibid, p. 263.</w:t>
      </w:r>
    </w:p>
  </w:footnote>
  <w:footnote w:id="152">
    <w:p w14:paraId="2460D031" w14:textId="77777777" w:rsidR="000240CE" w:rsidRDefault="000240CE" w:rsidP="00EB1AFB">
      <w:pPr>
        <w:pStyle w:val="FootnoteText"/>
      </w:pPr>
      <w:r>
        <w:rPr>
          <w:rStyle w:val="FootnoteReference"/>
          <w:rFonts w:eastAsiaTheme="majorEastAsia" w:cstheme="minorHAnsi"/>
        </w:rPr>
        <w:footnoteRef/>
      </w:r>
      <w:r>
        <w:rPr>
          <w:rFonts w:eastAsiaTheme="majorEastAsia"/>
        </w:rPr>
        <w:t xml:space="preserve"> Ibid. Also see Coulibaly et al, n 142 p. 10.</w:t>
      </w:r>
    </w:p>
  </w:footnote>
  <w:footnote w:id="153">
    <w:p w14:paraId="311FC0E4" w14:textId="79C7F01B" w:rsidR="000240CE" w:rsidRDefault="000240CE" w:rsidP="00EB1AFB">
      <w:pPr>
        <w:pStyle w:val="FootnoteText"/>
        <w:rPr>
          <w:color w:val="000000"/>
          <w:lang w:val="en-GB"/>
        </w:rPr>
      </w:pPr>
      <w:r>
        <w:rPr>
          <w:rStyle w:val="FootnoteReference"/>
          <w:rFonts w:eastAsiaTheme="majorEastAsia" w:cstheme="minorHAnsi"/>
          <w:color w:val="000000" w:themeColor="text1"/>
        </w:rPr>
        <w:footnoteRef/>
      </w:r>
      <w:r>
        <w:rPr>
          <w:rFonts w:eastAsiaTheme="majorEastAsia"/>
        </w:rPr>
        <w:t xml:space="preserve"> </w:t>
      </w:r>
      <w:r>
        <w:rPr>
          <w:rFonts w:eastAsiaTheme="majorEastAsia"/>
          <w:lang w:val="en-GB"/>
        </w:rPr>
        <w:t xml:space="preserve">UPOV (undated) International harmonization is essential for effective plant variety protection, trade &amp; transfer of technology, UPOV Position based on an intervention in the Council for TRIPS, on September 19, 2002. Available </w:t>
      </w:r>
      <w:r w:rsidRPr="00F042C3">
        <w:rPr>
          <w:rFonts w:eastAsiaTheme="majorEastAsia"/>
          <w:lang w:val="en-GB"/>
        </w:rPr>
        <w:t xml:space="preserve">at </w:t>
      </w:r>
      <w:r w:rsidRPr="00F042C3">
        <w:rPr>
          <w:rFonts w:eastAsiaTheme="majorEastAsia"/>
        </w:rPr>
        <w:t>www.upov.int/about/en/pdf/international_harmonization.pdf.</w:t>
      </w:r>
    </w:p>
  </w:footnote>
  <w:footnote w:id="154">
    <w:p w14:paraId="2A37C38B" w14:textId="77777777" w:rsidR="000240CE" w:rsidRDefault="000240CE" w:rsidP="00EB1AFB">
      <w:pPr>
        <w:pStyle w:val="FootnoteText"/>
        <w:rPr>
          <w:color w:val="000000"/>
        </w:rPr>
      </w:pPr>
      <w:r>
        <w:rPr>
          <w:rStyle w:val="FootnoteReference"/>
          <w:rFonts w:eastAsiaTheme="majorEastAsia" w:cstheme="minorHAnsi"/>
          <w:color w:val="000000" w:themeColor="text1"/>
        </w:rPr>
        <w:footnoteRef/>
      </w:r>
      <w:r>
        <w:rPr>
          <w:rFonts w:eastAsiaTheme="majorEastAsia"/>
        </w:rPr>
        <w:t xml:space="preserve"> Dutfield, n 123, p.9.</w:t>
      </w:r>
    </w:p>
  </w:footnote>
  <w:footnote w:id="155">
    <w:p w14:paraId="385587BC" w14:textId="6C8A94E3" w:rsidR="000240CE" w:rsidRDefault="000240CE" w:rsidP="00EB1AFB">
      <w:pPr>
        <w:pStyle w:val="FootnoteText"/>
      </w:pPr>
      <w:r>
        <w:rPr>
          <w:rStyle w:val="FootnoteReference"/>
          <w:rFonts w:eastAsiaTheme="majorEastAsia" w:cstheme="minorHAnsi"/>
        </w:rPr>
        <w:footnoteRef/>
      </w:r>
      <w:r>
        <w:rPr>
          <w:rFonts w:eastAsiaTheme="majorEastAsia"/>
        </w:rPr>
        <w:t xml:space="preserve"> </w:t>
      </w:r>
      <w:r>
        <w:rPr>
          <w:rFonts w:eastAsiaTheme="majorEastAsia"/>
          <w:color w:val="000000"/>
        </w:rPr>
        <w:t>Carlos M. Correa et al (2015), “</w:t>
      </w:r>
      <w:r>
        <w:rPr>
          <w:rFonts w:eastAsiaTheme="majorEastAsia"/>
          <w:iCs/>
          <w:color w:val="000000"/>
        </w:rPr>
        <w:t>Plant Variety Protection in Developing Countries: A Tool for Designing a Sui Generis Plant Variety Protection System: An Alternative to UPOV 1991</w:t>
      </w:r>
      <w:r>
        <w:rPr>
          <w:rFonts w:eastAsiaTheme="majorEastAsia"/>
          <w:i/>
          <w:iCs/>
          <w:color w:val="000000"/>
        </w:rPr>
        <w:t>,</w:t>
      </w:r>
      <w:r>
        <w:rPr>
          <w:rFonts w:eastAsiaTheme="majorEastAsia"/>
          <w:iCs/>
          <w:color w:val="000000"/>
        </w:rPr>
        <w:t>“</w:t>
      </w:r>
      <w:r>
        <w:rPr>
          <w:rFonts w:eastAsiaTheme="majorEastAsia"/>
          <w:i/>
          <w:iCs/>
          <w:color w:val="000000"/>
        </w:rPr>
        <w:t xml:space="preserve"> </w:t>
      </w:r>
      <w:r>
        <w:rPr>
          <w:rFonts w:eastAsiaTheme="majorEastAsia"/>
          <w:color w:val="000000"/>
        </w:rPr>
        <w:t xml:space="preserve">APBREBES. Available at </w:t>
      </w:r>
      <w:r w:rsidRPr="00F042C3">
        <w:rPr>
          <w:rFonts w:eastAsiaTheme="majorEastAsia"/>
        </w:rPr>
        <w:t>www.apbrebes.org/files/seeds/ToolEnglishcompleteDez15.pdf</w:t>
      </w:r>
      <w:r>
        <w:rPr>
          <w:rFonts w:eastAsiaTheme="majorEastAsia"/>
          <w:color w:val="000000"/>
        </w:rPr>
        <w:t xml:space="preserve">.  </w:t>
      </w:r>
    </w:p>
  </w:footnote>
  <w:footnote w:id="156">
    <w:p w14:paraId="444501C7" w14:textId="0338F3CB" w:rsidR="000240CE" w:rsidRDefault="000240CE" w:rsidP="00EB1AFB">
      <w:pPr>
        <w:pStyle w:val="FootnoteText"/>
        <w:rPr>
          <w:color w:val="000000"/>
          <w:lang w:val="en-GB"/>
        </w:rPr>
      </w:pPr>
      <w:r>
        <w:rPr>
          <w:rStyle w:val="FootnoteReference"/>
          <w:rFonts w:eastAsiaTheme="majorEastAsia" w:cstheme="minorHAnsi"/>
          <w:color w:val="000000" w:themeColor="text1"/>
        </w:rPr>
        <w:footnoteRef/>
      </w:r>
      <w:r>
        <w:rPr>
          <w:rFonts w:eastAsiaTheme="majorEastAsia"/>
        </w:rPr>
        <w:t xml:space="preserve"> </w:t>
      </w:r>
      <w:r>
        <w:rPr>
          <w:rFonts w:eastAsiaTheme="majorEastAsia"/>
          <w:lang w:val="en-GB"/>
        </w:rPr>
        <w:t>Chidi Oguamanam (2015), “Breeding Apples for Oranges: Africa’s Misplaced Priorities over Plant Breeders Rights“, 18 Journal of World Intellectual Property 5, p. 173.</w:t>
      </w:r>
    </w:p>
  </w:footnote>
  <w:footnote w:id="157">
    <w:p w14:paraId="2661F7E6" w14:textId="77777777" w:rsidR="000240CE" w:rsidRDefault="000240CE" w:rsidP="00EB1AFB">
      <w:pPr>
        <w:pStyle w:val="FootnoteText"/>
        <w:rPr>
          <w:color w:val="FF0000"/>
          <w:lang w:val="en-GB"/>
        </w:rPr>
      </w:pPr>
      <w:r>
        <w:rPr>
          <w:rStyle w:val="FootnoteReference"/>
          <w:rFonts w:eastAsiaTheme="majorEastAsia" w:cstheme="minorHAnsi"/>
          <w:color w:val="000000" w:themeColor="text1"/>
        </w:rPr>
        <w:footnoteRef/>
      </w:r>
      <w:r>
        <w:rPr>
          <w:rFonts w:eastAsiaTheme="majorEastAsia"/>
        </w:rPr>
        <w:t xml:space="preserve"> Ibid</w:t>
      </w:r>
      <w:r>
        <w:rPr>
          <w:rFonts w:eastAsiaTheme="majorEastAsia"/>
          <w:color w:val="FF0000"/>
        </w:rPr>
        <w:t>.</w:t>
      </w:r>
    </w:p>
  </w:footnote>
  <w:footnote w:id="158">
    <w:p w14:paraId="17700CC5" w14:textId="77777777" w:rsidR="000240CE" w:rsidRDefault="000240CE" w:rsidP="00EB1AFB">
      <w:pPr>
        <w:pStyle w:val="FootnoteText"/>
        <w:rPr>
          <w:color w:val="000000"/>
          <w:lang w:val="en-GB"/>
        </w:rPr>
      </w:pPr>
      <w:r>
        <w:rPr>
          <w:rStyle w:val="FootnoteReference"/>
          <w:rFonts w:eastAsiaTheme="majorEastAsia" w:cstheme="minorHAnsi"/>
          <w:color w:val="000000" w:themeColor="text1"/>
        </w:rPr>
        <w:footnoteRef/>
      </w:r>
      <w:r>
        <w:rPr>
          <w:rFonts w:eastAsiaTheme="majorEastAsia"/>
        </w:rPr>
        <w:t xml:space="preserve"> Coulibaly et al, n 142, p. 11. Citing UPOV doc. C(Extr.)/17/6.</w:t>
      </w:r>
    </w:p>
  </w:footnote>
  <w:footnote w:id="159">
    <w:p w14:paraId="40A6AFB8" w14:textId="77777777" w:rsidR="000240CE" w:rsidRDefault="000240CE" w:rsidP="00EB1AFB">
      <w:pPr>
        <w:pStyle w:val="FootnoteText"/>
        <w:rPr>
          <w:color w:val="000000"/>
        </w:rPr>
      </w:pPr>
      <w:r>
        <w:rPr>
          <w:rStyle w:val="FootnoteReference"/>
          <w:rFonts w:eastAsiaTheme="majorEastAsia" w:cstheme="minorHAnsi"/>
          <w:color w:val="000000" w:themeColor="text1"/>
        </w:rPr>
        <w:footnoteRef/>
      </w:r>
      <w:r>
        <w:rPr>
          <w:rFonts w:eastAsiaTheme="majorEastAsia"/>
        </w:rPr>
        <w:t xml:space="preserve"> Article 3 Annex X of the Bangui Agreement. For a detailed analysis and explanation of the technicalities relating to these terminologies and PVP, see </w:t>
      </w:r>
      <w:r>
        <w:rPr>
          <w:rFonts w:eastAsiaTheme="majorEastAsia"/>
          <w:highlight w:val="yellow"/>
        </w:rPr>
        <w:t xml:space="preserve">the contribution by </w:t>
      </w:r>
      <w:r>
        <w:rPr>
          <w:rFonts w:eastAsiaTheme="majorEastAsia"/>
          <w:highlight w:val="yellow"/>
          <w:lang w:val="en-GB"/>
        </w:rPr>
        <w:t>Mrinalini Kochupillai &amp; Julia Köninger</w:t>
      </w:r>
      <w:r>
        <w:rPr>
          <w:rFonts w:eastAsiaTheme="majorEastAsia"/>
          <w:highlight w:val="yellow"/>
        </w:rPr>
        <w:t>, chapter zzz in this volume.</w:t>
      </w:r>
    </w:p>
  </w:footnote>
  <w:footnote w:id="160">
    <w:p w14:paraId="55AFEAA0" w14:textId="77777777" w:rsidR="000240CE" w:rsidRDefault="000240CE" w:rsidP="00EB1AFB">
      <w:pPr>
        <w:pStyle w:val="FootnoteText"/>
        <w:rPr>
          <w:color w:val="000000"/>
          <w:lang w:val="en-GB"/>
        </w:rPr>
      </w:pPr>
      <w:r>
        <w:rPr>
          <w:rStyle w:val="FootnoteReference"/>
          <w:rFonts w:eastAsiaTheme="majorEastAsia" w:cstheme="minorHAnsi"/>
          <w:color w:val="000000" w:themeColor="text1"/>
        </w:rPr>
        <w:footnoteRef/>
      </w:r>
      <w:r>
        <w:rPr>
          <w:rFonts w:eastAsiaTheme="majorEastAsia"/>
        </w:rPr>
        <w:t xml:space="preserve"> Coulibaly et al, n 142, p. 16.</w:t>
      </w:r>
    </w:p>
  </w:footnote>
  <w:footnote w:id="161">
    <w:p w14:paraId="58C8F296" w14:textId="77777777" w:rsidR="000240CE" w:rsidRDefault="000240CE" w:rsidP="00EB1AFB">
      <w:pPr>
        <w:pStyle w:val="FootnoteText"/>
        <w:rPr>
          <w:color w:val="000000"/>
          <w:lang w:val="en-GB"/>
        </w:rPr>
      </w:pPr>
      <w:r>
        <w:rPr>
          <w:rStyle w:val="FootnoteReference"/>
          <w:rFonts w:eastAsiaTheme="majorEastAsia" w:cstheme="minorHAnsi"/>
          <w:color w:val="000000" w:themeColor="text1"/>
        </w:rPr>
        <w:footnoteRef/>
      </w:r>
      <w:r>
        <w:rPr>
          <w:rFonts w:eastAsiaTheme="majorEastAsia"/>
        </w:rPr>
        <w:t xml:space="preserve"> Ibid.</w:t>
      </w:r>
    </w:p>
  </w:footnote>
  <w:footnote w:id="162">
    <w:p w14:paraId="300F4500" w14:textId="77777777" w:rsidR="000240CE" w:rsidRDefault="000240CE" w:rsidP="00EB1AFB">
      <w:pPr>
        <w:pStyle w:val="FootnoteText"/>
        <w:rPr>
          <w:lang w:val="en-GB"/>
        </w:rPr>
      </w:pPr>
      <w:r>
        <w:rPr>
          <w:rStyle w:val="FootnoteReference"/>
          <w:rFonts w:eastAsiaTheme="majorEastAsia" w:cstheme="minorHAnsi"/>
        </w:rPr>
        <w:footnoteRef/>
      </w:r>
      <w:r>
        <w:rPr>
          <w:rFonts w:eastAsiaTheme="majorEastAsia"/>
        </w:rPr>
        <w:t xml:space="preserve"> Ibid</w:t>
      </w:r>
    </w:p>
  </w:footnote>
  <w:footnote w:id="163">
    <w:p w14:paraId="54D6E90A" w14:textId="77777777" w:rsidR="000240CE" w:rsidRDefault="000240CE" w:rsidP="00EB1AFB">
      <w:pPr>
        <w:pStyle w:val="FootnoteText"/>
        <w:rPr>
          <w:lang w:val="en-GB"/>
        </w:rPr>
      </w:pPr>
      <w:r>
        <w:rPr>
          <w:rStyle w:val="FootnoteReference"/>
          <w:rFonts w:eastAsiaTheme="majorEastAsia" w:cstheme="minorHAnsi"/>
        </w:rPr>
        <w:footnoteRef/>
      </w:r>
      <w:r>
        <w:rPr>
          <w:rFonts w:eastAsiaTheme="majorEastAsia"/>
        </w:rPr>
        <w:t xml:space="preserve"> Article 32(2) Annex X of the Bangui Agreement.</w:t>
      </w:r>
    </w:p>
  </w:footnote>
  <w:footnote w:id="164">
    <w:p w14:paraId="53B70EE1" w14:textId="77777777" w:rsidR="000240CE" w:rsidRDefault="000240CE" w:rsidP="00EB1AFB">
      <w:pPr>
        <w:pStyle w:val="FootnoteText"/>
        <w:rPr>
          <w:color w:val="000000"/>
          <w:u w:val="single"/>
        </w:rPr>
      </w:pPr>
      <w:r>
        <w:rPr>
          <w:rStyle w:val="FootnoteReference"/>
          <w:rFonts w:eastAsiaTheme="majorEastAsia" w:cstheme="minorHAnsi"/>
        </w:rPr>
        <w:footnoteRef/>
      </w:r>
      <w:r>
        <w:rPr>
          <w:rFonts w:eastAsiaTheme="majorEastAsia"/>
        </w:rPr>
        <w:t xml:space="preserve"> </w:t>
      </w:r>
      <w:r>
        <w:rPr>
          <w:rFonts w:eastAsiaTheme="majorEastAsia"/>
          <w:color w:val="000000"/>
        </w:rPr>
        <w:t xml:space="preserve">See Chapter 3 of Correa et al, n 155.  </w:t>
      </w:r>
    </w:p>
  </w:footnote>
  <w:footnote w:id="165">
    <w:p w14:paraId="30C2BD4F" w14:textId="77777777" w:rsidR="000240CE" w:rsidRDefault="000240CE" w:rsidP="00EB1AFB">
      <w:pPr>
        <w:pStyle w:val="FootnoteText"/>
        <w:rPr>
          <w:lang w:val="en-GB"/>
        </w:rPr>
      </w:pPr>
      <w:r>
        <w:rPr>
          <w:rStyle w:val="FootnoteReference"/>
          <w:rFonts w:eastAsiaTheme="majorEastAsia" w:cstheme="minorHAnsi"/>
        </w:rPr>
        <w:footnoteRef/>
      </w:r>
      <w:r>
        <w:rPr>
          <w:rFonts w:eastAsiaTheme="majorEastAsia"/>
        </w:rPr>
        <w:t xml:space="preserve"> </w:t>
      </w:r>
      <w:r>
        <w:rPr>
          <w:rFonts w:eastAsiaTheme="majorEastAsia"/>
          <w:lang w:val="en-GB"/>
        </w:rPr>
        <w:t>Article 61 TRIPS.</w:t>
      </w:r>
    </w:p>
  </w:footnote>
  <w:footnote w:id="166">
    <w:p w14:paraId="39E544EF" w14:textId="77777777" w:rsidR="000240CE" w:rsidRDefault="000240CE" w:rsidP="00EB1AFB">
      <w:pPr>
        <w:pStyle w:val="FootnoteText"/>
      </w:pPr>
      <w:r>
        <w:rPr>
          <w:rStyle w:val="FootnoteReference"/>
          <w:rFonts w:eastAsiaTheme="majorEastAsia" w:cstheme="minorHAnsi"/>
        </w:rPr>
        <w:footnoteRef/>
      </w:r>
      <w:r>
        <w:rPr>
          <w:rFonts w:eastAsiaTheme="majorEastAsia"/>
        </w:rPr>
        <w:t xml:space="preserve"> Correa et al, n 155, p. 68.</w:t>
      </w:r>
    </w:p>
  </w:footnote>
  <w:footnote w:id="167">
    <w:p w14:paraId="2B92585F" w14:textId="77777777" w:rsidR="000240CE" w:rsidRDefault="000240CE" w:rsidP="00EB1AFB">
      <w:pPr>
        <w:pStyle w:val="FootnoteText"/>
        <w:rPr>
          <w:color w:val="000000"/>
        </w:rPr>
      </w:pPr>
      <w:r>
        <w:rPr>
          <w:rStyle w:val="FootnoteReference"/>
          <w:rFonts w:eastAsiaTheme="majorEastAsia" w:cstheme="minorHAnsi"/>
          <w:color w:val="000000" w:themeColor="text1"/>
        </w:rPr>
        <w:footnoteRef/>
      </w:r>
      <w:r>
        <w:rPr>
          <w:rFonts w:eastAsiaTheme="majorEastAsia"/>
        </w:rPr>
        <w:t xml:space="preserve"> Coulibaly et al, n 142, p. 30.</w:t>
      </w:r>
    </w:p>
  </w:footnote>
  <w:footnote w:id="168">
    <w:p w14:paraId="2854FC4B" w14:textId="77777777" w:rsidR="000240CE" w:rsidRDefault="000240CE" w:rsidP="00EB1AFB">
      <w:pPr>
        <w:pStyle w:val="FootnoteText"/>
        <w:rPr>
          <w:lang w:val="en-GB"/>
        </w:rPr>
      </w:pPr>
      <w:r>
        <w:rPr>
          <w:rStyle w:val="FootnoteReference"/>
          <w:rFonts w:eastAsiaTheme="majorEastAsia" w:cstheme="minorHAnsi"/>
        </w:rPr>
        <w:footnoteRef/>
      </w:r>
      <w:r>
        <w:rPr>
          <w:rFonts w:eastAsiaTheme="majorEastAsia"/>
        </w:rPr>
        <w:t xml:space="preserve"> Deere, n 60, p. 266.</w:t>
      </w:r>
    </w:p>
  </w:footnote>
  <w:footnote w:id="169">
    <w:p w14:paraId="5F5FA388" w14:textId="77777777" w:rsidR="000240CE" w:rsidRDefault="000240CE" w:rsidP="00EB1AFB">
      <w:pPr>
        <w:pStyle w:val="FootnoteText"/>
        <w:rPr>
          <w:color w:val="000000"/>
          <w:lang w:val="en-GB"/>
        </w:rPr>
      </w:pPr>
      <w:r>
        <w:rPr>
          <w:rStyle w:val="FootnoteReference"/>
          <w:rFonts w:eastAsiaTheme="majorEastAsia" w:cstheme="minorHAnsi"/>
          <w:color w:val="000000" w:themeColor="text1"/>
        </w:rPr>
        <w:footnoteRef/>
      </w:r>
      <w:r>
        <w:rPr>
          <w:rFonts w:eastAsiaTheme="majorEastAsia"/>
        </w:rPr>
        <w:t xml:space="preserve"> Oguamanam, n 156, p. 174.</w:t>
      </w:r>
    </w:p>
  </w:footnote>
  <w:footnote w:id="170">
    <w:p w14:paraId="731193E3" w14:textId="77777777" w:rsidR="000240CE" w:rsidRDefault="000240CE" w:rsidP="00EB1AFB">
      <w:pPr>
        <w:pStyle w:val="FootnoteText"/>
        <w:rPr>
          <w:color w:val="000000"/>
          <w:lang w:val="en-GB"/>
        </w:rPr>
      </w:pPr>
      <w:r>
        <w:rPr>
          <w:rStyle w:val="FootnoteReference"/>
          <w:rFonts w:eastAsiaTheme="majorEastAsia" w:cstheme="minorHAnsi"/>
          <w:color w:val="000000" w:themeColor="text1"/>
        </w:rPr>
        <w:footnoteRef/>
      </w:r>
      <w:r>
        <w:rPr>
          <w:rFonts w:eastAsiaTheme="majorEastAsia"/>
        </w:rPr>
        <w:t xml:space="preserve"> </w:t>
      </w:r>
      <w:r>
        <w:rPr>
          <w:rFonts w:eastAsiaTheme="majorEastAsia"/>
          <w:lang w:val="en-GB"/>
        </w:rPr>
        <w:t>See Draft Regional Policy and Legal Framework for Plant Variety Protection, ARIPO/CM/XIII/0 (30</w:t>
      </w:r>
    </w:p>
    <w:p w14:paraId="0463527F" w14:textId="77777777" w:rsidR="000240CE" w:rsidRDefault="000240CE" w:rsidP="00EB1AFB">
      <w:pPr>
        <w:pStyle w:val="FootnoteText"/>
        <w:rPr>
          <w:color w:val="000000"/>
          <w:lang w:val="en-GB"/>
        </w:rPr>
      </w:pPr>
      <w:r>
        <w:rPr>
          <w:rFonts w:eastAsiaTheme="majorEastAsia"/>
          <w:lang w:val="en-GB"/>
        </w:rPr>
        <w:t>September 2013).</w:t>
      </w:r>
    </w:p>
  </w:footnote>
  <w:footnote w:id="171">
    <w:p w14:paraId="71607C52" w14:textId="186636B5" w:rsidR="000240CE" w:rsidRDefault="000240CE" w:rsidP="00EB1AFB">
      <w:pPr>
        <w:pStyle w:val="FootnoteText"/>
        <w:rPr>
          <w:lang w:val="en-GB"/>
        </w:rPr>
      </w:pPr>
      <w:r>
        <w:rPr>
          <w:rStyle w:val="FootnoteReference"/>
          <w:rFonts w:eastAsiaTheme="majorEastAsia" w:cstheme="minorHAnsi"/>
        </w:rPr>
        <w:footnoteRef/>
      </w:r>
      <w:r>
        <w:rPr>
          <w:rFonts w:eastAsiaTheme="majorEastAsia"/>
        </w:rPr>
        <w:t xml:space="preserve"> </w:t>
      </w:r>
      <w:r>
        <w:rPr>
          <w:rFonts w:eastAsiaTheme="majorEastAsia"/>
          <w:lang w:val="en-GB"/>
        </w:rPr>
        <w:t xml:space="preserve">Regional Workshop on the Draft ARIPO Protocol for the Protection of New Varieties of Plants. Organized by ARIPO in Cooperation with UPOV and with the Assistance of USPTO, 29–31 October 2014, Harare, Zimbabwe, Doc No ARIPO/HRE/2014/INF/1 (1 September 2014). Available at </w:t>
      </w:r>
      <w:r w:rsidRPr="00F042C3">
        <w:rPr>
          <w:rFonts w:eastAsiaTheme="majorEastAsia"/>
        </w:rPr>
        <w:t>www.ip-watch.org/weblog/wp-content/uploads/2014/11/aripo_upov_Harare_14_inf_1_01_09_2014.pdf.</w:t>
      </w:r>
    </w:p>
  </w:footnote>
  <w:footnote w:id="172">
    <w:p w14:paraId="1D8E39BF" w14:textId="7DD5E811" w:rsidR="000240CE" w:rsidRDefault="000240CE" w:rsidP="00EB1AFB">
      <w:pPr>
        <w:pStyle w:val="FootnoteText"/>
        <w:rPr>
          <w:color w:val="000000"/>
          <w:lang w:val="en-GB"/>
        </w:rPr>
      </w:pPr>
      <w:r>
        <w:rPr>
          <w:rStyle w:val="FootnoteReference"/>
          <w:rFonts w:eastAsiaTheme="majorEastAsia" w:cstheme="minorHAnsi"/>
          <w:color w:val="000000" w:themeColor="text1"/>
        </w:rPr>
        <w:footnoteRef/>
      </w:r>
      <w:r>
        <w:rPr>
          <w:rFonts w:eastAsiaTheme="majorEastAsia"/>
        </w:rPr>
        <w:t xml:space="preserve"> </w:t>
      </w:r>
      <w:r>
        <w:rPr>
          <w:rFonts w:eastAsiaTheme="majorEastAsia"/>
          <w:lang w:val="en-GB"/>
        </w:rPr>
        <w:t>UPOV Council, Thirty-First Extraordinary Session, “Examination of the Conformity of the Draft ARIPO Protocol for the Protection of New Varieties of Plants with the 1991 Act of the UPOV Convention“ Geneva April 11, 2014, UPOV (Extr.)/31/2 p. 7 (dated March 14, 2014).</w:t>
      </w:r>
    </w:p>
  </w:footnote>
  <w:footnote w:id="173">
    <w:p w14:paraId="744A13D9" w14:textId="77777777" w:rsidR="000240CE" w:rsidRDefault="000240CE" w:rsidP="00EB1AFB">
      <w:pPr>
        <w:pStyle w:val="FootnoteText"/>
        <w:rPr>
          <w:color w:val="000000"/>
          <w:lang w:val="en-GB"/>
        </w:rPr>
      </w:pPr>
      <w:r>
        <w:rPr>
          <w:rStyle w:val="FootnoteReference"/>
          <w:rFonts w:eastAsiaTheme="majorEastAsia" w:cstheme="minorHAnsi"/>
          <w:color w:val="000000" w:themeColor="text1"/>
        </w:rPr>
        <w:footnoteRef/>
      </w:r>
      <w:r>
        <w:rPr>
          <w:rFonts w:eastAsiaTheme="majorEastAsia"/>
        </w:rPr>
        <w:t xml:space="preserve"> </w:t>
      </w:r>
      <w:r>
        <w:rPr>
          <w:rFonts w:eastAsiaTheme="majorEastAsia"/>
          <w:lang w:val="en-GB"/>
        </w:rPr>
        <w:t>Strba, n 107, p. 197. Citing ARIPO, Administrative Council, 9th Extra-Ordinary Session, Arusha,</w:t>
      </w:r>
    </w:p>
    <w:p w14:paraId="58E86644" w14:textId="77777777" w:rsidR="000240CE" w:rsidRDefault="000240CE" w:rsidP="00EB1AFB">
      <w:pPr>
        <w:pStyle w:val="FootnoteText"/>
        <w:rPr>
          <w:color w:val="000000"/>
          <w:lang w:val="en-GB"/>
        </w:rPr>
      </w:pPr>
      <w:r>
        <w:rPr>
          <w:rFonts w:eastAsiaTheme="majorEastAsia"/>
          <w:lang w:val="en-GB"/>
        </w:rPr>
        <w:t xml:space="preserve">United Republic of Tanzania, 2–3 July 2016, Doc No ARIPO/AC/IXEX/8 (3 July 2015), para 3. </w:t>
      </w:r>
    </w:p>
  </w:footnote>
  <w:footnote w:id="174">
    <w:p w14:paraId="66A8110C" w14:textId="77777777" w:rsidR="000240CE" w:rsidRDefault="000240CE" w:rsidP="00EB1AFB">
      <w:pPr>
        <w:pStyle w:val="FootnoteText"/>
        <w:rPr>
          <w:lang w:val="en-GB"/>
        </w:rPr>
      </w:pPr>
      <w:r>
        <w:rPr>
          <w:rStyle w:val="FootnoteReference"/>
          <w:rFonts w:eastAsiaTheme="majorEastAsia" w:cstheme="minorHAnsi"/>
        </w:rPr>
        <w:footnoteRef/>
      </w:r>
      <w:r>
        <w:rPr>
          <w:rFonts w:eastAsiaTheme="majorEastAsia"/>
        </w:rPr>
        <w:t xml:space="preserve"> </w:t>
      </w:r>
      <w:r>
        <w:rPr>
          <w:rFonts w:eastAsiaTheme="majorEastAsia"/>
          <w:lang w:val="en-GB"/>
        </w:rPr>
        <w:t>Ibid.</w:t>
      </w:r>
    </w:p>
  </w:footnote>
  <w:footnote w:id="175">
    <w:p w14:paraId="58A2EB19" w14:textId="5FD9C39E" w:rsidR="000240CE" w:rsidRDefault="000240CE" w:rsidP="00EB1AFB">
      <w:pPr>
        <w:pStyle w:val="FootnoteText"/>
        <w:rPr>
          <w:lang w:val="en-GB"/>
        </w:rPr>
      </w:pPr>
      <w:r>
        <w:rPr>
          <w:rStyle w:val="FootnoteReference"/>
          <w:rFonts w:asciiTheme="minorHAnsi" w:eastAsiaTheme="majorEastAsia" w:hAnsiTheme="minorHAnsi" w:cstheme="minorHAnsi"/>
        </w:rPr>
        <w:footnoteRef/>
      </w:r>
      <w:r>
        <w:rPr>
          <w:rFonts w:eastAsiaTheme="majorEastAsia"/>
          <w:lang w:val="en-GB"/>
        </w:rPr>
        <w:t xml:space="preserve"> UPOV: Status in Relation to the International Union for the Protection of New Varieties of Plants (UPOV) </w:t>
      </w:r>
      <w:r>
        <w:rPr>
          <w:rFonts w:eastAsiaTheme="majorEastAsia"/>
          <w:iCs/>
          <w:lang w:val="en-GB"/>
        </w:rPr>
        <w:t xml:space="preserve">as of February 22, 2021. Available at </w:t>
      </w:r>
      <w:r w:rsidRPr="00F042C3">
        <w:rPr>
          <w:rFonts w:eastAsiaTheme="majorEastAsia"/>
        </w:rPr>
        <w:t>www.upov.int/members/en/pdf/status.pdf.</w:t>
      </w:r>
    </w:p>
  </w:footnote>
  <w:footnote w:id="176">
    <w:p w14:paraId="7D2213F1" w14:textId="77777777" w:rsidR="000240CE" w:rsidRDefault="000240CE" w:rsidP="00EB1AFB">
      <w:pPr>
        <w:pStyle w:val="FootnoteText"/>
        <w:rPr>
          <w:color w:val="000000"/>
          <w:lang w:val="en-GB"/>
        </w:rPr>
      </w:pPr>
      <w:r>
        <w:rPr>
          <w:rStyle w:val="FootnoteReference"/>
          <w:rFonts w:eastAsiaTheme="majorEastAsia" w:cstheme="minorHAnsi"/>
          <w:color w:val="000000" w:themeColor="text1"/>
        </w:rPr>
        <w:footnoteRef/>
      </w:r>
      <w:r>
        <w:rPr>
          <w:rFonts w:eastAsiaTheme="majorEastAsia"/>
        </w:rPr>
        <w:t xml:space="preserve"> Strba, n 107, p.196. (Emphasis added). Citing </w:t>
      </w:r>
      <w:r>
        <w:rPr>
          <w:rFonts w:eastAsiaTheme="majorEastAsia"/>
          <w:lang w:val="en-GB"/>
        </w:rPr>
        <w:t>ARIPO, Administrative Council, 9th Extra-Ordinary Session, Arusha, United Republic of Tanzania, 2–3 July 2016, Doc No ARIPO/AC/IXEX/8 (3 July 2015).</w:t>
      </w:r>
    </w:p>
  </w:footnote>
  <w:footnote w:id="177">
    <w:p w14:paraId="1F63FA0A" w14:textId="77777777" w:rsidR="000240CE" w:rsidRDefault="000240CE" w:rsidP="00EB1AFB">
      <w:pPr>
        <w:pStyle w:val="FootnoteText"/>
      </w:pPr>
      <w:r>
        <w:rPr>
          <w:rStyle w:val="FootnoteReference"/>
          <w:rFonts w:eastAsiaTheme="majorEastAsia" w:cstheme="minorHAnsi"/>
        </w:rPr>
        <w:footnoteRef/>
      </w:r>
      <w:r>
        <w:rPr>
          <w:rFonts w:eastAsiaTheme="majorEastAsia"/>
        </w:rPr>
        <w:t xml:space="preserve"> Strba, n 107, p. 197.</w:t>
      </w:r>
    </w:p>
  </w:footnote>
  <w:footnote w:id="178">
    <w:p w14:paraId="597C2447" w14:textId="77777777" w:rsidR="000240CE" w:rsidRDefault="000240CE" w:rsidP="00EB1AFB">
      <w:pPr>
        <w:pStyle w:val="FootnoteText"/>
        <w:rPr>
          <w:lang w:val="en-GB"/>
        </w:rPr>
      </w:pPr>
      <w:r>
        <w:rPr>
          <w:rStyle w:val="FootnoteReference"/>
          <w:rFonts w:eastAsiaTheme="majorEastAsia" w:cstheme="minorHAnsi"/>
        </w:rPr>
        <w:footnoteRef/>
      </w:r>
      <w:r>
        <w:rPr>
          <w:rFonts w:eastAsiaTheme="majorEastAsia"/>
        </w:rPr>
        <w:t xml:space="preserve"> </w:t>
      </w:r>
      <w:r>
        <w:rPr>
          <w:rFonts w:eastAsiaTheme="majorEastAsia"/>
          <w:lang w:val="en-GB"/>
        </w:rPr>
        <w:t>Article 26(1) of the Arusha Protocol.</w:t>
      </w:r>
    </w:p>
  </w:footnote>
  <w:footnote w:id="179">
    <w:p w14:paraId="0A889F0C" w14:textId="0BF0E09C" w:rsidR="000240CE" w:rsidRPr="00F042C3" w:rsidRDefault="000240CE" w:rsidP="00EB1AFB">
      <w:pPr>
        <w:pStyle w:val="FootnoteText"/>
      </w:pPr>
      <w:r w:rsidRPr="00F042C3">
        <w:rPr>
          <w:rStyle w:val="FootnoteReference"/>
          <w:rFonts w:eastAsiaTheme="majorEastAsia" w:cstheme="minorHAnsi"/>
          <w:color w:val="000000" w:themeColor="text1"/>
        </w:rPr>
        <w:footnoteRef/>
      </w:r>
      <w:r w:rsidRPr="00F042C3">
        <w:rPr>
          <w:rFonts w:eastAsiaTheme="majorEastAsia"/>
        </w:rPr>
        <w:t xml:space="preserve"> </w:t>
      </w:r>
      <w:r w:rsidRPr="00F042C3">
        <w:rPr>
          <w:rFonts w:eastAsiaTheme="majorEastAsia"/>
          <w:lang w:val="en-GB"/>
        </w:rPr>
        <w:t xml:space="preserve">Hilal Elver, Open Letter to the Member States of the African Regional Protocol for the Protection of New Varieties of Plants (24 November 2016). Available at </w:t>
      </w:r>
      <w:r w:rsidRPr="00F042C3">
        <w:rPr>
          <w:rFonts w:eastAsiaTheme="majorEastAsia"/>
        </w:rPr>
        <w:t>www.ohchr.org/Documents/Issues/Food/OpenLettertoARIPOMemberStates_24.11.2016.docx.</w:t>
      </w:r>
    </w:p>
  </w:footnote>
  <w:footnote w:id="180">
    <w:p w14:paraId="364A4E60" w14:textId="77777777" w:rsidR="000240CE" w:rsidRDefault="000240CE" w:rsidP="00EB1AFB">
      <w:pPr>
        <w:pStyle w:val="FootnoteText"/>
        <w:rPr>
          <w:lang w:val="en-GB"/>
        </w:rPr>
      </w:pPr>
      <w:r>
        <w:rPr>
          <w:rStyle w:val="FootnoteReference"/>
          <w:rFonts w:eastAsiaTheme="majorEastAsia" w:cstheme="minorHAnsi"/>
        </w:rPr>
        <w:footnoteRef/>
      </w:r>
      <w:r>
        <w:rPr>
          <w:rFonts w:eastAsiaTheme="majorEastAsia"/>
        </w:rPr>
        <w:t xml:space="preserve"> </w:t>
      </w:r>
      <w:r>
        <w:rPr>
          <w:rFonts w:eastAsiaTheme="majorEastAsia"/>
          <w:lang w:val="en-GB"/>
        </w:rPr>
        <w:t>Ncube, n 118, p. 422.</w:t>
      </w:r>
    </w:p>
  </w:footnote>
  <w:footnote w:id="181">
    <w:p w14:paraId="5BAD897F" w14:textId="3DE24820" w:rsidR="000240CE" w:rsidRDefault="000240CE" w:rsidP="00EB1AFB">
      <w:pPr>
        <w:pStyle w:val="FootnoteText"/>
        <w:rPr>
          <w:color w:val="000000"/>
          <w:lang w:val="en-GB"/>
        </w:rPr>
      </w:pPr>
      <w:r>
        <w:rPr>
          <w:rStyle w:val="FootnoteReference"/>
          <w:rFonts w:eastAsiaTheme="majorEastAsia" w:cstheme="minorHAnsi"/>
        </w:rPr>
        <w:footnoteRef/>
      </w:r>
      <w:r>
        <w:rPr>
          <w:rFonts w:eastAsiaTheme="majorEastAsia"/>
        </w:rPr>
        <w:t xml:space="preserve"> </w:t>
      </w:r>
      <w:r>
        <w:rPr>
          <w:rFonts w:eastAsiaTheme="majorEastAsia"/>
          <w:lang w:val="en-GB"/>
        </w:rPr>
        <w:t>Hong Xue</w:t>
      </w:r>
      <w:r>
        <w:rPr>
          <w:rFonts w:eastAsiaTheme="majorEastAsia"/>
          <w:bCs/>
          <w:lang w:val="en-GB"/>
        </w:rPr>
        <w:t xml:space="preserve"> (2008), “What Direction is the Wind Blowing? Protection of DRM in China,“ in </w:t>
      </w:r>
      <w:r>
        <w:rPr>
          <w:rFonts w:eastAsiaTheme="majorEastAsia"/>
          <w:bCs/>
          <w:lang w:val="en-GB" w:eastAsia="fi-FI"/>
        </w:rPr>
        <w:t xml:space="preserve">Neil Weinstock Netanel (ed), </w:t>
      </w:r>
      <w:r>
        <w:rPr>
          <w:rFonts w:eastAsiaTheme="majorEastAsia"/>
          <w:bCs/>
          <w:lang w:val="en-GB"/>
        </w:rPr>
        <w:t xml:space="preserve">The </w:t>
      </w:r>
      <w:r>
        <w:rPr>
          <w:rFonts w:eastAsiaTheme="majorEastAsia"/>
        </w:rPr>
        <w:t>Development Agenda: Global Intellectual Property and Developing Countries (OUP). (Emphasis added).</w:t>
      </w:r>
    </w:p>
  </w:footnote>
  <w:footnote w:id="182">
    <w:p w14:paraId="2B80B810" w14:textId="2CF5D8C8" w:rsidR="000240CE" w:rsidRDefault="000240CE" w:rsidP="00EB1AFB">
      <w:pPr>
        <w:pStyle w:val="FootnoteText"/>
        <w:rPr>
          <w:iCs/>
          <w:color w:val="000000"/>
          <w:lang w:val="en-GB"/>
        </w:rPr>
      </w:pPr>
      <w:r>
        <w:rPr>
          <w:rStyle w:val="FootnoteReference"/>
          <w:rFonts w:eastAsiaTheme="majorEastAsia" w:cstheme="minorHAnsi"/>
          <w:color w:val="000000" w:themeColor="text1"/>
        </w:rPr>
        <w:footnoteRef/>
      </w:r>
      <w:r>
        <w:rPr>
          <w:rFonts w:eastAsiaTheme="majorEastAsia"/>
        </w:rPr>
        <w:t xml:space="preserve"> </w:t>
      </w:r>
      <w:r>
        <w:rPr>
          <w:rFonts w:eastAsiaTheme="majorEastAsia"/>
          <w:lang w:val="en-GB"/>
        </w:rPr>
        <w:t xml:space="preserve">Percy Bysshe Shelley (1880), “Ode to the West Wind,“ in Harry Buxton Forman (ed), </w:t>
      </w:r>
      <w:r>
        <w:rPr>
          <w:rFonts w:eastAsiaTheme="majorEastAsia"/>
          <w:iCs/>
          <w:lang w:val="en-GB"/>
        </w:rPr>
        <w:t>The Poetical Works of Percy Bysshe Shelley</w:t>
      </w:r>
      <w:r>
        <w:rPr>
          <w:rFonts w:eastAsiaTheme="majorEastAsia"/>
          <w:i/>
          <w:iCs/>
          <w:lang w:val="en-GB"/>
        </w:rPr>
        <w:t xml:space="preserve"> </w:t>
      </w:r>
      <w:r>
        <w:rPr>
          <w:rFonts w:eastAsiaTheme="majorEastAsia"/>
          <w:lang w:val="en-GB"/>
        </w:rPr>
        <w:t>(London: Reeves &amp; Turner).</w:t>
      </w:r>
    </w:p>
  </w:footnote>
  <w:footnote w:id="183">
    <w:p w14:paraId="0421F903" w14:textId="6E8A2C5F" w:rsidR="000240CE" w:rsidRDefault="000240CE" w:rsidP="00EB1AFB">
      <w:pPr>
        <w:pStyle w:val="FootnoteText"/>
      </w:pPr>
      <w:r>
        <w:rPr>
          <w:rStyle w:val="FootnoteReference"/>
          <w:rFonts w:eastAsiaTheme="majorEastAsia" w:cstheme="minorHAnsi"/>
          <w:color w:val="000000" w:themeColor="text1"/>
        </w:rPr>
        <w:footnoteRef/>
      </w:r>
      <w:r>
        <w:rPr>
          <w:rFonts w:eastAsiaTheme="majorEastAsia"/>
        </w:rPr>
        <w:t xml:space="preserve"> See CIOPORA, “</w:t>
      </w:r>
      <w:r>
        <w:rPr>
          <w:rFonts w:eastAsiaTheme="majorEastAsia"/>
          <w:bCs/>
          <w:lang w:val="en-GB" w:eastAsia="fi-FI"/>
        </w:rPr>
        <w:t>Five Facts to Note about PBR Status Quo in Africa“ (22 January, 2021).</w:t>
      </w:r>
    </w:p>
  </w:footnote>
  <w:footnote w:id="184">
    <w:p w14:paraId="265A883C" w14:textId="3DF46891" w:rsidR="000240CE" w:rsidRDefault="000240CE" w:rsidP="00EB1AFB">
      <w:pPr>
        <w:pStyle w:val="FootnoteText"/>
        <w:rPr>
          <w:lang w:val="en-GB"/>
        </w:rPr>
      </w:pPr>
      <w:r>
        <w:rPr>
          <w:rStyle w:val="FootnoteReference"/>
          <w:rFonts w:eastAsiaTheme="majorEastAsia" w:cstheme="minorHAnsi"/>
        </w:rPr>
        <w:footnoteRef/>
      </w:r>
      <w:r>
        <w:rPr>
          <w:rFonts w:eastAsiaTheme="majorEastAsia"/>
        </w:rPr>
        <w:t xml:space="preserve"> </w:t>
      </w:r>
      <w:r>
        <w:rPr>
          <w:rFonts w:eastAsiaTheme="majorEastAsia"/>
          <w:lang w:val="en-GB"/>
        </w:rPr>
        <w:t xml:space="preserve">See </w:t>
      </w:r>
      <w:r w:rsidRPr="00F042C3">
        <w:rPr>
          <w:rFonts w:eastAsiaTheme="majorEastAsia"/>
          <w:lang w:val="en-GB"/>
        </w:rPr>
        <w:t>www.parliament.gh/news?CO=97</w:t>
      </w:r>
      <w:r>
        <w:rPr>
          <w:rFonts w:eastAsiaTheme="majorEastAsia"/>
          <w:lang w:val="en-GB"/>
        </w:rPr>
        <w:t xml:space="preserve">. </w:t>
      </w:r>
    </w:p>
  </w:footnote>
  <w:footnote w:id="185">
    <w:p w14:paraId="7A293CB6" w14:textId="77777777" w:rsidR="000240CE" w:rsidRDefault="000240CE" w:rsidP="00EB1AFB">
      <w:pPr>
        <w:pStyle w:val="FootnoteText"/>
      </w:pPr>
      <w:r>
        <w:rPr>
          <w:rStyle w:val="FootnoteReference"/>
          <w:rFonts w:eastAsiaTheme="majorEastAsia" w:cstheme="minorHAnsi"/>
        </w:rPr>
        <w:footnoteRef/>
      </w:r>
      <w:r>
        <w:rPr>
          <w:rFonts w:eastAsiaTheme="majorEastAsia"/>
        </w:rPr>
        <w:t xml:space="preserve"> See n 175.</w:t>
      </w:r>
    </w:p>
  </w:footnote>
  <w:footnote w:id="186">
    <w:p w14:paraId="1B0B06EF" w14:textId="77777777" w:rsidR="000240CE" w:rsidRDefault="000240CE" w:rsidP="00EB1AFB">
      <w:pPr>
        <w:pStyle w:val="FootnoteText"/>
      </w:pPr>
      <w:r>
        <w:rPr>
          <w:rStyle w:val="FootnoteReference"/>
          <w:rFonts w:eastAsiaTheme="majorEastAsia" w:cstheme="minorHAnsi"/>
        </w:rPr>
        <w:footnoteRef/>
      </w:r>
      <w:r>
        <w:rPr>
          <w:rFonts w:eastAsiaTheme="majorEastAsia"/>
        </w:rPr>
        <w:t xml:space="preserve"> </w:t>
      </w:r>
      <w:r>
        <w:rPr>
          <w:rFonts w:eastAsiaTheme="majorEastAsia"/>
          <w:lang w:val="en-GB"/>
        </w:rPr>
        <w:t>Southern African Development Community (SADC),</w:t>
      </w:r>
      <w:r>
        <w:rPr>
          <w:rFonts w:eastAsiaTheme="majorEastAsia"/>
        </w:rPr>
        <w:t xml:space="preserve"> established in 1992,</w:t>
      </w:r>
      <w:r>
        <w:rPr>
          <w:rFonts w:eastAsiaTheme="majorEastAsia"/>
          <w:lang w:val="en-GB"/>
        </w:rPr>
        <w:t xml:space="preserve"> </w:t>
      </w:r>
      <w:r>
        <w:rPr>
          <w:rFonts w:eastAsiaTheme="majorEastAsia"/>
        </w:rPr>
        <w:t>is a Regional Economic Community comprising 16 Member States. Its goal is to further regional socio-economic cooperation and integration as well as political and security cooperation among its members. The SADC member states are Angola, Botswana, Comoros, Congo (DR), Eswatini, Lesotho, Madagascar, Malawi, Mauritius, Mozambique, Namibia, Seychelles, South Africa, Tanzania, Zambia and Zimbabwe.</w:t>
      </w:r>
    </w:p>
  </w:footnote>
  <w:footnote w:id="187">
    <w:p w14:paraId="1115B932" w14:textId="43DAC235" w:rsidR="000240CE" w:rsidRPr="00F042C3" w:rsidRDefault="000240CE" w:rsidP="00EB1AFB">
      <w:pPr>
        <w:pStyle w:val="FootnoteText"/>
      </w:pPr>
      <w:r w:rsidRPr="00F042C3">
        <w:rPr>
          <w:rStyle w:val="FootnoteReference"/>
          <w:rFonts w:eastAsiaTheme="majorEastAsia" w:cstheme="minorHAnsi"/>
          <w:color w:val="000000" w:themeColor="text1"/>
        </w:rPr>
        <w:footnoteRef/>
      </w:r>
      <w:r w:rsidRPr="00F042C3">
        <w:rPr>
          <w:rFonts w:eastAsiaTheme="majorEastAsia"/>
        </w:rPr>
        <w:t xml:space="preserve"> Protocol for the Protection of New Varieties of Plants (Plant Breeders’ Rights) in the Southern African Development Community Region (</w:t>
      </w:r>
      <w:r w:rsidRPr="00F042C3">
        <w:rPr>
          <w:rFonts w:eastAsiaTheme="majorEastAsia"/>
          <w:bCs/>
          <w:lang w:val="en-GB"/>
        </w:rPr>
        <w:t>6 May 2014</w:t>
      </w:r>
      <w:r w:rsidRPr="00F042C3">
        <w:rPr>
          <w:rFonts w:eastAsiaTheme="majorEastAsia"/>
        </w:rPr>
        <w:t xml:space="preserve">). Available at http://acbio.org.za/wp-content/uploads/2015/02/SADC-PVP-2014.pdf.  </w:t>
      </w:r>
    </w:p>
  </w:footnote>
  <w:footnote w:id="188">
    <w:p w14:paraId="096E79C0" w14:textId="77777777" w:rsidR="000240CE" w:rsidRDefault="000240CE" w:rsidP="00EB1AFB">
      <w:pPr>
        <w:pStyle w:val="FootnoteText"/>
        <w:rPr>
          <w:lang w:val="en-GB"/>
        </w:rPr>
      </w:pPr>
      <w:r>
        <w:rPr>
          <w:rStyle w:val="FootnoteReference"/>
          <w:rFonts w:eastAsiaTheme="majorEastAsia" w:cstheme="minorHAnsi"/>
        </w:rPr>
        <w:footnoteRef/>
      </w:r>
      <w:r>
        <w:rPr>
          <w:rFonts w:eastAsiaTheme="majorEastAsia"/>
        </w:rPr>
        <w:t xml:space="preserve"> </w:t>
      </w:r>
      <w:r>
        <w:rPr>
          <w:rFonts w:eastAsiaTheme="majorEastAsia"/>
          <w:lang w:val="en-GB"/>
        </w:rPr>
        <w:t>Strba, n 107, p. 197.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7E2AC" w14:textId="77777777" w:rsidR="000240CE" w:rsidRDefault="000240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6F809" w14:textId="77777777" w:rsidR="000240CE" w:rsidRDefault="000240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4A33B" w14:textId="77777777" w:rsidR="000240CE" w:rsidRDefault="000240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6F68"/>
    <w:multiLevelType w:val="hybridMultilevel"/>
    <w:tmpl w:val="E2F4517A"/>
    <w:lvl w:ilvl="0" w:tplc="A168BD40">
      <w:start w:val="1"/>
      <w:numFmt w:val="upp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0E7474D"/>
    <w:multiLevelType w:val="hybridMultilevel"/>
    <w:tmpl w:val="28DE498C"/>
    <w:lvl w:ilvl="0" w:tplc="F44CB016">
      <w:start w:val="1"/>
      <w:numFmt w:val="decimal"/>
      <w:lvlText w:val="%1)"/>
      <w:lvlJc w:val="left"/>
      <w:pPr>
        <w:ind w:left="360" w:hanging="360"/>
      </w:pPr>
    </w:lvl>
    <w:lvl w:ilvl="1" w:tplc="CE04F042">
      <w:start w:val="1"/>
      <w:numFmt w:val="decimal"/>
      <w:lvlText w:val="%2."/>
      <w:lvlJc w:val="left"/>
      <w:pPr>
        <w:ind w:left="720" w:hanging="360"/>
      </w:pPr>
    </w:lvl>
    <w:lvl w:ilvl="2" w:tplc="B34872F6">
      <w:start w:val="1"/>
      <w:numFmt w:val="lowerRoman"/>
      <w:lvlText w:val="%3)"/>
      <w:lvlJc w:val="left"/>
      <w:pPr>
        <w:ind w:left="1080" w:hanging="360"/>
      </w:pPr>
    </w:lvl>
    <w:lvl w:ilvl="3" w:tplc="D88C2EA4">
      <w:start w:val="1"/>
      <w:numFmt w:val="decimal"/>
      <w:lvlText w:val="(%4)"/>
      <w:lvlJc w:val="left"/>
      <w:pPr>
        <w:ind w:left="1440" w:hanging="360"/>
      </w:pPr>
    </w:lvl>
    <w:lvl w:ilvl="4" w:tplc="98C8B6BC">
      <w:start w:val="1"/>
      <w:numFmt w:val="lowerLetter"/>
      <w:lvlText w:val="(%5)"/>
      <w:lvlJc w:val="left"/>
      <w:pPr>
        <w:ind w:left="1800" w:hanging="360"/>
      </w:pPr>
    </w:lvl>
    <w:lvl w:ilvl="5" w:tplc="DBBE97CC">
      <w:start w:val="1"/>
      <w:numFmt w:val="lowerRoman"/>
      <w:lvlText w:val="(%6)"/>
      <w:lvlJc w:val="left"/>
      <w:pPr>
        <w:ind w:left="2160" w:hanging="360"/>
      </w:pPr>
    </w:lvl>
    <w:lvl w:ilvl="6" w:tplc="F0905C1C">
      <w:start w:val="1"/>
      <w:numFmt w:val="decimal"/>
      <w:lvlText w:val="%7."/>
      <w:lvlJc w:val="left"/>
      <w:pPr>
        <w:ind w:left="2520" w:hanging="360"/>
      </w:pPr>
    </w:lvl>
    <w:lvl w:ilvl="7" w:tplc="145EC7E0">
      <w:start w:val="1"/>
      <w:numFmt w:val="lowerLetter"/>
      <w:lvlText w:val="%8."/>
      <w:lvlJc w:val="left"/>
      <w:pPr>
        <w:ind w:left="2880" w:hanging="360"/>
      </w:pPr>
    </w:lvl>
    <w:lvl w:ilvl="8" w:tplc="75E4281C">
      <w:start w:val="1"/>
      <w:numFmt w:val="lowerRoman"/>
      <w:lvlText w:val="%9."/>
      <w:lvlJc w:val="left"/>
      <w:pPr>
        <w:ind w:left="3240" w:hanging="360"/>
      </w:pPr>
    </w:lvl>
  </w:abstractNum>
  <w:abstractNum w:abstractNumId="2" w15:restartNumberingAfterBreak="0">
    <w:nsid w:val="0B1306E5"/>
    <w:multiLevelType w:val="multilevel"/>
    <w:tmpl w:val="61C64662"/>
    <w:lvl w:ilvl="0">
      <w:start w:val="4"/>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A641E44"/>
    <w:multiLevelType w:val="hybridMultilevel"/>
    <w:tmpl w:val="8A6CB326"/>
    <w:lvl w:ilvl="0" w:tplc="68086B06">
      <w:start w:val="2"/>
      <w:numFmt w:val="upperRoman"/>
      <w:lvlText w:val="%1."/>
      <w:lvlJc w:val="left"/>
      <w:pPr>
        <w:ind w:left="1080" w:hanging="720"/>
      </w:pPr>
      <w:rPr>
        <w:rFonts w:asciiTheme="minorHAnsi" w:hAnsiTheme="minorHAnsi" w:cstheme="minorHAnsi" w:hint="default"/>
        <w:b w:val="0"/>
        <w:bCs w:val="0"/>
        <w:color w:val="000000" w:themeColor="text1"/>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D3C0855"/>
    <w:multiLevelType w:val="hybridMultilevel"/>
    <w:tmpl w:val="D4BCB53C"/>
    <w:lvl w:ilvl="0" w:tplc="48B0FD9C">
      <w:start w:val="1"/>
      <w:numFmt w:val="upperRoman"/>
      <w:lvlText w:val="%1."/>
      <w:lvlJc w:val="left"/>
      <w:pPr>
        <w:ind w:left="1080" w:hanging="720"/>
      </w:pPr>
      <w:rPr>
        <w:rFonts w:hint="default"/>
        <w:color w:val="000000" w:themeColor="text1"/>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4705BFE"/>
    <w:multiLevelType w:val="hybridMultilevel"/>
    <w:tmpl w:val="A874F9DE"/>
    <w:lvl w:ilvl="0" w:tplc="5806460E">
      <w:start w:val="9"/>
      <w:numFmt w:val="upperLetter"/>
      <w:lvlText w:val="%1."/>
      <w:lvlJc w:val="left"/>
      <w:pPr>
        <w:ind w:left="720" w:hanging="360"/>
      </w:pPr>
      <w:rPr>
        <w:rFonts w:hint="default"/>
        <w:b w:val="0"/>
        <w:bCs w:val="0"/>
        <w:color w:val="000000" w:themeColor="text1"/>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ED472FC"/>
    <w:multiLevelType w:val="multilevel"/>
    <w:tmpl w:val="1FDEDB0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3D15DBB"/>
    <w:multiLevelType w:val="multilevel"/>
    <w:tmpl w:val="3D647E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6D06891"/>
    <w:multiLevelType w:val="multilevel"/>
    <w:tmpl w:val="9238FA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E0D13FA"/>
    <w:multiLevelType w:val="hybridMultilevel"/>
    <w:tmpl w:val="1BF258B8"/>
    <w:lvl w:ilvl="0" w:tplc="0882DCA2">
      <w:start w:val="1"/>
      <w:numFmt w:val="upperLetter"/>
      <w:lvlText w:val="%1."/>
      <w:lvlJc w:val="left"/>
      <w:pPr>
        <w:ind w:left="720" w:hanging="360"/>
      </w:pPr>
      <w:rPr>
        <w:rFonts w:hint="default"/>
        <w:b/>
      </w:rPr>
    </w:lvl>
    <w:lvl w:ilvl="1" w:tplc="C7708FCE">
      <w:start w:val="1"/>
      <w:numFmt w:val="lowerLetter"/>
      <w:lvlText w:val="%2."/>
      <w:lvlJc w:val="left"/>
      <w:pPr>
        <w:ind w:left="1440" w:hanging="360"/>
      </w:pPr>
    </w:lvl>
    <w:lvl w:ilvl="2" w:tplc="49329B0E">
      <w:start w:val="1"/>
      <w:numFmt w:val="lowerRoman"/>
      <w:lvlText w:val="%3."/>
      <w:lvlJc w:val="right"/>
      <w:pPr>
        <w:ind w:left="2160" w:hanging="180"/>
      </w:pPr>
    </w:lvl>
    <w:lvl w:ilvl="3" w:tplc="01DA5830">
      <w:start w:val="1"/>
      <w:numFmt w:val="decimal"/>
      <w:lvlText w:val="%4."/>
      <w:lvlJc w:val="left"/>
      <w:pPr>
        <w:ind w:left="2880" w:hanging="360"/>
      </w:pPr>
    </w:lvl>
    <w:lvl w:ilvl="4" w:tplc="7CEE3986">
      <w:start w:val="1"/>
      <w:numFmt w:val="lowerLetter"/>
      <w:lvlText w:val="%5."/>
      <w:lvlJc w:val="left"/>
      <w:pPr>
        <w:ind w:left="3600" w:hanging="360"/>
      </w:pPr>
    </w:lvl>
    <w:lvl w:ilvl="5" w:tplc="1B2EFF3A">
      <w:start w:val="1"/>
      <w:numFmt w:val="lowerRoman"/>
      <w:lvlText w:val="%6."/>
      <w:lvlJc w:val="right"/>
      <w:pPr>
        <w:ind w:left="4320" w:hanging="180"/>
      </w:pPr>
    </w:lvl>
    <w:lvl w:ilvl="6" w:tplc="1F0A1094">
      <w:start w:val="1"/>
      <w:numFmt w:val="decimal"/>
      <w:lvlText w:val="%7."/>
      <w:lvlJc w:val="left"/>
      <w:pPr>
        <w:ind w:left="5040" w:hanging="360"/>
      </w:pPr>
    </w:lvl>
    <w:lvl w:ilvl="7" w:tplc="75F0F278">
      <w:start w:val="1"/>
      <w:numFmt w:val="lowerLetter"/>
      <w:lvlText w:val="%8."/>
      <w:lvlJc w:val="left"/>
      <w:pPr>
        <w:ind w:left="5760" w:hanging="360"/>
      </w:pPr>
    </w:lvl>
    <w:lvl w:ilvl="8" w:tplc="8BD4A68C">
      <w:start w:val="1"/>
      <w:numFmt w:val="lowerRoman"/>
      <w:lvlText w:val="%9."/>
      <w:lvlJc w:val="right"/>
      <w:pPr>
        <w:ind w:left="6480" w:hanging="180"/>
      </w:pPr>
    </w:lvl>
  </w:abstractNum>
  <w:num w:numId="1">
    <w:abstractNumId w:val="8"/>
  </w:num>
  <w:num w:numId="2">
    <w:abstractNumId w:val="1"/>
  </w:num>
  <w:num w:numId="3">
    <w:abstractNumId w:val="9"/>
  </w:num>
  <w:num w:numId="4">
    <w:abstractNumId w:val="7"/>
  </w:num>
  <w:num w:numId="5">
    <w:abstractNumId w:val="2"/>
  </w:num>
  <w:num w:numId="6">
    <w:abstractNumId w:val="6"/>
  </w:num>
  <w:num w:numId="7">
    <w:abstractNumId w:val="0"/>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0MbC0NDAyszQ0NzRX0lEKTi0uzszPAykwqQUAR5F4IiwAAAA="/>
  </w:docVars>
  <w:rsids>
    <w:rsidRoot w:val="007B79E6"/>
    <w:rsid w:val="0000075D"/>
    <w:rsid w:val="00002191"/>
    <w:rsid w:val="00003FC9"/>
    <w:rsid w:val="00020F2E"/>
    <w:rsid w:val="000240CE"/>
    <w:rsid w:val="00046D02"/>
    <w:rsid w:val="00067025"/>
    <w:rsid w:val="000716DA"/>
    <w:rsid w:val="00131AFD"/>
    <w:rsid w:val="00133C5C"/>
    <w:rsid w:val="001521D8"/>
    <w:rsid w:val="00152F0E"/>
    <w:rsid w:val="00153425"/>
    <w:rsid w:val="00161069"/>
    <w:rsid w:val="001618E9"/>
    <w:rsid w:val="00172D94"/>
    <w:rsid w:val="0019280E"/>
    <w:rsid w:val="001D5BBD"/>
    <w:rsid w:val="002420D2"/>
    <w:rsid w:val="00293EA9"/>
    <w:rsid w:val="002D0D77"/>
    <w:rsid w:val="002E1B7B"/>
    <w:rsid w:val="0031399F"/>
    <w:rsid w:val="00322E40"/>
    <w:rsid w:val="00330DFB"/>
    <w:rsid w:val="003620F9"/>
    <w:rsid w:val="004B5056"/>
    <w:rsid w:val="005123F9"/>
    <w:rsid w:val="00522F6B"/>
    <w:rsid w:val="0055037B"/>
    <w:rsid w:val="00554C7F"/>
    <w:rsid w:val="00567A0A"/>
    <w:rsid w:val="00570076"/>
    <w:rsid w:val="005A7CFE"/>
    <w:rsid w:val="005C27F4"/>
    <w:rsid w:val="005C4B3B"/>
    <w:rsid w:val="005F05B5"/>
    <w:rsid w:val="00625D0C"/>
    <w:rsid w:val="006464C5"/>
    <w:rsid w:val="0065601C"/>
    <w:rsid w:val="00673839"/>
    <w:rsid w:val="00692977"/>
    <w:rsid w:val="006955AF"/>
    <w:rsid w:val="006C6EA2"/>
    <w:rsid w:val="007317C8"/>
    <w:rsid w:val="00750318"/>
    <w:rsid w:val="00751DE4"/>
    <w:rsid w:val="007B0669"/>
    <w:rsid w:val="007B630C"/>
    <w:rsid w:val="007B79E6"/>
    <w:rsid w:val="007F4F1E"/>
    <w:rsid w:val="0084084A"/>
    <w:rsid w:val="00887D97"/>
    <w:rsid w:val="008B7724"/>
    <w:rsid w:val="00963E15"/>
    <w:rsid w:val="00996E0E"/>
    <w:rsid w:val="009A63BF"/>
    <w:rsid w:val="009D0307"/>
    <w:rsid w:val="009D3714"/>
    <w:rsid w:val="009F1ED1"/>
    <w:rsid w:val="009F21A3"/>
    <w:rsid w:val="00A741DD"/>
    <w:rsid w:val="00A87619"/>
    <w:rsid w:val="00AB2AEA"/>
    <w:rsid w:val="00AD0FD1"/>
    <w:rsid w:val="00AF30FA"/>
    <w:rsid w:val="00B04A24"/>
    <w:rsid w:val="00B13D38"/>
    <w:rsid w:val="00B34B55"/>
    <w:rsid w:val="00B65F6A"/>
    <w:rsid w:val="00B77856"/>
    <w:rsid w:val="00B84166"/>
    <w:rsid w:val="00BA0C96"/>
    <w:rsid w:val="00BD7C25"/>
    <w:rsid w:val="00C07463"/>
    <w:rsid w:val="00CE5600"/>
    <w:rsid w:val="00CF24CA"/>
    <w:rsid w:val="00D1158A"/>
    <w:rsid w:val="00D2590F"/>
    <w:rsid w:val="00D71DF4"/>
    <w:rsid w:val="00D867B0"/>
    <w:rsid w:val="00DB45E4"/>
    <w:rsid w:val="00DF47F6"/>
    <w:rsid w:val="00DF7482"/>
    <w:rsid w:val="00E24E2B"/>
    <w:rsid w:val="00E46B98"/>
    <w:rsid w:val="00E9345E"/>
    <w:rsid w:val="00EB1AFB"/>
    <w:rsid w:val="00ED2745"/>
    <w:rsid w:val="00EF53FC"/>
    <w:rsid w:val="00F006F0"/>
    <w:rsid w:val="00F01D50"/>
    <w:rsid w:val="00F042C3"/>
    <w:rsid w:val="00F17B75"/>
    <w:rsid w:val="00F60AC1"/>
    <w:rsid w:val="00F62075"/>
    <w:rsid w:val="00F775FF"/>
    <w:rsid w:val="00F81C31"/>
    <w:rsid w:val="00F8232C"/>
    <w:rsid w:val="00F83596"/>
    <w:rsid w:val="00FB3C08"/>
    <w:rsid w:val="00FD1E7E"/>
    <w:rsid w:val="00FE3967"/>
    <w:rsid w:val="00FF5C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54082"/>
  <w15:docId w15:val="{2E5FBC9E-DF4C-DE40-AF63-A2CE88FD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1AFB"/>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36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pPr>
      <w:keepNext/>
      <w:keepLines/>
      <w:spacing w:before="32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outlineLvl w:val="4"/>
    </w:pPr>
    <w:rPr>
      <w:rFonts w:ascii="Arial" w:eastAsia="Arial" w:hAnsi="Arial" w:cs="Arial"/>
      <w:b/>
      <w:bCs/>
      <w:szCs w:val="24"/>
    </w:rPr>
  </w:style>
  <w:style w:type="paragraph" w:styleId="Heading6">
    <w:name w:val="heading 6"/>
    <w:basedOn w:val="Normal"/>
    <w:next w:val="Normal"/>
    <w:link w:val="Heading6Char"/>
    <w:uiPriority w:val="9"/>
    <w:unhideWhenUsed/>
    <w:qFormat/>
    <w:pPr>
      <w:keepNext/>
      <w:keepLines/>
      <w:spacing w:before="32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pPr>
    <w:rPr>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Caption">
    <w:name w:val="caption"/>
    <w:basedOn w:val="Normal"/>
    <w:next w:val="Normal"/>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1">
    <w:name w:val="Table Grid Light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
    <w:name w:val="Grid Table 1 Light - Accent 21"/>
    <w:basedOn w:val="Table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
    <w:name w:val="Grid Table 1 Light - Accent 31"/>
    <w:basedOn w:val="Table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
    <w:name w:val="Grid Table 1 Light - Accent 41"/>
    <w:basedOn w:val="Table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
    <w:name w:val="Grid Table 1 Light - Accent 51"/>
    <w:basedOn w:val="Table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
    <w:name w:val="Grid Table 1 Light - Accent 61"/>
    <w:basedOn w:val="Table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1">
    <w:name w:val="Grid Table 2 - Accent 11"/>
    <w:basedOn w:val="Table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1">
    <w:name w:val="Grid Table 2 - Accent 21"/>
    <w:basedOn w:val="Table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1">
    <w:name w:val="Grid Table 2 - Accent 31"/>
    <w:basedOn w:val="Table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1">
    <w:name w:val="Grid Table 2 - Accent 41"/>
    <w:basedOn w:val="Table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1">
    <w:name w:val="Grid Table 2 - Accent 51"/>
    <w:basedOn w:val="Table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1">
    <w:name w:val="Grid Table 2 - Accent 61"/>
    <w:basedOn w:val="Table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1">
    <w:name w:val="Grid Table 3 - Accent 11"/>
    <w:basedOn w:val="Table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1">
    <w:name w:val="Grid Table 3 - Accent 21"/>
    <w:basedOn w:val="Table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1">
    <w:name w:val="Grid Table 3 - Accent 31"/>
    <w:basedOn w:val="Table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1">
    <w:name w:val="Grid Table 3 - Accent 41"/>
    <w:basedOn w:val="Table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1">
    <w:name w:val="Grid Table 3 - Accent 51"/>
    <w:basedOn w:val="Table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1">
    <w:name w:val="Grid Table 3 - Accent 61"/>
    <w:basedOn w:val="Table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1">
    <w:name w:val="Grid Table 4 - Accent 11"/>
    <w:basedOn w:val="TableNormal"/>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1">
    <w:name w:val="Grid Table 4 - Accent 21"/>
    <w:basedOn w:val="TableNormal"/>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1">
    <w:name w:val="Grid Table 4 - Accent 31"/>
    <w:basedOn w:val="TableNormal"/>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1">
    <w:name w:val="Grid Table 4 - Accent 41"/>
    <w:basedOn w:val="TableNormal"/>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1">
    <w:name w:val="Grid Table 4 - Accent 51"/>
    <w:basedOn w:val="TableNormal"/>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1">
    <w:name w:val="Grid Table 4 - Accent 61"/>
    <w:basedOn w:val="TableNormal"/>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1">
    <w:name w:val="Grid Table 5 Dark - Accent 2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1">
    <w:name w:val="Grid Table 5 Dark - Accent 3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1">
    <w:name w:val="Grid Table 5 Dark - Accent 5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1">
    <w:name w:val="Grid Table 5 Dark - Accent 6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Normal"/>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1">
    <w:name w:val="Grid Table 6 Colorful - Accent 21"/>
    <w:basedOn w:val="Table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1">
    <w:name w:val="Grid Table 6 Colorful - Accent 31"/>
    <w:basedOn w:val="TableNormal"/>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1">
    <w:name w:val="Grid Table 6 Colorful - Accent 41"/>
    <w:basedOn w:val="Table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1">
    <w:name w:val="Grid Table 6 Colorful - Accent 51"/>
    <w:basedOn w:val="TableNormal"/>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1">
    <w:name w:val="Grid Table 6 Colorful - Accent 61"/>
    <w:basedOn w:val="TableNormal"/>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Normal"/>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1">
    <w:name w:val="Grid Table 7 Colorful - Accent 21"/>
    <w:basedOn w:val="TableNormal"/>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1">
    <w:name w:val="Grid Table 7 Colorful - Accent 31"/>
    <w:basedOn w:val="TableNormal"/>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1">
    <w:name w:val="Grid Table 7 Colorful - Accent 41"/>
    <w:basedOn w:val="TableNormal"/>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1">
    <w:name w:val="Grid Table 7 Colorful - Accent 51"/>
    <w:basedOn w:val="TableNormal"/>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1">
    <w:name w:val="Grid Table 7 Colorful - Accent 61"/>
    <w:basedOn w:val="TableNormal"/>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1">
    <w:name w:val="List Table 1 Light - Accent 1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1">
    <w:name w:val="List Table 1 Light - Accent 2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1">
    <w:name w:val="List Table 1 Light - Accent 3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1">
    <w:name w:val="List Table 1 Light - Accent 4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1">
    <w:name w:val="List Table 1 Light - Accent 5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1">
    <w:name w:val="List Table 1 Light - Accent 6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1">
    <w:name w:val="List Table 2 - Accent 11"/>
    <w:basedOn w:val="TableNormal"/>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1">
    <w:name w:val="List Table 2 - Accent 21"/>
    <w:basedOn w:val="TableNormal"/>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1">
    <w:name w:val="List Table 2 - Accent 31"/>
    <w:basedOn w:val="TableNormal"/>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1">
    <w:name w:val="List Table 2 - Accent 41"/>
    <w:basedOn w:val="TableNormal"/>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1">
    <w:name w:val="List Table 2 - Accent 51"/>
    <w:basedOn w:val="TableNormal"/>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1">
    <w:name w:val="List Table 2 - Accent 61"/>
    <w:basedOn w:val="TableNormal"/>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Normal"/>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
    <w:name w:val="List Table 3 - Accent 21"/>
    <w:basedOn w:val="Table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
    <w:name w:val="List Table 3 - Accent 31"/>
    <w:basedOn w:val="TableNormal"/>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
    <w:name w:val="List Table 3 - Accent 41"/>
    <w:basedOn w:val="Table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
    <w:name w:val="List Table 3 - Accent 51"/>
    <w:basedOn w:val="TableNormal"/>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
    <w:name w:val="List Table 3 - Accent 61"/>
    <w:basedOn w:val="TableNormal"/>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1">
    <w:name w:val="List Table 4 - Accent 11"/>
    <w:basedOn w:val="TableNormal"/>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1">
    <w:name w:val="List Table 4 - Accent 21"/>
    <w:basedOn w:val="TableNormal"/>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1">
    <w:name w:val="List Table 4 - Accent 31"/>
    <w:basedOn w:val="TableNormal"/>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1">
    <w:name w:val="List Table 4 - Accent 41"/>
    <w:basedOn w:val="TableNormal"/>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1">
    <w:name w:val="List Table 4 - Accent 51"/>
    <w:basedOn w:val="TableNormal"/>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1">
    <w:name w:val="List Table 4 - Accent 61"/>
    <w:basedOn w:val="TableNormal"/>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1">
    <w:name w:val="List Table 5 Dark - Accent 11"/>
    <w:basedOn w:val="TableNormal"/>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1">
    <w:name w:val="List Table 5 Dark - Accent 21"/>
    <w:basedOn w:val="TableNormal"/>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1">
    <w:name w:val="List Table 5 Dark - Accent 31"/>
    <w:basedOn w:val="TableNormal"/>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1">
    <w:name w:val="List Table 5 Dark - Accent 41"/>
    <w:basedOn w:val="TableNormal"/>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1">
    <w:name w:val="List Table 5 Dark - Accent 51"/>
    <w:basedOn w:val="TableNormal"/>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1">
    <w:name w:val="List Table 5 Dark - Accent 61"/>
    <w:basedOn w:val="TableNormal"/>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Normal"/>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1">
    <w:name w:val="List Table 6 Colorful - Accent 21"/>
    <w:basedOn w:val="TableNormal"/>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1">
    <w:name w:val="List Table 6 Colorful - Accent 31"/>
    <w:basedOn w:val="TableNormal"/>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1">
    <w:name w:val="List Table 6 Colorful - Accent 41"/>
    <w:basedOn w:val="TableNormal"/>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1">
    <w:name w:val="List Table 6 Colorful - Accent 51"/>
    <w:basedOn w:val="TableNormal"/>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1">
    <w:name w:val="List Table 6 Colorful - Accent 61"/>
    <w:basedOn w:val="TableNormal"/>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Normal"/>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1">
    <w:name w:val="List Table 7 Colorful - Accent 21"/>
    <w:basedOn w:val="TableNormal"/>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1">
    <w:name w:val="List Table 7 Colorful - Accent 31"/>
    <w:basedOn w:val="TableNormal"/>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1">
    <w:name w:val="List Table 7 Colorful - Accent 41"/>
    <w:basedOn w:val="TableNormal"/>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1">
    <w:name w:val="List Table 7 Colorful - Accent 51"/>
    <w:basedOn w:val="TableNormal"/>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1">
    <w:name w:val="List Table 7 Colorful - Accent 61"/>
    <w:basedOn w:val="TableNormal"/>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TableNormal"/>
    <w:uiPriority w:val="99"/>
    <w:pPr>
      <w:spacing w:after="0" w:line="240" w:lineRule="auto"/>
    </w:pPr>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TableNormal"/>
    <w:uiPriority w:val="99"/>
    <w:pPr>
      <w:spacing w:after="0" w:line="240" w:lineRule="auto"/>
    </w:pPr>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TableNormal"/>
    <w:uiPriority w:val="99"/>
    <w:pPr>
      <w:spacing w:after="0" w:line="240" w:lineRule="auto"/>
    </w:pPr>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TableNormal"/>
    <w:uiPriority w:val="99"/>
    <w:pPr>
      <w:spacing w:after="0" w:line="240" w:lineRule="auto"/>
    </w:pPr>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TableNormal"/>
    <w:uiPriority w:val="99"/>
    <w:pPr>
      <w:spacing w:after="0" w:line="240" w:lineRule="auto"/>
    </w:pPr>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TableNormal"/>
    <w:uiPriority w:val="99"/>
    <w:pPr>
      <w:spacing w:after="0" w:line="240" w:lineRule="auto"/>
    </w:pPr>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TableNormal"/>
    <w:uiPriority w:val="99"/>
    <w:pPr>
      <w:spacing w:after="0" w:line="240" w:lineRule="auto"/>
    </w:pPr>
    <w:rPr>
      <w:color w:val="404040"/>
      <w:sz w:val="20"/>
      <w:szCs w:val="20"/>
      <w:lang w:val="de-DE"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TableNormal"/>
    <w:uiPriority w:val="99"/>
    <w:pPr>
      <w:spacing w:after="0" w:line="240" w:lineRule="auto"/>
    </w:pPr>
    <w:rPr>
      <w:color w:val="404040"/>
      <w:sz w:val="20"/>
      <w:szCs w:val="20"/>
      <w:lang w:val="de-DE"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TableNormal"/>
    <w:uiPriority w:val="99"/>
    <w:pPr>
      <w:spacing w:after="0" w:line="240" w:lineRule="auto"/>
    </w:pPr>
    <w:rPr>
      <w:color w:val="404040"/>
      <w:sz w:val="20"/>
      <w:szCs w:val="20"/>
      <w:lang w:val="de-DE"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TableNormal"/>
    <w:uiPriority w:val="99"/>
    <w:pPr>
      <w:spacing w:after="0" w:line="240" w:lineRule="auto"/>
    </w:pPr>
    <w:rPr>
      <w:color w:val="404040"/>
      <w:sz w:val="20"/>
      <w:szCs w:val="20"/>
      <w:lang w:val="de-DE"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TableNormal"/>
    <w:uiPriority w:val="99"/>
    <w:pPr>
      <w:spacing w:after="0" w:line="240" w:lineRule="auto"/>
    </w:pPr>
    <w:rPr>
      <w:color w:val="404040"/>
      <w:sz w:val="20"/>
      <w:szCs w:val="20"/>
      <w:lang w:val="de-DE"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TableNormal"/>
    <w:uiPriority w:val="99"/>
    <w:pPr>
      <w:spacing w:after="0" w:line="240" w:lineRule="auto"/>
    </w:pPr>
    <w:rPr>
      <w:color w:val="404040"/>
      <w:sz w:val="20"/>
      <w:szCs w:val="20"/>
      <w:lang w:val="de-DE"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TableNormal"/>
    <w:uiPriority w:val="99"/>
    <w:pPr>
      <w:spacing w:after="0" w:line="240" w:lineRule="auto"/>
    </w:pPr>
    <w:rPr>
      <w:color w:val="404040"/>
      <w:sz w:val="20"/>
      <w:szCs w:val="20"/>
      <w:lang w:val="de-DE"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EndnoteText">
    <w:name w:val="endnote text"/>
    <w:basedOn w:val="Normal"/>
    <w:link w:val="EndnoteTextChar"/>
    <w:uiPriority w:val="99"/>
    <w:semiHidden/>
    <w:unhideWhenUsed/>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unhideWhenUsed/>
    <w:rsid w:val="00F60AC1"/>
    <w:rPr>
      <w:rFonts w:ascii="Times New Roman" w:hAnsi="Times New Roman"/>
      <w:b w:val="0"/>
      <w:i w:val="0"/>
      <w:vertAlign w:val="superscript"/>
    </w:rPr>
  </w:style>
  <w:style w:type="paragraph" w:customStyle="1" w:styleId="Default">
    <w:name w:val="Default"/>
    <w:pPr>
      <w:spacing w:after="0" w:line="240" w:lineRule="auto"/>
    </w:pPr>
    <w:rPr>
      <w:rFonts w:ascii="deja vu serif" w:hAnsi="deja vu serif" w:cs="deja vu serif"/>
      <w:color w:val="000000"/>
      <w:sz w:val="24"/>
      <w:szCs w:val="24"/>
      <w:lang w:val="fi-FI"/>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819"/>
        <w:tab w:val="right" w:pos="9638"/>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819"/>
        <w:tab w:val="right" w:pos="9638"/>
      </w:tabs>
    </w:pPr>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Pr>
      <w:i/>
      <w:iCs/>
    </w:rPr>
  </w:style>
  <w:style w:type="character" w:customStyle="1" w:styleId="A13">
    <w:name w:val="A13"/>
    <w:uiPriority w:val="99"/>
    <w:rPr>
      <w:rFonts w:cs="minion pro"/>
      <w:color w:val="000000"/>
      <w:sz w:val="11"/>
      <w:szCs w:val="11"/>
    </w:rPr>
  </w:style>
  <w:style w:type="character" w:customStyle="1" w:styleId="A7">
    <w:name w:val="A7"/>
    <w:uiPriority w:val="99"/>
    <w:rPr>
      <w:rFonts w:cs="adobe garamond pro"/>
      <w:color w:val="000000"/>
      <w:sz w:val="16"/>
      <w:szCs w:val="16"/>
    </w:rPr>
  </w:style>
  <w:style w:type="character" w:customStyle="1" w:styleId="A1">
    <w:name w:val="A1"/>
    <w:uiPriority w:val="99"/>
    <w:rPr>
      <w:rFonts w:cs="adobe garamond pro"/>
      <w:color w:val="000000"/>
      <w:sz w:val="23"/>
      <w:szCs w:val="23"/>
    </w:rPr>
  </w:style>
  <w:style w:type="character" w:customStyle="1" w:styleId="A3">
    <w:name w:val="A3"/>
    <w:uiPriority w:val="99"/>
    <w:rPr>
      <w:rFonts w:cs="adobe garamond pro"/>
      <w:color w:val="000000"/>
      <w:sz w:val="20"/>
      <w:szCs w:val="20"/>
    </w:rPr>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A5"/>
    <w:uiPriority w:val="99"/>
    <w:rPr>
      <w:rFonts w:cs="adobe garamond pro"/>
      <w:color w:val="000000"/>
      <w:sz w:val="19"/>
      <w:szCs w:val="19"/>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A2">
    <w:name w:val="A2"/>
    <w:uiPriority w:val="99"/>
    <w:rPr>
      <w:rFonts w:cs="adobe garamond pro"/>
      <w:color w:val="000000"/>
      <w:sz w:val="23"/>
      <w:szCs w:val="23"/>
    </w:rPr>
  </w:style>
  <w:style w:type="character" w:styleId="SubtleEmphasis">
    <w:name w:val="Subtle Emphasis"/>
    <w:basedOn w:val="DefaultParagraphFont"/>
    <w:uiPriority w:val="19"/>
    <w:qFormat/>
    <w:rPr>
      <w:i/>
      <w:iCs/>
      <w:color w:val="404040" w:themeColor="text1" w:themeTint="BF"/>
    </w:rPr>
  </w:style>
  <w:style w:type="paragraph" w:customStyle="1" w:styleId="Pa6">
    <w:name w:val="Pa6"/>
    <w:basedOn w:val="Default"/>
    <w:next w:val="Default"/>
    <w:uiPriority w:val="99"/>
    <w:pPr>
      <w:spacing w:line="181" w:lineRule="atLeast"/>
    </w:pPr>
    <w:rPr>
      <w:rFonts w:ascii="gtsectra-book" w:hAnsi="gtsectra-book" w:cstheme="minorBidi"/>
      <w:color w:val="auto"/>
    </w:rPr>
  </w:style>
  <w:style w:type="character" w:customStyle="1" w:styleId="A6">
    <w:name w:val="A6"/>
    <w:uiPriority w:val="99"/>
    <w:rPr>
      <w:rFonts w:cs="gtsectra-book"/>
      <w:color w:val="000000"/>
      <w:sz w:val="16"/>
      <w:szCs w:val="16"/>
    </w:rPr>
  </w:style>
  <w:style w:type="character" w:customStyle="1" w:styleId="A11">
    <w:name w:val="A11"/>
    <w:uiPriority w:val="99"/>
    <w:rPr>
      <w:rFonts w:cs="gtsectra-book"/>
      <w:color w:val="000000"/>
      <w:sz w:val="12"/>
      <w:szCs w:val="12"/>
    </w:rPr>
  </w:style>
  <w:style w:type="character" w:customStyle="1" w:styleId="A22">
    <w:name w:val="A22"/>
    <w:uiPriority w:val="99"/>
    <w:rPr>
      <w:rFonts w:cs="radikal"/>
      <w:color w:val="000000"/>
      <w:sz w:val="14"/>
      <w:szCs w:val="14"/>
      <w:u w:val="single"/>
    </w:rPr>
  </w:style>
  <w:style w:type="character" w:customStyle="1" w:styleId="vkif2">
    <w:name w:val="vkif2"/>
    <w:basedOn w:val="DefaultParagraphFont"/>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UnresolvedMention1">
    <w:name w:val="Unresolved Mention1"/>
    <w:basedOn w:val="DefaultParagraphFont"/>
    <w:uiPriority w:val="99"/>
    <w:semiHidden/>
    <w:unhideWhenUsed/>
    <w:rsid w:val="00CE5600"/>
    <w:rPr>
      <w:color w:val="605E5C"/>
      <w:shd w:val="clear" w:color="auto" w:fill="E1DFDD"/>
    </w:rPr>
  </w:style>
  <w:style w:type="paragraph" w:styleId="Revision">
    <w:name w:val="Revision"/>
    <w:hidden/>
    <w:uiPriority w:val="99"/>
    <w:semiHidden/>
    <w:rsid w:val="00DB45E4"/>
    <w:pPr>
      <w:spacing w:after="0" w:line="240" w:lineRule="auto"/>
    </w:pPr>
  </w:style>
  <w:style w:type="paragraph" w:customStyle="1" w:styleId="IPAbstract">
    <w:name w:val="IP Abstract"/>
    <w:basedOn w:val="Normal"/>
    <w:qFormat/>
    <w:rsid w:val="00EB1AFB"/>
    <w:pPr>
      <w:spacing w:before="100"/>
    </w:pPr>
    <w:rPr>
      <w:i/>
      <w:iCs/>
      <w:noProof/>
      <w:szCs w:val="24"/>
    </w:rPr>
  </w:style>
  <w:style w:type="paragraph" w:customStyle="1" w:styleId="IPEbene1">
    <w:name w:val="IP Ebene 1"/>
    <w:basedOn w:val="Normal"/>
    <w:qFormat/>
    <w:rsid w:val="00EB1AFB"/>
    <w:pPr>
      <w:spacing w:before="100" w:after="100"/>
    </w:pPr>
    <w:rPr>
      <w:rFonts w:cs="Times New Roman"/>
      <w:b/>
      <w:szCs w:val="24"/>
    </w:rPr>
  </w:style>
  <w:style w:type="paragraph" w:customStyle="1" w:styleId="IPEbene2">
    <w:name w:val="IP Ebene 2"/>
    <w:basedOn w:val="Normal"/>
    <w:qFormat/>
    <w:rsid w:val="00EB1AFB"/>
    <w:pPr>
      <w:spacing w:before="100" w:after="100"/>
    </w:pPr>
    <w:rPr>
      <w:rFonts w:cs="Times New Roman"/>
      <w:b/>
      <w:szCs w:val="24"/>
    </w:rPr>
  </w:style>
  <w:style w:type="paragraph" w:customStyle="1" w:styleId="IPEbene3">
    <w:name w:val="IP Ebene 3"/>
    <w:basedOn w:val="Normal"/>
    <w:qFormat/>
    <w:rsid w:val="00EB1AFB"/>
    <w:pPr>
      <w:spacing w:before="100" w:after="100"/>
    </w:pPr>
    <w:rPr>
      <w:rFonts w:cs="Times New Roman"/>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academic.eb.com/levels/collegiate/article/Inter-American-Development-Bank/42536" TargetMode="External"/><Relationship Id="rId2" Type="http://schemas.openxmlformats.org/officeDocument/2006/relationships/hyperlink" Target="https://academic.eb.com/levels/collegiate/article/International-Finance-Corporation/42586" TargetMode="External"/><Relationship Id="rId1" Type="http://schemas.openxmlformats.org/officeDocument/2006/relationships/hyperlink" Target="https://academic.eb.com/levels/collegiate/article/Harry-S-Truman/735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E704B556-D106-4255-9A1B-161795B75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28</Pages>
  <Words>10763</Words>
  <Characters>58874</Characters>
  <Application>Microsoft Office Word</Application>
  <DocSecurity>0</DocSecurity>
  <Lines>1279</Lines>
  <Paragraphs>414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Turku</Company>
  <LinksUpToDate>false</LinksUpToDate>
  <CharactersWithSpaces>69223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Acquah</dc:creator>
  <cp:keywords/>
  <dc:description/>
  <cp:lastModifiedBy>Acquah, Daniel</cp:lastModifiedBy>
  <cp:revision>46</cp:revision>
  <dcterms:created xsi:type="dcterms:W3CDTF">2021-11-23T11:35:00Z</dcterms:created>
  <dcterms:modified xsi:type="dcterms:W3CDTF">2022-11-23T18:54:00Z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9c12f3eca214cc5c88aef7749ae62ab3621cc3dc8854951f3bc5ddfe1dbe0b48</vt:lpwstr>
  </property>
</Properties>
</file>