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05106A" w14:textId="7AA2F2E8" w:rsidR="00EA6902" w:rsidRPr="006453D9" w:rsidRDefault="00744847" w:rsidP="00EA6902">
      <w:pPr>
        <w:pStyle w:val="MDPI11articletype"/>
      </w:pPr>
      <w:r w:rsidRPr="00744847">
        <w:t xml:space="preserve">Optical tissue clearing to study the intra-pulmonary biodistribution of intravenously delivered mesenchymal stromal cells and their interactions with host lung cells </w:t>
      </w:r>
      <w:r w:rsidR="00EA6902" w:rsidRPr="006453D9">
        <w:t>(Article)</w:t>
      </w:r>
    </w:p>
    <w:p w14:paraId="09537AE4" w14:textId="77777777" w:rsidR="00744847" w:rsidRDefault="00744847" w:rsidP="00EA6902">
      <w:pPr>
        <w:pStyle w:val="MDPI13authornames"/>
        <w:rPr>
          <w:rFonts w:ascii="Calibri Light" w:hAnsi="Calibri Light" w:cs="Calibri Light"/>
          <w:sz w:val="40"/>
          <w:szCs w:val="40"/>
          <w:lang w:val="en-GB"/>
        </w:rPr>
      </w:pPr>
      <w:r>
        <w:rPr>
          <w:rFonts w:ascii="Calibri Light" w:hAnsi="Calibri Light" w:cs="Calibri Light"/>
          <w:sz w:val="40"/>
          <w:szCs w:val="40"/>
          <w:lang w:val="en-GB"/>
        </w:rPr>
        <w:t xml:space="preserve">Optical tissue clearing to study the intra-pulmonary biodistribution of intravenously delivered mesenchymal stromal cells and their interactions with host lung cells </w:t>
      </w:r>
    </w:p>
    <w:p w14:paraId="629E4223" w14:textId="77777777" w:rsidR="005332CC" w:rsidRDefault="0069499E" w:rsidP="00EA6902">
      <w:pPr>
        <w:pStyle w:val="MDPI13authornames"/>
      </w:pPr>
      <w:r w:rsidRPr="00DE4367">
        <w:rPr>
          <w:rFonts w:cs="Arial"/>
          <w:szCs w:val="20"/>
        </w:rPr>
        <w:t>Alejandra Hernandez Pichardo</w:t>
      </w:r>
      <w:r w:rsidRPr="00DE4367">
        <w:rPr>
          <w:rFonts w:cs="Arial"/>
          <w:szCs w:val="20"/>
          <w:vertAlign w:val="superscript"/>
        </w:rPr>
        <w:t>1</w:t>
      </w:r>
      <w:r>
        <w:rPr>
          <w:vertAlign w:val="superscript"/>
        </w:rPr>
        <w:t>,2</w:t>
      </w:r>
      <w:r w:rsidR="00EA6902" w:rsidRPr="00D945EC">
        <w:t xml:space="preserve">, </w:t>
      </w:r>
      <w:r>
        <w:rPr>
          <w:rFonts w:cs="Arial"/>
          <w:szCs w:val="20"/>
        </w:rPr>
        <w:t>Francesco Amadeo</w:t>
      </w:r>
      <w:proofErr w:type="gramStart"/>
      <w:r w:rsidRPr="00DE4367">
        <w:rPr>
          <w:rFonts w:cs="Arial"/>
          <w:szCs w:val="20"/>
          <w:vertAlign w:val="superscript"/>
        </w:rPr>
        <w:t>1,2</w:t>
      </w:r>
      <w:r>
        <w:rPr>
          <w:rFonts w:cs="Arial"/>
          <w:szCs w:val="20"/>
          <w:vertAlign w:val="superscript"/>
        </w:rPr>
        <w:t>,</w:t>
      </w:r>
      <w:r>
        <w:rPr>
          <w:rFonts w:cs="Arial"/>
          <w:szCs w:val="20"/>
        </w:rPr>
        <w:t>,</w:t>
      </w:r>
      <w:proofErr w:type="gramEnd"/>
      <w:r>
        <w:rPr>
          <w:rFonts w:cs="Arial"/>
          <w:szCs w:val="20"/>
        </w:rPr>
        <w:t xml:space="preserve"> </w:t>
      </w:r>
      <w:r w:rsidRPr="00DE4367">
        <w:rPr>
          <w:rFonts w:cs="Arial"/>
          <w:szCs w:val="20"/>
        </w:rPr>
        <w:t>Bettina Wilm</w:t>
      </w:r>
      <w:r w:rsidRPr="00DE4367">
        <w:rPr>
          <w:rFonts w:cs="Arial"/>
          <w:szCs w:val="20"/>
          <w:vertAlign w:val="superscript"/>
        </w:rPr>
        <w:t>1,2</w:t>
      </w:r>
      <w:r>
        <w:rPr>
          <w:rFonts w:cs="Arial"/>
          <w:szCs w:val="20"/>
        </w:rPr>
        <w:t xml:space="preserve">, </w:t>
      </w:r>
      <w:r w:rsidRPr="00DE4367">
        <w:rPr>
          <w:rFonts w:cs="Arial"/>
          <w:szCs w:val="20"/>
        </w:rPr>
        <w:t>Raphaël Lévy</w:t>
      </w:r>
      <w:r w:rsidR="005F4F4E">
        <w:rPr>
          <w:rFonts w:cs="Arial"/>
          <w:szCs w:val="20"/>
          <w:vertAlign w:val="superscript"/>
        </w:rPr>
        <w:t>3</w:t>
      </w:r>
      <w:r>
        <w:rPr>
          <w:rFonts w:cs="Arial"/>
          <w:szCs w:val="20"/>
        </w:rPr>
        <w:t>,</w:t>
      </w:r>
      <w:r w:rsidRPr="0069499E">
        <w:rPr>
          <w:rFonts w:cs="Arial"/>
          <w:szCs w:val="20"/>
        </w:rPr>
        <w:t xml:space="preserve"> </w:t>
      </w:r>
      <w:r w:rsidRPr="00DE4367">
        <w:rPr>
          <w:rFonts w:cs="Arial"/>
          <w:szCs w:val="20"/>
        </w:rPr>
        <w:t>Lorenzo Ressel</w:t>
      </w:r>
      <w:r w:rsidR="005F4F4E">
        <w:rPr>
          <w:rFonts w:cs="Arial"/>
          <w:szCs w:val="20"/>
          <w:vertAlign w:val="superscript"/>
        </w:rPr>
        <w:t>4</w:t>
      </w:r>
      <w:r>
        <w:rPr>
          <w:rFonts w:cs="Arial"/>
          <w:szCs w:val="20"/>
        </w:rPr>
        <w:t xml:space="preserve">, </w:t>
      </w:r>
      <w:r w:rsidRPr="00DE4367">
        <w:rPr>
          <w:rFonts w:cs="Arial"/>
          <w:szCs w:val="20"/>
        </w:rPr>
        <w:t>Patricia Murray</w:t>
      </w:r>
      <w:r w:rsidRPr="00DE4367">
        <w:rPr>
          <w:rFonts w:cs="Arial"/>
          <w:szCs w:val="20"/>
          <w:vertAlign w:val="superscript"/>
        </w:rPr>
        <w:t>1,2</w:t>
      </w:r>
      <w:r>
        <w:rPr>
          <w:rFonts w:cs="Arial"/>
          <w:szCs w:val="20"/>
          <w:vertAlign w:val="superscript"/>
        </w:rPr>
        <w:t>,</w:t>
      </w:r>
      <w:bookmarkStart w:id="0" w:name="_Hlk113098930"/>
      <w:r w:rsidRPr="00331633">
        <w:t>*</w:t>
      </w:r>
      <w:bookmarkEnd w:id="0"/>
      <w:r>
        <w:rPr>
          <w:rFonts w:cs="Arial"/>
          <w:szCs w:val="20"/>
          <w:vertAlign w:val="superscript"/>
        </w:rPr>
        <w:t xml:space="preserve"> </w:t>
      </w:r>
      <w:r w:rsidR="00EA6902" w:rsidRPr="00D945EC">
        <w:t xml:space="preserve">and </w:t>
      </w:r>
      <w:r w:rsidRPr="00DE4367">
        <w:rPr>
          <w:rFonts w:cs="Arial"/>
          <w:szCs w:val="20"/>
        </w:rPr>
        <w:t>Violaine Sée</w:t>
      </w:r>
      <w:r w:rsidR="005F4F4E">
        <w:rPr>
          <w:rFonts w:cs="Arial"/>
          <w:szCs w:val="20"/>
          <w:vertAlign w:val="superscript"/>
        </w:rPr>
        <w:t>5</w:t>
      </w:r>
      <w:r>
        <w:rPr>
          <w:rFonts w:cs="Arial"/>
          <w:szCs w:val="20"/>
          <w:vertAlign w:val="superscript"/>
        </w:rPr>
        <w:t>,</w:t>
      </w:r>
    </w:p>
    <w:tbl>
      <w:tblPr>
        <w:tblpPr w:leftFromText="198" w:rightFromText="198" w:vertAnchor="page" w:horzAnchor="margin" w:tblpY="9954"/>
        <w:tblW w:w="2410" w:type="dxa"/>
        <w:tblLayout w:type="fixed"/>
        <w:tblCellMar>
          <w:left w:w="0" w:type="dxa"/>
          <w:right w:w="0" w:type="dxa"/>
        </w:tblCellMar>
        <w:tblLook w:val="04A0" w:firstRow="1" w:lastRow="0" w:firstColumn="1" w:lastColumn="0" w:noHBand="0" w:noVBand="1"/>
      </w:tblPr>
      <w:tblGrid>
        <w:gridCol w:w="2410"/>
      </w:tblGrid>
      <w:tr w:rsidR="005332CC" w:rsidRPr="00762525" w14:paraId="429D6444" w14:textId="77777777" w:rsidTr="007D1F55">
        <w:tc>
          <w:tcPr>
            <w:tcW w:w="2410" w:type="dxa"/>
            <w:shd w:val="clear" w:color="auto" w:fill="auto"/>
          </w:tcPr>
          <w:p w14:paraId="6C5C133A" w14:textId="77777777" w:rsidR="005332CC" w:rsidRPr="00BC74C5" w:rsidRDefault="005332CC" w:rsidP="007D1F55">
            <w:pPr>
              <w:pStyle w:val="MDPI61Citation"/>
              <w:spacing w:after="120" w:line="240" w:lineRule="exact"/>
            </w:pPr>
            <w:r w:rsidRPr="00BC74C5">
              <w:rPr>
                <w:b/>
              </w:rPr>
              <w:t>Citation:</w:t>
            </w:r>
            <w:r w:rsidRPr="00762525">
              <w:t xml:space="preserve"> </w:t>
            </w:r>
            <w:r w:rsidR="00F705DF">
              <w:t>Hernandez Pichardo</w:t>
            </w:r>
            <w:r>
              <w:t xml:space="preserve">, </w:t>
            </w:r>
            <w:r w:rsidR="00F705DF">
              <w:t>A</w:t>
            </w:r>
            <w:r>
              <w:t xml:space="preserve">.; </w:t>
            </w:r>
            <w:r w:rsidR="00F705DF">
              <w:t>Amadeo</w:t>
            </w:r>
            <w:r>
              <w:t xml:space="preserve">, F.; </w:t>
            </w:r>
            <w:proofErr w:type="spellStart"/>
            <w:r>
              <w:t>Lastname</w:t>
            </w:r>
            <w:proofErr w:type="spellEnd"/>
            <w:r>
              <w:t xml:space="preserve">, F. Title. </w:t>
            </w:r>
            <w:r>
              <w:rPr>
                <w:i/>
              </w:rPr>
              <w:t xml:space="preserve">Int. J. Mol. Sci. </w:t>
            </w:r>
            <w:r>
              <w:rPr>
                <w:b/>
              </w:rPr>
              <w:t>2022</w:t>
            </w:r>
            <w:r>
              <w:t>,</w:t>
            </w:r>
            <w:r>
              <w:rPr>
                <w:i/>
              </w:rPr>
              <w:t xml:space="preserve"> 23</w:t>
            </w:r>
            <w:r>
              <w:t>, x. https://doi.org/10.3390/xxxxx</w:t>
            </w:r>
          </w:p>
          <w:p w14:paraId="235A8219" w14:textId="77777777" w:rsidR="005332CC" w:rsidRDefault="005332CC" w:rsidP="007D1F55">
            <w:pPr>
              <w:pStyle w:val="MDPI14history"/>
              <w:spacing w:before="120" w:after="120"/>
              <w:rPr>
                <w:rFonts w:ascii="SimSun" w:eastAsia="SimSun" w:hAnsi="SimSun" w:cs="SimSun"/>
                <w:lang w:eastAsia="zh-CN"/>
              </w:rPr>
            </w:pPr>
            <w:r>
              <w:t xml:space="preserve">Academic Editor: </w:t>
            </w:r>
            <w:proofErr w:type="spellStart"/>
            <w:r w:rsidRPr="00562097">
              <w:t>Firstname</w:t>
            </w:r>
            <w:proofErr w:type="spellEnd"/>
            <w:r w:rsidRPr="00562097">
              <w:t xml:space="preserve"> </w:t>
            </w:r>
            <w:proofErr w:type="spellStart"/>
            <w:r w:rsidRPr="00562097">
              <w:t>Lastname</w:t>
            </w:r>
            <w:proofErr w:type="spellEnd"/>
          </w:p>
          <w:p w14:paraId="623DAD75" w14:textId="77777777" w:rsidR="005332CC" w:rsidRPr="00D30D71" w:rsidRDefault="005332CC" w:rsidP="007D1F55">
            <w:pPr>
              <w:pStyle w:val="MDPI14history"/>
              <w:spacing w:before="120"/>
              <w:rPr>
                <w:rFonts w:ascii="SimSun" w:eastAsia="SimSun" w:hAnsi="SimSun" w:cs="SimSun"/>
              </w:rPr>
            </w:pPr>
            <w:r w:rsidRPr="00550626">
              <w:rPr>
                <w:szCs w:val="14"/>
              </w:rPr>
              <w:t xml:space="preserve">Received: </w:t>
            </w:r>
            <w:r w:rsidRPr="00D945EC">
              <w:rPr>
                <w:szCs w:val="14"/>
              </w:rPr>
              <w:t>date</w:t>
            </w:r>
          </w:p>
          <w:p w14:paraId="73343A11" w14:textId="77777777" w:rsidR="005332CC" w:rsidRPr="00550626" w:rsidRDefault="005332CC" w:rsidP="007D1F55">
            <w:pPr>
              <w:pStyle w:val="MDPI14history"/>
              <w:rPr>
                <w:szCs w:val="14"/>
              </w:rPr>
            </w:pPr>
            <w:r w:rsidRPr="00550626">
              <w:rPr>
                <w:szCs w:val="14"/>
              </w:rPr>
              <w:t xml:space="preserve">Accepted: </w:t>
            </w:r>
            <w:r w:rsidRPr="00D945EC">
              <w:rPr>
                <w:szCs w:val="14"/>
              </w:rPr>
              <w:t>date</w:t>
            </w:r>
          </w:p>
          <w:p w14:paraId="35A492D7" w14:textId="77777777" w:rsidR="005332CC" w:rsidRPr="00550626" w:rsidRDefault="005332CC" w:rsidP="007D1F55">
            <w:pPr>
              <w:pStyle w:val="MDPI14history"/>
              <w:spacing w:after="120"/>
              <w:rPr>
                <w:szCs w:val="14"/>
              </w:rPr>
            </w:pPr>
            <w:r w:rsidRPr="00550626">
              <w:rPr>
                <w:szCs w:val="14"/>
              </w:rPr>
              <w:t xml:space="preserve">Published: </w:t>
            </w:r>
            <w:r w:rsidRPr="00D945EC">
              <w:rPr>
                <w:szCs w:val="14"/>
              </w:rPr>
              <w:t>date</w:t>
            </w:r>
          </w:p>
          <w:p w14:paraId="05A214E8" w14:textId="77777777" w:rsidR="005332CC" w:rsidRPr="00762525" w:rsidRDefault="005332CC" w:rsidP="007D1F55">
            <w:pPr>
              <w:pStyle w:val="MDPI63Notes"/>
              <w:jc w:val="both"/>
            </w:pPr>
            <w:r w:rsidRPr="00762525">
              <w:rPr>
                <w:b/>
              </w:rPr>
              <w:t>Publisher’s Note:</w:t>
            </w:r>
            <w:r w:rsidRPr="00762525">
              <w:t xml:space="preserve"> MDPI stays neutral with regard to jurisdictional claims in published maps and institutional affiliations.</w:t>
            </w:r>
          </w:p>
          <w:p w14:paraId="3608B0BE" w14:textId="77777777" w:rsidR="005332CC" w:rsidRPr="00762525" w:rsidRDefault="005332CC" w:rsidP="007D1F55">
            <w:pPr>
              <w:adjustRightInd w:val="0"/>
              <w:snapToGrid w:val="0"/>
              <w:spacing w:before="120" w:line="240" w:lineRule="atLeast"/>
              <w:ind w:right="113"/>
              <w:jc w:val="left"/>
              <w:rPr>
                <w:rFonts w:eastAsia="DengXian"/>
                <w:bCs/>
                <w:sz w:val="14"/>
                <w:szCs w:val="14"/>
                <w:lang w:bidi="en-US"/>
              </w:rPr>
            </w:pPr>
            <w:r w:rsidRPr="00762525">
              <w:rPr>
                <w:rFonts w:eastAsia="DengXian"/>
              </w:rPr>
              <w:drawing>
                <wp:inline distT="0" distB="0" distL="0" distR="0" wp14:anchorId="3E63AFF2" wp14:editId="1161B181">
                  <wp:extent cx="692785" cy="249555"/>
                  <wp:effectExtent l="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0671462A" w14:textId="77777777" w:rsidR="005332CC" w:rsidRPr="00762525" w:rsidRDefault="005332CC" w:rsidP="007D1F55">
            <w:pPr>
              <w:adjustRightInd w:val="0"/>
              <w:snapToGrid w:val="0"/>
              <w:spacing w:before="60" w:line="240" w:lineRule="atLeast"/>
              <w:ind w:right="113"/>
              <w:rPr>
                <w:rFonts w:eastAsia="DengXian"/>
                <w:bCs/>
                <w:sz w:val="14"/>
                <w:szCs w:val="14"/>
                <w:lang w:bidi="en-US"/>
              </w:rPr>
            </w:pPr>
            <w:r w:rsidRPr="00762525">
              <w:rPr>
                <w:rFonts w:eastAsia="DengXian"/>
                <w:b/>
                <w:bCs/>
                <w:sz w:val="14"/>
                <w:szCs w:val="14"/>
                <w:lang w:bidi="en-US"/>
              </w:rPr>
              <w:t>Copyright:</w:t>
            </w:r>
            <w:r w:rsidRPr="00762525">
              <w:rPr>
                <w:rFonts w:eastAsia="DengXian"/>
                <w:bCs/>
                <w:sz w:val="14"/>
                <w:szCs w:val="14"/>
                <w:lang w:bidi="en-US"/>
              </w:rPr>
              <w:t xml:space="preserve"> </w:t>
            </w:r>
            <w:r>
              <w:rPr>
                <w:rFonts w:eastAsia="DengXian"/>
                <w:bCs/>
                <w:sz w:val="14"/>
                <w:szCs w:val="14"/>
                <w:lang w:bidi="en-US"/>
              </w:rPr>
              <w:t>© 2022</w:t>
            </w:r>
            <w:r w:rsidRPr="00762525">
              <w:rPr>
                <w:rFonts w:eastAsia="DengXian"/>
                <w:bCs/>
                <w:sz w:val="14"/>
                <w:szCs w:val="14"/>
                <w:lang w:bidi="en-US"/>
              </w:rPr>
              <w:t xml:space="preserve"> </w:t>
            </w:r>
            <w:r>
              <w:rPr>
                <w:rFonts w:eastAsia="DengXian"/>
                <w:bCs/>
                <w:sz w:val="14"/>
                <w:szCs w:val="14"/>
                <w:lang w:bidi="en-US"/>
              </w:rPr>
              <w:t xml:space="preserve">by the authors. Submitted for possible open access publication under the terms and conditions of the Creative Commons </w:t>
            </w:r>
            <w:r w:rsidRPr="00762525">
              <w:rPr>
                <w:rFonts w:eastAsia="DengXian"/>
                <w:bCs/>
                <w:sz w:val="14"/>
                <w:szCs w:val="14"/>
                <w:lang w:bidi="en-US"/>
              </w:rPr>
              <w:t>Attribution (CC BY) license (</w:t>
            </w:r>
            <w:r>
              <w:rPr>
                <w:rFonts w:eastAsia="DengXian"/>
                <w:bCs/>
                <w:sz w:val="14"/>
                <w:szCs w:val="14"/>
                <w:lang w:bidi="en-US"/>
              </w:rPr>
              <w:t>https://</w:t>
            </w:r>
            <w:r w:rsidRPr="00762525">
              <w:rPr>
                <w:rFonts w:eastAsia="DengXian"/>
                <w:bCs/>
                <w:sz w:val="14"/>
                <w:szCs w:val="14"/>
                <w:lang w:bidi="en-US"/>
              </w:rPr>
              <w:t>creativecommons.org/licenses/by/4.0/).</w:t>
            </w:r>
          </w:p>
        </w:tc>
      </w:tr>
    </w:tbl>
    <w:p w14:paraId="2B1C6896" w14:textId="77777777" w:rsidR="00EA6902" w:rsidRPr="00D945EC" w:rsidRDefault="00035FC3" w:rsidP="00EA6902">
      <w:pPr>
        <w:pStyle w:val="MDPI16affiliation"/>
      </w:pPr>
      <w:r w:rsidRPr="00035FC3">
        <w:rPr>
          <w:vertAlign w:val="superscript"/>
        </w:rPr>
        <w:t>1</w:t>
      </w:r>
      <w:r w:rsidR="00EA6902" w:rsidRPr="00D945EC">
        <w:tab/>
      </w:r>
      <w:r w:rsidR="00B63C85" w:rsidRPr="00B63C85">
        <w:t xml:space="preserve">Department of Molecular Physiology and Cell </w:t>
      </w:r>
      <w:proofErr w:type="spellStart"/>
      <w:r w:rsidR="00B63C85" w:rsidRPr="00B63C85">
        <w:t>Signalling</w:t>
      </w:r>
      <w:proofErr w:type="spellEnd"/>
      <w:r w:rsidR="00B63C85" w:rsidRPr="00B63C85">
        <w:t xml:space="preserve">, </w:t>
      </w:r>
      <w:bookmarkStart w:id="1" w:name="_Hlk113100174"/>
      <w:r w:rsidR="00B63C85" w:rsidRPr="00B63C85">
        <w:t>Faculty of Health and Life Sciences</w:t>
      </w:r>
      <w:bookmarkEnd w:id="1"/>
      <w:r w:rsidR="00B63C85">
        <w:t xml:space="preserve">, </w:t>
      </w:r>
      <w:r w:rsidR="00B63C85" w:rsidRPr="00B63C85">
        <w:t>University of Liverpool, UK</w:t>
      </w:r>
      <w:r w:rsidR="00B63C85">
        <w:t xml:space="preserve">; </w:t>
      </w:r>
      <w:bookmarkStart w:id="2" w:name="_Hlk113100029"/>
      <w:r w:rsidR="00B010FE">
        <w:fldChar w:fldCharType="begin"/>
      </w:r>
      <w:r w:rsidR="00B010FE">
        <w:instrText xml:space="preserve"> HYPERLINK "mailto:</w:instrText>
      </w:r>
      <w:r w:rsidR="00B010FE" w:rsidRPr="00B010FE">
        <w:instrText>A.Hernandez-Pichardo@liv.ac.uk</w:instrText>
      </w:r>
      <w:r w:rsidR="00B010FE">
        <w:instrText xml:space="preserve">" </w:instrText>
      </w:r>
      <w:r w:rsidR="00B010FE">
        <w:fldChar w:fldCharType="separate"/>
      </w:r>
      <w:r w:rsidR="00B010FE" w:rsidRPr="00EC1DD3">
        <w:rPr>
          <w:rStyle w:val="Hyperlink"/>
        </w:rPr>
        <w:t>A.Hernandez-Pichardo@liv.ac.uk</w:t>
      </w:r>
      <w:r w:rsidR="00B010FE">
        <w:fldChar w:fldCharType="end"/>
      </w:r>
      <w:r w:rsidR="00B63C85">
        <w:t xml:space="preserve">; </w:t>
      </w:r>
      <w:hyperlink r:id="rId8" w:history="1">
        <w:r w:rsidR="00B010FE" w:rsidRPr="00EC1DD3">
          <w:rPr>
            <w:rStyle w:val="Hyperlink"/>
          </w:rPr>
          <w:t>Francesco.Amadeo@liv.ac.uk</w:t>
        </w:r>
      </w:hyperlink>
      <w:r w:rsidR="00B63C85">
        <w:t xml:space="preserve">; </w:t>
      </w:r>
      <w:hyperlink r:id="rId9" w:history="1">
        <w:r w:rsidR="00B010FE" w:rsidRPr="00EC1DD3">
          <w:rPr>
            <w:rStyle w:val="Hyperlink"/>
          </w:rPr>
          <w:t>bwilm@liv.ac.uk</w:t>
        </w:r>
      </w:hyperlink>
      <w:r w:rsidR="00B63C85">
        <w:t xml:space="preserve">; </w:t>
      </w:r>
      <w:hyperlink r:id="rId10" w:history="1">
        <w:r w:rsidR="00B010FE" w:rsidRPr="00EC1DD3">
          <w:rPr>
            <w:rStyle w:val="Hyperlink"/>
          </w:rPr>
          <w:t>p.a.murray@liv.ac.uk</w:t>
        </w:r>
      </w:hyperlink>
      <w:r w:rsidR="00B010FE">
        <w:t xml:space="preserve"> </w:t>
      </w:r>
      <w:r w:rsidR="00B63C85">
        <w:t xml:space="preserve"> </w:t>
      </w:r>
      <w:bookmarkEnd w:id="2"/>
    </w:p>
    <w:p w14:paraId="7BE4FAD6" w14:textId="77777777" w:rsidR="00EA6902" w:rsidRDefault="00EA6902" w:rsidP="00EA6902">
      <w:pPr>
        <w:pStyle w:val="MDPI16affiliation"/>
      </w:pPr>
      <w:bookmarkStart w:id="3" w:name="_Hlk113099236"/>
      <w:r w:rsidRPr="00D945EC">
        <w:rPr>
          <w:vertAlign w:val="superscript"/>
        </w:rPr>
        <w:t>2</w:t>
      </w:r>
      <w:r w:rsidRPr="00D945EC">
        <w:tab/>
      </w:r>
      <w:r w:rsidR="00B63C85">
        <w:t>C</w:t>
      </w:r>
      <w:r w:rsidR="00B63C85" w:rsidRPr="00B63C85">
        <w:t>entre for Preclinical Imaging, Faculty of Health and Life Sciences, University of Liverpool, UK</w:t>
      </w:r>
      <w:bookmarkEnd w:id="3"/>
      <w:r w:rsidR="00B010FE">
        <w:t xml:space="preserve">; </w:t>
      </w:r>
      <w:hyperlink r:id="rId11" w:history="1">
        <w:r w:rsidR="00B010FE" w:rsidRPr="00EC1DD3">
          <w:rPr>
            <w:rStyle w:val="Hyperlink"/>
          </w:rPr>
          <w:t>A.Hernandez-Pichardo@liv.ac.uk</w:t>
        </w:r>
      </w:hyperlink>
      <w:r w:rsidR="00B010FE">
        <w:t xml:space="preserve">; </w:t>
      </w:r>
      <w:hyperlink r:id="rId12" w:history="1">
        <w:r w:rsidR="00B010FE" w:rsidRPr="00EC1DD3">
          <w:rPr>
            <w:rStyle w:val="Hyperlink"/>
          </w:rPr>
          <w:t>Francesco.Amadeo@liv.ac.uk</w:t>
        </w:r>
      </w:hyperlink>
      <w:r w:rsidR="00B010FE">
        <w:t xml:space="preserve">; </w:t>
      </w:r>
      <w:hyperlink r:id="rId13" w:history="1">
        <w:r w:rsidR="00B010FE" w:rsidRPr="00EC1DD3">
          <w:rPr>
            <w:rStyle w:val="Hyperlink"/>
          </w:rPr>
          <w:t>bwilm@liv.ac.uk</w:t>
        </w:r>
      </w:hyperlink>
      <w:r w:rsidR="00B010FE">
        <w:t xml:space="preserve">; </w:t>
      </w:r>
      <w:bookmarkStart w:id="4" w:name="_Hlk113100427"/>
      <w:r w:rsidR="00B010FE">
        <w:fldChar w:fldCharType="begin"/>
      </w:r>
      <w:r w:rsidR="00B010FE">
        <w:instrText xml:space="preserve"> HYPERLINK "mailto:p.a.murray@liv.ac.uk" </w:instrText>
      </w:r>
      <w:r w:rsidR="00B010FE">
        <w:fldChar w:fldCharType="separate"/>
      </w:r>
      <w:r w:rsidR="00B010FE" w:rsidRPr="00EC1DD3">
        <w:rPr>
          <w:rStyle w:val="Hyperlink"/>
        </w:rPr>
        <w:t>p.a.murray@liv.ac.uk</w:t>
      </w:r>
      <w:r w:rsidR="00B010FE">
        <w:fldChar w:fldCharType="end"/>
      </w:r>
      <w:r w:rsidR="00B010FE">
        <w:t xml:space="preserve">  </w:t>
      </w:r>
      <w:bookmarkEnd w:id="4"/>
    </w:p>
    <w:p w14:paraId="1A77D45D" w14:textId="77777777" w:rsidR="00B010FE" w:rsidRDefault="00B010FE" w:rsidP="00EA6902">
      <w:pPr>
        <w:pStyle w:val="MDPI16affiliation"/>
      </w:pPr>
      <w:bookmarkStart w:id="5" w:name="_Hlk113100120"/>
      <w:r>
        <w:rPr>
          <w:vertAlign w:val="superscript"/>
        </w:rPr>
        <w:t>3</w:t>
      </w:r>
      <w:r w:rsidR="00B63C85" w:rsidRPr="00D945EC">
        <w:tab/>
      </w:r>
      <w:r w:rsidRPr="00B010FE">
        <w:t>Université Sorbonne Paris Nord and Université de Paris, INSERM, LVTS, F-75018 Paris, France</w:t>
      </w:r>
      <w:r>
        <w:t xml:space="preserve">; </w:t>
      </w:r>
      <w:hyperlink r:id="rId14" w:history="1">
        <w:r w:rsidRPr="00EC1DD3">
          <w:rPr>
            <w:rStyle w:val="Hyperlink"/>
          </w:rPr>
          <w:t>raphael.levy@univ-paris13.fr</w:t>
        </w:r>
      </w:hyperlink>
      <w:r>
        <w:t xml:space="preserve"> </w:t>
      </w:r>
    </w:p>
    <w:bookmarkEnd w:id="5"/>
    <w:p w14:paraId="021AA791" w14:textId="77777777" w:rsidR="00B010FE" w:rsidRDefault="00B010FE" w:rsidP="00B010FE">
      <w:pPr>
        <w:pStyle w:val="MDPI16affiliation"/>
      </w:pPr>
      <w:r>
        <w:rPr>
          <w:vertAlign w:val="superscript"/>
        </w:rPr>
        <w:t>4</w:t>
      </w:r>
      <w:r w:rsidRPr="00D945EC">
        <w:tab/>
      </w:r>
      <w:r w:rsidRPr="00B010FE">
        <w:t xml:space="preserve">Department of Veterinary Anatomy Physiology and Pathology, </w:t>
      </w:r>
      <w:r w:rsidRPr="00B63C85">
        <w:t>Faculty of Health and Life Sciences</w:t>
      </w:r>
      <w:r w:rsidRPr="00B010FE">
        <w:t>, University of Liverpool, UK</w:t>
      </w:r>
      <w:r>
        <w:t xml:space="preserve">; </w:t>
      </w:r>
      <w:hyperlink r:id="rId15" w:history="1">
        <w:r w:rsidRPr="00EC1DD3">
          <w:rPr>
            <w:rStyle w:val="Hyperlink"/>
          </w:rPr>
          <w:t>ressel@liverpool.ac.uk</w:t>
        </w:r>
      </w:hyperlink>
      <w:r>
        <w:t xml:space="preserve"> </w:t>
      </w:r>
    </w:p>
    <w:p w14:paraId="539B067E" w14:textId="77777777" w:rsidR="00B010FE" w:rsidRDefault="00B010FE" w:rsidP="00744847">
      <w:pPr>
        <w:pStyle w:val="MDPI16affiliation"/>
      </w:pPr>
      <w:r>
        <w:rPr>
          <w:vertAlign w:val="superscript"/>
        </w:rPr>
        <w:t>5</w:t>
      </w:r>
      <w:r w:rsidRPr="00D945EC">
        <w:tab/>
      </w:r>
      <w:r w:rsidRPr="00B010FE">
        <w:t>CNRS UMR 5305, Tissue Biology and Therapeutic Engineering Laboratory (LBTI), University Claude Bernard Lyon1, 69007 Lyon, France</w:t>
      </w:r>
      <w:r>
        <w:t xml:space="preserve">; </w:t>
      </w:r>
      <w:hyperlink r:id="rId16" w:history="1">
        <w:r w:rsidRPr="00EC1DD3">
          <w:rPr>
            <w:rStyle w:val="Hyperlink"/>
          </w:rPr>
          <w:t>violaine.see@univ-lyon1.fr</w:t>
        </w:r>
      </w:hyperlink>
      <w:r>
        <w:t xml:space="preserve"> </w:t>
      </w:r>
    </w:p>
    <w:p w14:paraId="7D54FF0A" w14:textId="77777777" w:rsidR="00EA6902" w:rsidRPr="00550626" w:rsidRDefault="00EA6902" w:rsidP="00EA6902">
      <w:pPr>
        <w:pStyle w:val="MDPI16affiliation"/>
      </w:pPr>
      <w:r w:rsidRPr="006A74F9">
        <w:rPr>
          <w:b/>
        </w:rPr>
        <w:t>*</w:t>
      </w:r>
      <w:r w:rsidRPr="00D945EC">
        <w:tab/>
        <w:t xml:space="preserve">Correspondence: </w:t>
      </w:r>
      <w:hyperlink r:id="rId17" w:history="1">
        <w:r w:rsidR="00744847" w:rsidRPr="00EC1DD3">
          <w:rPr>
            <w:rStyle w:val="Hyperlink"/>
          </w:rPr>
          <w:t>p.a.murray@liv.ac.uk</w:t>
        </w:r>
      </w:hyperlink>
      <w:r w:rsidRPr="00D945EC">
        <w:t>; Tel.: (</w:t>
      </w:r>
      <w:r w:rsidR="00744847">
        <w:t>0044 151 7958020</w:t>
      </w:r>
      <w:r>
        <w:t>)</w:t>
      </w:r>
    </w:p>
    <w:p w14:paraId="40C92FB9" w14:textId="58BB64FF" w:rsidR="0069499E" w:rsidRDefault="00EA6902" w:rsidP="0069499E">
      <w:pPr>
        <w:pStyle w:val="MDPI17abstract"/>
        <w:rPr>
          <w:szCs w:val="18"/>
        </w:rPr>
      </w:pPr>
      <w:r w:rsidRPr="00550626">
        <w:rPr>
          <w:b/>
          <w:szCs w:val="18"/>
        </w:rPr>
        <w:t xml:space="preserve">Abstract: </w:t>
      </w:r>
      <w:r w:rsidR="0069499E" w:rsidRPr="0069499E">
        <w:rPr>
          <w:szCs w:val="18"/>
        </w:rPr>
        <w:t xml:space="preserve">Mesenchymal stromal cells (MSC) injected intravenously are trapped in the capillaries of the lungs and die within the first 24 hours. Studying the biodistribution and fate of labelled therapeutic cells in the 3D pulmonary context is important to understand their function in this organ and gain insights into their mechanisms of action. Optical tissue clearing enables volumetric cell tracking at single-cell resolution. Thus, we compared three optical tissue clearing protocols (Clear, Unobstructed Brain/Body Imaging Cocktails and Computational analysis (CUBIC), </w:t>
      </w:r>
      <w:r w:rsidR="00E63A82">
        <w:rPr>
          <w:szCs w:val="18"/>
        </w:rPr>
        <w:t xml:space="preserve">a modified </w:t>
      </w:r>
      <w:proofErr w:type="spellStart"/>
      <w:r w:rsidR="0069499E" w:rsidRPr="0069499E">
        <w:rPr>
          <w:szCs w:val="18"/>
        </w:rPr>
        <w:t>stabilised</w:t>
      </w:r>
      <w:proofErr w:type="spellEnd"/>
      <w:r w:rsidR="0069499E" w:rsidRPr="0069499E">
        <w:rPr>
          <w:szCs w:val="18"/>
        </w:rPr>
        <w:t xml:space="preserve"> 3D imaging of solvent-cleared organs (s-DISCO) and Ethyl cinnamate (ECi)) to evaluate their potential to track the biodistribution of human umbilical cord MSCs expressing the </w:t>
      </w:r>
      <w:proofErr w:type="spellStart"/>
      <w:r w:rsidR="0069499E" w:rsidRPr="0069499E">
        <w:rPr>
          <w:szCs w:val="18"/>
        </w:rPr>
        <w:t>tdTomato</w:t>
      </w:r>
      <w:proofErr w:type="spellEnd"/>
      <w:r w:rsidR="0069499E" w:rsidRPr="0069499E">
        <w:rPr>
          <w:szCs w:val="18"/>
        </w:rPr>
        <w:t xml:space="preserve"> fluorescence reporter and investigate how they interact with host cells in the mouse lung. The results showed that although CUBIC clearing is the only method that enables direct imaging of fluorescently labelled MSCs, combining </w:t>
      </w:r>
      <w:r w:rsidR="00522C09">
        <w:rPr>
          <w:szCs w:val="18"/>
        </w:rPr>
        <w:t>s</w:t>
      </w:r>
      <w:r w:rsidR="0069499E" w:rsidRPr="0069499E">
        <w:rPr>
          <w:szCs w:val="18"/>
        </w:rPr>
        <w:t>-DISCO or ECi with immunofluorescence or dye labelling, allows for the study of the MSC interaction with endothelial and immune cells. Overall, this comparative study offers guidance on selecting an optical tissue clearing method for cell tracking applications.</w:t>
      </w:r>
    </w:p>
    <w:p w14:paraId="0138A740" w14:textId="77777777" w:rsidR="00EA6902" w:rsidRPr="00550626" w:rsidRDefault="00EA6902" w:rsidP="0069499E">
      <w:pPr>
        <w:pStyle w:val="MDPI17abstract"/>
        <w:rPr>
          <w:szCs w:val="18"/>
        </w:rPr>
      </w:pPr>
      <w:r w:rsidRPr="00550626">
        <w:rPr>
          <w:b/>
          <w:szCs w:val="18"/>
        </w:rPr>
        <w:t xml:space="preserve">Keywords: </w:t>
      </w:r>
      <w:r w:rsidR="0069499E">
        <w:rPr>
          <w:szCs w:val="18"/>
        </w:rPr>
        <w:t>optical tissue clearing</w:t>
      </w:r>
      <w:r w:rsidRPr="00D945EC">
        <w:rPr>
          <w:szCs w:val="18"/>
        </w:rPr>
        <w:t xml:space="preserve">; </w:t>
      </w:r>
      <w:r w:rsidR="0069499E">
        <w:rPr>
          <w:szCs w:val="18"/>
        </w:rPr>
        <w:t>mesenchymal stromal cells</w:t>
      </w:r>
      <w:r w:rsidRPr="00D945EC">
        <w:rPr>
          <w:szCs w:val="18"/>
        </w:rPr>
        <w:t>;</w:t>
      </w:r>
      <w:r w:rsidR="0069499E">
        <w:rPr>
          <w:szCs w:val="18"/>
        </w:rPr>
        <w:t xml:space="preserve"> mouse lung; biodistribution; cell tracking</w:t>
      </w:r>
    </w:p>
    <w:p w14:paraId="7574E9F6" w14:textId="77777777" w:rsidR="00EA6902" w:rsidRPr="00550626" w:rsidRDefault="00EA6902" w:rsidP="00EA6902">
      <w:pPr>
        <w:pStyle w:val="MDPI19line"/>
      </w:pPr>
    </w:p>
    <w:p w14:paraId="2140668D" w14:textId="77777777" w:rsidR="00F705DF" w:rsidRDefault="00F705DF">
      <w:pPr>
        <w:spacing w:line="240" w:lineRule="auto"/>
        <w:jc w:val="left"/>
        <w:rPr>
          <w:rFonts w:eastAsia="Times New Roman"/>
          <w:b/>
          <w:noProof w:val="0"/>
          <w:snapToGrid w:val="0"/>
          <w:szCs w:val="22"/>
          <w:lang w:bidi="en-US"/>
        </w:rPr>
      </w:pPr>
      <w:r>
        <w:br w:type="page"/>
      </w:r>
    </w:p>
    <w:p w14:paraId="3EAAE8B1" w14:textId="77777777" w:rsidR="00EA6902" w:rsidRDefault="00EA6902" w:rsidP="00F705DF">
      <w:pPr>
        <w:pStyle w:val="MDPI21heading1"/>
        <w:rPr>
          <w:lang w:eastAsia="zh-CN"/>
        </w:rPr>
      </w:pPr>
      <w:r w:rsidRPr="007F2582">
        <w:rPr>
          <w:lang w:eastAsia="zh-CN"/>
        </w:rPr>
        <w:lastRenderedPageBreak/>
        <w:t>1. Introduction</w:t>
      </w:r>
    </w:p>
    <w:p w14:paraId="3DADB45B" w14:textId="6F23EF34" w:rsidR="00F705DF" w:rsidRPr="00F705DF" w:rsidRDefault="00F705DF" w:rsidP="00E47018">
      <w:pPr>
        <w:pStyle w:val="MDPI31text"/>
      </w:pPr>
      <w:r w:rsidRPr="00F705DF">
        <w:t xml:space="preserve">Cell-based therapies include the administration of exogenous cells to trigger a regenerative response. Several sources of therapeutic cells have been investigated </w:t>
      </w:r>
      <w:r w:rsidRPr="00F705DF">
        <w:fldChar w:fldCharType="begin"/>
      </w:r>
      <w:r w:rsidR="005D62C8">
        <w:instrText xml:space="preserve"> ADDIN ZOTERO_ITEM CSL_CITATION {"citationID":"PkLtejrd","properties":{"formattedCitation":"[1]","plainCitation":"[1]","noteIndex":0},"citationItems":[{"id":30,"uris":["http://zotero.org/users/8356313/items/VVGHLDQH"],"itemData":{"id":30,"type":"article-journal","container-title":"Respiration","DOI":"10.1159/000345615","ISSN":"1423-0356, 0025-7931","issue":"1","journalAbbreviation":"Respiration","language":"en","page":"3-10","source":"DOI.org (Crossref)","title":"Introduction to Stem Cells and Regenerative Medicine","volume":"85","author":[{"family":"Kolios","given":"George"},{"family":"Moodley","given":"Yuben"}],"issued":{"date-parts":[["2013"]]}}}],"schema":"https://github.com/citation-style-language/schema/raw/master/csl-citation.json"} </w:instrText>
      </w:r>
      <w:r w:rsidRPr="00F705DF">
        <w:fldChar w:fldCharType="separate"/>
      </w:r>
      <w:r w:rsidR="00295E92" w:rsidRPr="00295E92">
        <w:t>[1]</w:t>
      </w:r>
      <w:r w:rsidRPr="00F705DF">
        <w:fldChar w:fldCharType="end"/>
      </w:r>
      <w:r w:rsidRPr="00F705DF">
        <w:t xml:space="preserve">. The majority of clinical trials have explored the potential of mesenchymal stromal cells (MSCs). Although it has been reported that MSCs are multipotent, their therapeutic effects in vivo are mostly mediated by secreted factors that promote the repair of injured host tissues and modulate the host’s immune system </w:t>
      </w:r>
      <w:r w:rsidRPr="00F705DF">
        <w:fldChar w:fldCharType="begin"/>
      </w:r>
      <w:r w:rsidR="005D62C8">
        <w:instrText xml:space="preserve"> ADDIN ZOTERO_ITEM CSL_CITATION {"citationID":"3i1cZMJ4","properties":{"formattedCitation":"[2]","plainCitation":"[2]","noteIndex":0},"citationItems":[{"id":29,"uris":["http://zotero.org/users/8356313/items/W8RVTTZ5"],"itemData":{"id":29,"type":"article-journal","abstract":"2018 was the year of the first marketing authorization of an allogeneic stem cell therapy by the European Medicines Agency. The authorization concerns the use of allogeneic adipose tissue-derived mesenchymal stromal cells (MSCs) for treatment of complex perianal fistulas in Crohn's disease. This is a breakthrough in the field of MSC therapy. The last few years have, furthermore, seen some breakthroughs in the investigations into the mechanisms of action of MSC therapy. Although the therapeutic effects of MSCs have largely been attributed to their secretion of immunomodulatory and regenerative factors, it has now become clear that some of the effects are mediated through host phagocytic cells that clear administered MSCs and in the process adapt an immunoregulatory and regeneration supporting function. The increased interest in therapeutic use of MSCs and the ongoing elucidation of the mechanisms of action of MSCs are promising indicators that 2019 may be the dawn of the therapeutic era of MSCs and that there will be revived interest in research to more efficient, practical, and sustainable MSC-based therapies. Stem Cells Translational Medicine 2019;8:1126–1134","container-title":"STEM CELLS Translational Medicine","DOI":"10.1002/sctm.19-0073","ISSN":"2157-6580","issue":"11","language":"en","note":"_eprint: https://onlinelibrary.wiley.com/doi/pdf/10.1002/sctm.19-0073","page":"1126-1134","source":"Wiley Online Library","title":"Mesenchymal Stromal Cells Anno 2019: Dawn of the Therapeutic Era? Concise Review","title-short":"Mesenchymal Stromal Cells Anno 2019","volume":"8","author":[{"family":"Hoogduijn","given":"Martin J."},{"family":"Lombardo","given":"Eleuterio"}],"issued":{"date-parts":[["2019"]]}}}],"schema":"https://github.com/citation-style-language/schema/raw/master/csl-citation.json"} </w:instrText>
      </w:r>
      <w:r w:rsidRPr="00F705DF">
        <w:fldChar w:fldCharType="separate"/>
      </w:r>
      <w:r w:rsidR="00295E92" w:rsidRPr="00295E92">
        <w:t>[2]</w:t>
      </w:r>
      <w:r w:rsidRPr="00F705DF">
        <w:fldChar w:fldCharType="end"/>
      </w:r>
      <w:r w:rsidRPr="00F705DF">
        <w:t xml:space="preserve">. Increasing evidence suggests that the intravenous administration of MSCs and various other cell types is followed by the entrapment of most of the administered cells in the lung capillaries </w:t>
      </w:r>
      <w:r w:rsidRPr="00F705DF">
        <w:fldChar w:fldCharType="begin"/>
      </w:r>
      <w:r w:rsidR="00C80A35">
        <w:instrText xml:space="preserve"> ADDIN ZOTERO_ITEM CSL_CITATION {"citationID":"HC0sVuQ6","properties":{"formattedCitation":"[3]\\uc0\\u8211{}[5]","plainCitation":"[3]–[5]","noteIndex":0},"citationItems":[{"id":"J5dIgO1l/ALBM51SK","uris":["http://zotero.org/users/8356313/items/3KEA93HP"],"itemData":{"id":107,"type":"article-journal","abstract":"Intravenous (IV) stem cell delivery for regenerative tissue therapy has been increasingly used in both experimental and clinical trials. However, recent data suggest that the majority of administered stem cells are initially trapped in the lungs. We sought to investigate variables that may affect this pulmonary first-pass effect. In anesthetized Sprague-Dawley rats, silicone tubing catheters were placed in the left internal jugular vein and common carotid artery. We investigated four different cell types: mesenchymal stromal cells (MSC), multipotent adult progenitor cells (MAPCs), bone marrow-derived mononuclear cells (BMMC), and neural stem cells (NSC). Cells were co-labeled with Qtracker 655 (for flow cytometry) and Qtracker 800 (for infrared imaging) and infused intravenously with continual arterial sample collection. Samples were analyzed via flow cytometry to detect labeled cells reaching the arterial circulation. Following sampling and exsanguination, heart, lungs, spleen, kidney, and liver were harvested and placed on an infrared imaging system to identify the presence of labeled cells. The majority of MSCs were trapped inside the lungs following intravenous infusion. NSC and MAPC pulmonary passage was 2-fold and BMMC passage was 30-fold increased as compared to MSCs. Inhibition of MSC CD49d significantly increased MSC pulmonary passage. Infusion via two boluses increased pulmonary MSC passage as compared to single bolus administration. Infrared imaging revealed stem cells evenly distributed over all lung fields. Larger stem and progenitor cells are initially trapped inside the lungs following intravenous administration with a therapeutically questionable number of cells reaching the arterial system acutely.","container-title":"Stem Cells and Development","DOI":"10.1089/scd.2008.0253","ISSN":"1557-8534","issue":"5","journalAbbreviation":"Stem Cells Dev","language":"eng","note":"PMID: 19099374\nPMCID: PMC3190292","page":"683-692","source":"PubMed","title":"Pulmonary passage is a major obstacle for intravenous stem cell delivery: the pulmonary first-pass effect","title-short":"Pulmonary passage is a major obstacle for intravenous stem cell delivery","volume":"18","author":[{"family":"Fischer","given":"Uwe M."},{"family":"Harting","given":"Matthew T."},{"family":"Jimenez","given":"Fernando"},{"family":"Monzon-Posadas","given":"Werner O."},{"family":"Xue","given":"Hasen"},{"family":"Savitz","given":"Sean I."},{"family":"Laine","given":"Glen A."},{"family":"Cox","given":"Charles S."}],"issued":{"date-parts":[["2009",6]]}},"label":"page"},{"id":54,"uris":["http://zotero.org/users/8356313/items/CR8QB6XF"],"itemData":{"id":54,"type":"article-journal","abstract":"Mesenchymal stem cells (MSC) are under investigation as a therapy for a variety of disorders. Although animal models show long term regenerative and immunomodulatory effects of MSC, the fate of MSC after infusion remains to be elucidated. In the present study the localization and viability of MSC was examined by isolation and re-culture of intravenously infused MSC. C57BL/6 MSC (500,000) constitutively expressing DsRed-fluorescent protein and radioactively labeled with Cr-51 were infused via the tail vein in wild-type C57BL/6 mice. After 5 min, 1, 24, or 72 h, mice were sacrificed and blood, lungs, liver, spleen, kidneys, and bone marrow removed. One hour after MSC infusion the majority of Cr-51 was found in the lungs, whereas after 24 h Cr-51 was mainly found in the liver. Tissue cultures demonstrated that viable donor MSC were present in the lungs up to 24 h after infusion, after which they disappeared. No viable MSC were found in the other organs examined at any time. The induction of ischemia-reperfusion injury in the liver did not trigger the migration of viable MSC to the liver. These results demonstrate that MSC are short-lived after i.v. infusion and that viable MSC do not pass the lungs. Cell debris may be transported to the liver. Long term immunomodulatory and regenerative effects of infused MSC must therefore be mediated via other cell types.","container-title":"Frontiers in Immunology","DOI":"10.3389/fimmu.2012.00297","ISSN":"1664-3224","journalAbbreviation":"Front Immunol","language":"eng","note":"PMID: 23056000\nPMCID: PMC3458305","page":"297","source":"PubMed","title":"Mesenchymal stem cells are short-lived and do not migrate beyond the lungs after intravenous infusion","volume":"3","author":[{"family":"Eggenhofer","given":"E."},{"family":"Benseler","given":"V."},{"family":"Kroemer","given":"A."},{"family":"Popp","given":"F. C."},{"family":"Geissler","given":"E. K."},{"family":"Schlitt","given":"H. J."},{"family":"Baan","given":"C. C."},{"family":"Dahlke","given":"M. H."},{"family":"Hoogduijn","given":"M. J."}],"issued":{"date-parts":[["2012"]]}},"label":"page"},{"id":28,"uris":["http://zotero.org/users/8356313/items/EQAAKDUT"],"itemData":{"id":28,"type":"article-journal","abstract":"Understanding the fate of exogenous cells after implantation is important for clinical applications. Preclinical studies allow imaging of cell location and survival. Labelling with nanoparticles enables high sensitivity detection, but cell division and cell death cause signal dilution and false positives. By contrast, genetic reporter signals are amplified by cell division. Here, we characterise lentivirus-based bi-cistronic reporter gene vectors and silica-coated gold nanorods (GNRs) as synergistic tools for cell labelling and tracking. Co-expression of the bioluminescence reporter luciferase and the optoacoustic reporter near-infrared fluorescent protein iRFP720 enabled cell tracking over time in mice. Multispectral optoacoustic tomography (MSOT) showed immediate biodistribution of GNR-labelled cells after intracardiac injection and successive clearance of GNRs (day 1-15) with high resolution, while optoacoustic iRFP720 detection indicated tumour growth (day 10-40). This multimodal cell tracking approach could be applied widely for cancer and regenerative medicine research to monitor short- and long-term biodistribution, tumour formation and metastasis.","container-title":"eLife","DOI":"10.7554/eLife.33140","ISSN":"2050-084X","journalAbbreviation":"Elife","language":"eng","note":"PMID: 29949503\nPMCID: PMC6021173","page":"e33140","source":"PubMed","title":"Multimodal cell tracking from systemic administration to tumour growth by combining gold nanorods and reporter genes","volume":"7","author":[{"family":"Comenge","given":"Joan"},{"family":"Sharkey","given":"Jack"},{"family":"Fragueiro","given":"Oihane"},{"family":"Wilm","given":"Bettina"},{"family":"Brust","given":"Mathias"},{"family":"Murray","given":"Patricia"},{"family":"Levy","given":"Raphael"},{"family":"Plagge","given":"Antonius"}],"issued":{"date-parts":[["2018",6,27]]}},"label":"page"}],"schema":"https://github.com/citation-style-language/schema/raw/master/csl-citation.json"} </w:instrText>
      </w:r>
      <w:r w:rsidRPr="00F705DF">
        <w:fldChar w:fldCharType="separate"/>
      </w:r>
      <w:r w:rsidR="00295E92" w:rsidRPr="00295E92">
        <w:rPr>
          <w:szCs w:val="24"/>
        </w:rPr>
        <w:t>[3]–[5]</w:t>
      </w:r>
      <w:r w:rsidRPr="00F705DF">
        <w:fldChar w:fldCharType="end"/>
      </w:r>
      <w:r w:rsidRPr="00F705DF">
        <w:t xml:space="preserve">. Little is known about the role of therapeutic cells in this organ as cell persistence is low, with most cells dying within the first 24h post systemic administration </w:t>
      </w:r>
      <w:r w:rsidRPr="00F705DF">
        <w:fldChar w:fldCharType="begin"/>
      </w:r>
      <w:r w:rsidR="005D62C8">
        <w:instrText xml:space="preserve"> ADDIN ZOTERO_ITEM CSL_CITATION {"citationID":"PmDZbUIk","properties":{"formattedCitation":"[6]","plainCitation":"[6]","noteIndex":0},"citationItems":[{"id":27,"uris":["http://zotero.org/users/8356313/items/XFJ4P8WC"],"itemData":{"id":27,"type":"article-journal","abstract":"Previous studies have suggested that CD133+ cells isolated from human kidney biopsies have the potential to ameliorate injury following intravenous (IV) administration in rodent models of kidney disease by integrating into damaged renal tissue and generating specialized renal cells. However, whether renal engraftment of CD133+ cells is a prerequisite for ameliorating injury has not yet been unequivocally resolved. Here, we have established a cisplatin-induced nephropathy model in immunodeficient rats to assess the efficacy of CD133+ human kidney cells in restoring renal health, and to determine the fate of these cells after systemic administration. Specifically, following IV administration, we evaluated the impact of the CD133+ cells on renal function by undertaking longitudinal measurements of the glomerular filtration rate using a novel transcutaneous device. Using histological assays, we assessed whether the human kidney cells could promote renal regeneration, and if this was related to their ability to integrate into the damaged kidneys. Our results show that both CD133+ and CD133− cells improve renal function and promote renal regeneration to a similar degree. However, this was not associated with engraftment of the cells into the kidneys. Instead, after IV administration, both cell types were exclusively located in the lungs, and had disappeared by 24 hours. Our data therefore indicate that renal repair is not mediated by CD133+ cells homing to the kidneys and generating specialized renal cells. Instead, renal repair is likely to be mediated by paracrine or endocrine factors. Stem Cells Translational Medicine 2017;6:1373–1384","container-title":"STEM CELLS Translational Medicine","DOI":"10.1002/sctm.16-0352","ISSN":"2157-6580","issue":"5","language":"en","note":"_eprint: https://onlinelibrary.wiley.com/doi/pdf/10.1002/sctm.16-0352","page":"1373-1384","source":"Wiley Online Library","title":"Human Kidney-Derived Cells Ameliorate Acute Kidney Injury Without Engrafting into Renal Tissue","volume":"6","author":[{"family":"Santeramo","given":"Ilaria"},{"family":"Herrera Perez","given":"Zeneida"},{"family":"Illera","given":"Ana"},{"family":"Taylor","given":"Arthur"},{"family":"Kenny","given":"Simon"},{"family":"Murray","given":"Patricia"},{"family":"Wilm","given":"Bettina"},{"family":"Gretz","given":"Norbert"}],"issued":{"date-parts":[["2017"]]}}}],"schema":"https://github.com/citation-style-language/schema/raw/master/csl-citation.json"} </w:instrText>
      </w:r>
      <w:r w:rsidRPr="00F705DF">
        <w:fldChar w:fldCharType="separate"/>
      </w:r>
      <w:r w:rsidR="00295E92" w:rsidRPr="00295E92">
        <w:t>[6]</w:t>
      </w:r>
      <w:r w:rsidRPr="00F705DF">
        <w:fldChar w:fldCharType="end"/>
      </w:r>
      <w:r w:rsidRPr="00F705DF">
        <w:t>.</w:t>
      </w:r>
    </w:p>
    <w:p w14:paraId="4BECC9AB" w14:textId="5B6646A9" w:rsidR="00F705DF" w:rsidRPr="00F705DF" w:rsidRDefault="00F705DF" w:rsidP="00E47018">
      <w:pPr>
        <w:pStyle w:val="MDPI31text"/>
      </w:pPr>
      <w:r w:rsidRPr="00F705DF">
        <w:t xml:space="preserve">One of the most common safety issues upon intravascular infusion of MSC therapies are thromboembolic complications </w:t>
      </w:r>
      <w:r w:rsidRPr="00F705DF">
        <w:fldChar w:fldCharType="begin"/>
      </w:r>
      <w:r w:rsidR="005D62C8">
        <w:instrText xml:space="preserve"> ADDIN ZOTERO_ITEM CSL_CITATION {"citationID":"B9p80wvD","properties":{"formattedCitation":"[7]\\uc0\\u8211{}[9]","plainCitation":"[7]–[9]","noteIndex":0},"citationItems":[{"id":287,"uris":["http://zotero.org/users/8356313/items/7FH5ZXSG"],"itemData":{"id":287,"type":"article-journal","abstract":"The number of mesenchymal stromal/stem cell (MSC) therapeutics and types of clinical applications have greatly diversified during the past decade, including rapid growth of poorly regulated “Stem Cell Clinics” offering diverse “Unproven Stem Cell Interventions.” This product diversification necessitates a critical evaluation of the reliance on the 2006 MSC minimal criteria to not only define MSC identity but characterize MSC suitability for intravascular administration. While high-quality MSC therapeutics have been safely administered intravascularly in well-controlled clinical trials, repeated case reports of mild-to-more-severe adverse events have been reported. These are most commonly related to thromboembolic complications upon infusion of highly procoagulant tissue factor (TF/CD142)-expressing MSC products. As TF/CD142 expression varies widely depending on the source and manufacturing process of the MSC product, additional clinical cell product characterization and guidelines are needed to ensure the safe use of MSC products. To minimize risk to patients receiving MSC therapy, we here propose to supplement the minimal criteria used for characterization of MSCs, to include criteria that assess the suitability of MSC products for intravascular use. If cell products are intended for intravascular delivery, which is true for half of all clinical applications involving MSCs, the effects of MSC on coagulation and hemocompatibility should be assessed and expression of TF/CD142 should be included as a phenotypic safety marker. This adjunct criterion will ensure both the identity of the MSCs as well as the safety of the MSCs has been vetted prior to intravascular delivery of MSC products.","container-title":"Stem Cells Translational Medicine","DOI":"10.1093/stcltm/szab005","ISSN":"2157-6564","journalAbbreviation":"Stem Cells Translational Medicine","page":"szab005","source":"Silverchair","title":"Improved MSC Minimal Criteria to Maximize Patient Safety: A Call to Embrace Tissue Factor and Hemocompatibility Assessment of MSC Products","title-short":"Improved MSC Minimal Criteria to Maximize Patient Safety","author":[{"family":"Moll","given":"Guido"},{"family":"Ankrum","given":"James A"},{"family":"Olson","given":"Scott D"},{"family":"Nolta","given":"Jan A"}],"issued":{"date-parts":[["2022",2,8]]}}},{"id":285,"uris":["http://zotero.org/users/8356313/items/2K8M76B6"],"itemData":{"id":285,"type":"article-journal","abstract":"Stem cell therapy is being intensely investigated within the last years. Expectations are high regarding mesenchymal stem cell (MSC) treatment in translational medicine. However, many aspects concerning MSC therapy should be profoundly defined. Due to a variety of approaches that are investigated, potential effects of stem cell therapy are not transparent. On the other hand, most results of MSC administration\n              in vivo\n              have confirmed their safety and showed promising beneficial outcomes. However, the therapeutic effects of MSC-based treatment are still not spectacular and there is a potential risk related to MSC applications into specific cell niche that should be considered in long-term observations and follow-up outcomes. In this review, we intend to address some problems and critically discuss the complex nature of MSCs in the context of their effective and safe applications in regenerative medicine in different diseases including graft versus host disease (GvHD) and cardiac, neurological, and orthopedic disorders.","container-title":"Stem Cells International","DOI":"10.1155/2019/9628536","ISSN":"1687-966X, 1687-9678","journalAbbreviation":"Stem Cells International","language":"en","page":"1-10","source":"DOI.org (Crossref)","title":"Challenges and Controversies in Human Mesenchymal Stem Cell Therapy","volume":"2019","author":[{"family":"Lukomska","given":"Barbara"},{"family":"Stanaszek","given":"Luiza"},{"family":"Zuba-Surma","given":"Ewa"},{"family":"Legosz","given":"Pawel"},{"family":"Sarzynska","given":"Sylwia"},{"family":"Drela","given":"Katarzyna"}],"issued":{"date-parts":[["2019",4,9]]}}},{"id":91,"uris":["http://zotero.org/users/8356313/items/BC62NLW4"],"itemData":{"id":91,"type":"article-journal","abstract":"Quantitative assays for human DNA and mRNA were used to examine the paradox that intravenously (i.v.) infused human multipotent stromal cells (hMSCs) can enhance tissue repair without significant engraftment. After 2 x 10(6) hMSCs were i.v. infused into mice, most of the cells were trapped as emboli in lung. The cells in lung disappeared with a half-life of about 24 hr, but &lt;1000 cells appeared in six other tissues. The hMSCs in lung upregulated expression of multiple genes, with a large increase in the anti-inflammatory protein TSG-6. After myocardial infarction, i.v. hMSCs, but not hMSCs transduced with TSG-6 siRNA, decreased inflammatory responses, reduced infarct size, and improved cardiac function. I.v. administration of recombinant TSG-6 also reduced inflammatory responses and reduced infarct size. The results suggest that improvements in animal models and patients after i.v. infusions of MSCs are at least in part explained by activation of MSCs to secrete TSG-6.","container-title":"Cell Stem Cell","DOI":"10.1016/j.stem.2009.05.003","ISSN":"1875-9777","issue":"1","journalAbbreviation":"Cell Stem Cell","language":"eng","note":"PMID: 19570514\nPMCID: PMC4154377","page":"54-63","source":"PubMed","title":"Intravenous hMSCs improve myocardial infarction in mice because cells embolized in lung are activated to secrete the anti-inflammatory protein TSG-6","volume":"5","author":[{"family":"Lee","given":"Ryang Hwa"},{"family":"Pulin","given":"Andrey A."},{"family":"Seo","given":"Min Jeong"},{"family":"Kota","given":"Daniel J."},{"family":"Ylostalo","given":"Joni"},{"family":"Larson","given":"Benjamin L."},{"family":"Semprun-Prieto","given":"Laura"},{"family":"Delafontaine","given":"Patrice"},{"family":"Prockop","given":"Darwin J."}],"issued":{"date-parts":[["2009",7,2]]}}}],"schema":"https://github.com/citation-style-language/schema/raw/master/csl-citation.json"} </w:instrText>
      </w:r>
      <w:r w:rsidRPr="00F705DF">
        <w:fldChar w:fldCharType="separate"/>
      </w:r>
      <w:r w:rsidR="00295E92" w:rsidRPr="00295E92">
        <w:rPr>
          <w:szCs w:val="24"/>
        </w:rPr>
        <w:t>[7]–[9]</w:t>
      </w:r>
      <w:r w:rsidRPr="00F705DF">
        <w:fldChar w:fldCharType="end"/>
      </w:r>
      <w:r w:rsidRPr="00F705DF">
        <w:t xml:space="preserve">. Thus, it is important to </w:t>
      </w:r>
      <w:proofErr w:type="spellStart"/>
      <w:r w:rsidRPr="00F705DF">
        <w:t>analyse</w:t>
      </w:r>
      <w:proofErr w:type="spellEnd"/>
      <w:r w:rsidRPr="00F705DF">
        <w:t xml:space="preserve"> the distribution of the MSCs within the vasculature to determine their potential to occlude the pulmonary vessels </w:t>
      </w:r>
      <w:r w:rsidRPr="00F705DF">
        <w:fldChar w:fldCharType="begin"/>
      </w:r>
      <w:r w:rsidR="005D62C8">
        <w:instrText xml:space="preserve"> ADDIN ZOTERO_ITEM CSL_CITATION {"citationID":"1COuYD1K","properties":{"formattedCitation":"[10]","plainCitation":"[10]","noteIndex":0},"citationItems":[{"id":34,"uris":["http://zotero.org/users/8356313/items/IIH756E4"],"itemData":{"id":34,"type":"article-journal","abstract":"Mesenchymal stem/stromal cells (MSCs) have demonstrated efficacy in pre-clinical models of inflammation and tissue injury, including in models of lung injury and infection. Rolling, adhesion and transmigration of MSCs appears to play a role during MSC kinetics in the systemic vasculature. However, a large proportion of MSCs become entrapped within the lungs after intravenous administration, while the initial kinetics and the site of arrest of MSCs in the pulmonary vasculature are unknown. We examined the kinetics of intravascularly administered MSCs in the pulmonary vasculature using a microfluidic system in vitro and intra-vital microscopy of intact mouse lung. In vitro, MSCs bound to endothelium under static conditions but not under laminar flow. VCAM-1 antibodies did not affect MSC binding. Intravital microscopy demonstrated MSC arrest at pulmonary micro-vessel bifurcations due to size obstruction. Retention of MSCs in the pulmonary microvasculature was increased in Escherichia coli-infected animals. Trapped MSCs deformed over time and appeared to release microvesicles. Labelled MSCs retained therapeutic efficacy against pneumonia. Our results suggest that MSCs are physically obstructed in pulmonary vasculature and do not display properties of rolling/adhesion, while retention of MSCs in the infected lung may require receptor interaction.","container-title":"Scientific Reports","DOI":"10.1038/s41598-021-83894-7","ISSN":"2045-2322","issue":"1","journalAbbreviation":"Sci Rep","language":"en","license":"2021 The Author(s)","note":"Bandiera_abtest: a\nCc_license_type: cc_by\nCg_type: Nature Research Journals\nnumber: 1\nPrimary_atype: Research\npublisher: Nature Publishing Group\nSubject_term: Acute inflammation;Infection;Mesenchymal stem cells;Preclinical research;Respiratory distress syndrome;Sepsis\nSubject_term_id: acute-inflammation;infection;mesenchymal-stem-cells;pre-clinical-studies;respiratory-distress-syndrome;sepsis","page":"5265","source":"www.nature.com","title":"Intra-vital imaging of mesenchymal stromal cell kinetics in the pulmonary vasculature during infection","volume":"11","author":[{"family":"Masterson","given":"Claire H."},{"family":"Tabuchi","given":"Arata"},{"family":"Hogan","given":"Grace"},{"family":"Fitzpatrick","given":"Glenn"},{"family":"Kerrigan","given":"Steven W."},{"family":"Jerkic","given":"Mirjana"},{"family":"Kuebler","given":"Wolfgang M."},{"family":"Laffey","given":"John G."},{"family":"Curley","given":"Gerard F."}],"issued":{"date-parts":[["2021",3,4]]}}}],"schema":"https://github.com/citation-style-language/schema/raw/master/csl-citation.json"} </w:instrText>
      </w:r>
      <w:r w:rsidRPr="00F705DF">
        <w:fldChar w:fldCharType="separate"/>
      </w:r>
      <w:r w:rsidR="00295E92" w:rsidRPr="00295E92">
        <w:t>[10]</w:t>
      </w:r>
      <w:r w:rsidRPr="00F705DF">
        <w:fldChar w:fldCharType="end"/>
      </w:r>
      <w:r w:rsidRPr="00F705DF">
        <w:t xml:space="preserve">. Moreover, MSCs can exert their therapeutic effects via immune effector cell mediation triggered by MSC death in the lungs </w:t>
      </w:r>
      <w:r w:rsidRPr="00F705DF">
        <w:fldChar w:fldCharType="begin"/>
      </w:r>
      <w:r w:rsidR="005D62C8">
        <w:instrText xml:space="preserve"> ADDIN ZOTERO_ITEM CSL_CITATION {"citationID":"jMPE1GSs","properties":{"formattedCitation":"[11]","plainCitation":"[11]","noteIndex":0},"citationItems":[{"id":283,"uris":["http://zotero.org/users/8356313/items/HL2AWW6E"],"itemData":{"id":283,"type":"article-journal","abstract":"The immunosuppressive activity of mesenchymal stromal cells (MSCs) is well documented. However, the therapeutic benefit is completely unpredictable, thus raising concerns about MSC efficacy. One of the affecting factors is the unresolved conundrum that, despite being immunosuppressive, MSCs are undetectable after administration. Therefore, understanding the fate of infused MSCs could help predict clinical responses. Using a murine model of graft-versus-host disease (GvHD), we demonstrate that MSCs are actively induced to undergo perforin-dependent apoptosis by recipient cytotoxic cells and that this process is essential to initiate MSC-induced immunosuppression. When examining patients with GvHD who received MSCs, we found a striking parallel, whereby only those with high cytotoxic activity against MSCs responded to MSC infusion, whereas those with low activity did not. The need for recipient cytotoxic cell activity could be replaced by the infusion of apoptotic MSCs generated ex vivo. After infusion, recipient phagocytes engulf apoptotic MSCs and produce indoleamine 2,3-dioxygenase, which is ultimately necessary for effecting immunosuppression. Therefore, we propose the innovative concept that patients should be stratified for MSC treatment according to their ability to kill MSCs or that all patients could be treated with ex vivo apoptotic MSCs.","container-title":"Science Translational Medicine","DOI":"10.1126/scitranslmed.aam7828","ISSN":"1946-6242","issue":"416","journalAbbreviation":"Sci Transl Med","language":"eng","note":"PMID: 29141887","page":"eaam7828","source":"PubMed","title":"Apoptosis in mesenchymal stromal cells induces in vivo recipient-mediated immunomodulation","volume":"9","author":[{"family":"Galleu","given":"Antonio"},{"family":"Riffo-Vasquez","given":"Yanira"},{"family":"Trento","given":"Cristina"},{"family":"Lomas","given":"Cara"},{"family":"Dolcetti","given":"Luigi"},{"family":"Cheung","given":"Tik Shing"},{"family":"Bonin","given":"Malte","non-dropping-particle":"von"},{"family":"Barbieri","given":"Laura"},{"family":"Halai","given":"Krishma"},{"family":"Ward","given":"Sophie"},{"family":"Weng","given":"Ling"},{"family":"Chakraverty","given":"Ronjon"},{"family":"Lombardi","given":"Giovanna"},{"family":"Watt","given":"Fiona M."},{"family":"Orchard","given":"Kim"},{"family":"Marks","given":"David I."},{"family":"Apperley","given":"Jane"},{"family":"Bornhauser","given":"Martin"},{"family":"Walczak","given":"Henning"},{"family":"Bennett","given":"Clare"},{"family":"Dazzi","given":"Francesco"}],"issued":{"date-parts":[["2017",11,15]]}}}],"schema":"https://github.com/citation-style-language/schema/raw/master/csl-citation.json"} </w:instrText>
      </w:r>
      <w:r w:rsidRPr="00F705DF">
        <w:fldChar w:fldCharType="separate"/>
      </w:r>
      <w:r w:rsidR="00295E92" w:rsidRPr="00295E92">
        <w:t>[11]</w:t>
      </w:r>
      <w:r w:rsidRPr="00F705DF">
        <w:fldChar w:fldCharType="end"/>
      </w:r>
      <w:r w:rsidRPr="00F705DF">
        <w:t>, but the interactions of the MSCs with different immune cell populations in the lung remains to be established. Cell tracking by following the biodistribution of labelled therapeutic cells within tissues might offer insights into these questions.</w:t>
      </w:r>
    </w:p>
    <w:p w14:paraId="56019151" w14:textId="31C41B1A" w:rsidR="00F705DF" w:rsidRPr="00F705DF" w:rsidRDefault="00F705DF" w:rsidP="00E47018">
      <w:pPr>
        <w:pStyle w:val="MDPI31text"/>
      </w:pPr>
      <w:r w:rsidRPr="00F705DF">
        <w:t xml:space="preserve">Cell tracking in tissues at single-cell resolution has been traditionally done using thin section histological analyses. Although useful, the field of view is limited and might not be an accurate representation of the whole organ </w:t>
      </w:r>
      <w:r w:rsidRPr="00F705DF">
        <w:fldChar w:fldCharType="begin"/>
      </w:r>
      <w:r w:rsidR="005D62C8">
        <w:instrText xml:space="preserve"> ADDIN ZOTERO_ITEM CSL_CITATION {"citationID":"hVnJPVTY","properties":{"formattedCitation":"[12]","plainCitation":"[12]","noteIndex":0},"citationItems":[{"id":26,"uris":["http://zotero.org/users/8356313/items/6CE3M5A5"],"itemData":{"id":26,"type":"article-journal","abstract":"The development of mesenchymal stem cells (MSCs) as cell-based drug delivery vectors for numerous clinical indications, including cancer, has significant promise. However, a considerable challenge for effective translation of these approaches is the limited tumor tropism and broad biodistribution observed using conventional MSCs, which raises concerns for toxicity to nontarget peripheral tissues (i.e., the bad). Consequently, there are a variety of synthetic engineering platforms in active development to improve tumor-selective targeting via increased homing efficiency and/or specificity of drug activation, some of which are already being evaluated clinically (i.e., the good). Unfortunately, the lack of robust quantification and widespread adoption of standardized methodologies with high sensitivity and resolution has made accurate comparisons across studies difficult, which has significantly impeded progress (i.e., the ugly). Herein, we provide a concise review of active and passive MSC homing mechanisms and biodistribution postinfusion; in addition to in vivo cell tracking methodologies and strategies to enhance tumor targeting with a focus on MSC-based drug delivery strategies for cancer therapy. Stem Cells Translational Medicine 2018;1–13","container-title":"STEM CELLS Translational Medicine","DOI":"10.1002/sctm.18-0024","ISSN":"2157-6580","issue":"9","language":"en","note":"_eprint: https://onlinelibrary.wiley.com/doi/pdf/10.1002/sctm.18-0024","page":"651-663","source":"Wiley Online Library","title":"Concise Review: Mesenchymal Stem Cell-Based Drug Delivery: The Good, the Bad, the Ugly, and the Promise","title-short":"Concise Review","volume":"7","author":[{"family":"Krueger","given":"Timothy E. G."},{"family":"Thorek","given":"Daniel L. J."},{"family":"Denmeade","given":"Samuel R."},{"family":"Isaacs","given":"John T."},{"family":"Brennen","given":"W. Nathaniel"}],"issued":{"date-parts":[["2018"]]}}}],"schema":"https://github.com/citation-style-language/schema/raw/master/csl-citation.json"} </w:instrText>
      </w:r>
      <w:r w:rsidRPr="00F705DF">
        <w:fldChar w:fldCharType="separate"/>
      </w:r>
      <w:r w:rsidR="00295E92" w:rsidRPr="00295E92">
        <w:t>[12]</w:t>
      </w:r>
      <w:r w:rsidRPr="00F705DF">
        <w:fldChar w:fldCharType="end"/>
      </w:r>
      <w:r w:rsidRPr="00F705DF">
        <w:t xml:space="preserve">. Investigating the biodistribution of cells in thick tissue sections </w:t>
      </w:r>
      <w:bookmarkStart w:id="6" w:name="_Hlk108610799"/>
      <w:r w:rsidRPr="00F705DF">
        <w:t xml:space="preserve">offers an advantage to thin-section analyses </w:t>
      </w:r>
      <w:bookmarkEnd w:id="6"/>
      <w:r w:rsidRPr="00F705DF">
        <w:fldChar w:fldCharType="begin"/>
      </w:r>
      <w:r w:rsidR="00C80A35">
        <w:instrText xml:space="preserve"> ADDIN ZOTERO_ITEM CSL_CITATION {"citationID":"dyVy0eem","properties":{"formattedCitation":"[13], [14]","plainCitation":"[13], [14]","noteIndex":0},"citationItems":[{"id":"J5dIgO1l/fDj9AcHb","uris":["http://zotero.org/users/8356313/items/KZ5H5L42"],"itemData":{"id":609,"type":"webpage","title":"A guidebook for DISCO tissue clearing | Molecular Systems Biology","URL":"https://www.embopress.org/doi/full/10.15252/msb.20209807","accessed":{"date-parts":[["2021",11,22]]}},"label":"page"},{"id":63,"uris":["http://zotero.org/users/8356313/items/TE26N9SI"],"itemData":{"id":63,"type":"article-journal","abstract":"Understanding the structure-function relationships between diverse cell types in a complex organ environment requires detailed in situ reconstruction of cell-associated molecular properties in the context of 3D, macro-scale tissue architecture. We recently developed clearing-enhanced 3D (Ce3D), a simple and effective method for tissue clearing that achieves excellent transparency; preserves cell morphology, tissue architecture, and reporter molecule fluorescence; and is robustly compatible with direct immunolabeling. These characteristics permit high-quality multiplex fluorescence microscopy of large tissue volumes, as well as image analysis using advanced platforms such as volumetric histocytometry, collectively allowing quantitative characterization of cells with respect to their spatial positioning within tissues on the basis of phenotypic and functional markers. Ce3D clearing is fast, achieving robust transparency of most tissues within 24 h, albeit still necessitating additional time for staining, imaging, and analysis (1-2 weeks). Here, we provide detailed procedures for tissue clearing using Ce3D, including optimized workflows for tissue processing and staining, as well as treatment of difficult-to-clear organs such as the brain. We also describe a new procedure for RNA detection in Ce3D-treated tissues, as well as provide additional details for the volumetric histocytometry data processing steps. Finally, we discuss limitations and work-around strategies for improving antibody-based tissue immunolabeling, fluorophore multiplexing, large-volume microscopy, and computational analysis of large image datasets. Together, these detailed procedures and solutions for high-resolution volumetric microscopy with Ce3D enable quantitative visualization of cells and tissues at a high level of detail, allowing exploration of cellular spatial relationships in a variety of tissue settings.","container-title":"Nature Protocols","DOI":"10.1038/s41596-019-0156-4","ISSN":"1750-2799","issue":"6","journalAbbreviation":"Nat Protoc","language":"eng","note":"PMID: 31028373","page":"1708-1733","source":"PubMed","title":"High-dimensional cell-level analysis of tissues with Ce3D multiplex volume imaging","volume":"14","author":[{"family":"Li","given":"Weizhe"},{"family":"Germain","given":"Ronald N."},{"family":"Gerner","given":"Michael Y."}],"issued":{"date-parts":[["2019",6]]}},"label":"page"}],"schema":"https://github.com/citation-style-language/schema/raw/master/csl-citation.json"} </w:instrText>
      </w:r>
      <w:r w:rsidRPr="00F705DF">
        <w:fldChar w:fldCharType="separate"/>
      </w:r>
      <w:r w:rsidR="00295E92" w:rsidRPr="00295E92">
        <w:t>[13], [14]</w:t>
      </w:r>
      <w:r w:rsidRPr="00F705DF">
        <w:fldChar w:fldCharType="end"/>
      </w:r>
      <w:r w:rsidRPr="00F705DF">
        <w:t xml:space="preserve">,  but biological tissues are dense and inherently scatter light, preventing the visualization of deeper structures </w:t>
      </w:r>
      <w:r w:rsidRPr="00F705DF">
        <w:fldChar w:fldCharType="begin"/>
      </w:r>
      <w:r w:rsidR="005D62C8">
        <w:instrText xml:space="preserve"> ADDIN ZOTERO_ITEM CSL_CITATION {"citationID":"xywlk3y9","properties":{"formattedCitation":"[15]","plainCitation":"[15]","noteIndex":0},"citationItems":[{"id":25,"uris":["http://zotero.org/users/8356313/items/CADA4RW9"],"itemData":{"id":25,"type":"article-journal","abstract":"Biologic tissues are generally opaque due to optical properties that result in scattering and absorption of light. Preparation of tissues for optical microscopy often involves sectioning to a thickness of 50-100 µm, the practical limits of light penetration and recovery. A researcher who wishes to image a whole tissue must acquire potentially hundreds of individual sections before rendering them into a three-dimensional volume. Clearing removes strongly light-scattering and light-absorbing components of a tissue and equalizes the refractive index of the imaging medium to that of the tissue. After clearing, the maximum depth of imaging is often defined by the microscope optics rather than the tissue. Such visibility enables the interrogation of whole tissues and even animals without the need to section. Researchers can study a biological process in the context of its three-dimensional environment, identify rare events in large volumes of tissues, and trace cells and cell-cell interactions over large distances. This article describes four popular clearing protocols that are relevant to a wide variety of scenarios across biologic disciplines: CUBIC, CLARITY, 3DISCO, and SeeDB. © 2018 by John Wiley &amp; Sons, Inc.","container-title":"Current Protocols in Cytometry","DOI":"10.1002/cpcy.38","ISSN":"1934-9300","issue":"1","journalAbbreviation":"Curr Protoc Cytom","language":"eng","note":"PMID: 30005145\nPMCID: PMC6168389","page":"e38","source":"PubMed","title":"Clearing for Deep Tissue Imaging","volume":"86","author":[{"family":"Muntifering","given":"Michael"},{"family":"Castranova","given":"Daniel"},{"family":"Gibson","given":"Gregory A."},{"family":"Meyer","given":"Evan"},{"family":"Kofron","given":"Matthew"},{"family":"Watson","given":"Alan M."}],"issued":{"date-parts":[["2018",10]]}}}],"schema":"https://github.com/citation-style-language/schema/raw/master/csl-citation.json"} </w:instrText>
      </w:r>
      <w:r w:rsidRPr="00F705DF">
        <w:fldChar w:fldCharType="separate"/>
      </w:r>
      <w:r w:rsidR="00295E92" w:rsidRPr="00295E92">
        <w:t>[15]</w:t>
      </w:r>
      <w:r w:rsidRPr="00F705DF">
        <w:fldChar w:fldCharType="end"/>
      </w:r>
      <w:r w:rsidRPr="00F705DF">
        <w:t xml:space="preserve">. Optical tissue clearing is a technique that minimizes the heterogeneities within tissues by removing lipids and matching the refractive index (RI) between the sample and the imaging medium </w:t>
      </w:r>
      <w:r w:rsidRPr="00F705DF">
        <w:fldChar w:fldCharType="begin"/>
      </w:r>
      <w:r w:rsidR="005D62C8">
        <w:instrText xml:space="preserve"> ADDIN ZOTERO_ITEM CSL_CITATION {"citationID":"aGCuYInT","properties":{"formattedCitation":"[16]","plainCitation":"[16]","noteIndex":0},"citationItems":[{"id":68,"uris":["http://zotero.org/users/8356313/items/8QKMDYZS"],"itemData":{"id":68,"type":"article-journal","abstract":"The last decade has seen a proliferation of tissue clearing methods that render large biological samples transparent and allow unprecedented three-dimensional views of enormous volumes of tissue. For a scientist wondering whether these methods will be useful to address their research problems, it can be bewildering to sort through the ever-increasing number of papers introducing new clearing methods. Here, I provide a concise summary for the novice describing what tissue clearing is, which research problems it can be applied to, how to decide on a clearing method, and where the field is headed in the future.","container-title":"The International Journal of Biochemistry &amp; Cell Biology","DOI":"10.1016/j.biocel.2016.12.009","ISSN":"1357-2725","journalAbbreviation":"The International Journal of Biochemistry &amp; Cell Biology","language":"en","page":"35-39","source":"ScienceDirect","title":"A beginner’s guide to tissue clearing","volume":"84","author":[{"family":"Ariel","given":"Pablo"}],"issued":{"date-parts":[["2017",3,1]]}}}],"schema":"https://github.com/citation-style-language/schema/raw/master/csl-citation.json"} </w:instrText>
      </w:r>
      <w:r w:rsidRPr="00F705DF">
        <w:fldChar w:fldCharType="separate"/>
      </w:r>
      <w:r w:rsidR="00295E92" w:rsidRPr="00295E92">
        <w:t>[16]</w:t>
      </w:r>
      <w:r w:rsidRPr="00F705DF">
        <w:fldChar w:fldCharType="end"/>
      </w:r>
      <w:r w:rsidRPr="00F705DF">
        <w:t xml:space="preserve">. As a result, opaque samples become more transparent and the decrease in light scattering allows deep-tissue imaging </w:t>
      </w:r>
      <w:r w:rsidRPr="00F705DF">
        <w:fldChar w:fldCharType="begin"/>
      </w:r>
      <w:r w:rsidR="005D62C8">
        <w:instrText xml:space="preserve"> ADDIN ZOTERO_ITEM CSL_CITATION {"citationID":"1ehdbNhr","properties":{"formattedCitation":"[17]","plainCitation":"[17]","noteIndex":0},"citationItems":[{"id":66,"uris":["http://zotero.org/users/8356313/items/NSRJLQHR"],"itemData":{"id":66,"type":"article-journal","abstract":"Biological specimens are intrinsically three dimensional; however because of the\nobscuring effects of light scatter, imaging deep into a tissue volume is problematic.\nAlthough efforts to eliminate the scatter by “clearing” the tissue have\nbeen ongoing for over a century, there have been a large number of recent innovations.\nThis review introduces the physical basis for light-scatter in tissue, describes the\nmechanisms underlying various clearing techniques, and discusses several of the major\nadvances in light microscopy for imaging cleared tissue.","container-title":"Cell","DOI":"10.1016/j.cell.2015.06.067","ISSN":"0092-8674","issue":"2","journalAbbreviation":"Cell","note":"PMID: 26186186\nPMCID: PMC4537058","page":"246-257","source":"PubMed Central","title":"Clarifying Tissue Clearing","volume":"162","author":[{"family":"Richardson","given":"Douglas S."},{"family":"Lichtman","given":"Jeff W."}],"issued":{"date-parts":[["2015",7,16]]}}}],"schema":"https://github.com/citation-style-language/schema/raw/master/csl-citation.json"} </w:instrText>
      </w:r>
      <w:r w:rsidRPr="00F705DF">
        <w:fldChar w:fldCharType="separate"/>
      </w:r>
      <w:r w:rsidR="00295E92" w:rsidRPr="00295E92">
        <w:t>[17]</w:t>
      </w:r>
      <w:r w:rsidRPr="00F705DF">
        <w:fldChar w:fldCharType="end"/>
      </w:r>
      <w:r w:rsidRPr="00F705DF">
        <w:t>.</w:t>
      </w:r>
    </w:p>
    <w:p w14:paraId="1530B55B" w14:textId="54844E05" w:rsidR="00E47018" w:rsidRDefault="00F705DF" w:rsidP="00E47018">
      <w:pPr>
        <w:pStyle w:val="MDPI31text"/>
      </w:pPr>
      <w:r w:rsidRPr="00F705DF">
        <w:t xml:space="preserve">Optical tissue clearing, in combination with molecular labelling and optical sectioning microscopy, has become an important tool for 3D imaging in several biological applications including investigating the biodistribution of cells in whole organs </w:t>
      </w:r>
      <w:r w:rsidRPr="00F705DF">
        <w:fldChar w:fldCharType="begin"/>
      </w:r>
      <w:r w:rsidR="005D62C8">
        <w:instrText xml:space="preserve"> ADDIN ZOTERO_ITEM CSL_CITATION {"citationID":"gwGEkkXD","properties":{"formattedCitation":"[18], [19]","plainCitation":"[18], [19]","noteIndex":0},"citationItems":[{"id":65,"uris":["http://zotero.org/users/8356313/items/3AKBUIPF"],"itemData":{"id":65,"type":"article-journal","abstract":"Due to the complexity and limited availability of human brain tissues, for decades, pathologists have sought to maximize information gained from individual samples, based on which (patho)physiological processes could be inferred. Recently, new understandings of chemical and physical properties of biological tissues and multiple chemical profiling have given rise to the development of scalable tissue clearing methods allowing superior optical clearing of across-the-scale samples. In the past decade, tissue clearing techniques, molecular labeling methods, advanced laser scanning microscopes, and data visualization and analysis have become commonplace. Combined, they have made 3D visualization of brain tissues with unprecedented resolution and depth widely accessible. To facilitate further advancements and applications, here we provide a critical appraisal of these techniques. We propose a classification system of current tissue clearing and expansion methods that allows users to judge the applicability of individual ones to their questions, followed by a review of the current progress in molecular labeling, optical imaging, and data processing to demonstrate the whole 3D imaging pipeline based on tissue clearing and downstream techniques for visualizing the brain. We also raise the path forward of tissue-clearing-based imaging technology, that is, integrating with state-of-the-art techniques, such as multiplexing protein imaging, in situ signal amplification, RNA detection and sequencing, super-resolution imaging techniques, multiomics studies, and deep learning, for drawing the complete atlas of the human brain and building a 3D pathology platform for central nervous system disorders.","container-title":"ACS chemical neuroscience","DOI":"10.1021/acschemneuro.0c00563","ISSN":"1948-7193","issue":"1","journalAbbreviation":"ACS Chem Neurosci","language":"eng","note":"PMID: 33326739","page":"5-29","source":"PubMed","title":"Current Status of Tissue Clearing and the Path Forward in Neuroscience","volume":"12","author":[{"family":"Zhao","given":"Jiajia"},{"family":"Lai","given":"Hei Ming"},{"family":"Qi","given":"Yuwei"},{"family":"He","given":"Dian"},{"family":"Sun","given":"Haitao"}],"issued":{"date-parts":[["2021",1,6]]}},"label":"page"},{"id":64,"uris":["http://zotero.org/users/8356313/items/LWCXPNHB"],"itemData":{"id":64,"type":"article-journal","abstract":"Tissue imaging in 3D using visible light is limited and various clearing techniques were developed to increase imaging depth, but none provides universal solution for all tissues at all developmental stages. In this review, we focus on different tissue clearing methods for 3D imaging of heart and vasculature, based on chemical composition (solvent-based, simple immersion, hyperhydration, and hydrogel embedding techniques). We discuss in detail compatibility of various tissue clearing techniques with visualization methods: fluorescence preservation, immunohistochemistry, nuclear staining, and fluorescent dyes vascular perfusion. We also discuss myocardium visualization using autofluorescence, tissue shrinking, and expansion. Then we overview imaging methods used to study cardiovascular system and live imaging. We discuss heart and vessels segmentation methods and image analysis. The review covers the whole process of cardiovascular system 3D imaging, starting from tissue clearing and its compatibility with various visualization methods to the types of imaging methods and resulting image analysis.","container-title":"iScience","DOI":"10.1016/j.isci.2021.102387","ISSN":"2589-0042","issue":"4","journalAbbreviation":"iScience","language":"eng","note":"PMID: 33981974\nPMCID: PMC8086021","page":"102387","source":"PubMed","title":"Tissue clearing and imaging methods for cardiovascular development","volume":"24","author":[{"family":"Kolesová","given":"Hana"},{"family":"Olejníčková","given":"Veronika"},{"family":"Kvasilová","given":"Alena"},{"family":"Gregorovičová","given":"Martina"},{"family":"Sedmera","given":"David"}],"issued":{"date-parts":[["2021",4,23]]}},"label":"page"}],"schema":"https://github.com/citation-style-language/schema/raw/master/csl-citation.json"} </w:instrText>
      </w:r>
      <w:r w:rsidRPr="00F705DF">
        <w:fldChar w:fldCharType="separate"/>
      </w:r>
      <w:r w:rsidR="00295E92" w:rsidRPr="00295E92">
        <w:t>[18], [19]</w:t>
      </w:r>
      <w:r w:rsidRPr="00F705DF">
        <w:fldChar w:fldCharType="end"/>
      </w:r>
      <w:r w:rsidRPr="00F705DF">
        <w:t>.</w:t>
      </w:r>
    </w:p>
    <w:p w14:paraId="08AA313D" w14:textId="2EC539DA" w:rsidR="00F705DF" w:rsidRPr="00F705DF" w:rsidRDefault="00F705DF" w:rsidP="00E47018">
      <w:pPr>
        <w:pStyle w:val="MDPI31text"/>
      </w:pPr>
      <w:r w:rsidRPr="00F705DF">
        <w:t xml:space="preserve">Despite the many advantages of optical tissue clearing, practical limitations to the applicability of clearing protocols for imaging remain. Several protocols have been developed in recent years </w:t>
      </w:r>
      <w:r w:rsidRPr="00F705DF">
        <w:fldChar w:fldCharType="begin"/>
      </w:r>
      <w:r w:rsidR="005D62C8">
        <w:instrText xml:space="preserve"> ADDIN ZOTERO_ITEM CSL_CITATION {"citationID":"ODpXfvrl","properties":{"formattedCitation":"[20]","plainCitation":"[20]","noteIndex":0},"citationItems":[{"id":62,"uris":["http://zotero.org/users/8356313/items/7QEYF7LS"],"itemData":{"id":62,"type":"article-journal","abstract":"Organisms are inherently three dimensional, thus comprehensive understanding of the complicated biological system requires analysis of organs or even whole bodies in the context of three dimensions. However, this is a tremendous task since the biological specimens are naturally opaque, a major obstacle in whole-body and whole-organ imaging. Tissue clearing technique provides a prospective solution and has become a powerful tool for three-dimensional imaging and quantification of organisms. Tissue clearing technique aims to make tissue transparent by minimizing light scattering and light absorption, thus allowing deep imaging of large volume samples. When combined with diverse molecular labeling methods and high-throughput optical sectioning microscopes, tissue clearing technique enables whole-body and whole-organ imaging at cellular or subcellular resolution, providing detailed and comprehensive information about the intact biological systems. Here, we give an overview of recent progress and biomedical applications of tissue clearing technique. We introduce the mechanisms and basic principles of tissue clearing, and summarize the current tissue clearing methods. Moreover, the available imaging techniques and software packages for data processing are also presented. Finally, we introduce the recent advances in applications of tissue clearing in biomedical fields. Tissue clearing contributes to the investigation of structure-function relationships in intact mammalian organs, and opens new avenues for cellular and molecular mapping of intact human organs. We hope this review contributes to a better understanding of tissue clearing technique and can help researchers to select the best-suited clearing protocol for their experiments.","container-title":"Journal of Anatomy","DOI":"10.1111/joa.13309","ISSN":"1469-7580","issue":"2","journalAbbreviation":"J Anat","language":"eng","note":"PMID: 32939792\nPMCID: PMC7812135","page":"489-507","source":"PubMed","title":"Tissue clearing technique: Recent progress and biomedical applications","title-short":"Tissue clearing technique","volume":"238","author":[{"family":"Tian","given":"Ting"},{"family":"Yang","given":"Zhaoyang"},{"family":"Li","given":"Xiaoguang"}],"issued":{"date-parts":[["2021",2]]}}}],"schema":"https://github.com/citation-style-language/schema/raw/master/csl-citation.json"} </w:instrText>
      </w:r>
      <w:r w:rsidRPr="00F705DF">
        <w:fldChar w:fldCharType="separate"/>
      </w:r>
      <w:r w:rsidR="00295E92" w:rsidRPr="00295E92">
        <w:t>[20]</w:t>
      </w:r>
      <w:r w:rsidRPr="00F705DF">
        <w:fldChar w:fldCharType="end"/>
      </w:r>
      <w:r w:rsidRPr="00F705DF">
        <w:t xml:space="preserve"> and selecting between them requires careful consideration of a range of parameters to achieve the optimal trade-off for specific applications. Sample size and tissue composition impact the clearing speed and limit the microscopes that can be used when imaging large samples </w:t>
      </w:r>
      <w:r w:rsidRPr="00F705DF">
        <w:fldChar w:fldCharType="begin"/>
      </w:r>
      <w:r w:rsidR="005D62C8">
        <w:instrText xml:space="preserve"> ADDIN ZOTERO_ITEM CSL_CITATION {"citationID":"rk9TvTDJ","properties":{"formattedCitation":"[21]","plainCitation":"[21]","noteIndex":0},"citationItems":[{"id":35,"uris":["http://zotero.org/users/8356313/items/BJQWL9J4"],"itemData":{"id":35,"type":"article-journal","container-title":"Nature Protocols","DOI":"10.1038/s41596-021-00502-8","ISSN":"1754-2189, 1750-2799","issue":"6","journalAbbreviation":"Nat Protoc","language":"en","page":"2732-2748","source":"DOI.org (Crossref)","title":"Tutorial: practical considerations for tissue clearing and imaging","title-short":"Tutorial","volume":"16","author":[{"family":"Weiss","given":"Kurt R."},{"family":"Voigt","given":"Fabian F."},{"family":"Shepherd","given":"Douglas P."},{"family":"Huisken","given":"Jan"}],"issued":{"date-parts":[["2021",6]]}}}],"schema":"https://github.com/citation-style-language/schema/raw/master/csl-citation.json"} </w:instrText>
      </w:r>
      <w:r w:rsidRPr="00F705DF">
        <w:fldChar w:fldCharType="separate"/>
      </w:r>
      <w:r w:rsidR="00295E92" w:rsidRPr="00295E92">
        <w:t>[21]</w:t>
      </w:r>
      <w:r w:rsidRPr="00F705DF">
        <w:fldChar w:fldCharType="end"/>
      </w:r>
      <w:r w:rsidRPr="00F705DF">
        <w:t xml:space="preserve">. Fluorophore preservation poses another challenge as certain clearing protocols are incompatible with fluorescent probes </w:t>
      </w:r>
      <w:r w:rsidRPr="00F705DF">
        <w:fldChar w:fldCharType="begin"/>
      </w:r>
      <w:r w:rsidR="005D62C8">
        <w:instrText xml:space="preserve"> ADDIN ZOTERO_ITEM CSL_CITATION {"citationID":"7z3I77Su","properties":{"formattedCitation":"[22]","plainCitation":"[22]","noteIndex":0},"citationItems":[{"id":36,"uris":["http://zotero.org/users/8356313/items/9RCGBDL4"],"itemData":{"id":36,"type":"article-journal","abstract":"Revealing the true structure of tissues and organs with tissue slicing technology is difficult since images reconstructed in three dimensions are easily distorted. To address the limitations in tissue slicing technology, tissue clearing has been invented and has recently achieved significant progress in three-dimensional imaging. Currently, this technology can mainly be divided into two types: aqueous clearing methods and solvent-based clearing methods. As one of the important parts of this technology, organic solvent-based tissue clearing techniques have been widely applied because of their efficient clearing speed and high clearing intensity. This review introduces the primary organic solvent-based tissue clearing techniques and their applications.","container-title":"Journal of Biophotonics","DOI":"10.1002/jbio.202000413","ISSN":"1864-0648","issue":"6","journalAbbreviation":"J Biophotonics","language":"eng","note":"PMID: 33715302","page":"e202000413","source":"PubMed","title":"Organic solvent-based tissue clearing techniques and their applications","volume":"14","author":[{"family":"Zhan","given":"Yanjing"},{"family":"Wu","given":"Haoyan"},{"family":"Liu","given":"Linfeng"},{"family":"Lin","given":"Jie"},{"family":"Zhang","given":"Shiwen"}],"issued":{"date-parts":[["2021",6]]}}}],"schema":"https://github.com/citation-style-language/schema/raw/master/csl-citation.json"} </w:instrText>
      </w:r>
      <w:r w:rsidRPr="00F705DF">
        <w:fldChar w:fldCharType="separate"/>
      </w:r>
      <w:r w:rsidR="00295E92" w:rsidRPr="00295E92">
        <w:t>[22]</w:t>
      </w:r>
      <w:r w:rsidRPr="00F705DF">
        <w:fldChar w:fldCharType="end"/>
      </w:r>
      <w:r w:rsidRPr="00F705DF">
        <w:t xml:space="preserve">. In particular, preservation of protein-based fluorescence and lipid staining remain open challenges in the field </w:t>
      </w:r>
      <w:r w:rsidRPr="00F705DF">
        <w:fldChar w:fldCharType="begin"/>
      </w:r>
      <w:r w:rsidR="005D62C8">
        <w:instrText xml:space="preserve"> ADDIN ZOTERO_ITEM CSL_CITATION {"citationID":"p2qfT7e5","properties":{"formattedCitation":"[16]","plainCitation":"[16]","noteIndex":0},"citationItems":[{"id":68,"uris":["http://zotero.org/users/8356313/items/8QKMDYZS"],"itemData":{"id":68,"type":"article-journal","abstract":"The last decade has seen a proliferation of tissue clearing methods that render large biological samples transparent and allow unprecedented three-dimensional views of enormous volumes of tissue. For a scientist wondering whether these methods will be useful to address their research problems, it can be bewildering to sort through the ever-increasing number of papers introducing new clearing methods. Here, I provide a concise summary for the novice describing what tissue clearing is, which research problems it can be applied to, how to decide on a clearing method, and where the field is headed in the future.","container-title":"The International Journal of Biochemistry &amp; Cell Biology","DOI":"10.1016/j.biocel.2016.12.009","ISSN":"1357-2725","journalAbbreviation":"The International Journal of Biochemistry &amp; Cell Biology","language":"en","page":"35-39","source":"ScienceDirect","title":"A beginner’s guide to tissue clearing","volume":"84","author":[{"family":"Ariel","given":"Pablo"}],"issued":{"date-parts":[["2017",3,1]]}}}],"schema":"https://github.com/citation-style-language/schema/raw/master/csl-citation.json"} </w:instrText>
      </w:r>
      <w:r w:rsidRPr="00F705DF">
        <w:fldChar w:fldCharType="separate"/>
      </w:r>
      <w:r w:rsidR="00295E92" w:rsidRPr="00295E92">
        <w:t>[16]</w:t>
      </w:r>
      <w:r w:rsidRPr="00F705DF">
        <w:fldChar w:fldCharType="end"/>
      </w:r>
      <w:r w:rsidRPr="00F705DF">
        <w:t xml:space="preserve">. The compatibility of immunostaining with the chemicals used for clearing as well as antibody penetration in large samples requires testing and optimization </w:t>
      </w:r>
      <w:r w:rsidRPr="00F705DF">
        <w:fldChar w:fldCharType="begin"/>
      </w:r>
      <w:r w:rsidR="005D62C8">
        <w:instrText xml:space="preserve"> ADDIN ZOTERO_ITEM CSL_CITATION {"citationID":"TzSe7dXK","properties":{"formattedCitation":"[21]","plainCitation":"[21]","noteIndex":0},"citationItems":[{"id":35,"uris":["http://zotero.org/users/8356313/items/BJQWL9J4"],"itemData":{"id":35,"type":"article-journal","container-title":"Nature Protocols","DOI":"10.1038/s41596-021-00502-8","ISSN":"1754-2189, 1750-2799","issue":"6","journalAbbreviation":"Nat Protoc","language":"en","page":"2732-2748","source":"DOI.org (Crossref)","title":"Tutorial: practical considerations for tissue clearing and imaging","title-short":"Tutorial","volume":"16","author":[{"family":"Weiss","given":"Kurt R."},{"family":"Voigt","given":"Fabian F."},{"family":"Shepherd","given":"Douglas P."},{"family":"Huisken","given":"Jan"}],"issued":{"date-parts":[["2021",6]]}}}],"schema":"https://github.com/citation-style-language/schema/raw/master/csl-citation.json"} </w:instrText>
      </w:r>
      <w:r w:rsidRPr="00F705DF">
        <w:fldChar w:fldCharType="separate"/>
      </w:r>
      <w:r w:rsidR="00295E92" w:rsidRPr="00295E92">
        <w:t>[21]</w:t>
      </w:r>
      <w:r w:rsidRPr="00F705DF">
        <w:fldChar w:fldCharType="end"/>
      </w:r>
      <w:r w:rsidRPr="00F705DF">
        <w:t xml:space="preserve">. Moreover, certain parameters differ between tissue and sample types, and no single clearing approach fits all, necessitating the use of application/tissue specific protocols.   </w:t>
      </w:r>
    </w:p>
    <w:p w14:paraId="042FA816" w14:textId="3B505B7A" w:rsidR="00F705DF" w:rsidRPr="00F705DF" w:rsidRDefault="00F705DF" w:rsidP="00E47018">
      <w:pPr>
        <w:pStyle w:val="MDPI31text"/>
      </w:pPr>
      <w:r w:rsidRPr="00F705DF">
        <w:t xml:space="preserve">Several studies have focused on clearing lung tissue to investigate biological processes </w:t>
      </w:r>
      <w:r w:rsidRPr="00F705DF">
        <w:fldChar w:fldCharType="begin"/>
      </w:r>
      <w:r w:rsidR="005D62C8">
        <w:instrText xml:space="preserve"> ADDIN ZOTERO_ITEM CSL_CITATION {"citationID":"e4rDL2lp","properties":{"unsorted":true,"formattedCitation":"[23]\\uc0\\u8211{}[25]","plainCitation":"[23]–[25]","noteIndex":0},"citationItems":[{"id":39,"uris":["http://zotero.org/users/8356313/items/V49NVIJE"],"itemData":{"id":39,"type":"article-journal","container-title":"Science Advances","DOI":"10.1126/sciadv.aay1497","issue":"20","note":"publisher: American Association for the Advancement of Science","page":"eaay1497","source":"science.org (Atypon)","title":"Local sympathetic innervations modulate the lung innate immune responses","volume":"6","author":[{"family":"Liu","given":"Tingting"},{"family":"Yang","given":"Lu"},{"family":"Han","given":"Xiangli"},{"family":"Ding","given":"Xiaofan"},{"family":"Li","given":"Jiali"},{"family":"Yang","given":"Jing"}]},"label":"page"},{"id":38,"uris":["http://zotero.org/users/8356313/items/4ZKPKJQJ"],"itemData":{"id":38,"type":"article-journal","abstract":"Reliable detection of disseminated tumor cells and of the biodistribution of tumor-targeting therapeutic antibodies within the entire body has long been needed to better understand and treat cancer metastasis. Here, we developed an integrated pipeline for automated quantification of cancer metastases and therapeutic antibody targeting, named DeepMACT. First, we enhanced the fluorescent signal of cancer cells more than 100-fold by applying the vDISCO method to image metastasis in transparent mice. Second, we developed deep learning algorithms for automated quantification of metastases with an accuracy matching human expert manual annotation. Deep learning-based quantification in 5 different metastatic cancer models including breast, lung, and pancreatic cancer with distinct organotropisms allowed us to systematically analyze features such as size, shape, spatial distribution, and the degree to which metastases are targeted by a therapeutic monoclonal antibody in entire mice. DeepMACT can thus considerably improve the discovery of effective antibody-based therapeutics at the pre-clinical stage.\nVideo Abstract","container-title":"Cell","DOI":"10.1016/j.cell.2019.11.013","ISSN":"0092-8674","issue":"7","journalAbbreviation":"Cell","language":"en","page":"1661-1676.e19","source":"ScienceDirect","title":"Deep Learning Reveals Cancer Metastasis and Therapeutic Antibody Targeting in the Entire Body","volume":"179","author":[{"family":"Pan","given":"Chenchen"},{"family":"Schoppe","given":"Oliver"},{"family":"Parra-Damas","given":"Arnaldo"},{"family":"Cai","given":"Ruiyao"},{"family":"Todorov","given":"Mihail Ivilinov"},{"family":"Gondi","given":"Gabor"},{"family":"Neubeck","given":"Bettina","non-dropping-particle":"von"},{"family":"Böğürcü-Seidel","given":"Nuray"},{"family":"Seidel","given":"Sascha"},{"family":"Sleiman","given":"Katia"},{"family":"Veltkamp","given":"Christian"},{"family":"Förstera","given":"Benjamin"},{"family":"Mai","given":"Hongcheng"},{"family":"Rong","given":"Zhouyi"},{"family":"Trompak","given":"Omelyan"},{"family":"Ghasemigharagoz","given":"Alireza"},{"family":"Reimer","given":"Madita Alice"},{"family":"Cuesta","given":"Angel M."},{"family":"Coronel","given":"Javier"},{"family":"Jeremias","given":"Irmela"},{"family":"Saur","given":"Dieter"},{"family":"Acker-Palmer","given":"Amparo"},{"family":"Acker","given":"Till"},{"family":"Garvalov","given":"Boyan K."},{"family":"Menze","given":"Bjoern"},{"family":"Zeidler","given":"Reinhard"},{"family":"Ertürk","given":"Ali"}],"issued":{"date-parts":[["2019",12,12]]}},"label":"page"},{"id":37,"uris":["http://zotero.org/users/8356313/items/JMGBNDS9"],"itemData":{"id":37,"type":"article-journal","abstract":"PURPOSE: 3 D imaging of the lung is not a trivial undertaking as during preparation the lung may collapse. Also serial sections and scans followed by 3 D reconstruction may lead to artifacts. The present study aims to figure out the best way to perform 3 D imaging in lung research.\nMATERIALS AND METHODS: We applied an optical tissue clearing (OTC) method, which uses ethyl cinnamate (ECi) as a fast, nontoxic and cheap clearing solvent, for 3 D imaging of retrograde perfused lungs by laser confocal fluorescence microscopy and light sheet fluorescence microscopy. We also introduced expansion microscopy (ExM), a cutting-edge technique, in 3 D imaging of lungs. We examined and compared the usefulness of these techniques for 3 D lung imaging. The ExM protocol was further extended to paraffin-embedded lung metastases blocks.\nRESULTS: The MHI148-PEI labeled lung vasculature was visualized by retrograde perfusion combined with trachea ligation and ECi based OTC. As compared with trans-cardiac perfusion, the retrograde perfusion results in a better maintenance of lung morphology. 3 D structure of alveoli, vascular branches and cilia in lung were revealed by immunofluorescence staining after ExM. 3 D distribution of microvasculature and neutrophil cells in 10 years old paraffin-embedded lung metastases were analyzed by ExM.\nCONCLUSIONS: The retrograde perfusion combined with trachea ligation technique could be applied in the lung research in mice. 3 D structure of lung vasculature can be visualized by MHI148-PEI perfusion and ECi based OTC in an efficient way. ExM and immunofluorescence staining protocol is highly recommended to perform 3 D imaging of fresh fixed lung as well as paraffin-embedded lung blocks.","container-title":"Experimental Lung Research","DOI":"10.1080/01902148.2020.1829183","ISSN":"1521-0499","issue":"10","journalAbbreviation":"Exp Lung Res","language":"eng","note":"PMID: 33043719","page":"393-408","source":"PubMed","title":"Application of ethyl cinnamate based optical tissue clearing and expansion microscopy combined with retrograde perfusion for 3D lung imaging","volume":"46","author":[{"family":"Sun","given":"Quanchao"},{"family":"Picascia","given":"Tiziana"},{"family":"Khan","given":"Arif Ul Maula"},{"family":"Brenna","given":"Cinzia"},{"family":"Heuveline","given":"Vincent"},{"family":"Schmaus","given":"Anja"},{"family":"Sleeman","given":"Jonathan P."},{"family":"Gretz","given":"Norbert"}],"issued":{"date-parts":[["2020",12]]}},"label":"page"}],"schema":"https://github.com/citation-style-language/schema/raw/master/csl-citation.json"} </w:instrText>
      </w:r>
      <w:r w:rsidRPr="00F705DF">
        <w:fldChar w:fldCharType="separate"/>
      </w:r>
      <w:r w:rsidR="00295E92" w:rsidRPr="00295E92">
        <w:rPr>
          <w:szCs w:val="24"/>
        </w:rPr>
        <w:t>[23]–[25]</w:t>
      </w:r>
      <w:r w:rsidRPr="00F705DF">
        <w:fldChar w:fldCharType="end"/>
      </w:r>
      <w:r w:rsidRPr="00F705DF">
        <w:t xml:space="preserve">. An example is the study of blood vessel formation, achieved by labelling the intact vasculature with the organic dye Evans Blue </w:t>
      </w:r>
      <w:r w:rsidRPr="00F705DF">
        <w:fldChar w:fldCharType="begin"/>
      </w:r>
      <w:r w:rsidR="005D62C8">
        <w:instrText xml:space="preserve"> ADDIN ZOTERO_ITEM CSL_CITATION {"citationID":"qWg1V901","properties":{"formattedCitation":"[26]","plainCitation":"[26]","noteIndex":0},"citationItems":[{"id":32,"uris":["http://zotero.org/users/8356313/items/PHBRL65Y"],"itemData":{"id":32,"type":"article-journal","abstract":"Blood vessels perform critical functions in both health and disease. Understanding how vessels form, pattern and respond to damage is essential. However, labeling and imaging the vasculature to ascertain these properties can be difficult and time-consuming. Here, the authors present a novel methodology for rapidly and efficiently labeling whole vascular networks in vivo by exploiting the fluorescent properties of Evans blue. By combining the labeling with fluorescence microscopy, this method enables visualization of whole tissue vasculature for a fraction of the time and cost compared with traditional methods.","container-title":"BioTechniques","DOI":"10.2144/btn-2020-0152","ISSN":"0736-6205","issue":"3","note":"publisher: Future Science","page":"181-185","source":"future-science.com (Atypon)","title":"Injection of Evans blue dye to fluorescently label and image intact vasculature","volume":"70","author":[{"family":"Honeycutt","given":"Samuel E"},{"family":"O'Brien","given":"Lori L"}],"issued":{"date-parts":[["2021",3,1]]}}}],"schema":"https://github.com/citation-style-language/schema/raw/master/csl-citation.json"} </w:instrText>
      </w:r>
      <w:r w:rsidRPr="00F705DF">
        <w:fldChar w:fldCharType="separate"/>
      </w:r>
      <w:r w:rsidR="00295E92" w:rsidRPr="00295E92">
        <w:t>[26]</w:t>
      </w:r>
      <w:r w:rsidRPr="00F705DF">
        <w:fldChar w:fldCharType="end"/>
      </w:r>
      <w:r w:rsidRPr="00F705DF">
        <w:t>. Nevertheless, no study to date has performed optical tissue clearing to investigate the biodistribution of administered MSCs within the lungs. Here, we compared three different tissue clearing protocols: CUBIC,</w:t>
      </w:r>
      <w:r w:rsidR="00D83445">
        <w:t xml:space="preserve"> a modified</w:t>
      </w:r>
      <w:r w:rsidRPr="00F705DF">
        <w:t xml:space="preserve"> s-DISCO and ECi. CUBIC was chosen based on its ability to preserve fluorescent proteins </w:t>
      </w:r>
      <w:r w:rsidRPr="00F705DF">
        <w:fldChar w:fldCharType="begin"/>
      </w:r>
      <w:r w:rsidR="005D62C8">
        <w:instrText xml:space="preserve"> ADDIN ZOTERO_ITEM CSL_CITATION {"citationID":"WOITxiij","properties":{"formattedCitation":"[27]","plainCitation":"[27]","noteIndex":0},"citationItems":[{"id":24,"uris":["http://zotero.org/users/8356313/items/AMCFCS3B"],"itemData":{"id":24,"type":"article-journal","abstract":"This protocol describes how to perform CUBIC (Clear, Unobstructed Brain/Body Imaging Cocktails and Computational analysis), a simple and efficient method for organ clearing, imaging by light-sheet microscopy, and quantitative imaging analysis.","container-title":"Nature Protocols","DOI":"10.1038/nprot.2015.085","ISSN":"1750-2799","issue":"11","journalAbbreviation":"Nat Protoc","language":"en","license":"2015 Nature Publishing Group, a division of Macmillan Publishers Limited. All Rights Reserved.","note":"Bandiera_abtest: a\nCg_type: Nature Research Journals\nnumber: 11\nPrimary_atype: Protocols\npublisher: Nature Publishing Group\nSubject_term: 3-D reconstruction;Cellular imaging;Image processing;Neuroinformatics\nSubject_term_id: 3d-reconstruction;cellular-imaging;image-processing;neuroinformatics","page":"1709-1727","source":"www.nature.com","title":"Advanced CUBIC protocols for whole-brain and whole-body clearing and imaging","volume":"10","author":[{"family":"Susaki","given":"Etsuo A."},{"family":"Tainaka","given":"Kazuki"},{"family":"Perrin","given":"Dimitri"},{"family":"Yukinaga","given":"Hiroko"},{"family":"Kuno","given":"Akihiro"},{"family":"Ueda","given":"Hiroki R."}],"issued":{"date-parts":[["2015",11]]}}}],"schema":"https://github.com/citation-style-language/schema/raw/master/csl-citation.json"} </w:instrText>
      </w:r>
      <w:r w:rsidRPr="00F705DF">
        <w:fldChar w:fldCharType="separate"/>
      </w:r>
      <w:r w:rsidR="00295E92" w:rsidRPr="00295E92">
        <w:t>[27]</w:t>
      </w:r>
      <w:r w:rsidRPr="00F705DF">
        <w:fldChar w:fldCharType="end"/>
      </w:r>
      <w:r w:rsidRPr="00F705DF">
        <w:t xml:space="preserve">; ECi due to its cost-effectiveness, safety and ease of access to the reagents required </w:t>
      </w:r>
      <w:r w:rsidRPr="00F705DF">
        <w:fldChar w:fldCharType="begin"/>
      </w:r>
      <w:r w:rsidR="005D62C8">
        <w:instrText xml:space="preserve"> ADDIN ZOTERO_ITEM CSL_CITATION {"citationID":"JxkY9mKk","properties":{"formattedCitation":"[28]","plainCitation":"[28]","noteIndex":0},"citationItems":[{"id":59,"uris":["http://zotero.org/users/8356313/items/4Z5RM5NH"],"itemData":{"id":59,"type":"article-journal","abstract":"Turbidity and opaqueness are inherent properties of tissues that limit the capacity to acquire microscopic images through large tissues. Creating a uniform refractive index, known as tissue clearing, overcomes most of these issues. These methods have enabled researchers to image large and complex 3D structures with unprecedented depth and resolution. However, tissue clearing has been adopted to a limited extent due to a combination of cost, time, complexity of existing methods and potential negative impact on fluorescence signal. Here, we describe 2Eci (2nd generation ethyl cinnamate-based clearing), which can be used to clear a wide range of tissues in several species, including human organoids, Drosophila melanogaster, zebrafish, axolotl and Xenopus laevis, in as little as 1-5 days, while preserving a broad range of fluorescent proteins, including GFP, mCherry, Brainbow and Alexa-conjugated fluorophores. Ethyl cinnamate is non-toxic and can easily be used in multi-user microscope facilities. This method opens up tissue clearing to a much broader group of researchers due to its ease of use, the non-toxic nature of ethyl cinnamate and broad applicability.","container-title":"Development (Cambridge, England)","DOI":"10.1242/dev.166884","ISSN":"1477-9129","issue":"3","journalAbbreviation":"Development","language":"eng","note":"PMID: 30665888\nPMCID: PMC7115989","page":"dev166884","source":"PubMed","title":"Broad applicability of a streamlined ethyl cinnamate-based clearing procedure","volume":"146","author":[{"family":"Masselink","given":"Wouter"},{"family":"Reumann","given":"Daniel"},{"family":"Murawala","given":"Prayag"},{"family":"Pasierbek","given":"Pawel"},{"family":"Taniguchi","given":"Yuka"},{"family":"Bonnay","given":"François"},{"family":"Meixner","given":"Katharina"},{"family":"Knoblich","given":"Jürgen A."},{"family":"Tanaka","given":"Elly M."}],"issued":{"date-parts":[["2019",2,1]]}}}],"schema":"https://github.com/citation-style-language/schema/raw/master/csl-citation.json"} </w:instrText>
      </w:r>
      <w:r w:rsidRPr="00F705DF">
        <w:fldChar w:fldCharType="separate"/>
      </w:r>
      <w:r w:rsidR="00295E92" w:rsidRPr="00295E92">
        <w:t>[28]</w:t>
      </w:r>
      <w:r w:rsidRPr="00F705DF">
        <w:fldChar w:fldCharType="end"/>
      </w:r>
      <w:r w:rsidRPr="00F705DF">
        <w:t xml:space="preserve">; and s-DISCO due to its reported compatibility with fluorescent proteins despite being a solvent-based method </w:t>
      </w:r>
      <w:r w:rsidR="00295E92" w:rsidRPr="00F705DF">
        <w:fldChar w:fldCharType="begin"/>
      </w:r>
      <w:r w:rsidR="005D62C8">
        <w:instrText xml:space="preserve"> ADDIN ZOTERO_ITEM CSL_CITATION {"citationID":"27yqcDNk","properties":{"formattedCitation":"[26]","plainCitation":"[26]","noteIndex":0},"citationItems":[{"id":32,"uris":["http://zotero.org/users/8356313/items/PHBRL65Y"],"itemData":{"id":32,"type":"article-journal","abstract":"Blood vessels perform critical functions in both health and disease. Understanding how vessels form, pattern and respond to damage is essential. However, labeling and imaging the vasculature to ascertain these properties can be difficult and time-consuming. Here, the authors present a novel methodology for rapidly and efficiently labeling whole vascular networks in vivo by exploiting the fluorescent properties of Evans blue. By combining the labeling with fluorescence microscopy, this method enables visualization of whole tissue vasculature for a fraction of the time and cost compared with traditional methods.","container-title":"BioTechniques","DOI":"10.2144/btn-2020-0152","ISSN":"0736-6205","issue":"3","note":"publisher: Future Science","page":"181-185","source":"future-science.com (Atypon)","title":"Injection of Evans blue dye to fluorescently label and image intact vasculature","volume":"70","author":[{"family":"Honeycutt","given":"Samuel E"},{"family":"O'Brien","given":"Lori L"}],"issued":{"date-parts":[["2021",3,1]]}}}],"schema":"https://github.com/citation-style-language/schema/raw/master/csl-citation.json"} </w:instrText>
      </w:r>
      <w:r w:rsidR="00295E92" w:rsidRPr="00F705DF">
        <w:fldChar w:fldCharType="separate"/>
      </w:r>
      <w:r w:rsidR="00295E92" w:rsidRPr="00295E92">
        <w:t>[26]</w:t>
      </w:r>
      <w:r w:rsidR="00295E92" w:rsidRPr="00F705DF">
        <w:fldChar w:fldCharType="end"/>
      </w:r>
      <w:r w:rsidRPr="00F705DF">
        <w:t>.</w:t>
      </w:r>
    </w:p>
    <w:p w14:paraId="33500CF0" w14:textId="77777777" w:rsidR="00F705DF" w:rsidRPr="00F705DF" w:rsidRDefault="00F705DF" w:rsidP="00E47018">
      <w:pPr>
        <w:pStyle w:val="MDPI31text"/>
      </w:pPr>
      <w:r w:rsidRPr="00F705DF">
        <w:t xml:space="preserve">The comparison of these methods was performed with the aim of imaging thick lung slices in 3D to track MSCs labelled with the genetic reporter </w:t>
      </w:r>
      <w:proofErr w:type="spellStart"/>
      <w:r w:rsidRPr="00F705DF">
        <w:t>tdTomato</w:t>
      </w:r>
      <w:proofErr w:type="spellEnd"/>
      <w:r w:rsidRPr="00F705DF">
        <w:t xml:space="preserve"> and study their biodistribution within the host’s lung. Moreover, as a proof of principle, we explored the possibility of using optical tissue clearing to investigate the interactions of the administered MSCs with the host’s endothelial cells and immune microenvironment.</w:t>
      </w:r>
    </w:p>
    <w:p w14:paraId="210D2ED4" w14:textId="77777777" w:rsidR="00A852BC" w:rsidRDefault="00A852BC" w:rsidP="00B05206">
      <w:pPr>
        <w:pStyle w:val="MDPI31text"/>
        <w:spacing w:before="240" w:after="60"/>
        <w:ind w:firstLine="0"/>
        <w:jc w:val="left"/>
        <w:outlineLvl w:val="0"/>
        <w:rPr>
          <w:b/>
        </w:rPr>
      </w:pPr>
      <w:r>
        <w:rPr>
          <w:b/>
        </w:rPr>
        <w:t>2. Results</w:t>
      </w:r>
    </w:p>
    <w:p w14:paraId="11CA341D" w14:textId="77777777" w:rsidR="00A852BC" w:rsidRDefault="00A852BC" w:rsidP="00A852BC">
      <w:pPr>
        <w:pStyle w:val="MDPI22heading2"/>
        <w:spacing w:before="0"/>
      </w:pPr>
      <w:bookmarkStart w:id="7" w:name="page2"/>
      <w:bookmarkEnd w:id="7"/>
      <w:r>
        <w:t xml:space="preserve">2.1. </w:t>
      </w:r>
      <w:r w:rsidR="00295E92">
        <w:t>Bioluminescence imaging reveals hUC-MSC entrapment in the lungs</w:t>
      </w:r>
    </w:p>
    <w:p w14:paraId="153DFFC0" w14:textId="3B1049A6" w:rsidR="00295E92" w:rsidRPr="00295E92" w:rsidRDefault="00295E92" w:rsidP="00295E92">
      <w:pPr>
        <w:pStyle w:val="MDPI22heading2"/>
        <w:spacing w:before="0"/>
        <w:jc w:val="both"/>
        <w:rPr>
          <w:rFonts w:cs="Cordia New"/>
          <w:i w:val="0"/>
          <w:noProof w:val="0"/>
          <w:snapToGrid/>
          <w:szCs w:val="24"/>
        </w:rPr>
      </w:pPr>
      <w:r w:rsidRPr="00295E92">
        <w:rPr>
          <w:rFonts w:cs="Cordia New"/>
          <w:i w:val="0"/>
          <w:noProof w:val="0"/>
          <w:snapToGrid/>
          <w:szCs w:val="24"/>
        </w:rPr>
        <w:t xml:space="preserve">To monitor the fate of MSCs administered in mice, the cells were stably labelled with fluorescent and luminescent reporters. The </w:t>
      </w:r>
      <w:proofErr w:type="spellStart"/>
      <w:r w:rsidRPr="00295E92">
        <w:rPr>
          <w:rFonts w:cs="Cordia New"/>
          <w:i w:val="0"/>
          <w:noProof w:val="0"/>
          <w:snapToGrid/>
          <w:szCs w:val="24"/>
        </w:rPr>
        <w:t>tdTomato</w:t>
      </w:r>
      <w:proofErr w:type="spellEnd"/>
      <w:r w:rsidRPr="00295E92">
        <w:rPr>
          <w:rFonts w:cs="Cordia New"/>
          <w:i w:val="0"/>
          <w:noProof w:val="0"/>
          <w:snapToGrid/>
          <w:szCs w:val="24"/>
        </w:rPr>
        <w:t xml:space="preserve"> reporter was used as it is the brightest red shifted fluorescent protein available, helping overcome the high autofluorescence of tissues (figure 1a, left) </w:t>
      </w:r>
      <w:r w:rsidRPr="00295E92">
        <w:rPr>
          <w:rFonts w:cs="Cordia New"/>
          <w:i w:val="0"/>
          <w:noProof w:val="0"/>
          <w:snapToGrid/>
          <w:szCs w:val="24"/>
        </w:rPr>
        <w:fldChar w:fldCharType="begin"/>
      </w:r>
      <w:r w:rsidR="005D62C8">
        <w:rPr>
          <w:rFonts w:cs="Cordia New"/>
          <w:i w:val="0"/>
          <w:noProof w:val="0"/>
          <w:snapToGrid/>
          <w:szCs w:val="24"/>
        </w:rPr>
        <w:instrText xml:space="preserve"> ADDIN ZOTERO_ITEM CSL_CITATION {"citationID":"cwgFGy4I","properties":{"formattedCitation":"[29]","plainCitation":"[29]","noteIndex":0},"citationItems":[{"id":282,"uris":["http://zotero.org/users/8356313/items/59HBR628"],"itemData":{"id":282,"type":"document","title":"Shaner 2005 Nature Methods - Choosing fluorescent proteins.pdf","URL":"http://www.tsienlab.ucsd.edu/Publications/Shaner%202005%20Nature%20Methods%20-%20Choosing%20fluorescent%20proteins.pdf","accessed":{"date-parts":[["2022",2,23]]}}}],"schema":"https://github.com/citation-style-language/schema/raw/master/csl-citation.json"} </w:instrText>
      </w:r>
      <w:r w:rsidRPr="00295E92">
        <w:rPr>
          <w:rFonts w:cs="Cordia New"/>
          <w:i w:val="0"/>
          <w:noProof w:val="0"/>
          <w:snapToGrid/>
          <w:szCs w:val="24"/>
        </w:rPr>
        <w:fldChar w:fldCharType="separate"/>
      </w:r>
      <w:r w:rsidRPr="00295E92">
        <w:t>[29]</w:t>
      </w:r>
      <w:r w:rsidRPr="00295E92">
        <w:rPr>
          <w:rFonts w:cs="Cordia New"/>
          <w:i w:val="0"/>
          <w:noProof w:val="0"/>
          <w:snapToGrid/>
          <w:szCs w:val="24"/>
        </w:rPr>
        <w:fldChar w:fldCharType="end"/>
      </w:r>
      <w:r w:rsidRPr="00295E92">
        <w:rPr>
          <w:rFonts w:cs="Cordia New"/>
          <w:i w:val="0"/>
          <w:noProof w:val="0"/>
          <w:snapToGrid/>
          <w:szCs w:val="24"/>
        </w:rPr>
        <w:t xml:space="preserve">. In vitro, the level of emitted bioluminescence is dependent on the number of </w:t>
      </w:r>
      <w:proofErr w:type="spellStart"/>
      <w:r w:rsidRPr="00295E92">
        <w:rPr>
          <w:rFonts w:cs="Cordia New"/>
          <w:i w:val="0"/>
          <w:noProof w:val="0"/>
          <w:snapToGrid/>
          <w:szCs w:val="24"/>
        </w:rPr>
        <w:t>hUC</w:t>
      </w:r>
      <w:proofErr w:type="spellEnd"/>
      <w:r w:rsidRPr="00295E92">
        <w:rPr>
          <w:rFonts w:cs="Cordia New"/>
          <w:i w:val="0"/>
          <w:noProof w:val="0"/>
          <w:snapToGrid/>
          <w:szCs w:val="24"/>
        </w:rPr>
        <w:t xml:space="preserve">-MSCs present (figure 1a, right). Immediately after IV administration of </w:t>
      </w:r>
      <w:proofErr w:type="spellStart"/>
      <w:r w:rsidRPr="00295E92">
        <w:rPr>
          <w:rFonts w:cs="Cordia New"/>
          <w:i w:val="0"/>
          <w:noProof w:val="0"/>
          <w:snapToGrid/>
          <w:szCs w:val="24"/>
        </w:rPr>
        <w:t>hUC</w:t>
      </w:r>
      <w:proofErr w:type="spellEnd"/>
      <w:r w:rsidRPr="00295E92">
        <w:rPr>
          <w:rFonts w:cs="Cordia New"/>
          <w:i w:val="0"/>
          <w:noProof w:val="0"/>
          <w:snapToGrid/>
          <w:szCs w:val="24"/>
        </w:rPr>
        <w:t xml:space="preserve">-MSCs their </w:t>
      </w:r>
      <w:proofErr w:type="spellStart"/>
      <w:r w:rsidRPr="00295E92">
        <w:rPr>
          <w:rFonts w:cs="Cordia New"/>
          <w:i w:val="0"/>
          <w:noProof w:val="0"/>
          <w:snapToGrid/>
          <w:szCs w:val="24"/>
        </w:rPr>
        <w:t>localisation</w:t>
      </w:r>
      <w:proofErr w:type="spellEnd"/>
      <w:r w:rsidRPr="00295E92">
        <w:rPr>
          <w:rFonts w:cs="Cordia New"/>
          <w:i w:val="0"/>
          <w:noProof w:val="0"/>
          <w:snapToGrid/>
          <w:szCs w:val="24"/>
        </w:rPr>
        <w:t xml:space="preserve"> was monitored in vivo using bioluminescence imaging, allowing us to observe that the </w:t>
      </w:r>
      <w:proofErr w:type="spellStart"/>
      <w:r w:rsidRPr="00295E92">
        <w:rPr>
          <w:rFonts w:cs="Cordia New"/>
          <w:i w:val="0"/>
          <w:noProof w:val="0"/>
          <w:snapToGrid/>
          <w:szCs w:val="24"/>
        </w:rPr>
        <w:t>hUC</w:t>
      </w:r>
      <w:proofErr w:type="spellEnd"/>
      <w:r w:rsidRPr="00295E92">
        <w:rPr>
          <w:rFonts w:cs="Cordia New"/>
          <w:i w:val="0"/>
          <w:noProof w:val="0"/>
          <w:snapToGrid/>
          <w:szCs w:val="24"/>
        </w:rPr>
        <w:t xml:space="preserve">-MSCs were </w:t>
      </w:r>
      <w:proofErr w:type="spellStart"/>
      <w:r w:rsidRPr="00295E92">
        <w:rPr>
          <w:rFonts w:cs="Cordia New"/>
          <w:i w:val="0"/>
          <w:noProof w:val="0"/>
          <w:snapToGrid/>
          <w:szCs w:val="24"/>
        </w:rPr>
        <w:t>localised</w:t>
      </w:r>
      <w:proofErr w:type="spellEnd"/>
      <w:r w:rsidRPr="00295E92">
        <w:rPr>
          <w:rFonts w:cs="Cordia New"/>
          <w:i w:val="0"/>
          <w:noProof w:val="0"/>
          <w:snapToGrid/>
          <w:szCs w:val="24"/>
        </w:rPr>
        <w:t xml:space="preserve"> to the lungs (figure 1b).</w:t>
      </w:r>
    </w:p>
    <w:p w14:paraId="0689199B" w14:textId="77777777" w:rsidR="00295E92" w:rsidRDefault="00295E92" w:rsidP="00295E92">
      <w:pPr>
        <w:pStyle w:val="MDPI52figure"/>
        <w:ind w:left="2608"/>
        <w:jc w:val="left"/>
        <w:rPr>
          <w:b/>
        </w:rPr>
      </w:pPr>
      <w:r>
        <w:rPr>
          <w:noProof/>
        </w:rPr>
        <w:drawing>
          <wp:inline distT="0" distB="0" distL="0" distR="0" wp14:anchorId="11DF9F58" wp14:editId="4AF0B49B">
            <wp:extent cx="5045242" cy="3276323"/>
            <wp:effectExtent l="0" t="0" r="3175" b="63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mdpi"/>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058074" cy="3284656"/>
                    </a:xfrm>
                    <a:prstGeom prst="rect">
                      <a:avLst/>
                    </a:prstGeom>
                    <a:noFill/>
                    <a:ln>
                      <a:noFill/>
                    </a:ln>
                  </pic:spPr>
                </pic:pic>
              </a:graphicData>
            </a:graphic>
          </wp:inline>
        </w:drawing>
      </w:r>
    </w:p>
    <w:p w14:paraId="54A81345" w14:textId="77777777" w:rsidR="00295E92" w:rsidRDefault="00295E92" w:rsidP="00295E92">
      <w:pPr>
        <w:pStyle w:val="MDPI51figurecaption"/>
      </w:pPr>
      <w:r>
        <w:rPr>
          <w:b/>
        </w:rPr>
        <w:t xml:space="preserve">Figure 1. </w:t>
      </w:r>
      <w:r w:rsidRPr="00295E92">
        <w:t xml:space="preserve">In vitro and in vivo imaging of </w:t>
      </w:r>
      <w:proofErr w:type="spellStart"/>
      <w:r w:rsidRPr="00295E92">
        <w:t>hUC</w:t>
      </w:r>
      <w:proofErr w:type="spellEnd"/>
      <w:r w:rsidRPr="00295E92">
        <w:t xml:space="preserve">-MSCs. a) Transmitted (top) and epifluorescence (bottom) images of transfected </w:t>
      </w:r>
      <w:proofErr w:type="spellStart"/>
      <w:r w:rsidRPr="00295E92">
        <w:t>hUC</w:t>
      </w:r>
      <w:proofErr w:type="spellEnd"/>
      <w:r w:rsidRPr="00295E92">
        <w:t xml:space="preserve">-MSCs in culture. Scale bar = 100 µm (left). Representative image of </w:t>
      </w:r>
      <w:proofErr w:type="spellStart"/>
      <w:r w:rsidRPr="00295E92">
        <w:t>hUC</w:t>
      </w:r>
      <w:proofErr w:type="spellEnd"/>
      <w:r w:rsidRPr="00295E92">
        <w:t xml:space="preserve">-MSCs seeded at decreasing concentrations (from 2 x 104 to 625 cells/well) and treated with 5.12 mM D-Luciferin (right). b) In vivo biodistribution of 2.5 x 105 </w:t>
      </w:r>
      <w:proofErr w:type="spellStart"/>
      <w:r w:rsidRPr="00295E92">
        <w:t>hUC</w:t>
      </w:r>
      <w:proofErr w:type="spellEnd"/>
      <w:r w:rsidRPr="00295E92">
        <w:t>-MSCs 20 min after intravenous administration.</w:t>
      </w:r>
    </w:p>
    <w:p w14:paraId="4EF80E3D" w14:textId="77777777" w:rsidR="00295E92" w:rsidRPr="00295E92" w:rsidRDefault="00295E92" w:rsidP="00295E92">
      <w:pPr>
        <w:pStyle w:val="MDPI22heading2"/>
        <w:spacing w:before="0"/>
      </w:pPr>
      <w:r w:rsidRPr="00295E92">
        <w:t>2.2 Lung clearing comparison after different optical tissue clearing methods</w:t>
      </w:r>
    </w:p>
    <w:p w14:paraId="1D4721A3" w14:textId="6C86FC97" w:rsidR="00295E92" w:rsidRDefault="00295E92" w:rsidP="00295E92">
      <w:pPr>
        <w:pStyle w:val="MDPI31text"/>
      </w:pPr>
      <w:r w:rsidRPr="00295E92">
        <w:t xml:space="preserve">Whilst bioluminescence is useful for monitoring the whole body biodistribution of </w:t>
      </w:r>
      <w:proofErr w:type="spellStart"/>
      <w:r w:rsidRPr="00295E92">
        <w:t>hUC</w:t>
      </w:r>
      <w:proofErr w:type="spellEnd"/>
      <w:r w:rsidRPr="00295E92">
        <w:t xml:space="preserve">-MSCs in vivo, the low spatial resolution precludes a detailed analysis of the cell distribution within the lung. To better understand why the cells were retained in the lungs, and to </w:t>
      </w:r>
      <w:proofErr w:type="spellStart"/>
      <w:r w:rsidRPr="00295E92">
        <w:t>analyse</w:t>
      </w:r>
      <w:proofErr w:type="spellEnd"/>
      <w:r w:rsidRPr="00295E92">
        <w:t xml:space="preserve"> their impact on the host at the molecular, cellular and tissue level, we sought to monitor cell biodistribution in the lung tissues ex vivo at single cell resolution. To achieve this, we compared three different optical tissue clearing methods that would enable the cells to be </w:t>
      </w:r>
      <w:proofErr w:type="spellStart"/>
      <w:r w:rsidRPr="00295E92">
        <w:t>visualised</w:t>
      </w:r>
      <w:proofErr w:type="spellEnd"/>
      <w:r w:rsidRPr="00295E92">
        <w:t xml:space="preserve"> in thick lung sections; CUBIC, </w:t>
      </w:r>
      <w:r w:rsidR="00E426D8">
        <w:t xml:space="preserve">a modified </w:t>
      </w:r>
      <w:r w:rsidRPr="00295E92">
        <w:t xml:space="preserve">s-DISCO and ECi. </w:t>
      </w:r>
      <w:r w:rsidR="00522C09">
        <w:t>s</w:t>
      </w:r>
      <w:r w:rsidRPr="00295E92">
        <w:t xml:space="preserve">-DISCO and ECi are solvent-based methods that cleared whole mouse lungs in a matter of hours, while CUBIC uses water-based reagents and required several days to entirely clear tissues with an average lipid-clearing of 3 days (figure 2a). </w:t>
      </w:r>
    </w:p>
    <w:p w14:paraId="4CE23E22" w14:textId="77777777" w:rsidR="00295E92" w:rsidRDefault="00295E92" w:rsidP="00295E92">
      <w:pPr>
        <w:pStyle w:val="MDPI31text"/>
      </w:pPr>
    </w:p>
    <w:p w14:paraId="1E7688FA" w14:textId="77777777" w:rsidR="00295E92" w:rsidRPr="00295E92" w:rsidRDefault="00295E92" w:rsidP="00295E92">
      <w:pPr>
        <w:pStyle w:val="MDPI31text"/>
      </w:pPr>
      <w:r>
        <w:rPr>
          <w:noProof/>
          <w:snapToGrid/>
        </w:rPr>
        <w:drawing>
          <wp:inline distT="0" distB="0" distL="0" distR="0" wp14:anchorId="66C4BAB1" wp14:editId="1ECEFE44">
            <wp:extent cx="4769606" cy="450206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769606" cy="4502062"/>
                    </a:xfrm>
                    <a:prstGeom prst="rect">
                      <a:avLst/>
                    </a:prstGeom>
                  </pic:spPr>
                </pic:pic>
              </a:graphicData>
            </a:graphic>
          </wp:inline>
        </w:drawing>
      </w:r>
    </w:p>
    <w:p w14:paraId="4471A481" w14:textId="2686F4B4" w:rsidR="00295E92" w:rsidRDefault="00295E92" w:rsidP="00295E92">
      <w:pPr>
        <w:pStyle w:val="MDPI51figurecaption"/>
      </w:pPr>
      <w:r>
        <w:rPr>
          <w:b/>
        </w:rPr>
        <w:t xml:space="preserve">Figure 2. </w:t>
      </w:r>
      <w:r w:rsidRPr="00295E92">
        <w:t xml:space="preserve">Comparison of the effect of different clearing methods on lung tissue. a) Timeline required to clear whole lungs using each protocol. L1 = </w:t>
      </w:r>
      <w:proofErr w:type="spellStart"/>
      <w:r w:rsidRPr="00295E92">
        <w:t>Delipidation</w:t>
      </w:r>
      <w:proofErr w:type="spellEnd"/>
      <w:r w:rsidRPr="00295E92">
        <w:t xml:space="preserve"> and </w:t>
      </w:r>
      <w:proofErr w:type="spellStart"/>
      <w:r w:rsidRPr="00295E92">
        <w:t>decolourisation</w:t>
      </w:r>
      <w:proofErr w:type="spellEnd"/>
      <w:r w:rsidRPr="00295E92">
        <w:t xml:space="preserve"> cocktail 50% (v/v). L2 = </w:t>
      </w:r>
      <w:proofErr w:type="spellStart"/>
      <w:r w:rsidRPr="00295E92">
        <w:t>Delipidation</w:t>
      </w:r>
      <w:proofErr w:type="spellEnd"/>
      <w:r w:rsidRPr="00295E92">
        <w:t xml:space="preserve"> and </w:t>
      </w:r>
      <w:proofErr w:type="spellStart"/>
      <w:r w:rsidRPr="00295E92">
        <w:t>decolourisation</w:t>
      </w:r>
      <w:proofErr w:type="spellEnd"/>
      <w:r w:rsidRPr="00295E92">
        <w:t xml:space="preserve"> cocktail 100%. R1 = RI </w:t>
      </w:r>
      <w:bookmarkStart w:id="8" w:name="_Hlk108606264"/>
      <w:r w:rsidRPr="00295E92">
        <w:t>matching cocktail 50% (v/v). R2 = RI matching cocktail 100%. Percentages in s-DISCO and ECi represent the solvent concentration. b) Representative images of lungs before (top row) and after (bottom row) optical tissue clearing. Each</w:t>
      </w:r>
      <w:r w:rsidR="00EA149D">
        <w:t xml:space="preserve"> </w:t>
      </w:r>
      <w:r w:rsidR="00CB291A">
        <w:t xml:space="preserve">line of </w:t>
      </w:r>
      <w:r w:rsidR="003B1C13">
        <w:t>a</w:t>
      </w:r>
      <w:r w:rsidRPr="00295E92">
        <w:t xml:space="preserve"> square represents 2 mm. c) Quantification of transparency of lung samples after optical tissue clearing </w:t>
      </w:r>
      <w:r w:rsidRPr="00295E92">
        <w:fldChar w:fldCharType="begin"/>
      </w:r>
      <w:r w:rsidR="005D62C8">
        <w:instrText xml:space="preserve"> ADDIN ZOTERO_ITEM CSL_CITATION {"citationID":"3dN44NMX","properties":{"formattedCitation":"[30]","plainCitation":"[30]","noteIndex":0},"citationItems":[{"id":280,"uris":["http://zotero.org/users/8356313/items/JJ8ILHNR"],"itemData":{"id":280,"type":"article-journal","container-title":"Scientific Reports","DOI":"10.1038/s41598-018-31153-7","ISSN":"2045-2322","issue":"1","journalAbbreviation":"Sci Rep","language":"en","page":"12815","source":"DOI.org (Crossref)","title":"Optimizing tissue-clearing conditions based on analysis of the critical factors affecting tissue-clearing procedures","volume":"8","author":[{"family":"Kim","given":"June Hoan"},{"family":"Jang","given":"Min Jee"},{"family":"Choi","given":"Jungyoon"},{"family":"Lee","given":"Eunsoo"},{"family":"Song","given":"Kyung–Deok"},{"family":"Cho","given":"Jaeho"},{"family":"Kim","given":"Keun-Tae"},{"family":"Cha","given":"Hyuk-Jin"},{"family":"Sun","given":"Woong"}],"issued":{"date-parts":[["2018",12]]}}}],"schema":"https://github.com/citation-style-language/schema/raw/master/csl-citation.json"} </w:instrText>
      </w:r>
      <w:r w:rsidRPr="00295E92">
        <w:fldChar w:fldCharType="separate"/>
      </w:r>
      <w:r w:rsidRPr="00295E92">
        <w:t>[30]</w:t>
      </w:r>
      <w:r w:rsidRPr="00295E92">
        <w:fldChar w:fldCharType="end"/>
      </w:r>
      <w:r w:rsidRPr="00295E92">
        <w:t>. One-way ANOVA with Tukey’s multiple comparisons test p &lt; 0.05 n = 3. d) Size change</w:t>
      </w:r>
      <w:r w:rsidR="00F2406A">
        <w:t xml:space="preserve"> </w:t>
      </w:r>
      <w:r w:rsidR="003C5102">
        <w:t>(area cm</w:t>
      </w:r>
      <w:r w:rsidR="003C5102" w:rsidRPr="00B224E9">
        <w:rPr>
          <w:vertAlign w:val="superscript"/>
        </w:rPr>
        <w:t>2</w:t>
      </w:r>
      <w:r w:rsidR="003C5102">
        <w:t>)</w:t>
      </w:r>
      <w:r w:rsidRPr="00295E92">
        <w:t xml:space="preserve"> of </w:t>
      </w:r>
      <w:r w:rsidR="003C5102">
        <w:t xml:space="preserve">single </w:t>
      </w:r>
      <w:r w:rsidRPr="00295E92">
        <w:t>lung</w:t>
      </w:r>
      <w:r w:rsidR="003C5102">
        <w:t xml:space="preserve"> lobe</w:t>
      </w:r>
      <w:r w:rsidRPr="00295E92">
        <w:t xml:space="preserve">s before and after each tissue clearing method was evaluated using multiple paired t-tests p &lt; 0.05 n = 3. e) 3D variable threshold intensity surface reconstruction of lung sections cleared by the different protocols. CUBIC, s-DISCO and ECi cleared lungs show </w:t>
      </w:r>
      <w:r w:rsidR="00C84F02">
        <w:t>that the characteristic lung stru</w:t>
      </w:r>
      <w:r w:rsidR="00ED2E1D">
        <w:t>ctures such as l</w:t>
      </w:r>
      <w:r w:rsidRPr="00295E92">
        <w:t xml:space="preserve">arge blood vessels </w:t>
      </w:r>
      <w:r w:rsidR="003544EB">
        <w:t>[</w:t>
      </w:r>
      <w:r w:rsidRPr="00295E92">
        <w:t>indicated by asterisks (*)</w:t>
      </w:r>
      <w:r w:rsidR="003544EB">
        <w:t>]</w:t>
      </w:r>
      <w:r w:rsidRPr="00295E92">
        <w:t xml:space="preserve">, </w:t>
      </w:r>
      <w:r w:rsidR="000A3EE8">
        <w:t xml:space="preserve">and </w:t>
      </w:r>
      <w:r w:rsidRPr="00295E92">
        <w:t>airways</w:t>
      </w:r>
      <w:r w:rsidR="00EB7013">
        <w:t xml:space="preserve"> such as bronchi</w:t>
      </w:r>
      <w:r w:rsidRPr="00295E92">
        <w:t xml:space="preserve"> </w:t>
      </w:r>
      <w:r w:rsidR="003544EB">
        <w:t>(</w:t>
      </w:r>
      <w:r w:rsidRPr="00295E92">
        <w:t>indicated by arrowheads</w:t>
      </w:r>
      <w:r w:rsidR="003544EB">
        <w:t>)</w:t>
      </w:r>
      <w:r w:rsidR="000A3EE8">
        <w:t xml:space="preserve"> are preserved </w:t>
      </w:r>
      <w:r w:rsidR="000A3EE8" w:rsidRPr="00295E92">
        <w:t>after optical tissue clearing</w:t>
      </w:r>
      <w:r w:rsidRPr="00295E92">
        <w:t xml:space="preserve">. </w:t>
      </w:r>
      <w:bookmarkStart w:id="9" w:name="_Hlk108610470"/>
      <w:r w:rsidRPr="00295E92">
        <w:t xml:space="preserve">Processing artefacts, due to tissue dehydration, are observed as cracks in the ECi cleared sample. </w:t>
      </w:r>
      <w:bookmarkEnd w:id="9"/>
      <w:r w:rsidR="009A3E00">
        <w:t xml:space="preserve">Scale bar = 150 µm. </w:t>
      </w:r>
      <w:r w:rsidRPr="00295E92">
        <w:t>3D MIPs before reconstruction can be viewed in</w:t>
      </w:r>
      <w:r w:rsidR="00B91941">
        <w:t xml:space="preserve"> figure S2</w:t>
      </w:r>
      <w:bookmarkEnd w:id="8"/>
      <w:r w:rsidR="00B91941">
        <w:t>.</w:t>
      </w:r>
    </w:p>
    <w:p w14:paraId="56C0BFDB" w14:textId="3B625732" w:rsidR="00295E92" w:rsidRPr="00295E92" w:rsidRDefault="00295E92" w:rsidP="00295E92">
      <w:pPr>
        <w:pStyle w:val="MDPI31text"/>
      </w:pPr>
      <w:r w:rsidRPr="00295E92">
        <w:t xml:space="preserve">To reach transparency, the samples were immersed in RI matching solutions and representative images of the cleared lungs are shown in figure 2b. We quantified the resulting levels of transparency from digital images taken of the tissues before and after clearing. The CUBIC protocol resulted in the highest transparency of the lungs, reaching close to 90%, while s-DISCO and ECi demonstrated transparency of approximately 30% (figure 2c). Additionally, we calculated the size change and found that there was a significant increase in size after CUBIC clearing. The opposite was observed after s-DISCO and ECi clearing, where the samples shrunk (figure 2d). We observed the presence of adequate air spaces, bronchioles, alveolar sacs, and blood vessels in images acquired by recording tissue autofluorescence. Overall, this indicates that </w:t>
      </w:r>
      <w:r w:rsidR="00C8667F">
        <w:t>the characteristic lung structures</w:t>
      </w:r>
      <w:r w:rsidRPr="00295E92">
        <w:t xml:space="preserve"> remain </w:t>
      </w:r>
      <w:r w:rsidR="0056677F">
        <w:t>detectable after</w:t>
      </w:r>
      <w:r w:rsidRPr="00295E92">
        <w:t xml:space="preserve"> all the clearing protocols (figure 2e).</w:t>
      </w:r>
    </w:p>
    <w:p w14:paraId="3B8D09FA" w14:textId="77777777" w:rsidR="00295E92" w:rsidRPr="00295E92" w:rsidRDefault="00295E92" w:rsidP="00295E92">
      <w:pPr>
        <w:pStyle w:val="MDPI31text"/>
        <w:rPr>
          <w:i/>
          <w:snapToGrid/>
        </w:rPr>
      </w:pPr>
    </w:p>
    <w:p w14:paraId="2CC4985C" w14:textId="77777777" w:rsidR="00295E92" w:rsidRPr="00295E92" w:rsidRDefault="00295E92" w:rsidP="00295E92">
      <w:pPr>
        <w:pStyle w:val="MDPI22heading2"/>
        <w:rPr>
          <w:snapToGrid/>
        </w:rPr>
      </w:pPr>
      <w:r w:rsidRPr="00295E92">
        <w:rPr>
          <w:snapToGrid/>
        </w:rPr>
        <w:t>2.3 Effect of different optical tissue clearing methods on the preservation of fluorescence in the lungs</w:t>
      </w:r>
    </w:p>
    <w:p w14:paraId="0D15C16A" w14:textId="0012E83E" w:rsidR="00295E92" w:rsidRDefault="00295E92" w:rsidP="00295E92">
      <w:pPr>
        <w:pStyle w:val="MDPI31text"/>
      </w:pPr>
      <w:r w:rsidRPr="000B6556">
        <w:t>The ability to detect fluorescent dyes and fluorescent proteins is essential to study the environment and fate of the injected cells, yet</w:t>
      </w:r>
      <w:r>
        <w:t xml:space="preserve"> fluorescence quenching is one of the key limitations of many organic solvent-based </w:t>
      </w:r>
      <w:r>
        <w:rPr>
          <w:lang w:eastAsia="en-GB"/>
        </w:rPr>
        <w:t>optical tissue clearing</w:t>
      </w:r>
      <w:r>
        <w:t xml:space="preserve"> methods. Therefore, we compared the effect of CUBIC, </w:t>
      </w:r>
      <w:r w:rsidR="00BD0270">
        <w:t xml:space="preserve">modified </w:t>
      </w:r>
      <w:r>
        <w:t xml:space="preserve">s-DISCO and </w:t>
      </w:r>
      <w:proofErr w:type="spellStart"/>
      <w:r>
        <w:t>ECi</w:t>
      </w:r>
      <w:proofErr w:type="spellEnd"/>
      <w:r>
        <w:t xml:space="preserve"> on the </w:t>
      </w:r>
      <w:proofErr w:type="spellStart"/>
      <w:r w:rsidRPr="00993F08">
        <w:t>tdTomato</w:t>
      </w:r>
      <w:proofErr w:type="spellEnd"/>
      <w:r>
        <w:t xml:space="preserve"> fluorescent label intensity of the </w:t>
      </w:r>
      <w:proofErr w:type="spellStart"/>
      <w:r>
        <w:t>hUC</w:t>
      </w:r>
      <w:proofErr w:type="spellEnd"/>
      <w:r>
        <w:t xml:space="preserve">-MSCs. By acquiring fluorescent images of cleared 500 µm lung sections immediately after clearing and 3 days after the samples had been stored in RI matching medium, we found that CUBIC preserved </w:t>
      </w:r>
      <w:proofErr w:type="spellStart"/>
      <w:r>
        <w:t>tdTomato</w:t>
      </w:r>
      <w:proofErr w:type="spellEnd"/>
      <w:r>
        <w:t xml:space="preserve"> fluorescence upon all clearing steps and that storage did not affect the fluorescence of </w:t>
      </w:r>
      <w:proofErr w:type="spellStart"/>
      <w:r>
        <w:t>tdTomato</w:t>
      </w:r>
      <w:proofErr w:type="spellEnd"/>
      <w:r>
        <w:t xml:space="preserve">. On the other hand, the solvent-based methods increased background autofluorescence, </w:t>
      </w:r>
      <w:r w:rsidR="00C53791">
        <w:t>and</w:t>
      </w:r>
      <w:r>
        <w:t xml:space="preserve"> appeared to quench the </w:t>
      </w:r>
      <w:proofErr w:type="spellStart"/>
      <w:r>
        <w:t>tdTomato</w:t>
      </w:r>
      <w:proofErr w:type="spellEnd"/>
      <w:r>
        <w:t xml:space="preserve"> fluorescence</w:t>
      </w:r>
      <w:r w:rsidR="00F85B1B">
        <w:t>, suggesting that these are unsuitable methods to detect this fluorescent protein</w:t>
      </w:r>
      <w:r>
        <w:t xml:space="preserve"> (figure 3A)</w:t>
      </w:r>
      <w:r w:rsidR="00F85B1B">
        <w:t>.</w:t>
      </w:r>
      <w:r>
        <w:t xml:space="preserve"> Interestingly, clearing thinner lung sections (100 µm) using a reduced dehydration time (</w:t>
      </w:r>
      <w:r w:rsidR="00B91941">
        <w:t>table S1</w:t>
      </w:r>
      <w:r>
        <w:t xml:space="preserve">) allowed the detection of </w:t>
      </w:r>
      <w:proofErr w:type="spellStart"/>
      <w:r>
        <w:t>tdTomato</w:t>
      </w:r>
      <w:proofErr w:type="spellEnd"/>
      <w:r>
        <w:t xml:space="preserve"> immediately after both, </w:t>
      </w:r>
      <w:r w:rsidR="00BD0270">
        <w:t xml:space="preserve">modified </w:t>
      </w:r>
      <w:r>
        <w:t xml:space="preserve">s-DISCO and ECi, indicating that dehydration time is a key parameter in preserving the fluorescence of proteins. Moreover, storage of the thin sections in ECi for 3 days did not result in </w:t>
      </w:r>
      <w:proofErr w:type="spellStart"/>
      <w:r>
        <w:t>tdTomato</w:t>
      </w:r>
      <w:proofErr w:type="spellEnd"/>
      <w:r>
        <w:t xml:space="preserve"> quenching, but storage in </w:t>
      </w:r>
      <w:proofErr w:type="spellStart"/>
      <w:r>
        <w:t>dibenzylether</w:t>
      </w:r>
      <w:proofErr w:type="spellEnd"/>
      <w:r>
        <w:t xml:space="preserve"> (DBE) in the </w:t>
      </w:r>
      <w:r w:rsidR="000D360E">
        <w:t xml:space="preserve">modified </w:t>
      </w:r>
      <w:r>
        <w:t xml:space="preserve">s-DISCO protocol did (figure </w:t>
      </w:r>
      <w:r w:rsidR="00B91941">
        <w:t>S</w:t>
      </w:r>
      <w:r>
        <w:t>3).</w:t>
      </w:r>
    </w:p>
    <w:p w14:paraId="16A9B7A2" w14:textId="77777777" w:rsidR="00295E92" w:rsidRDefault="00295E92" w:rsidP="008A2378">
      <w:pPr>
        <w:pStyle w:val="MDPI31text"/>
        <w:jc w:val="center"/>
        <w:rPr>
          <w:lang w:val="en-GB"/>
        </w:rPr>
      </w:pPr>
      <w:r>
        <w:rPr>
          <w:noProof/>
          <w:snapToGrid/>
          <w:lang w:val="en-GB"/>
        </w:rPr>
        <w:drawing>
          <wp:inline distT="0" distB="0" distL="0" distR="0" wp14:anchorId="0539F750" wp14:editId="467D1DFB">
            <wp:extent cx="4045696" cy="920947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045696" cy="9209472"/>
                    </a:xfrm>
                    <a:prstGeom prst="rect">
                      <a:avLst/>
                    </a:prstGeom>
                  </pic:spPr>
                </pic:pic>
              </a:graphicData>
            </a:graphic>
          </wp:inline>
        </w:drawing>
      </w:r>
    </w:p>
    <w:p w14:paraId="07F67734" w14:textId="52DF20DC" w:rsidR="00295E92" w:rsidRPr="00295E92" w:rsidRDefault="00295E92" w:rsidP="00295E92">
      <w:pPr>
        <w:pStyle w:val="MDPI51figurecaption"/>
        <w:rPr>
          <w:b/>
        </w:rPr>
      </w:pPr>
      <w:r w:rsidRPr="00295E92">
        <w:rPr>
          <w:b/>
        </w:rPr>
        <w:t xml:space="preserve">Figure 3. </w:t>
      </w:r>
      <w:r w:rsidRPr="00295E92">
        <w:t xml:space="preserve">Fluorescence preservation of </w:t>
      </w:r>
      <w:proofErr w:type="spellStart"/>
      <w:r w:rsidRPr="00295E92">
        <w:t>tdTomato</w:t>
      </w:r>
      <w:proofErr w:type="spellEnd"/>
      <w:r w:rsidRPr="00295E92">
        <w:t xml:space="preserve"> and Evans Blue after clearing thick lung sections. Impact of CUBIC, s-DISCO and ECi clearing on the fluorescence of a) </w:t>
      </w:r>
      <w:proofErr w:type="spellStart"/>
      <w:r w:rsidRPr="00295E92">
        <w:t>tdTomato</w:t>
      </w:r>
      <w:proofErr w:type="spellEnd"/>
      <w:r w:rsidRPr="00295E92">
        <w:t xml:space="preserve"> or b) Evans Blue in 500 µm thick lung sections before, immediately after, and after st</w:t>
      </w:r>
      <w:bookmarkStart w:id="10" w:name="_Hlk108611147"/>
      <w:r w:rsidRPr="00295E92">
        <w:t>orage for 3 days in RI solution. All confocal images are maximum intensity projections (MIPs), taken from the surface of the slices.</w:t>
      </w:r>
      <w:r w:rsidR="00A126C2">
        <w:t xml:space="preserve"> </w:t>
      </w:r>
      <w:r w:rsidR="00D53C17">
        <w:t>The same exposure times and display settings were used to acquire and visualize the images to reflect the change in the fluorescence preservation accurately</w:t>
      </w:r>
      <w:r w:rsidR="00AE19F7">
        <w:t>.</w:t>
      </w:r>
      <w:r w:rsidRPr="00295E92">
        <w:t xml:space="preserve"> Scale bars = 150 µm.</w:t>
      </w:r>
      <w:bookmarkEnd w:id="10"/>
    </w:p>
    <w:p w14:paraId="1547C5F5" w14:textId="63791842" w:rsidR="00295E92" w:rsidRDefault="00295E92" w:rsidP="00295E92">
      <w:pPr>
        <w:pStyle w:val="MDPI31text"/>
        <w:rPr>
          <w:snapToGrid/>
        </w:rPr>
      </w:pPr>
      <w:bookmarkStart w:id="11" w:name="_Hlk108611170"/>
      <w:r w:rsidRPr="00295E92">
        <w:rPr>
          <w:snapToGrid/>
        </w:rPr>
        <w:t xml:space="preserve">Systemic cell administration results in a large fraction of the cells becoming entrapped in the lung’s vasculature </w:t>
      </w:r>
      <w:r w:rsidRPr="00295E92">
        <w:rPr>
          <w:snapToGrid/>
        </w:rPr>
        <w:fldChar w:fldCharType="begin"/>
      </w:r>
      <w:r w:rsidR="005D62C8">
        <w:rPr>
          <w:snapToGrid/>
        </w:rPr>
        <w:instrText xml:space="preserve"> ADDIN ZOTERO_ITEM CSL_CITATION {"citationID":"fQp4s4kd","properties":{"formattedCitation":"[10]","plainCitation":"[10]","noteIndex":0},"citationItems":[{"id":34,"uris":["http://zotero.org/users/8356313/items/IIH756E4"],"itemData":{"id":34,"type":"article-journal","abstract":"Mesenchymal stem/stromal cells (MSCs) have demonstrated efficacy in pre-clinical models of inflammation and tissue injury, including in models of lung injury and infection. Rolling, adhesion and transmigration of MSCs appears to play a role during MSC kinetics in the systemic vasculature. However, a large proportion of MSCs become entrapped within the lungs after intravenous administration, while the initial kinetics and the site of arrest of MSCs in the pulmonary vasculature are unknown. We examined the kinetics of intravascularly administered MSCs in the pulmonary vasculature using a microfluidic system in vitro and intra-vital microscopy of intact mouse lung. In vitro, MSCs bound to endothelium under static conditions but not under laminar flow. VCAM-1 antibodies did not affect MSC binding. Intravital microscopy demonstrated MSC arrest at pulmonary micro-vessel bifurcations due to size obstruction. Retention of MSCs in the pulmonary microvasculature was increased in Escherichia coli-infected animals. Trapped MSCs deformed over time and appeared to release microvesicles. Labelled MSCs retained therapeutic efficacy against pneumonia. Our results suggest that MSCs are physically obstructed in pulmonary vasculature and do not display properties of rolling/adhesion, while retention of MSCs in the infected lung may require receptor interaction.","container-title":"Scientific Reports","DOI":"10.1038/s41598-021-83894-7","ISSN":"2045-2322","issue":"1","journalAbbreviation":"Sci Rep","language":"en","license":"2021 The Author(s)","note":"Bandiera_abtest: a\nCc_license_type: cc_by\nCg_type: Nature Research Journals\nnumber: 1\nPrimary_atype: Research\npublisher: Nature Publishing Group\nSubject_term: Acute inflammation;Infection;Mesenchymal stem cells;Preclinical research;Respiratory distress syndrome;Sepsis\nSubject_term_id: acute-inflammation;infection;mesenchymal-stem-cells;pre-clinical-studies;respiratory-distress-syndrome;sepsis","page":"5265","source":"www.nature.com","title":"Intra-vital imaging of mesenchymal stromal cell kinetics in the pulmonary vasculature during infection","volume":"11","author":[{"family":"Masterson","given":"Claire H."},{"family":"Tabuchi","given":"Arata"},{"family":"Hogan","given":"Grace"},{"family":"Fitzpatrick","given":"Glenn"},{"family":"Kerrigan","given":"Steven W."},{"family":"Jerkic","given":"Mirjana"},{"family":"Kuebler","given":"Wolfgang M."},{"family":"Laffey","given":"John G."},{"family":"Curley","given":"Gerard F."}],"issued":{"date-parts":[["2021",3,4]]}}}],"schema":"https://github.com/citation-style-language/schema/raw/master/csl-citation.json"} </w:instrText>
      </w:r>
      <w:r w:rsidRPr="00295E92">
        <w:rPr>
          <w:snapToGrid/>
        </w:rPr>
        <w:fldChar w:fldCharType="separate"/>
      </w:r>
      <w:r w:rsidRPr="00295E92">
        <w:t>[10]</w:t>
      </w:r>
      <w:r w:rsidRPr="00295E92">
        <w:rPr>
          <w:snapToGrid/>
        </w:rPr>
        <w:fldChar w:fldCharType="end"/>
      </w:r>
      <w:r w:rsidRPr="00295E92">
        <w:rPr>
          <w:snapToGrid/>
        </w:rPr>
        <w:t xml:space="preserve">. Since Evans Blue allows the labelling of the vasculature to </w:t>
      </w:r>
      <w:proofErr w:type="spellStart"/>
      <w:r w:rsidRPr="00295E92">
        <w:rPr>
          <w:snapToGrid/>
        </w:rPr>
        <w:t>analyse</w:t>
      </w:r>
      <w:proofErr w:type="spellEnd"/>
      <w:r w:rsidRPr="00295E92">
        <w:rPr>
          <w:snapToGrid/>
        </w:rPr>
        <w:t xml:space="preserve"> IV administered </w:t>
      </w:r>
      <w:proofErr w:type="spellStart"/>
      <w:r w:rsidRPr="00295E92">
        <w:rPr>
          <w:snapToGrid/>
        </w:rPr>
        <w:t>hUC</w:t>
      </w:r>
      <w:proofErr w:type="spellEnd"/>
      <w:r w:rsidRPr="00295E92">
        <w:rPr>
          <w:snapToGrid/>
        </w:rPr>
        <w:t>-MSCs in the context of the pulmonary 3D vascular network, we determined whether Evans Blue labelling was affected by the clearing protocols. Our analysis showed that Evans Blue is incompatible with CUBIC since all fluorescent signals were lost (figure 3b). By contrast, Evans Blue fluorescence was not only preserved by s-DISCO and ECi, but the fluorescence intensity of the dye had increased after clearing with either solvent-based method. We speculate that the shrinkage of the samples leads to a higher density of fluorescent molecules and subsequent increase in signal intensity, since the samples were imaged under the same conditions.</w:t>
      </w:r>
    </w:p>
    <w:p w14:paraId="7D820717" w14:textId="77777777" w:rsidR="00E47018" w:rsidRDefault="00E47018" w:rsidP="00295E92">
      <w:pPr>
        <w:pStyle w:val="MDPI31text"/>
        <w:rPr>
          <w:snapToGrid/>
        </w:rPr>
      </w:pPr>
    </w:p>
    <w:p w14:paraId="0056FB50" w14:textId="77777777" w:rsidR="00E47018" w:rsidRPr="00295E92" w:rsidRDefault="00E47018" w:rsidP="00295E92">
      <w:pPr>
        <w:pStyle w:val="MDPI31text"/>
        <w:rPr>
          <w:snapToGrid/>
        </w:rPr>
      </w:pPr>
    </w:p>
    <w:bookmarkEnd w:id="11"/>
    <w:p w14:paraId="23F3EC94" w14:textId="77777777" w:rsidR="00295E92" w:rsidRPr="00295E92" w:rsidRDefault="00295E92" w:rsidP="00295E92">
      <w:pPr>
        <w:pStyle w:val="MDPI31text"/>
      </w:pPr>
    </w:p>
    <w:p w14:paraId="5FC7AC4D" w14:textId="77777777" w:rsidR="00295E92" w:rsidRDefault="00295E92" w:rsidP="00A852BC">
      <w:pPr>
        <w:pStyle w:val="MDPI22heading2"/>
        <w:spacing w:before="0"/>
      </w:pPr>
      <w:r>
        <w:t>2.4 Compatibility of antibody labelling with different clearing methods</w:t>
      </w:r>
    </w:p>
    <w:p w14:paraId="0A29F997" w14:textId="77777777" w:rsidR="00295E92" w:rsidRPr="00295E92" w:rsidRDefault="00295E92" w:rsidP="00295E92">
      <w:pPr>
        <w:pStyle w:val="MDPI32textnoindent"/>
      </w:pPr>
      <w:bookmarkStart w:id="12" w:name="_Hlk108611994"/>
      <w:r w:rsidRPr="00295E92">
        <w:t xml:space="preserve">Although the </w:t>
      </w:r>
      <w:proofErr w:type="spellStart"/>
      <w:r w:rsidRPr="00295E92">
        <w:t>tdTomato</w:t>
      </w:r>
      <w:proofErr w:type="spellEnd"/>
      <w:r w:rsidRPr="00295E92">
        <w:t xml:space="preserve"> fluorescence of </w:t>
      </w:r>
      <w:proofErr w:type="spellStart"/>
      <w:r w:rsidRPr="00295E92">
        <w:t>hUC</w:t>
      </w:r>
      <w:proofErr w:type="spellEnd"/>
      <w:r w:rsidRPr="00295E92">
        <w:t xml:space="preserve">-MSCs was not detectable in s-DISCO- and ECi-treated thick lung sections, the biodistribution of administered cells can be investigated using cell-specific antibodies. To test the compatibility of each optical clearing method with antibody staining, we aimed to detect the </w:t>
      </w:r>
      <w:proofErr w:type="spellStart"/>
      <w:r w:rsidRPr="00295E92">
        <w:t>hUC</w:t>
      </w:r>
      <w:proofErr w:type="spellEnd"/>
      <w:r w:rsidRPr="00295E92">
        <w:t xml:space="preserve">-MSCs with a specific antibody within the lungs. In this instance, we </w:t>
      </w:r>
      <w:proofErr w:type="spellStart"/>
      <w:r w:rsidRPr="00295E92">
        <w:t>utilised</w:t>
      </w:r>
      <w:proofErr w:type="spellEnd"/>
      <w:r w:rsidRPr="00295E92">
        <w:t xml:space="preserve"> the human origin of the </w:t>
      </w:r>
      <w:proofErr w:type="spellStart"/>
      <w:r w:rsidRPr="00295E92">
        <w:t>hUC</w:t>
      </w:r>
      <w:proofErr w:type="spellEnd"/>
      <w:r w:rsidRPr="00295E92">
        <w:t xml:space="preserve">-MSCs and applied an antibody specific for human mitochondria to distinguish the </w:t>
      </w:r>
      <w:proofErr w:type="spellStart"/>
      <w:r w:rsidRPr="00295E92">
        <w:t>hUC</w:t>
      </w:r>
      <w:proofErr w:type="spellEnd"/>
      <w:r w:rsidRPr="00295E92">
        <w:t xml:space="preserve">-MSCs from the mouse tissue. Alternatively, antibodies against the </w:t>
      </w:r>
      <w:proofErr w:type="spellStart"/>
      <w:r w:rsidRPr="00295E92">
        <w:t>tdTomato</w:t>
      </w:r>
      <w:proofErr w:type="spellEnd"/>
      <w:r w:rsidRPr="00295E92">
        <w:t xml:space="preserve"> or </w:t>
      </w:r>
      <w:proofErr w:type="spellStart"/>
      <w:r w:rsidRPr="00295E92">
        <w:t>FLuc</w:t>
      </w:r>
      <w:proofErr w:type="spellEnd"/>
      <w:r w:rsidRPr="00295E92">
        <w:t xml:space="preserve"> reporters could be applied. </w:t>
      </w:r>
    </w:p>
    <w:bookmarkEnd w:id="12"/>
    <w:p w14:paraId="0758D3C0" w14:textId="77777777" w:rsidR="00295E92" w:rsidRDefault="00295E92" w:rsidP="00A852BC">
      <w:pPr>
        <w:pStyle w:val="MDPI22heading2"/>
        <w:spacing w:before="0"/>
      </w:pPr>
      <w:r>
        <w:rPr>
          <w:snapToGrid/>
        </w:rPr>
        <w:drawing>
          <wp:inline distT="0" distB="0" distL="0" distR="0" wp14:anchorId="4CEEF51B" wp14:editId="68003F4A">
            <wp:extent cx="5164310" cy="6473687"/>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1" cstate="print">
                      <a:extLst>
                        <a:ext uri="{28A0092B-C50C-407E-A947-70E740481C1C}">
                          <a14:useLocalDpi xmlns:a14="http://schemas.microsoft.com/office/drawing/2010/main" val="0"/>
                        </a:ext>
                      </a:extLst>
                    </a:blip>
                    <a:srcRect l="-885" t="1302" r="2518" b="9135"/>
                    <a:stretch/>
                  </pic:blipFill>
                  <pic:spPr bwMode="auto">
                    <a:xfrm>
                      <a:off x="0" y="0"/>
                      <a:ext cx="5196787" cy="6514398"/>
                    </a:xfrm>
                    <a:prstGeom prst="rect">
                      <a:avLst/>
                    </a:prstGeom>
                    <a:ln>
                      <a:noFill/>
                    </a:ln>
                    <a:extLst>
                      <a:ext uri="{53640926-AAD7-44D8-BBD7-CCE9431645EC}">
                        <a14:shadowObscured xmlns:a14="http://schemas.microsoft.com/office/drawing/2010/main"/>
                      </a:ext>
                    </a:extLst>
                  </pic:spPr>
                </pic:pic>
              </a:graphicData>
            </a:graphic>
          </wp:inline>
        </w:drawing>
      </w:r>
    </w:p>
    <w:p w14:paraId="75C02192" w14:textId="23AFF232" w:rsidR="00295E92" w:rsidRDefault="00295E92" w:rsidP="00295E92">
      <w:pPr>
        <w:pStyle w:val="MDPI51figurecaption"/>
      </w:pPr>
      <w:r w:rsidRPr="00295E92">
        <w:rPr>
          <w:b/>
        </w:rPr>
        <w:t>Figure 4.</w:t>
      </w:r>
      <w:r w:rsidRPr="00295E92">
        <w:t xml:space="preserve"> Preservation of immunofluorescence after optical tissue clearing. The human mitochondria antibody (white) was used to stain </w:t>
      </w:r>
      <w:r w:rsidR="00D2527A">
        <w:t xml:space="preserve">the </w:t>
      </w:r>
      <w:proofErr w:type="spellStart"/>
      <w:r w:rsidR="00D2527A">
        <w:t>tdTomato</w:t>
      </w:r>
      <w:proofErr w:type="spellEnd"/>
      <w:r w:rsidR="00D2527A">
        <w:t xml:space="preserve"> </w:t>
      </w:r>
      <w:proofErr w:type="spellStart"/>
      <w:r w:rsidR="00D2527A">
        <w:t>hUC</w:t>
      </w:r>
      <w:proofErr w:type="spellEnd"/>
      <w:r w:rsidR="00D2527A">
        <w:t xml:space="preserve">-MSCs (red) in </w:t>
      </w:r>
      <w:r w:rsidRPr="00295E92">
        <w:t xml:space="preserve">500 µm lung sections followed by clearing with either CUBIC, s-DISCO or ECi. The antibody penetrated the entire depth in all </w:t>
      </w:r>
      <w:bookmarkStart w:id="13" w:name="_Hlk108612040"/>
      <w:r w:rsidRPr="00295E92">
        <w:t xml:space="preserve">samples. a) 3D z-stack of a CUBIC cleared lung section (left). Maximum intensity projection and single slices at different sample depths (right). b) 3D z-stack of an s-DISCO cleared lung section (left). MIP and single slices at different sample depths (right). c) 3D z-stack of an ECi cleared lung section (left), MIP and single slices at different sample depths (right). </w:t>
      </w:r>
      <w:proofErr w:type="spellStart"/>
      <w:r w:rsidRPr="00295E92">
        <w:t>hUC</w:t>
      </w:r>
      <w:proofErr w:type="spellEnd"/>
      <w:r w:rsidRPr="00295E92">
        <w:t>-MSCs are indicated by arrowheads. Scale bar = 200 µm (left), 150 µm (right).</w:t>
      </w:r>
      <w:bookmarkEnd w:id="13"/>
    </w:p>
    <w:p w14:paraId="66D4E06A" w14:textId="77777777" w:rsidR="00E47018" w:rsidRDefault="00E47018" w:rsidP="00E47018">
      <w:pPr>
        <w:pStyle w:val="MDPI32textnoindent"/>
      </w:pPr>
      <w:r w:rsidRPr="00295E92">
        <w:t xml:space="preserve">Our image analysis showed that the human mitochondria antibody colocalizes with the </w:t>
      </w:r>
      <w:proofErr w:type="spellStart"/>
      <w:r w:rsidRPr="00295E92">
        <w:t>tdTomato</w:t>
      </w:r>
      <w:proofErr w:type="spellEnd"/>
      <w:r w:rsidRPr="00295E92">
        <w:t xml:space="preserve"> signal in CUBIC cleared samples confirming the specificity of this antibody to the human </w:t>
      </w:r>
      <w:proofErr w:type="spellStart"/>
      <w:r w:rsidRPr="00295E92">
        <w:t>hUC</w:t>
      </w:r>
      <w:proofErr w:type="spellEnd"/>
      <w:r w:rsidRPr="00295E92">
        <w:t>-MSCs (figure 4a). Moreover, we observed that the antibody signal was detected throughout the 500 µm thick sample. Similarly, in the s-DISCO and ECi cleared samples, the antibody permeated the entire tissue (figure 4b, c).</w:t>
      </w:r>
    </w:p>
    <w:p w14:paraId="0FB21E73" w14:textId="77777777" w:rsidR="00E47018" w:rsidRPr="00295E92" w:rsidRDefault="00E47018" w:rsidP="00E47018">
      <w:pPr>
        <w:pStyle w:val="MDPI32textnoindent"/>
      </w:pPr>
    </w:p>
    <w:p w14:paraId="3F46D062" w14:textId="77777777" w:rsidR="00295E92" w:rsidRDefault="00295E92" w:rsidP="00A852BC">
      <w:pPr>
        <w:pStyle w:val="MDPI22heading2"/>
        <w:spacing w:before="0"/>
        <w:rPr>
          <w:lang w:val="en-GB"/>
        </w:rPr>
      </w:pPr>
      <w:r w:rsidRPr="00295E92">
        <w:rPr>
          <w:lang w:val="en-GB"/>
        </w:rPr>
        <w:t>2.5 In vivo and ex vivo tracking of</w:t>
      </w:r>
      <w:r>
        <w:rPr>
          <w:lang w:val="en-GB"/>
        </w:rPr>
        <w:t xml:space="preserve"> administered hUC-MSCs by BLI and optical tissue clearing</w:t>
      </w:r>
    </w:p>
    <w:p w14:paraId="1AB518B2" w14:textId="4636071A" w:rsidR="00295E92" w:rsidRDefault="00295E92" w:rsidP="00295E92">
      <w:pPr>
        <w:pStyle w:val="MDPI31text"/>
      </w:pPr>
      <w:bookmarkStart w:id="14" w:name="_Hlk108612103"/>
      <w:r w:rsidRPr="0016607E">
        <w:t xml:space="preserve">To evaluate the </w:t>
      </w:r>
      <w:r>
        <w:t>bio</w:t>
      </w:r>
      <w:r w:rsidRPr="0016607E">
        <w:t xml:space="preserve">distribution and fate of </w:t>
      </w:r>
      <w:proofErr w:type="spellStart"/>
      <w:r>
        <w:t>hUC</w:t>
      </w:r>
      <w:proofErr w:type="spellEnd"/>
      <w:r>
        <w:t>-</w:t>
      </w:r>
      <w:r w:rsidRPr="0016607E">
        <w:t>MSCs</w:t>
      </w:r>
      <w:r>
        <w:t xml:space="preserve"> in vivo</w:t>
      </w:r>
      <w:r w:rsidRPr="0016607E">
        <w:t xml:space="preserve">, the </w:t>
      </w:r>
      <w:r>
        <w:t xml:space="preserve">animals </w:t>
      </w:r>
      <w:r w:rsidRPr="0016607E">
        <w:t xml:space="preserve">were </w:t>
      </w:r>
      <w:r>
        <w:t>imaged using</w:t>
      </w:r>
      <w:r w:rsidRPr="0016607E">
        <w:t xml:space="preserve"> BLI immediately after </w:t>
      </w:r>
      <w:r>
        <w:t xml:space="preserve">IV </w:t>
      </w:r>
      <w:r w:rsidRPr="0016607E">
        <w:t xml:space="preserve">administration </w:t>
      </w:r>
      <w:r>
        <w:t xml:space="preserve">of the cells, </w:t>
      </w:r>
      <w:r w:rsidRPr="0016607E">
        <w:t>and 24 h</w:t>
      </w:r>
      <w:r>
        <w:t xml:space="preserve"> post injection</w:t>
      </w:r>
      <w:r w:rsidRPr="0016607E">
        <w:t xml:space="preserve">. A strong signal was detected in the lungs on the administration day but </w:t>
      </w:r>
      <w:r>
        <w:t xml:space="preserve">was </w:t>
      </w:r>
      <w:r w:rsidRPr="0016607E">
        <w:t xml:space="preserve">significantly </w:t>
      </w:r>
      <w:r>
        <w:t>reduced</w:t>
      </w:r>
      <w:r w:rsidRPr="0016607E">
        <w:t xml:space="preserve"> on day 1 (figure 5</w:t>
      </w:r>
      <w:r>
        <w:t>a</w:t>
      </w:r>
      <w:r w:rsidRPr="0016607E">
        <w:t xml:space="preserve">, </w:t>
      </w:r>
      <w:r>
        <w:t>b</w:t>
      </w:r>
      <w:r w:rsidRPr="0016607E">
        <w:t xml:space="preserve">). </w:t>
      </w:r>
      <w:r>
        <w:t xml:space="preserve">We dissected whole lung lobes on the day of cell injection and </w:t>
      </w:r>
      <w:r w:rsidR="00445481">
        <w:t>24 h post cell administration</w:t>
      </w:r>
      <w:r>
        <w:t xml:space="preserve">, and performed </w:t>
      </w:r>
      <w:r w:rsidRPr="00346AD2">
        <w:t>CUBIC</w:t>
      </w:r>
      <w:r>
        <w:t xml:space="preserve"> clearing, as this was the method that allowed the direct detection of the </w:t>
      </w:r>
      <w:proofErr w:type="spellStart"/>
      <w:r>
        <w:t>hUC</w:t>
      </w:r>
      <w:proofErr w:type="spellEnd"/>
      <w:r>
        <w:t>-MSCs. Subsequent confocal imaging of</w:t>
      </w:r>
      <w:r w:rsidRPr="00346AD2">
        <w:t xml:space="preserve"> </w:t>
      </w:r>
      <w:r>
        <w:t xml:space="preserve">lung lobes </w:t>
      </w:r>
      <w:r w:rsidRPr="00346AD2">
        <w:t>revealed that</w:t>
      </w:r>
      <w:r>
        <w:t xml:space="preserve"> the cells distributed throughout </w:t>
      </w:r>
      <w:r w:rsidRPr="00346AD2">
        <w:t>the tissue and d</w:t>
      </w:r>
      <w:r>
        <w:t>id</w:t>
      </w:r>
      <w:r w:rsidRPr="00346AD2">
        <w:t xml:space="preserve"> not home preferentially to any site</w:t>
      </w:r>
      <w:r w:rsidR="006D7B35">
        <w:t xml:space="preserve"> as they can be found</w:t>
      </w:r>
      <w:r w:rsidR="007B47DF">
        <w:t xml:space="preserve"> dispersed </w:t>
      </w:r>
      <w:r w:rsidR="008E4118">
        <w:t>within the lung</w:t>
      </w:r>
      <w:r w:rsidR="00533D0C">
        <w:t xml:space="preserve"> 2h after administration</w:t>
      </w:r>
      <w:r w:rsidR="00C83FE1">
        <w:t xml:space="preserve"> (</w:t>
      </w:r>
      <w:r w:rsidR="0065393F">
        <w:t>f</w:t>
      </w:r>
      <w:r w:rsidR="00C83FE1">
        <w:t>igure 5c, left</w:t>
      </w:r>
      <w:r w:rsidR="0065393F">
        <w:t>;</w:t>
      </w:r>
      <w:r w:rsidR="00C83FE1">
        <w:t xml:space="preserve"> movie S1)</w:t>
      </w:r>
      <w:r w:rsidRPr="00346AD2">
        <w:t>.</w:t>
      </w:r>
      <w:r>
        <w:t xml:space="preserve"> Ex vivo imaging of CUBIC-cleared lungs collected </w:t>
      </w:r>
      <w:r w:rsidR="00E47258">
        <w:t xml:space="preserve">24 </w:t>
      </w:r>
      <w:proofErr w:type="spellStart"/>
      <w:r w:rsidR="00E47258">
        <w:t>h</w:t>
      </w:r>
      <w:r>
        <w:t>after</w:t>
      </w:r>
      <w:proofErr w:type="spellEnd"/>
      <w:r>
        <w:t xml:space="preserve"> cell administration confirmed that most of the cells had been cleared from the lungs as shown by the redu</w:t>
      </w:r>
      <w:r w:rsidR="008A2378">
        <w:t>c</w:t>
      </w:r>
      <w:r w:rsidR="00620098">
        <w:t>tion in</w:t>
      </w:r>
      <w:r>
        <w:t xml:space="preserve"> size of the cell clumps</w:t>
      </w:r>
      <w:r w:rsidR="00382F6B">
        <w:t xml:space="preserve"> </w:t>
      </w:r>
      <w:r w:rsidR="00382F6B" w:rsidRPr="006A71C5">
        <w:t>(</w:t>
      </w:r>
      <w:r w:rsidR="0065393F">
        <w:t>f</w:t>
      </w:r>
      <w:r w:rsidR="00382F6B" w:rsidRPr="006A71C5">
        <w:t xml:space="preserve">igure </w:t>
      </w:r>
      <w:r w:rsidR="00927E8C" w:rsidRPr="008A2378">
        <w:t>5c, right</w:t>
      </w:r>
      <w:r w:rsidR="00382F6B" w:rsidRPr="006A71C5">
        <w:t>)</w:t>
      </w:r>
      <w:r w:rsidR="00613E06">
        <w:t>.</w:t>
      </w:r>
      <w:r w:rsidR="008A2378">
        <w:t xml:space="preserve"> </w:t>
      </w:r>
      <w:r w:rsidR="008E4118">
        <w:t>T</w:t>
      </w:r>
      <w:r>
        <w:t>he overall cell distribution</w:t>
      </w:r>
      <w:r w:rsidR="008E4118">
        <w:t xml:space="preserve"> remained</w:t>
      </w:r>
      <w:r>
        <w:t xml:space="preserve"> </w:t>
      </w:r>
      <w:r w:rsidR="00690899">
        <w:t xml:space="preserve">similar as on the injection day, with the </w:t>
      </w:r>
      <w:proofErr w:type="spellStart"/>
      <w:r w:rsidR="006566FB">
        <w:t>hUC</w:t>
      </w:r>
      <w:proofErr w:type="spellEnd"/>
      <w:r w:rsidR="006566FB">
        <w:t>-MSCs</w:t>
      </w:r>
      <w:r w:rsidR="00690899">
        <w:t xml:space="preserve"> </w:t>
      </w:r>
      <w:r w:rsidR="006566FB">
        <w:t xml:space="preserve">localizing evenly throughout the organ </w:t>
      </w:r>
      <w:r>
        <w:t>(figure 5c</w:t>
      </w:r>
      <w:r w:rsidR="00E02AA6">
        <w:t>, right</w:t>
      </w:r>
      <w:r w:rsidR="0065393F">
        <w:t>;</w:t>
      </w:r>
      <w:r w:rsidR="003E1763">
        <w:t xml:space="preserve"> movie S2</w:t>
      </w:r>
      <w:r>
        <w:t>).</w:t>
      </w:r>
    </w:p>
    <w:p w14:paraId="30811704" w14:textId="77777777" w:rsidR="00295E92" w:rsidRDefault="00295E92" w:rsidP="00295E92">
      <w:pPr>
        <w:pStyle w:val="MDPI31text"/>
      </w:pPr>
      <w:r>
        <w:rPr>
          <w:noProof/>
        </w:rPr>
        <w:drawing>
          <wp:inline distT="0" distB="0" distL="0" distR="0" wp14:anchorId="14208E15" wp14:editId="445D4457">
            <wp:extent cx="4697750" cy="701034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4697750" cy="7010345"/>
                    </a:xfrm>
                    <a:prstGeom prst="rect">
                      <a:avLst/>
                    </a:prstGeom>
                    <a:noFill/>
                  </pic:spPr>
                </pic:pic>
              </a:graphicData>
            </a:graphic>
          </wp:inline>
        </w:drawing>
      </w:r>
    </w:p>
    <w:p w14:paraId="635CD0B0" w14:textId="7A3DE793" w:rsidR="00295E92" w:rsidRDefault="00295E92" w:rsidP="00295E92">
      <w:pPr>
        <w:pStyle w:val="MDPI51figurecaption"/>
      </w:pPr>
      <w:r w:rsidRPr="00EA16DA">
        <w:rPr>
          <w:b/>
        </w:rPr>
        <w:t xml:space="preserve">Figure 5. </w:t>
      </w:r>
      <w:r w:rsidRPr="00295E92">
        <w:t xml:space="preserve">In vivo and ex vivo imaging to detect </w:t>
      </w:r>
      <w:proofErr w:type="spellStart"/>
      <w:r w:rsidRPr="00295E92">
        <w:t>hUC</w:t>
      </w:r>
      <w:proofErr w:type="spellEnd"/>
      <w:r w:rsidRPr="00295E92">
        <w:t>-MSC distribution for up to 24 h post-administration.</w:t>
      </w:r>
      <w:r w:rsidRPr="00DF6EDD">
        <w:t xml:space="preserve"> a) 2.5 x 10</w:t>
      </w:r>
      <w:r w:rsidRPr="00F83F2B">
        <w:rPr>
          <w:vertAlign w:val="superscript"/>
        </w:rPr>
        <w:t>5</w:t>
      </w:r>
      <w:r w:rsidRPr="00DF6EDD">
        <w:t xml:space="preserve"> </w:t>
      </w:r>
      <w:proofErr w:type="spellStart"/>
      <w:r>
        <w:t>h</w:t>
      </w:r>
      <w:r w:rsidRPr="00DF6EDD">
        <w:t>UC</w:t>
      </w:r>
      <w:proofErr w:type="spellEnd"/>
      <w:r w:rsidRPr="00DF6EDD">
        <w:t>-MSC were injected via the tail vein and the mice were imaged on the administration day (Day 0) and 24 h post cell administration (Day 1). Representative images of the mice as acquired 20 min post subcutaneous administration of D-Luciferin. b) Flux (light output) as a function of time. Data are displayed as mean ± SD from n = 4. Statistical analysis was performed using a</w:t>
      </w:r>
      <w:r>
        <w:t xml:space="preserve"> </w:t>
      </w:r>
      <w:r w:rsidRPr="00DF6EDD">
        <w:t>paired student T-test. **p &lt; 0.05. c)</w:t>
      </w:r>
      <w:r>
        <w:t xml:space="preserve"> </w:t>
      </w:r>
      <w:proofErr w:type="spellStart"/>
      <w:r>
        <w:t>h</w:t>
      </w:r>
      <w:r w:rsidRPr="00DF6EDD">
        <w:t>UC</w:t>
      </w:r>
      <w:proofErr w:type="spellEnd"/>
      <w:r w:rsidRPr="00DF6EDD">
        <w:t xml:space="preserve">-MSC biodistribution in whole mouse lung lobes after CUBIC clearing </w:t>
      </w:r>
      <w:r w:rsidR="00151262">
        <w:t>2 h after</w:t>
      </w:r>
      <w:r w:rsidRPr="00DF6EDD">
        <w:t xml:space="preserve"> cell administration and 24 h post injection. Scale bar = 800 µm. d) CD31 stained 500 µm lung section on the day of administration and 24 h post cell injection</w:t>
      </w:r>
      <w:r>
        <w:t>. Large vessels are indicated by arrowheads. e)</w:t>
      </w:r>
      <w:r w:rsidRPr="00DF6EDD">
        <w:t xml:space="preserve"> </w:t>
      </w:r>
      <w:r>
        <w:t>N</w:t>
      </w:r>
      <w:r w:rsidRPr="00DF6EDD">
        <w:t>eutrophil recruitment to the lungs 2</w:t>
      </w:r>
      <w:r>
        <w:t xml:space="preserve"> </w:t>
      </w:r>
      <w:r w:rsidRPr="00DF6EDD">
        <w:t xml:space="preserve">and </w:t>
      </w:r>
      <w:r>
        <w:t>24 h</w:t>
      </w:r>
      <w:r w:rsidRPr="00DF6EDD">
        <w:t xml:space="preserve"> after </w:t>
      </w:r>
      <w:proofErr w:type="spellStart"/>
      <w:r>
        <w:t>h</w:t>
      </w:r>
      <w:r w:rsidRPr="00DF6EDD">
        <w:t>UC</w:t>
      </w:r>
      <w:proofErr w:type="spellEnd"/>
      <w:r w:rsidRPr="00DF6EDD">
        <w:t>-MSCs administration. MPO = Myeloperoxidase. Scale bar = 100 µm</w:t>
      </w:r>
    </w:p>
    <w:p w14:paraId="7ABEE0C7" w14:textId="275CE6BB" w:rsidR="00295E92" w:rsidRDefault="00295E92" w:rsidP="00295E92">
      <w:pPr>
        <w:pStyle w:val="MDPI31text"/>
      </w:pPr>
      <w:r>
        <w:t xml:space="preserve">Given the compatibility of the CUBIC protocol with immunofluorescence, as </w:t>
      </w:r>
      <w:r w:rsidR="00E50C33">
        <w:t>proof</w:t>
      </w:r>
      <w:r>
        <w:t xml:space="preserve"> of concept, we explored the possibility of using this clearing method to study the interaction of the </w:t>
      </w:r>
      <w:proofErr w:type="spellStart"/>
      <w:r>
        <w:t>hUC</w:t>
      </w:r>
      <w:proofErr w:type="spellEnd"/>
      <w:r>
        <w:t xml:space="preserve">-MSCs with cells of the mouse lung. The vasculature was labelled with the CD31 endothelial marker, which showed that the </w:t>
      </w:r>
      <w:proofErr w:type="spellStart"/>
      <w:r>
        <w:t>hUC</w:t>
      </w:r>
      <w:proofErr w:type="spellEnd"/>
      <w:r>
        <w:t xml:space="preserve">-MSCs </w:t>
      </w:r>
      <w:bookmarkStart w:id="15" w:name="_Hlk97392908"/>
      <w:r>
        <w:t xml:space="preserve">appear to be retained in the pulmonary microvasculature as no cells were detected </w:t>
      </w:r>
      <w:bookmarkEnd w:id="15"/>
      <w:r w:rsidR="00347070">
        <w:t>within large blood vessels</w:t>
      </w:r>
      <w:r>
        <w:t xml:space="preserve"> (figure 5d</w:t>
      </w:r>
      <w:r w:rsidR="002E1ACC">
        <w:t>) at 2 h</w:t>
      </w:r>
      <w:r w:rsidR="00254FBE">
        <w:t xml:space="preserve"> </w:t>
      </w:r>
      <w:r w:rsidR="002E1ACC">
        <w:t>(</w:t>
      </w:r>
      <w:r w:rsidR="00C03A3A">
        <w:t>movie</w:t>
      </w:r>
      <w:r w:rsidR="00254FBE">
        <w:t xml:space="preserve"> S</w:t>
      </w:r>
      <w:r w:rsidR="006A6678">
        <w:t>3</w:t>
      </w:r>
      <w:r w:rsidR="002E1ACC">
        <w:t>) or 24 h</w:t>
      </w:r>
      <w:r w:rsidR="00254FBE">
        <w:t xml:space="preserve"> </w:t>
      </w:r>
      <w:r w:rsidR="002E1ACC">
        <w:t>(</w:t>
      </w:r>
      <w:r w:rsidR="00C03A3A">
        <w:t>movie</w:t>
      </w:r>
      <w:r w:rsidR="00254FBE">
        <w:t xml:space="preserve"> S</w:t>
      </w:r>
      <w:r w:rsidR="006A6678">
        <w:t>4</w:t>
      </w:r>
      <w:r>
        <w:t>).</w:t>
      </w:r>
    </w:p>
    <w:p w14:paraId="07C22144" w14:textId="126181AF" w:rsidR="00295E92" w:rsidRPr="00E47018" w:rsidRDefault="00295E92" w:rsidP="00E47018">
      <w:pPr>
        <w:pStyle w:val="MDPI31text"/>
      </w:pPr>
      <w:r>
        <w:t xml:space="preserve">Alternatively, the vasculature can be labelled by injecting Evans Blue IV. In the experiment described previously (figure 4), the Alexa Fluor® 647 secondary antibody was used, but its spectrum overlaps with Evans Blue. </w:t>
      </w:r>
      <w:r w:rsidRPr="00A02D96">
        <w:t>Due to an increase in tissue autofluorescence across all wavelengths</w:t>
      </w:r>
      <w:r>
        <w:t>,</w:t>
      </w:r>
      <w:r w:rsidRPr="00A02D96">
        <w:t xml:space="preserve"> following ECi, we were unable to label the </w:t>
      </w:r>
      <w:proofErr w:type="spellStart"/>
      <w:r>
        <w:t>h</w:t>
      </w:r>
      <w:r w:rsidRPr="00A02D96">
        <w:t>UC</w:t>
      </w:r>
      <w:proofErr w:type="spellEnd"/>
      <w:r w:rsidRPr="00A02D96">
        <w:t xml:space="preserve">-MSCs </w:t>
      </w:r>
      <w:proofErr w:type="spellStart"/>
      <w:r w:rsidRPr="00A02D96">
        <w:t>utilising</w:t>
      </w:r>
      <w:proofErr w:type="spellEnd"/>
      <w:r w:rsidRPr="00A02D96">
        <w:t xml:space="preserve"> the green, red, or near infrared channels.</w:t>
      </w:r>
      <w:r>
        <w:t xml:space="preserve"> Thus, it was not possible to immunolabel the </w:t>
      </w:r>
      <w:proofErr w:type="spellStart"/>
      <w:r>
        <w:t>hUC</w:t>
      </w:r>
      <w:proofErr w:type="spellEnd"/>
      <w:r>
        <w:t xml:space="preserve">-MSCs in lungs stained with Evans Blue and cleared by ECi. Nevertheless, thin section analysis of uncleared lungs stained with Evans Blue, by injecting dye IV after cell injection, </w:t>
      </w:r>
      <w:r w:rsidRPr="00E47018">
        <w:t xml:space="preserve">revealed that </w:t>
      </w:r>
      <w:proofErr w:type="spellStart"/>
      <w:r w:rsidRPr="00E47018">
        <w:t>hUC</w:t>
      </w:r>
      <w:proofErr w:type="spellEnd"/>
      <w:r w:rsidRPr="00E47018">
        <w:t xml:space="preserve">-MSCs remained in close contact with the pulmonary vasculature when the lungs were harvested immediately after cell administration (figure </w:t>
      </w:r>
      <w:r w:rsidR="00B91941" w:rsidRPr="00E47018">
        <w:t>S</w:t>
      </w:r>
      <w:r w:rsidRPr="00E47018">
        <w:t xml:space="preserve">4a). In addition, </w:t>
      </w:r>
      <w:proofErr w:type="spellStart"/>
      <w:r w:rsidRPr="00E47018">
        <w:t>hUC</w:t>
      </w:r>
      <w:proofErr w:type="spellEnd"/>
      <w:r w:rsidRPr="00E47018">
        <w:t xml:space="preserve">-MSCs blocked the free flow of Evans Blue dye as evidenced by the accumulation of dye around areas where the </w:t>
      </w:r>
      <w:proofErr w:type="spellStart"/>
      <w:r w:rsidRPr="00E47018">
        <w:t>hUC</w:t>
      </w:r>
      <w:proofErr w:type="spellEnd"/>
      <w:r w:rsidRPr="00E47018">
        <w:t xml:space="preserve">-MSCs are present. Moreover, the lack of Evans Blue vascular staining in lung regions surrounded by </w:t>
      </w:r>
      <w:proofErr w:type="spellStart"/>
      <w:r w:rsidRPr="00E47018">
        <w:t>hUC</w:t>
      </w:r>
      <w:proofErr w:type="spellEnd"/>
      <w:r w:rsidRPr="00E47018">
        <w:t>-MSCs suggested that the cells</w:t>
      </w:r>
      <w:r w:rsidR="00A16187">
        <w:t xml:space="preserve"> might</w:t>
      </w:r>
      <w:r w:rsidRPr="00E47018">
        <w:t xml:space="preserve"> ha</w:t>
      </w:r>
      <w:r w:rsidR="00A16187">
        <w:t>ve</w:t>
      </w:r>
      <w:r w:rsidRPr="00E47018">
        <w:t xml:space="preserve"> formed emboli </w:t>
      </w:r>
      <w:r w:rsidRPr="00E47018">
        <w:fldChar w:fldCharType="begin"/>
      </w:r>
      <w:r w:rsidR="005D62C8">
        <w:instrText xml:space="preserve"> ADDIN ZOTERO_ITEM CSL_CITATION {"citationID":"TMbF3KPu","properties":{"formattedCitation":"[31]","plainCitation":"[31]","noteIndex":0},"citationItems":[{"id":23,"uris":["http://zotero.org/users/8356313/items/UPZMN652"],"itemData":{"id":23,"type":"article-journal","abstract":"BACKGROUND: Mesenchymal stem cells (MSCs) show differentiation capacity along mesenchymal lineages and have the potential to aid tissue regeneration. MSC transplantation strategies are therefore currently being assessed following injury to various organs. However, potential MSC migration to these organs after intravenous (IV) MSC injection continues to be impeded by cell trapping within the lung.\nMETHODS: Mouse MSCs were isolated, purified, transfected with firefly luciferase, and labeled with CSFE. Their size was assessed in vitro. To estimate the diameter of mouse pulmonary capillaries, fluorescence-labeled microspheres of different sizes were injected with or without sodium nitroprusside (SN) pretreatment. The lungs were harvested after 30 seconds and mean numbers of trapped microspheres per high-power field (HPF) were calculated. After IV injection of MSC suspensions (with or without SN), their dynamic distribution was monitored by in vivo luciferine imaging as well as by histopathology.\nRESULTS: The diameter of suspended MSCs in vitro was 15 to 19 microm. Whereas nearly no 4-microm microspheres could be detected in lung sections, the numbers of trapped 10- and 15-microm microspheres could be significantly decreased by prior SN injection from 19.3 +/- 11.1 to 6.0 +/- 1.6 cells/HPF (P = .004) and from 34.9 +/- 11.9 to 25.6 +/- 8.1 cells/HPF (P = .028), respectively. Within seconds after MSC IV injection, the vast majority of cells was found in the lungs. However, cell trapping in the pulmonary microvasculature was significantly reduced by pre-treatment with SN.\nCONCLUSIONS: We demonstrate that cell trapping in lungs can be reduced with IV SN pretreatment, increasing MSC passage through the lung capillaries, and potentially facilitating cell access to injured organs.","container-title":"Transplantation Proceedings","DOI":"10.1016/j.transproceed.2006.12.019","ISSN":"0041-1345","issue":"2","journalAbbreviation":"Transplant Proc","language":"eng","note":"PMID: 17362785","page":"573-576","source":"PubMed","title":"Stem cell transplantation: the lung barrier","title-short":"Stem cell transplantation","volume":"39","author":[{"family":"Schrepfer","given":"S."},{"family":"Deuse","given":"T."},{"family":"Reichenspurner","given":"H."},{"family":"Fischbein","given":"M. P."},{"family":"Robbins","given":"R. C."},{"family":"Pelletier","given":"M. P."}],"issued":{"date-parts":[["2007",3]]}}}],"schema":"https://github.com/citation-style-language/schema/raw/master/csl-citation.json"} </w:instrText>
      </w:r>
      <w:r w:rsidRPr="00E47018">
        <w:fldChar w:fldCharType="separate"/>
      </w:r>
      <w:r w:rsidRPr="00E47018">
        <w:t>[31]</w:t>
      </w:r>
      <w:r w:rsidRPr="00E47018">
        <w:fldChar w:fldCharType="end"/>
      </w:r>
      <w:r w:rsidRPr="00E47018">
        <w:t xml:space="preserve"> (</w:t>
      </w:r>
      <w:r w:rsidR="00B91941" w:rsidRPr="00E47018">
        <w:t>figure S4b</w:t>
      </w:r>
      <w:r w:rsidRPr="00E47018">
        <w:t>).</w:t>
      </w:r>
    </w:p>
    <w:p w14:paraId="3D82E1A1" w14:textId="77777777" w:rsidR="00295E92" w:rsidRPr="00E47018" w:rsidRDefault="00295E92" w:rsidP="00E47018">
      <w:pPr>
        <w:pStyle w:val="MDPI31text"/>
      </w:pPr>
      <w:bookmarkStart w:id="16" w:name="_Hlk97392979"/>
      <w:r w:rsidRPr="00E47018">
        <w:t xml:space="preserve">Finally, to demonstrate the usefulness of the CUBIC clearing protocol to study immune responses in the lung after </w:t>
      </w:r>
      <w:proofErr w:type="spellStart"/>
      <w:r w:rsidRPr="00E47018">
        <w:t>hUC</w:t>
      </w:r>
      <w:proofErr w:type="spellEnd"/>
      <w:r w:rsidRPr="00E47018">
        <w:t xml:space="preserve">-MSC administration, neutrophils were stained with the myeloperoxidase (MPO) marker. A rapid neutrophil infiltration was observed 2 h after IV </w:t>
      </w:r>
      <w:proofErr w:type="spellStart"/>
      <w:r w:rsidRPr="00E47018">
        <w:t>hUC</w:t>
      </w:r>
      <w:proofErr w:type="spellEnd"/>
      <w:r w:rsidRPr="00E47018">
        <w:t>-MSC injection with decreasing neutrophil levels after 24 h (figure 5e).</w:t>
      </w:r>
      <w:bookmarkEnd w:id="14"/>
      <w:bookmarkEnd w:id="16"/>
    </w:p>
    <w:p w14:paraId="6116B29B" w14:textId="77777777" w:rsidR="00A852BC" w:rsidRPr="00E47018" w:rsidRDefault="00295E92" w:rsidP="00E47018">
      <w:pPr>
        <w:pStyle w:val="MDPI31text"/>
      </w:pPr>
      <w:r w:rsidRPr="00E47018">
        <w:t xml:space="preserve">In summary, of the three methods compared, the CUBIC protocol proved to be suitable for efficiently clearing the lung specimens without altering the tissue morphology. CUBIC was the only method that preserved </w:t>
      </w:r>
      <w:proofErr w:type="spellStart"/>
      <w:r w:rsidRPr="00E47018">
        <w:t>tdTomato</w:t>
      </w:r>
      <w:proofErr w:type="spellEnd"/>
      <w:r w:rsidRPr="00E47018">
        <w:t xml:space="preserve"> fluorescence in thick lung sections, allowing for direct </w:t>
      </w:r>
      <w:proofErr w:type="spellStart"/>
      <w:r w:rsidRPr="00E47018">
        <w:t>visualisation</w:t>
      </w:r>
      <w:proofErr w:type="spellEnd"/>
      <w:r w:rsidRPr="00E47018">
        <w:t xml:space="preserve"> of </w:t>
      </w:r>
      <w:proofErr w:type="spellStart"/>
      <w:r w:rsidRPr="00E47018">
        <w:t>hUC</w:t>
      </w:r>
      <w:proofErr w:type="spellEnd"/>
      <w:r w:rsidRPr="00E47018">
        <w:t xml:space="preserve">-MSCs by confocal microscopy. However, CUBIC failed to preserve Evans Blue labelling of the vasculature but showed good antibody compatibility. In contrast, s-DISCO and ECi allowed rapid optical clearing of whole lungs but permanently quenched the fluorescence of </w:t>
      </w:r>
      <w:proofErr w:type="spellStart"/>
      <w:r w:rsidRPr="00E47018">
        <w:t>tdTomato</w:t>
      </w:r>
      <w:proofErr w:type="spellEnd"/>
      <w:r w:rsidRPr="00E47018">
        <w:t xml:space="preserve">, while preserving the endothelial Evans Blue signal. Despite the fact that no clearing method was perfect for all subsequent imaging applications, by combining the CUBIC clearing method with various staining approaches, we were able to demonstrate that </w:t>
      </w:r>
      <w:proofErr w:type="spellStart"/>
      <w:r w:rsidRPr="00E47018">
        <w:t>hUC</w:t>
      </w:r>
      <w:proofErr w:type="spellEnd"/>
      <w:r w:rsidRPr="00E47018">
        <w:t xml:space="preserve">-MSCs were trapped in the lung microvasculature just after injection, potentially blocking blood flow, and that </w:t>
      </w:r>
      <w:proofErr w:type="spellStart"/>
      <w:r w:rsidRPr="00E47018">
        <w:t>hUC</w:t>
      </w:r>
      <w:proofErr w:type="spellEnd"/>
      <w:r w:rsidRPr="00E47018">
        <w:t>-MSC intravenous administration triggers neutrophil infiltration.</w:t>
      </w:r>
    </w:p>
    <w:p w14:paraId="3ECECB56" w14:textId="77777777" w:rsidR="00295E92" w:rsidRDefault="00295E92" w:rsidP="00295E92">
      <w:pPr>
        <w:pStyle w:val="MDPI21heading1"/>
      </w:pPr>
      <w:r>
        <w:t>3. Discussion</w:t>
      </w:r>
    </w:p>
    <w:p w14:paraId="1E5B72B8" w14:textId="1601CC57" w:rsidR="00295E92" w:rsidRDefault="00295E92" w:rsidP="00295E92">
      <w:pPr>
        <w:pStyle w:val="MDPI31text"/>
      </w:pPr>
      <w:bookmarkStart w:id="17" w:name="_Hlk108612469"/>
      <w:r w:rsidRPr="009771F3">
        <w:t>In this work,</w:t>
      </w:r>
      <w:r>
        <w:t xml:space="preserve"> the CUBIC,</w:t>
      </w:r>
      <w:r w:rsidR="0016372F">
        <w:t xml:space="preserve"> a modified</w:t>
      </w:r>
      <w:r>
        <w:t xml:space="preserve"> s-DISCO and ECi </w:t>
      </w:r>
      <w:r w:rsidRPr="009771F3">
        <w:t>optical</w:t>
      </w:r>
      <w:r>
        <w:t xml:space="preserve"> tissue clearing protocols were </w:t>
      </w:r>
      <w:r w:rsidRPr="009771F3">
        <w:t>compared with the aim of establishing a</w:t>
      </w:r>
      <w:r>
        <w:t xml:space="preserve"> suitable</w:t>
      </w:r>
      <w:r w:rsidRPr="009771F3">
        <w:t xml:space="preserve"> approach to</w:t>
      </w:r>
      <w:r>
        <w:t xml:space="preserve"> study </w:t>
      </w:r>
      <w:r w:rsidRPr="00613C5D">
        <w:t xml:space="preserve">the biodistribution of </w:t>
      </w:r>
      <w:proofErr w:type="spellStart"/>
      <w:r>
        <w:t>hUC</w:t>
      </w:r>
      <w:proofErr w:type="spellEnd"/>
      <w:r>
        <w:t>-</w:t>
      </w:r>
      <w:r w:rsidRPr="00613C5D">
        <w:t>MSCs</w:t>
      </w:r>
      <w:r>
        <w:t xml:space="preserve"> in mouse lungs following systemic cell delivery.</w:t>
      </w:r>
    </w:p>
    <w:p w14:paraId="354CB378" w14:textId="0A4C4592" w:rsidR="00295E92" w:rsidRDefault="00295E92" w:rsidP="00295E92">
      <w:pPr>
        <w:pStyle w:val="MDPI31text"/>
      </w:pPr>
      <w:r>
        <w:t>O</w:t>
      </w:r>
      <w:r w:rsidRPr="009771F3">
        <w:t>ptical tissue clearing</w:t>
      </w:r>
      <w:r>
        <w:t xml:space="preserve"> </w:t>
      </w:r>
      <w:r w:rsidRPr="009771F3">
        <w:t>match</w:t>
      </w:r>
      <w:r>
        <w:t>es</w:t>
      </w:r>
      <w:r w:rsidRPr="009771F3">
        <w:t xml:space="preserve"> the </w:t>
      </w:r>
      <w:r>
        <w:t>RI</w:t>
      </w:r>
      <w:r w:rsidRPr="009771F3">
        <w:t xml:space="preserve"> of heterogeneous </w:t>
      </w:r>
      <w:r>
        <w:t>samples</w:t>
      </w:r>
      <w:r w:rsidRPr="009771F3">
        <w:t xml:space="preserve"> and</w:t>
      </w:r>
      <w:r>
        <w:t xml:space="preserve"> </w:t>
      </w:r>
      <w:r w:rsidRPr="009771F3">
        <w:t>reduc</w:t>
      </w:r>
      <w:r>
        <w:t>es</w:t>
      </w:r>
      <w:r w:rsidRPr="009771F3">
        <w:t xml:space="preserve"> light scattering,</w:t>
      </w:r>
      <w:r>
        <w:t xml:space="preserve"> enabling the investigation of biological processes in a </w:t>
      </w:r>
      <w:r w:rsidR="00965011">
        <w:t xml:space="preserve">3D </w:t>
      </w:r>
      <w:r>
        <w:t xml:space="preserve">organ context. Broadly, clearing methods can be classified into water-based (hydrophilic) and solvent-based (hydrophobic) methods depending on the chemistry used </w:t>
      </w:r>
      <w:r w:rsidRPr="005B6D91">
        <w:fldChar w:fldCharType="begin"/>
      </w:r>
      <w:r w:rsidR="005D62C8">
        <w:instrText xml:space="preserve"> ADDIN ZOTERO_ITEM CSL_CITATION {"citationID":"9jTp17Th","properties":{"formattedCitation":"[20]","plainCitation":"[20]","noteIndex":0},"citationItems":[{"id":62,"uris":["http://zotero.org/users/8356313/items/7QEYF7LS"],"itemData":{"id":62,"type":"article-journal","abstract":"Organisms are inherently three dimensional, thus comprehensive understanding of the complicated biological system requires analysis of organs or even whole bodies in the context of three dimensions. However, this is a tremendous task since the biological specimens are naturally opaque, a major obstacle in whole-body and whole-organ imaging. Tissue clearing technique provides a prospective solution and has become a powerful tool for three-dimensional imaging and quantification of organisms. Tissue clearing technique aims to make tissue transparent by minimizing light scattering and light absorption, thus allowing deep imaging of large volume samples. When combined with diverse molecular labeling methods and high-throughput optical sectioning microscopes, tissue clearing technique enables whole-body and whole-organ imaging at cellular or subcellular resolution, providing detailed and comprehensive information about the intact biological systems. Here, we give an overview of recent progress and biomedical applications of tissue clearing technique. We introduce the mechanisms and basic principles of tissue clearing, and summarize the current tissue clearing methods. Moreover, the available imaging techniques and software packages for data processing are also presented. Finally, we introduce the recent advances in applications of tissue clearing in biomedical fields. Tissue clearing contributes to the investigation of structure-function relationships in intact mammalian organs, and opens new avenues for cellular and molecular mapping of intact human organs. We hope this review contributes to a better understanding of tissue clearing technique and can help researchers to select the best-suited clearing protocol for their experiments.","container-title":"Journal of Anatomy","DOI":"10.1111/joa.13309","ISSN":"1469-7580","issue":"2","journalAbbreviation":"J Anat","language":"eng","note":"PMID: 32939792\nPMCID: PMC7812135","page":"489-507","source":"PubMed","title":"Tissue clearing technique: Recent progress and biomedical applications","title-short":"Tissue clearing technique","volume":"238","author":[{"family":"Tian","given":"Ting"},{"family":"Yang","given":"Zhaoyang"},{"family":"Li","given":"Xiaoguang"}],"issued":{"date-parts":[["2021",2]]}}}],"schema":"https://github.com/citation-style-language/schema/raw/master/csl-citation.json"} </w:instrText>
      </w:r>
      <w:r w:rsidRPr="005B6D91">
        <w:fldChar w:fldCharType="separate"/>
      </w:r>
      <w:r w:rsidRPr="00295E92">
        <w:t>[20]</w:t>
      </w:r>
      <w:r w:rsidRPr="005B6D91">
        <w:fldChar w:fldCharType="end"/>
      </w:r>
      <w:r>
        <w:t>. Selecting a clearing protocol depends on p</w:t>
      </w:r>
      <w:r w:rsidRPr="005B6D91">
        <w:t xml:space="preserve">arameters such as </w:t>
      </w:r>
      <w:r>
        <w:t xml:space="preserve">the size of the </w:t>
      </w:r>
      <w:r w:rsidRPr="005B6D91">
        <w:t xml:space="preserve">sample, tissue composition and the intended </w:t>
      </w:r>
      <w:r>
        <w:t>goal</w:t>
      </w:r>
      <w:r w:rsidRPr="005B6D91">
        <w:t xml:space="preserve"> of the experiment</w:t>
      </w:r>
      <w:r>
        <w:t>.</w:t>
      </w:r>
    </w:p>
    <w:p w14:paraId="5A8DC607" w14:textId="0329AB89" w:rsidR="00295E92" w:rsidRDefault="00295E92" w:rsidP="00295E92">
      <w:pPr>
        <w:pStyle w:val="MDPI31text"/>
      </w:pPr>
      <w:r>
        <w:t xml:space="preserve">First, it is relevant to characterize the effect of the clearing method on the tissue of interest. </w:t>
      </w:r>
      <w:r w:rsidRPr="005B6D91">
        <w:t xml:space="preserve">When applied to lung tissue, CUBIC </w:t>
      </w:r>
      <w:r>
        <w:t xml:space="preserve">is the </w:t>
      </w:r>
      <w:r w:rsidRPr="005B6D91">
        <w:t>superior</w:t>
      </w:r>
      <w:r>
        <w:t xml:space="preserve"> method regarding tissue transparency</w:t>
      </w:r>
      <w:r w:rsidRPr="005B6D91">
        <w:t xml:space="preserve"> albeit </w:t>
      </w:r>
      <w:r>
        <w:t>taking 5 days to complete. In contrast,</w:t>
      </w:r>
      <w:r w:rsidRPr="005B6D91">
        <w:t xml:space="preserve"> both solvent-based methods cleared the samples within hours</w:t>
      </w:r>
      <w:r>
        <w:t xml:space="preserve"> but resulted in a transparency below 50%. C</w:t>
      </w:r>
      <w:r w:rsidRPr="005B6D91">
        <w:t>hanges</w:t>
      </w:r>
      <w:r>
        <w:t xml:space="preserve"> in sample size</w:t>
      </w:r>
      <w:r w:rsidRPr="005B6D91">
        <w:t xml:space="preserve"> occurred as expected</w:t>
      </w:r>
      <w:r>
        <w:t>:</w:t>
      </w:r>
      <w:r w:rsidRPr="005B6D91">
        <w:t xml:space="preserve"> </w:t>
      </w:r>
      <w:r>
        <w:t>hydrophilic</w:t>
      </w:r>
      <w:r w:rsidRPr="005B6D91">
        <w:t xml:space="preserve"> methods </w:t>
      </w:r>
      <w:r>
        <w:t>led to</w:t>
      </w:r>
      <w:r w:rsidRPr="005B6D91">
        <w:t xml:space="preserve"> sample expansion, which might be an advantage when interested in increasing imaging resolution</w:t>
      </w:r>
      <w:r>
        <w:t>;</w:t>
      </w:r>
      <w:r w:rsidRPr="005B6D91">
        <w:rPr>
          <w:color w:val="222222"/>
          <w:shd w:val="clear" w:color="auto" w:fill="FFFFFF"/>
        </w:rPr>
        <w:t xml:space="preserve"> </w:t>
      </w:r>
      <w:r>
        <w:t>s</w:t>
      </w:r>
      <w:r w:rsidRPr="005B6D91">
        <w:t>olvent-based protocols result</w:t>
      </w:r>
      <w:r>
        <w:t>ed</w:t>
      </w:r>
      <w:r w:rsidRPr="005B6D91">
        <w:t xml:space="preserve"> in sample shrinkage, which can be advantageous when imaging large samples </w:t>
      </w:r>
      <w:r w:rsidRPr="005B6D91">
        <w:fldChar w:fldCharType="begin"/>
      </w:r>
      <w:r w:rsidR="005D62C8">
        <w:instrText xml:space="preserve"> ADDIN ZOTERO_ITEM CSL_CITATION {"citationID":"uaLV9DAK","properties":{"formattedCitation":"[19]","plainCitation":"[19]","noteIndex":0},"citationItems":[{"id":64,"uris":["http://zotero.org/users/8356313/items/LWCXPNHB"],"itemData":{"id":64,"type":"article-journal","abstract":"Tissue imaging in 3D using visible light is limited and various clearing techniques were developed to increase imaging depth, but none provides universal solution for all tissues at all developmental stages. In this review, we focus on different tissue clearing methods for 3D imaging of heart and vasculature, based on chemical composition (solvent-based, simple immersion, hyperhydration, and hydrogel embedding techniques). We discuss in detail compatibility of various tissue clearing techniques with visualization methods: fluorescence preservation, immunohistochemistry, nuclear staining, and fluorescent dyes vascular perfusion. We also discuss myocardium visualization using autofluorescence, tissue shrinking, and expansion. Then we overview imaging methods used to study cardiovascular system and live imaging. We discuss heart and vessels segmentation methods and image analysis. The review covers the whole process of cardiovascular system 3D imaging, starting from tissue clearing and its compatibility with various visualization methods to the types of imaging methods and resulting image analysis.","container-title":"iScience","DOI":"10.1016/j.isci.2021.102387","ISSN":"2589-0042","issue":"4","journalAbbreviation":"iScience","language":"eng","note":"PMID: 33981974\nPMCID: PMC8086021","page":"102387","source":"PubMed","title":"Tissue clearing and imaging methods for cardiovascular development","volume":"24","author":[{"family":"Kolesová","given":"Hana"},{"family":"Olejníčková","given":"Veronika"},{"family":"Kvasilová","given":"Alena"},{"family":"Gregorovičová","given":"Martina"},{"family":"Sedmera","given":"David"}],"issued":{"date-parts":[["2021",4,23]]}}}],"schema":"https://github.com/citation-style-language/schema/raw/master/csl-citation.json"} </w:instrText>
      </w:r>
      <w:r w:rsidRPr="005B6D91">
        <w:fldChar w:fldCharType="separate"/>
      </w:r>
      <w:r w:rsidRPr="00295E92">
        <w:t>[19]</w:t>
      </w:r>
      <w:r w:rsidRPr="005B6D91">
        <w:fldChar w:fldCharType="end"/>
      </w:r>
      <w:r w:rsidRPr="005B6D91">
        <w:t>.</w:t>
      </w:r>
    </w:p>
    <w:p w14:paraId="0BF2E6AB" w14:textId="77777777" w:rsidR="00295E92" w:rsidRDefault="00295E92" w:rsidP="00295E92">
      <w:pPr>
        <w:pStyle w:val="MDPI31text"/>
      </w:pPr>
      <w:r>
        <w:t>Another relevant consideration when selecting a cleari</w:t>
      </w:r>
      <w:r w:rsidRPr="005B6D91">
        <w:t>n</w:t>
      </w:r>
      <w:r>
        <w:t>g protocol is whether there is a need to preserve fluorescent proteins. In</w:t>
      </w:r>
      <w:r w:rsidRPr="005B6D91">
        <w:t xml:space="preserve"> this study, the red fluorescent protein </w:t>
      </w:r>
      <w:proofErr w:type="spellStart"/>
      <w:r w:rsidRPr="005B6D91">
        <w:t>tdTomato</w:t>
      </w:r>
      <w:proofErr w:type="spellEnd"/>
      <w:r w:rsidRPr="005B6D91">
        <w:t xml:space="preserve"> was used as a molecular label for </w:t>
      </w:r>
      <w:r>
        <w:t xml:space="preserve">the </w:t>
      </w:r>
      <w:proofErr w:type="spellStart"/>
      <w:r>
        <w:t>hUC</w:t>
      </w:r>
      <w:proofErr w:type="spellEnd"/>
      <w:r>
        <w:t>-</w:t>
      </w:r>
      <w:r w:rsidRPr="005B6D91">
        <w:t>MSCs</w:t>
      </w:r>
      <w:r>
        <w:t xml:space="preserve">. </w:t>
      </w:r>
      <w:proofErr w:type="spellStart"/>
      <w:r w:rsidRPr="005B6D91">
        <w:t>tdTomato</w:t>
      </w:r>
      <w:proofErr w:type="spellEnd"/>
      <w:r w:rsidRPr="005B6D91">
        <w:t xml:space="preserve"> </w:t>
      </w:r>
      <w:r>
        <w:t>wa</w:t>
      </w:r>
      <w:r w:rsidRPr="005B6D91">
        <w:t>s immediately quenched after s</w:t>
      </w:r>
      <w:r>
        <w:t>-</w:t>
      </w:r>
      <w:r w:rsidRPr="005B6D91">
        <w:t>DISCO and ECi clearing</w:t>
      </w:r>
      <w:r>
        <w:t xml:space="preserve"> of thick lung sections</w:t>
      </w:r>
      <w:r w:rsidRPr="005B6D91">
        <w:t xml:space="preserve">, rendering these protocols </w:t>
      </w:r>
      <w:r>
        <w:t>unsuitable for direct visualization of fluorescently labelled cells</w:t>
      </w:r>
      <w:r w:rsidRPr="005B6D91">
        <w:t>, while CUBIC preserve</w:t>
      </w:r>
      <w:r>
        <w:t>d the fluorescence of</w:t>
      </w:r>
      <w:r w:rsidRPr="005B6D91">
        <w:t xml:space="preserve"> </w:t>
      </w:r>
      <w:proofErr w:type="spellStart"/>
      <w:r w:rsidRPr="005B6D91">
        <w:t>tdTomato</w:t>
      </w:r>
      <w:proofErr w:type="spellEnd"/>
      <w:r w:rsidRPr="005B6D91">
        <w:t>.</w:t>
      </w:r>
    </w:p>
    <w:p w14:paraId="0087E5B9" w14:textId="05F92506" w:rsidR="00295E92" w:rsidRDefault="00295E92" w:rsidP="00295E92">
      <w:pPr>
        <w:pStyle w:val="MDPI31text"/>
      </w:pPr>
      <w:r w:rsidRPr="005B6D91">
        <w:t xml:space="preserve">Fluorescent proteins are stabilized by water molecules and thus, dehydration results in their denaturation and subsequent loss of fluorescence </w:t>
      </w:r>
      <w:r w:rsidRPr="005B6D91">
        <w:fldChar w:fldCharType="begin"/>
      </w:r>
      <w:r w:rsidR="005D62C8">
        <w:instrText xml:space="preserve"> ADDIN ZOTERO_ITEM CSL_CITATION {"citationID":"m3jY3KRl","properties":{"formattedCitation":"[32]","plainCitation":"[32]","noteIndex":0},"citationItems":[{"id":41,"uris":["http://zotero.org/users/8356313/items/ESNXUR4A"],"itemData":{"id":41,"type":"article-journal","container-title":"Journal of Cell Science","DOI":"10.1242/jcs.072744","ISSN":"0021-9533","issue":"2","journalAbbreviation":"Journal of Cell Science","page":"157-160","source":"Silverchair","title":"Fluorescent proteins at a glance","volume":"124","author":[{"family":"Kremers","given":"Gert-Jan"},{"family":"Gilbert","given":"Sarah G."},{"family":"Cranfill","given":"Paula J."},{"family":"Davidson","given":"Michael W."},{"family":"Piston","given":"David W."}],"issued":{"date-parts":[["2011",1,15]]}}}],"schema":"https://github.com/citation-style-language/schema/raw/master/csl-citation.json"} </w:instrText>
      </w:r>
      <w:r w:rsidRPr="005B6D91">
        <w:fldChar w:fldCharType="separate"/>
      </w:r>
      <w:r w:rsidRPr="00295E92">
        <w:t>[32]</w:t>
      </w:r>
      <w:r w:rsidRPr="005B6D91">
        <w:fldChar w:fldCharType="end"/>
      </w:r>
      <w:r w:rsidRPr="005B6D91">
        <w:t>. To overcome this, the use of milder dehydrating chemicals such as tetrahydrofuran (THF) in the 3DISCO protocol</w:t>
      </w:r>
      <w:r>
        <w:t xml:space="preserve"> </w:t>
      </w:r>
      <w:r w:rsidRPr="005B6D91">
        <w:fldChar w:fldCharType="begin"/>
      </w:r>
      <w:r w:rsidR="005D62C8">
        <w:instrText xml:space="preserve"> ADDIN ZOTERO_ITEM CSL_CITATION {"citationID":"rGZvouXZ","properties":{"formattedCitation":"[33]","plainCitation":"[33]","noteIndex":0},"citationItems":[{"id":42,"uris":["http://zotero.org/users/8356313/items/R7K2A7KW"],"itemData":{"id":42,"type":"article-journal","abstract":"The examination of tissue histology by light microscopy is a fundamental tool for investigating the structure and function of organs under normal and disease states. Many current techniques for tissue sectioning, imaging and analysis are time-consuming, and they present major limitations for 3D tissue reconstruction. The introduction of methods to achieve the optical clearing and subsequent light-sheet laser scanning of entire transparent organs without sectioning represents a major advance in the field. We recently developed a highly reproducible and versatile clearing procedure called 3D imaging of solvent-cleared organs, or 3DISCO, which is applicable to diverse tissues including brain, spinal cord, immune organs and tumors. Here we describe a detailed protocol for performing 3DISCO and present its application to various microscopy techniques, including example results from various mouse tissues. The tissue clearing takes as little as 3 h, and imaging can be completed in </w:instrText>
      </w:r>
      <w:r w:rsidR="005D62C8">
        <w:rPr>
          <w:rFonts w:ascii="Cambria Math" w:hAnsi="Cambria Math" w:cs="Cambria Math"/>
        </w:rPr>
        <w:instrText>∼</w:instrText>
      </w:r>
      <w:r w:rsidR="005D62C8">
        <w:instrText xml:space="preserve">45 min. 3DISCO is a powerful technique that offers 3D histological views of tissues in a fraction of the time and labor required to complete standard histology studies.","container-title":"Nature Protocols","DOI":"10.1038/nprot.2012.119","ISSN":"1750-2799","issue":"11","journalAbbreviation":"Nat Protoc","language":"en","license":"2012 Nature Publishing Group, a division of Macmillan Publishers Limited. All Rights Reserved.","note":"Bandiera_abtest: a\nCg_type: Nature Research Journals\nnumber: 11\nPrimary_atype: Protocols\npublisher: Nature Publishing Group\nSubject_term: 3-D reconstruction\nSubject_term_id: 3d-reconstruction","page":"1983-1995","source":"www.nature.com","title":"Three-dimensional imaging of solvent-cleared organs using 3DISCO","volume":"7","author":[{"family":"Ertürk","given":"Ali"},{"family":"Becker","given":"Klaus"},{"family":"Jährling","given":"Nina"},{"family":"Mauch","given":"Christoph P."},{"family":"Hojer","given":"Caroline D."},{"family":"Egen","given":"Jackson G."},{"family":"Hellal","given":"Farida"},{"family":"Bradke","given":"Frank"},{"family":"Sheng","given":"Morgan"},{"family":"Dodt","given":"Hans-Ulrich"}],"issued":{"date-parts":[["2012",11]]}}}],"schema":"https://github.com/citation-style-language/schema/raw/master/csl-citation.json"} </w:instrText>
      </w:r>
      <w:r w:rsidRPr="005B6D91">
        <w:fldChar w:fldCharType="separate"/>
      </w:r>
      <w:r w:rsidRPr="00295E92">
        <w:t>[33]</w:t>
      </w:r>
      <w:r w:rsidRPr="005B6D91">
        <w:fldChar w:fldCharType="end"/>
      </w:r>
      <w:r w:rsidRPr="005B6D91">
        <w:t xml:space="preserve">, tert-butanol and diphenyl ether in the </w:t>
      </w:r>
      <w:proofErr w:type="spellStart"/>
      <w:r w:rsidRPr="005B6D91">
        <w:t>uDISCO</w:t>
      </w:r>
      <w:proofErr w:type="spellEnd"/>
      <w:r w:rsidRPr="005B6D91">
        <w:t xml:space="preserve"> protocol</w:t>
      </w:r>
      <w:r>
        <w:t xml:space="preserve"> </w:t>
      </w:r>
      <w:r w:rsidRPr="005B6D91">
        <w:fldChar w:fldCharType="begin"/>
      </w:r>
      <w:r w:rsidR="005D62C8">
        <w:instrText xml:space="preserve"> ADDIN ZOTERO_ITEM CSL_CITATION {"citationID":"AsFsp60a","properties":{"formattedCitation":"[34]","plainCitation":"[34]","noteIndex":0},"citationItems":[{"id":40,"uris":["http://zotero.org/users/8356313/items/YX24HKYZ"],"itemData":{"id":40,"type":"article-journal","abstract":"uDISCO clearing renders whole animals transparent and capitalizes on shrinkage to image them. This method allows the analysis of intact nervous systems and whole-body screens for transplanted cells and human tissue samples after prolonged storage.","container-title":"Nature Methods","DOI":"10.1038/nmeth.3964","ISSN":"1548-7105","issue":"10","journalAbbreviation":"Nat Methods","language":"en","license":"2016 Nature Publishing Group, a division of Macmillan Publishers Limited. All Rights Reserved.","note":"Bandiera_abtest: a\nCg_type: Nature Research Journals\nnumber: 10\nPrimary_atype: Research\npublisher: Nature Publishing Group\nSubject_term: Fluorescence imaging;Light-sheet microscopy;Model vertebrates;Neuroscience\nSubject_term_id: fluorescence-imaging;light-sheet-microscopy;model-vertebrates;neuroscience","page":"859-867","source":"www.nature.com","title":"Shrinkage-mediated imaging of entire organs and organisms using uDISCO","volume":"13","author":[{"family":"Pan","given":"Chenchen"},{"family":"Cai","given":"Ruiyao"},{"family":"Quacquarelli","given":"Francesca Paola"},{"family":"Ghasemigharagoz","given":"Alireza"},{"family":"Lourbopoulos","given":"Athanasios"},{"family":"Matryba","given":"Paweł"},{"family":"Plesnila","given":"Nikolaus"},{"family":"Dichgans","given":"Martin"},{"family":"Hellal","given":"Farida"},{"family":"Ertürk","given":"Ali"}],"issued":{"date-parts":[["2016",10]]}}}],"schema":"https://github.com/citation-style-language/schema/raw/master/csl-citation.json"} </w:instrText>
      </w:r>
      <w:r w:rsidRPr="005B6D91">
        <w:fldChar w:fldCharType="separate"/>
      </w:r>
      <w:r w:rsidRPr="00295E92">
        <w:t>[34]</w:t>
      </w:r>
      <w:r w:rsidRPr="005B6D91">
        <w:fldChar w:fldCharType="end"/>
      </w:r>
      <w:r w:rsidRPr="005B6D91">
        <w:t xml:space="preserve">, and 1-propanol in the second generation ECi protocol have been used successfully allowing GFP preservation for days to months </w:t>
      </w:r>
      <w:r w:rsidRPr="005B6D91">
        <w:fldChar w:fldCharType="begin"/>
      </w:r>
      <w:r w:rsidR="005D62C8">
        <w:instrText xml:space="preserve"> ADDIN ZOTERO_ITEM CSL_CITATION {"citationID":"neHQKGnp","properties":{"formattedCitation":"[28]","plainCitation":"[28]","noteIndex":0},"citationItems":[{"id":59,"uris":["http://zotero.org/users/8356313/items/4Z5RM5NH"],"itemData":{"id":59,"type":"article-journal","abstract":"Turbidity and opaqueness are inherent properties of tissues that limit the capacity to acquire microscopic images through large tissues. Creating a uniform refractive index, known as tissue clearing, overcomes most of these issues. These methods have enabled researchers to image large and complex 3D structures with unprecedented depth and resolution. However, tissue clearing has been adopted to a limited extent due to a combination of cost, time, complexity of existing methods and potential negative impact on fluorescence signal. Here, we describe 2Eci (2nd generation ethyl cinnamate-based clearing), which can be used to clear a wide range of tissues in several species, including human organoids, Drosophila melanogaster, zebrafish, axolotl and Xenopus laevis, in as little as 1-5 days, while preserving a broad range of fluorescent proteins, including GFP, mCherry, Brainbow and Alexa-conjugated fluorophores. Ethyl cinnamate is non-toxic and can easily be used in multi-user microscope facilities. This method opens up tissue clearing to a much broader group of researchers due to its ease of use, the non-toxic nature of ethyl cinnamate and broad applicability.","container-title":"Development (Cambridge, England)","DOI":"10.1242/dev.166884","ISSN":"1477-9129","issue":"3","journalAbbreviation":"Development","language":"eng","note":"PMID: 30665888\nPMCID: PMC7115989","page":"dev166884","source":"PubMed","title":"Broad applicability of a streamlined ethyl cinnamate-based clearing procedure","volume":"146","author":[{"family":"Masselink","given":"Wouter"},{"family":"Reumann","given":"Daniel"},{"family":"Murawala","given":"Prayag"},{"family":"Pasierbek","given":"Pawel"},{"family":"Taniguchi","given":"Yuka"},{"family":"Bonnay","given":"François"},{"family":"Meixner","given":"Katharina"},{"family":"Knoblich","given":"Jürgen A."},{"family":"Tanaka","given":"Elly M."}],"issued":{"date-parts":[["2019",2,1]]}}}],"schema":"https://github.com/citation-style-language/schema/raw/master/csl-citation.json"} </w:instrText>
      </w:r>
      <w:r w:rsidRPr="005B6D91">
        <w:fldChar w:fldCharType="separate"/>
      </w:r>
      <w:r w:rsidRPr="00295E92">
        <w:t>[28]</w:t>
      </w:r>
      <w:r w:rsidRPr="005B6D91">
        <w:fldChar w:fldCharType="end"/>
      </w:r>
      <w:r w:rsidRPr="005B6D91">
        <w:t>.</w:t>
      </w:r>
      <w:r>
        <w:t xml:space="preserve"> </w:t>
      </w:r>
      <w:r w:rsidRPr="005B6D91">
        <w:t>Given these reports, we used 1-propanol as the dehydration agent for both s</w:t>
      </w:r>
      <w:r>
        <w:t>-</w:t>
      </w:r>
      <w:r w:rsidRPr="005B6D91">
        <w:t xml:space="preserve">DISCO and ECi protocols in the hope of preserving </w:t>
      </w:r>
      <w:proofErr w:type="spellStart"/>
      <w:r w:rsidRPr="005B6D91">
        <w:t>tdTomato</w:t>
      </w:r>
      <w:proofErr w:type="spellEnd"/>
      <w:r w:rsidRPr="005B6D91">
        <w:t xml:space="preserve">. Nevertheless, we were not able to detect </w:t>
      </w:r>
      <w:proofErr w:type="spellStart"/>
      <w:r>
        <w:t>tdTomato</w:t>
      </w:r>
      <w:proofErr w:type="spellEnd"/>
      <w:r w:rsidRPr="005B6D91">
        <w:t xml:space="preserve"> fluorescence. Interestingly, Glaser </w:t>
      </w:r>
      <w:r>
        <w:t>and colleagues</w:t>
      </w:r>
      <w:r w:rsidRPr="005B6D91">
        <w:t xml:space="preserve"> </w:t>
      </w:r>
      <w:r>
        <w:t>acquired</w:t>
      </w:r>
      <w:r w:rsidRPr="005B6D91">
        <w:t xml:space="preserve"> a 3D image of a whole mouse lung cleared with ECi via autofluorescence at 561</w:t>
      </w:r>
      <w:r>
        <w:t xml:space="preserve"> </w:t>
      </w:r>
      <w:r w:rsidRPr="005B6D91">
        <w:t xml:space="preserve">nm, which is consistent with our observation that tissue autofluorescence at this wavelength is increased after </w:t>
      </w:r>
      <w:r>
        <w:t xml:space="preserve">immersion in ECi </w:t>
      </w:r>
      <w:r w:rsidRPr="005B6D91">
        <w:fldChar w:fldCharType="begin"/>
      </w:r>
      <w:r w:rsidR="005D62C8">
        <w:instrText xml:space="preserve"> ADDIN ZOTERO_ITEM CSL_CITATION {"citationID":"OomR3lPV","properties":{"formattedCitation":"[35]","plainCitation":"[35]","noteIndex":0},"citationItems":[{"id":58,"uris":["http://zotero.org/users/8356313/items/P6HERK4S"],"itemData":{"id":58,"type":"article-journal","abstract":"Recent advances in optical clearing and light-sheet microscopy have provided unprecedented access to structural and molecular information from intact tissues. However, current light-sheet microscopes have imposed constraints on the size, shape, number of specimens, and compatibility with various clearing protocols. Here we present a multi-immersion open-top light-sheet microscope that enables simple mounting of multiple specimens processed with a variety of clearing protocols, which will facilitate wide adoption by preclinical researchers and clinical laboratories. In particular, the open-top geometry provides unsurpassed versatility to interface with a wide range of accessory technologies in the future.","container-title":"Nature Communications","DOI":"10.1038/s41467-019-10534-0","ISSN":"2041-1723","issue":"1","journalAbbreviation":"Nat Commun","language":"eng","note":"PMID: 31273194\nPMCID: PMC6609674","page":"2781","source":"PubMed","title":"Multi-immersion open-top light-sheet microscope for high-throughput imaging of cleared tissues","volume":"10","author":[{"family":"Glaser","given":"Adam K."},{"family":"Reder","given":"Nicholas P."},{"family":"Chen","given":"Ye"},{"family":"Yin","given":"Chengbo"},{"family":"Wei","given":"Linpeng"},{"family":"Kang","given":"Soyoung"},{"family":"Barner","given":"Lindsey A."},{"family":"Xie","given":"Weisi"},{"family":"McCarty","given":"Erin F."},{"family":"Mao","given":"Chenyi"},{"family":"Halpern","given":"Aaron R."},{"family":"Stoltzfus","given":"Caleb R."},{"family":"Daniels","given":"Jonathan S."},{"family":"Gerner","given":"Michael Y."},{"family":"Nicovich","given":"Philip R."},{"family":"Vaughan","given":"Joshua C."},{"family":"True","given":"Lawrence D."},{"family":"Liu","given":"Jonathan T. C."}],"issued":{"date-parts":[["2019",7,4]]}}}],"schema":"https://github.com/citation-style-language/schema/raw/master/csl-citation.json"} </w:instrText>
      </w:r>
      <w:r w:rsidRPr="005B6D91">
        <w:fldChar w:fldCharType="separate"/>
      </w:r>
      <w:r w:rsidRPr="00295E92">
        <w:t>[35]</w:t>
      </w:r>
      <w:r w:rsidRPr="005B6D91">
        <w:fldChar w:fldCharType="end"/>
      </w:r>
      <w:r w:rsidRPr="005B6D91">
        <w:t xml:space="preserve">. Moreover, the compatibility of a variety of fluorescent probes with ECi was tested and </w:t>
      </w:r>
      <w:proofErr w:type="spellStart"/>
      <w:r w:rsidRPr="005B6D91">
        <w:t>tdTomato</w:t>
      </w:r>
      <w:proofErr w:type="spellEnd"/>
      <w:r w:rsidRPr="005B6D91">
        <w:t xml:space="preserve"> fluorescence was reported to be poor after clearing </w:t>
      </w:r>
      <w:r w:rsidRPr="005B6D91">
        <w:fldChar w:fldCharType="begin"/>
      </w:r>
      <w:r w:rsidR="005D62C8">
        <w:instrText xml:space="preserve"> ADDIN ZOTERO_ITEM CSL_CITATION {"citationID":"Nd6jQkiK","properties":{"formattedCitation":"[28]","plainCitation":"[28]","noteIndex":0},"citationItems":[{"id":59,"uris":["http://zotero.org/users/8356313/items/4Z5RM5NH"],"itemData":{"id":59,"type":"article-journal","abstract":"Turbidity and opaqueness are inherent properties of tissues that limit the capacity to acquire microscopic images through large tissues. Creating a uniform refractive index, known as tissue clearing, overcomes most of these issues. These methods have enabled researchers to image large and complex 3D structures with unprecedented depth and resolution. However, tissue clearing has been adopted to a limited extent due to a combination of cost, time, complexity of existing methods and potential negative impact on fluorescence signal. Here, we describe 2Eci (2nd generation ethyl cinnamate-based clearing), which can be used to clear a wide range of tissues in several species, including human organoids, Drosophila melanogaster, zebrafish, axolotl and Xenopus laevis, in as little as 1-5 days, while preserving a broad range of fluorescent proteins, including GFP, mCherry, Brainbow and Alexa-conjugated fluorophores. Ethyl cinnamate is non-toxic and can easily be used in multi-user microscope facilities. This method opens up tissue clearing to a much broader group of researchers due to its ease of use, the non-toxic nature of ethyl cinnamate and broad applicability.","container-title":"Development (Cambridge, England)","DOI":"10.1242/dev.166884","ISSN":"1477-9129","issue":"3","journalAbbreviation":"Development","language":"eng","note":"PMID: 30665888\nPMCID: PMC7115989","page":"dev166884","source":"PubMed","title":"Broad applicability of a streamlined ethyl cinnamate-based clearing procedure","volume":"146","author":[{"family":"Masselink","given":"Wouter"},{"family":"Reumann","given":"Daniel"},{"family":"Murawala","given":"Prayag"},{"family":"Pasierbek","given":"Pawel"},{"family":"Taniguchi","given":"Yuka"},{"family":"Bonnay","given":"François"},{"family":"Meixner","given":"Katharina"},{"family":"Knoblich","given":"Jürgen A."},{"family":"Tanaka","given":"Elly M."}],"issued":{"date-parts":[["2019",2,1]]}}}],"schema":"https://github.com/citation-style-language/schema/raw/master/csl-citation.json"} </w:instrText>
      </w:r>
      <w:r w:rsidRPr="005B6D91">
        <w:fldChar w:fldCharType="separate"/>
      </w:r>
      <w:r w:rsidRPr="00295E92">
        <w:t>[28]</w:t>
      </w:r>
      <w:r w:rsidRPr="005B6D91">
        <w:fldChar w:fldCharType="end"/>
      </w:r>
      <w:r w:rsidRPr="005B6D91">
        <w:t xml:space="preserve">. </w:t>
      </w:r>
    </w:p>
    <w:p w14:paraId="78849523" w14:textId="05915AD3" w:rsidR="00295E92" w:rsidRDefault="00295E92" w:rsidP="00295E92">
      <w:pPr>
        <w:pStyle w:val="MDPI31text"/>
      </w:pPr>
      <w:r>
        <w:t>In this study, the</w:t>
      </w:r>
      <w:r w:rsidRPr="005B6D91">
        <w:t xml:space="preserve"> s</w:t>
      </w:r>
      <w:r>
        <w:t>-</w:t>
      </w:r>
      <w:r w:rsidRPr="005B6D91">
        <w:t xml:space="preserve">DISCO protocol was chosen given that </w:t>
      </w:r>
      <w:r w:rsidR="00B66C79">
        <w:t>it</w:t>
      </w:r>
      <w:r w:rsidRPr="005B6D91">
        <w:t xml:space="preserve"> suggests that adding the antioxidant propyl gallate to DBE prevents the formation of peroxides and aldehydes, which are partly responsible </w:t>
      </w:r>
      <w:r>
        <w:t xml:space="preserve">for </w:t>
      </w:r>
      <w:r w:rsidRPr="005B6D91">
        <w:t>fluoresce</w:t>
      </w:r>
      <w:r>
        <w:t>nce decline</w:t>
      </w:r>
      <w:r w:rsidRPr="005B6D91">
        <w:t>, and make</w:t>
      </w:r>
      <w:r>
        <w:t>s</w:t>
      </w:r>
      <w:r w:rsidRPr="005B6D91">
        <w:t xml:space="preserve"> it possible to preserve </w:t>
      </w:r>
      <w:proofErr w:type="spellStart"/>
      <w:r w:rsidRPr="005B6D91">
        <w:t>tdTomato</w:t>
      </w:r>
      <w:proofErr w:type="spellEnd"/>
      <w:r w:rsidRPr="005B6D91">
        <w:t xml:space="preserve"> for up to a year. </w:t>
      </w:r>
      <w:r w:rsidR="00F52C88">
        <w:t>T</w:t>
      </w:r>
      <w:r w:rsidR="002423A1">
        <w:t>his protocol is complex</w:t>
      </w:r>
      <w:r w:rsidR="00F52C88">
        <w:t xml:space="preserve"> and requires specific expertise to </w:t>
      </w:r>
      <w:r w:rsidR="00270DA0" w:rsidRPr="005B6D91">
        <w:t>purif</w:t>
      </w:r>
      <w:r w:rsidR="00270DA0">
        <w:t>y</w:t>
      </w:r>
      <w:r w:rsidR="00270DA0" w:rsidRPr="005B6D91">
        <w:t xml:space="preserve"> the dehydration </w:t>
      </w:r>
      <w:r w:rsidR="00CC0A40">
        <w:t>and RI matching reagents</w:t>
      </w:r>
      <w:r w:rsidR="00270DA0" w:rsidRPr="005B6D91">
        <w:t xml:space="preserve"> </w:t>
      </w:r>
      <w:r w:rsidR="00DD25B5">
        <w:t>and</w:t>
      </w:r>
      <w:r w:rsidR="00270DA0" w:rsidRPr="005B6D91">
        <w:t xml:space="preserve"> eliminate all peroxide and aldehyde contents before adding the propyl gallate to prevent their regeneration</w:t>
      </w:r>
      <w:r w:rsidR="00270DA0">
        <w:t xml:space="preserve"> </w:t>
      </w:r>
      <w:r w:rsidR="00270DA0">
        <w:fldChar w:fldCharType="begin"/>
      </w:r>
      <w:r w:rsidR="005D62C8">
        <w:instrText xml:space="preserve"> ADDIN ZOTERO_ITEM CSL_CITATION {"citationID":"L275BExi","properties":{"formattedCitation":"[36]","plainCitation":"[36]","noteIndex":0},"citationItems":[{"id":56,"uris":["http://zotero.org/users/8356313/items/FXPIGCR7"],"itemData":{"id":56,"type":"article-journal","abstract":"Optical tissue clearing using dibenzyl ether (DBE) or BABB (1 part benzyl alcohol and 2 parts benzyl benzoate) is easy in application and allows deep-tissue imaging of a wide range of specimens. However, in both substances, optical clearing and storage times of enhanced green fluorescent protein (EGFP)-expressing specimens are limited due to the continuous formation of peroxides and aldehydes, which severely quench fluorescence. Stabilisation of purified DBE or BABB by addition of the antioxidant propyl gallate efficiently preserves fluorescence signals in EGFP-expressing samples for more than a year. This enables longer clearing times and improved tissue transparency with higher fluorescence signal intensity. The here introduced clearing protocol termed stabilised DISCO allows to image spines in a whole mouse brain and to detect faint changes in the activity-dependent expression pattern of tdTomato.","container-title":"Journal of Biophotonics","DOI":"10.1002/jbio.201800368","ISSN":"1864-0648","issue":"8","journalAbbreviation":"J Biophotonics","language":"eng","note":"PMID: 30932329","page":"e201800368","source":"PubMed","title":"High-resolution imaging of fluorescent whole mouse brains using stabilised organic media (sDISCO)","volume":"12","author":[{"family":"Hahn","given":"Christian"},{"family":"Becker","given":"Klaus"},{"family":"Saghafi","given":"Saiedeh"},{"family":"Pende","given":"Marko"},{"family":"Avdibašić","given":"Alma"},{"family":"Foroughipour","given":"Massih"},{"family":"Heinz","given":"Daniel E."},{"family":"Wotjak","given":"Carsten T."},{"family":"Dodt","given":"Hans-Ulrich"}],"issued":{"date-parts":[["2019",8]]}}}],"schema":"https://github.com/citation-style-language/schema/raw/master/csl-citation.json"} </w:instrText>
      </w:r>
      <w:r w:rsidR="00270DA0">
        <w:fldChar w:fldCharType="separate"/>
      </w:r>
      <w:r w:rsidR="00270DA0" w:rsidRPr="00295E92">
        <w:t>[36]</w:t>
      </w:r>
      <w:r w:rsidR="00270DA0">
        <w:fldChar w:fldCharType="end"/>
      </w:r>
      <w:r w:rsidR="00270DA0" w:rsidRPr="005B6D91">
        <w:t>.</w:t>
      </w:r>
      <w:r w:rsidR="00DF48AE">
        <w:t xml:space="preserve"> We aimed to test whether simplifying the protocol to make it more accessible to the wider research community</w:t>
      </w:r>
      <w:r w:rsidR="00102377">
        <w:t>,</w:t>
      </w:r>
      <w:r w:rsidR="00DF48AE">
        <w:t xml:space="preserve"> by </w:t>
      </w:r>
      <w:r w:rsidR="00350C5F">
        <w:t>preventing peroxide formation in DBE</w:t>
      </w:r>
      <w:r w:rsidR="00102377">
        <w:t>,</w:t>
      </w:r>
      <w:r w:rsidR="00350C5F">
        <w:t xml:space="preserve"> would suffice to preserve </w:t>
      </w:r>
      <w:r w:rsidR="00626E73">
        <w:t xml:space="preserve">the fluorescence of </w:t>
      </w:r>
      <w:proofErr w:type="spellStart"/>
      <w:r w:rsidR="00626E73">
        <w:t>tdTomato</w:t>
      </w:r>
      <w:proofErr w:type="spellEnd"/>
      <w:r w:rsidR="008A1AEB">
        <w:t>. Nevertheless, w</w:t>
      </w:r>
      <w:r w:rsidRPr="005B6D91">
        <w:t>e did not observe fluorescence preservation after</w:t>
      </w:r>
      <w:r w:rsidR="00102377">
        <w:t xml:space="preserve"> this modified</w:t>
      </w:r>
      <w:r w:rsidRPr="005B6D91">
        <w:t xml:space="preserve"> s</w:t>
      </w:r>
      <w:r>
        <w:t>-</w:t>
      </w:r>
      <w:r w:rsidRPr="005B6D91">
        <w:t>DISCO clearing</w:t>
      </w:r>
      <w:r w:rsidR="00261B68">
        <w:t>,</w:t>
      </w:r>
      <w:r w:rsidR="00261B68">
        <w:rPr>
          <w:i/>
        </w:rPr>
        <w:t xml:space="preserve"> </w:t>
      </w:r>
      <w:r w:rsidRPr="005B6D91">
        <w:t>indicat</w:t>
      </w:r>
      <w:r w:rsidR="008A1AEB">
        <w:t>ing</w:t>
      </w:r>
      <w:r w:rsidRPr="005B6D91">
        <w:t xml:space="preserve"> that </w:t>
      </w:r>
      <w:r w:rsidR="00784E49">
        <w:t>this approach</w:t>
      </w:r>
      <w:r w:rsidRPr="005B6D91">
        <w:t xml:space="preserve"> is not sufficient to preserve fluorescent proteins and</w:t>
      </w:r>
      <w:r>
        <w:t xml:space="preserve"> suggests</w:t>
      </w:r>
      <w:r w:rsidRPr="005B6D91">
        <w:t xml:space="preserve"> that pure chemicals </w:t>
      </w:r>
      <w:r>
        <w:t xml:space="preserve">might be necessary </w:t>
      </w:r>
      <w:r w:rsidRPr="005B6D91">
        <w:t>throughout the</w:t>
      </w:r>
      <w:r w:rsidR="00784E49">
        <w:t xml:space="preserve"> entire</w:t>
      </w:r>
      <w:r w:rsidRPr="005B6D91">
        <w:t xml:space="preserve"> clearing protocol </w:t>
      </w:r>
      <w:r w:rsidRPr="005B6D91">
        <w:fldChar w:fldCharType="begin"/>
      </w:r>
      <w:r w:rsidR="005D62C8">
        <w:instrText xml:space="preserve"> ADDIN ZOTERO_ITEM CSL_CITATION {"citationID":"STxUPuZb","properties":{"formattedCitation":"[36]","plainCitation":"[36]","noteIndex":0},"citationItems":[{"id":56,"uris":["http://zotero.org/users/8356313/items/FXPIGCR7"],"itemData":{"id":56,"type":"article-journal","abstract":"Optical tissue clearing using dibenzyl ether (DBE) or BABB (1 part benzyl alcohol and 2 parts benzyl benzoate) is easy in application and allows deep-tissue imaging of a wide range of specimens. However, in both substances, optical clearing and storage times of enhanced green fluorescent protein (EGFP)-expressing specimens are limited due to the continuous formation of peroxides and aldehydes, which severely quench fluorescence. Stabilisation of purified DBE or BABB by addition of the antioxidant propyl gallate efficiently preserves fluorescence signals in EGFP-expressing samples for more than a year. This enables longer clearing times and improved tissue transparency with higher fluorescence signal intensity. The here introduced clearing protocol termed stabilised DISCO allows to image spines in a whole mouse brain and to detect faint changes in the activity-dependent expression pattern of tdTomato.","container-title":"Journal of Biophotonics","DOI":"10.1002/jbio.201800368","ISSN":"1864-0648","issue":"8","journalAbbreviation":"J Biophotonics","language":"eng","note":"PMID: 30932329","page":"e201800368","source":"PubMed","title":"High-resolution imaging of fluorescent whole mouse brains using stabilised organic media (sDISCO)","volume":"12","author":[{"family":"Hahn","given":"Christian"},{"family":"Becker","given":"Klaus"},{"family":"Saghafi","given":"Saiedeh"},{"family":"Pende","given":"Marko"},{"family":"Avdibašić","given":"Alma"},{"family":"Foroughipour","given":"Massih"},{"family":"Heinz","given":"Daniel E."},{"family":"Wotjak","given":"Carsten T."},{"family":"Dodt","given":"Hans-Ulrich"}],"issued":{"date-parts":[["2019",8]]}}}],"schema":"https://github.com/citation-style-language/schema/raw/master/csl-citation.json"} </w:instrText>
      </w:r>
      <w:r w:rsidRPr="005B6D91">
        <w:fldChar w:fldCharType="separate"/>
      </w:r>
      <w:r w:rsidRPr="00295E92">
        <w:t>[36]</w:t>
      </w:r>
      <w:r w:rsidRPr="005B6D91">
        <w:fldChar w:fldCharType="end"/>
      </w:r>
      <w:r w:rsidRPr="005B6D91">
        <w:t xml:space="preserve">. </w:t>
      </w:r>
      <w:r>
        <w:t>The purification</w:t>
      </w:r>
      <w:r w:rsidRPr="005B6D91">
        <w:t xml:space="preserve"> protocol requires great care given that the chemicals used are explosive.</w:t>
      </w:r>
    </w:p>
    <w:p w14:paraId="115A62FE" w14:textId="48CCC2F5" w:rsidR="00295E92" w:rsidRDefault="00295E92" w:rsidP="00295E92">
      <w:pPr>
        <w:pStyle w:val="MDPI31text"/>
      </w:pPr>
      <w:r>
        <w:t xml:space="preserve">Interestingly, we observed that the fluorescence of </w:t>
      </w:r>
      <w:proofErr w:type="spellStart"/>
      <w:r>
        <w:t>tdTomato</w:t>
      </w:r>
      <w:proofErr w:type="spellEnd"/>
      <w:r>
        <w:t xml:space="preserve"> was preserved immediately after the completion of the</w:t>
      </w:r>
      <w:r w:rsidR="00C778E5">
        <w:t xml:space="preserve"> modified</w:t>
      </w:r>
      <w:r>
        <w:t xml:space="preserve"> s-DISCO and ECi protocols by decreasing the dehydration time when clearing 100 µm thin lung sections. This finding might explain the variability in the results between users of the same protocols for different applications and samples </w:t>
      </w:r>
      <w:r>
        <w:fldChar w:fldCharType="begin"/>
      </w:r>
      <w:r w:rsidR="005D62C8">
        <w:instrText xml:space="preserve"> ADDIN ZOTERO_ITEM CSL_CITATION {"citationID":"RGa6aHln","properties":{"formattedCitation":"[37]","plainCitation":"[37]","noteIndex":0},"citationItems":[{"id":133,"uris":["http://zotero.org/users/8356313/items/7X6ZTMLR"],"itemData":{"id":133,"type":"article-journal","abstract":"The optical clearing of the cardiac tissue has always been a challenging goal to obtain successful three-dimensional reconstructions of entire hearts. Typically, the developed protocols are targeted at the clearing of the brain; cardiac tissue requires proper arrangements to the original protocols, which are usually tough and time-consuming to figure out. Here, we present the application of three different clearing methodologies on mouse hearts: uDISCO, CLARITY, and SHIELD. For each approach, we describe the required optimizations that we have developed to improve the outcome; in particular, we focus on comparing the features of the tissue after the application of each methodology, especially in terms of tissue preservation, transparency, and staining. We found that the uDISCO protocol induces strong fiber delamination of the cardiac tissue, thus reducing the reliability of structural analyses. The CLARITY protocol confers a high level of transparency to the heart and allows deep penetration of the fluorescent dyes; however, it requires long times for the clearing and the tissue loses its robustness. The SHIELD methodology, indeed, is very promising for tissue maintenance since it preserves its consistency and provides ideal transparency, but further approaches are needed to obtain homogeneous staining of the whole heart. Since the CLARITY procedure, despite the disadvantages in terms of tissue preservation and timings, is actually the most suitable approach to image labeled samples in depth, we optimized and performed the methodology also on human cardiac tissue from control hearts and hearts with hypertrophic cardiomyopathy.","collection-title":"The Resolution Revolution: Fluorescence Microscopy of Biological Samples from Micro to Meso","container-title":"Progress in Biophysics and Molecular Biology","DOI":"10.1016/j.pbiomolbio.2021.07.012","ISSN":"0079-6107","journalAbbreviation":"Progress in Biophysics and Molecular Biology","language":"en","page":"10-17","source":"ScienceDirect","title":"Optical clearing in cardiac imaging: A comparative study","title-short":"Optical clearing in cardiac imaging","volume":"168","author":[{"family":"Olianti","given":"Camilla"},{"family":"Giardini","given":"Francesco"},{"family":"Lazzeri","given":"Erica"},{"family":"Costantini","given":"Irene"},{"family":"Silvestri","given":"Ludovico"},{"family":"Coppini","given":"Raffaele"},{"family":"Cerbai","given":"Elisabetta"},{"family":"Pavone","given":"Francesco S."},{"family":"Sacconi","given":"Leonardo"}],"issued":{"date-parts":[["2022",1,1]]}}}],"schema":"https://github.com/citation-style-language/schema/raw/master/csl-citation.json"} </w:instrText>
      </w:r>
      <w:r>
        <w:fldChar w:fldCharType="separate"/>
      </w:r>
      <w:r w:rsidRPr="00295E92">
        <w:t>[37]</w:t>
      </w:r>
      <w:r>
        <w:fldChar w:fldCharType="end"/>
      </w:r>
      <w:r>
        <w:t xml:space="preserve">. Moreover, it indicates that optimizing the duration of the dehydration steps might be necessary when implementing a solvent-based optical tissue clearing method where fluorescent proteins are involved. Decreasing the dehydration time might result in protein-based fluorescence preservation but it would come at a cost regarding sample transparency. Moreover, dehydration is not the only factor that affects </w:t>
      </w:r>
      <w:proofErr w:type="spellStart"/>
      <w:r>
        <w:t>tdTomato</w:t>
      </w:r>
      <w:proofErr w:type="spellEnd"/>
      <w:r>
        <w:t xml:space="preserve"> as evidenced by the preservation of fluorescence upon storage in ECi, but not in DBE, indicating that the RI matching solvent also plays a critical role in fluorescence quenching. </w:t>
      </w:r>
    </w:p>
    <w:p w14:paraId="53947247" w14:textId="3DBB8E16" w:rsidR="00295E92" w:rsidRDefault="00295E92" w:rsidP="00295E92">
      <w:pPr>
        <w:pStyle w:val="MDPI31text"/>
      </w:pPr>
      <w:r w:rsidRPr="005B6D91">
        <w:t xml:space="preserve">Temperature and pH have also been </w:t>
      </w:r>
      <w:r>
        <w:t>proven</w:t>
      </w:r>
      <w:r w:rsidRPr="005B6D91">
        <w:t xml:space="preserve"> to play an important </w:t>
      </w:r>
      <w:r>
        <w:t>part</w:t>
      </w:r>
      <w:r w:rsidRPr="005B6D91">
        <w:t xml:space="preserve"> in fluorescence </w:t>
      </w:r>
      <w:r>
        <w:t>reten</w:t>
      </w:r>
      <w:r w:rsidRPr="005B6D91">
        <w:t xml:space="preserve">tion, with alkaline pH and 4°C being the optimal parameters that allow fluorescent protein preservation. The studies that showed this were done specifically to preserve GFP fluorescence </w:t>
      </w:r>
      <w:r w:rsidRPr="00DD33E4">
        <w:fldChar w:fldCharType="begin"/>
      </w:r>
      <w:r w:rsidR="005D62C8">
        <w:instrText xml:space="preserve"> ADDIN ZOTERO_ITEM CSL_CITATION {"citationID":"wql0DMxe","properties":{"formattedCitation":"[33], [38], [39]","plainCitation":"[33], [38], [39]","noteIndex":0},"citationItems":[{"id":42,"uris":["http://zotero.org/users/8356313/items/R7K2A7KW"],"itemData":{"id":42,"type":"article-journal","abstract":"The examination of tissue histology by light microscopy is a fundamental tool for investigating the structure and function of organs under normal and disease states. Many current techniques for tissue sectioning, imaging and analysis are time-consuming, and they present major limitations for 3D tissue reconstruction. The introduction of methods to achieve the optical clearing and subsequent light-sheet laser scanning of entire transparent organs without sectioning represents a major advance in the field. We recently developed a highly reproducible and versatile clearing procedure called 3D imaging of solvent-cleared organs, or 3DISCO, which is applicable to diverse tissues including brain, spinal cord, immune organs and tumors. Here we describe a detailed protocol for performing 3DISCO and present its application to various microscopy techniques, including example results from various mouse tissues. The tissue clearing takes as little as 3 h, and imaging can be completed in </w:instrText>
      </w:r>
      <w:r w:rsidR="005D62C8">
        <w:rPr>
          <w:rFonts w:ascii="Cambria Math" w:hAnsi="Cambria Math" w:cs="Cambria Math"/>
        </w:rPr>
        <w:instrText>∼</w:instrText>
      </w:r>
      <w:r w:rsidR="005D62C8">
        <w:instrText xml:space="preserve">45 min. 3DISCO is a powerful technique that offers 3D histological views of tissues in a fraction of the time and labor required to complete standard histology studies.","container-title":"Nature Protocols","DOI":"10.1038/nprot.2012.119","ISSN":"1750-2799","issue":"11","journalAbbreviation":"Nat Protoc","language":"en","license":"2012 Nature Publishing Group, a division of Macmillan Publishers Limited. All Rights Reserved.","note":"Bandiera_abtest: a\nCg_type: Nature Research Journals\nnumber: 11\nPrimary_atype: Protocols\npublisher: Nature Publishing Group\nSubject_term: 3-D reconstruction\nSubject_term_id: 3d-reconstruction","page":"1983-1995","source":"www.nature.com","title":"Three-dimensional imaging of solvent-cleared organs using 3DISCO","volume":"7","author":[{"family":"Ertürk","given":"Ali"},{"family":"Becker","given":"Klaus"},{"family":"Jährling","given":"Nina"},{"family":"Mauch","given":"Christoph P."},{"family":"Hojer","given":"Caroline D."},{"family":"Egen","given":"Jackson G."},{"family":"Hellal","given":"Farida"},{"family":"Bradke","given":"Frank"},{"family":"Sheng","given":"Morgan"},{"family":"Dodt","given":"Hans-Ulrich"}],"issued":{"date-parts":[["2012",11]]}},"label":"page"},{"id":33,"uris":["http://zotero.org/users/8356313/items/UNG5BE65"],"itemData":{"id":33,"type":"article-journal","abstract":"Tissue optical clearing techniques provide alternative approaches for imaging large-volume specimens. uDISCO, an organic-solvent-based method, stands out from the enormous array of available optical clearing methods by achieving whole-brain imaging with high transparency, size reduction and fluorescence preservation. In this study, we aimed to modify the uDISCO protocol to achieve better fluorescence preservation and to thereby further improve its optical imaging quality. First, we determined the optimal pH value for optimized uDISCO, termed \"a-uDISCO\" (alkaline pH-based uDISCO). Then, we compared fluorescence preservation between a-uDISCO and uDISCO. In addition, we validated the clearing performance of the optimized method according to several parameters, including tissue transparency, size changes, and the maintenance of cell morphology. Finally, we demonstrated that a-uDISCO enabled the high-quality brain-wide visualization of neuronal structures. This method potentially provides a better alternative for high-throughput imaging of samples with low-level fluorescence protein expression or for archiving and repetitive revisiting of rare samples.","container-title":"Frontiers in Neuroanatomy","DOI":"10.3389/fnana.2018.00067","ISSN":"1662-5129","journalAbbreviation":"Front Neuroanat","language":"eng","note":"PMID: 30158858\nPMCID: PMC6104128","page":"67","source":"PubMed","title":"Optimization of GFP Fluorescence Preservation by a Modified uDISCO Clearing Protocol","volume":"12","author":[{"family":"Li","given":"Yusha"},{"family":"Xu","given":"Jianyi"},{"family":"Wan","given":"Peng"},{"family":"Yu","given":"Tingting"},{"family":"Zhu","given":"Dan"}],"issued":{"date-parts":[["2018"]]}},"label":"page"},{"id":55,"uris":["http://zotero.org/users/8356313/items/KXCN5QE7"],"itemData":{"id":55,"type":"article-journal","abstract":"Various optical clearing methods have emerged as powerful tools for deep biological imaging. Organic solvent-based clearing methods, such as three-dimensional imaging of solvent-cleared organs (3DISCO), present the advantages of high clearing efficiency and size reduction for panoptic imaging of large samples such as whole organs and even whole bodies. However, 3DISCO results in a rapid quenching of endogenous fluorescence, which has impeded its application. Here, we propose an advanced method named FDISCO to overcome this limitation. FDISCO can effectively preserve the fluorescence of various fluorescent probes and can achieve a long storage time of months while retaining potent clearing capability. We used FDISCO for high-resolution imaging and reconstruction of neuronal and vascular networks. Moreover, FDISCO is compatible with labeling by multiple viruses and enables fine visualization of neurons with weak fluorescence labeling in the whole brain. FDISCO represents an effective alternative to the three-dimensional mapping of whole organs and can be extensively used in biomedical studies.","container-title":"Science Advances","DOI":"10.1126/sciadv.aau8355","ISSN":"2375-2548","issue":"1","journalAbbreviation":"Sci Adv","language":"eng","note":"PMID: 30746463\nPMCID: PMC6357753","page":"eaau8355","source":"PubMed","title":"FDISCO: Advanced solvent-based clearing method for imaging whole organs","title-short":"FDISCO","volume":"5","author":[{"family":"Qi","given":"Yisong"},{"family":"Yu","given":"Tingting"},{"family":"Xu","given":"Jianyi"},{"family":"Wan","given":"Peng"},{"family":"Ma","given":"Yilin"},{"family":"Zhu","given":"Jingtan"},{"family":"Li","given":"Yusha"},{"family":"Gong","given":"Hui"},{"family":"Luo","given":"Qingming"},{"family":"Zhu","given":"Dan"}],"issued":{"date-parts":[["2019",1]]}},"label":"page"}],"schema":"https://github.com/citation-style-language/schema/raw/master/csl-citation.json"} </w:instrText>
      </w:r>
      <w:r w:rsidRPr="00DD33E4">
        <w:fldChar w:fldCharType="separate"/>
      </w:r>
      <w:r w:rsidRPr="00295E92">
        <w:t>[33], [38], [39]</w:t>
      </w:r>
      <w:r w:rsidRPr="00DD33E4">
        <w:fldChar w:fldCharType="end"/>
      </w:r>
      <w:r w:rsidRPr="005B6D91">
        <w:t xml:space="preserve">. Although we followed these recommendations, we failed to visualize </w:t>
      </w:r>
      <w:proofErr w:type="spellStart"/>
      <w:r w:rsidRPr="005B6D91">
        <w:t>tdTomato</w:t>
      </w:r>
      <w:proofErr w:type="spellEnd"/>
      <w:r w:rsidRPr="005B6D91">
        <w:t xml:space="preserve"> fluorescence.</w:t>
      </w:r>
    </w:p>
    <w:p w14:paraId="00F0FCFE" w14:textId="5271F9A6" w:rsidR="00295E92" w:rsidRDefault="00295E92" w:rsidP="00295E92">
      <w:pPr>
        <w:pStyle w:val="MDPI31text"/>
      </w:pPr>
      <w:r>
        <w:t xml:space="preserve">Preservation of other fluorescent compounds, such as </w:t>
      </w:r>
      <w:r w:rsidR="00264D99">
        <w:t xml:space="preserve">fluorescently-labelled antibodies and </w:t>
      </w:r>
      <w:r>
        <w:t>synthetic organic dyes, is another consideration when selecting a tissue clearing method for a particular application. To s</w:t>
      </w:r>
      <w:r w:rsidRPr="005B6D91">
        <w:t xml:space="preserve">tudy </w:t>
      </w:r>
      <w:proofErr w:type="spellStart"/>
      <w:r>
        <w:t>hUC</w:t>
      </w:r>
      <w:proofErr w:type="spellEnd"/>
      <w:r>
        <w:t>-</w:t>
      </w:r>
      <w:r w:rsidRPr="005B6D91">
        <w:t>MSC distribution with spatial landmarks in the 3D lung context</w:t>
      </w:r>
      <w:r>
        <w:t>,</w:t>
      </w:r>
      <w:r w:rsidRPr="005B6D91">
        <w:t xml:space="preserve"> the vasculature </w:t>
      </w:r>
      <w:r>
        <w:t>was labelled with</w:t>
      </w:r>
      <w:r w:rsidRPr="005B6D91">
        <w:t xml:space="preserve"> Evans Blue</w:t>
      </w:r>
      <w:r>
        <w:t>.</w:t>
      </w:r>
      <w:r w:rsidRPr="005B6D91">
        <w:t xml:space="preserve"> CUBIC </w:t>
      </w:r>
      <w:r>
        <w:t xml:space="preserve">washed away the </w:t>
      </w:r>
      <w:r w:rsidRPr="005B6D91">
        <w:t>dye</w:t>
      </w:r>
      <w:r>
        <w:t>,</w:t>
      </w:r>
      <w:r w:rsidRPr="005B6D91">
        <w:t xml:space="preserve"> while</w:t>
      </w:r>
      <w:r w:rsidR="00D7382C">
        <w:t xml:space="preserve"> the modified</w:t>
      </w:r>
      <w:r w:rsidRPr="005B6D91">
        <w:t xml:space="preserve"> s</w:t>
      </w:r>
      <w:r>
        <w:t>-</w:t>
      </w:r>
      <w:r w:rsidRPr="005B6D91">
        <w:t xml:space="preserve">DISCO and ECi preserved </w:t>
      </w:r>
      <w:r>
        <w:t>Evans Blue fluorescence</w:t>
      </w:r>
      <w:r w:rsidRPr="005B6D91">
        <w:t>.</w:t>
      </w:r>
      <w:r w:rsidR="000A1E26">
        <w:t xml:space="preserve"> Other approaches</w:t>
      </w:r>
      <w:r w:rsidR="00D01578">
        <w:t xml:space="preserve"> to label the vasculature such as lectin </w:t>
      </w:r>
      <w:r w:rsidR="004A5071">
        <w:t>staining,</w:t>
      </w:r>
      <w:r w:rsidR="00D01578">
        <w:t xml:space="preserve"> perfusion</w:t>
      </w:r>
      <w:r w:rsidR="00C90466">
        <w:t>-</w:t>
      </w:r>
      <w:r w:rsidR="00D01578">
        <w:t xml:space="preserve">based </w:t>
      </w:r>
      <w:r w:rsidR="00B943B8">
        <w:t>fluorescent dextran staining and</w:t>
      </w:r>
      <w:r w:rsidR="008A3E62">
        <w:t xml:space="preserve"> </w:t>
      </w:r>
      <w:r w:rsidR="00B943B8">
        <w:t>perfusion with Cy</w:t>
      </w:r>
      <w:r w:rsidR="008A3E62">
        <w:t>7-PEI dye were attempted. Lectin</w:t>
      </w:r>
      <w:r w:rsidR="004A5071">
        <w:t xml:space="preserve"> stains were not compatible with CUBIC, while</w:t>
      </w:r>
      <w:r w:rsidR="00C90466">
        <w:t xml:space="preserve"> perfusion with fluorescent dextran or Cy7-PEI did not stain the vasculature </w:t>
      </w:r>
      <w:r w:rsidR="00E91ACB">
        <w:t xml:space="preserve">homogeneously </w:t>
      </w:r>
      <w:r w:rsidR="00EC21E4">
        <w:t>and w</w:t>
      </w:r>
      <w:r w:rsidR="00A45E53">
        <w:t>ere</w:t>
      </w:r>
      <w:r w:rsidR="00EC21E4">
        <w:t xml:space="preserve"> thus not taken forward for testing in combination with optical tissue clearing </w:t>
      </w:r>
      <w:r w:rsidR="00E91ACB">
        <w:t>(not shown).</w:t>
      </w:r>
    </w:p>
    <w:p w14:paraId="4F8946F7" w14:textId="644E695A" w:rsidR="00BA511C" w:rsidRDefault="00BA511C" w:rsidP="00295E92">
      <w:pPr>
        <w:pStyle w:val="MDPI31text"/>
      </w:pPr>
      <w:r>
        <w:t>Immunofluorescent staining of whole</w:t>
      </w:r>
      <w:r w:rsidR="00A90060">
        <w:t xml:space="preserve"> organs enables </w:t>
      </w:r>
      <w:r w:rsidR="00CD31FE">
        <w:t xml:space="preserve">studying </w:t>
      </w:r>
      <w:r w:rsidR="00E70528">
        <w:t>biological processes at single-cell resolution</w:t>
      </w:r>
      <w:r w:rsidR="00CD31FE">
        <w:t xml:space="preserve"> while maintaining tissue integrity as well as structure and cell localization. </w:t>
      </w:r>
      <w:r w:rsidR="00C51E9D">
        <w:t>Nevertheless</w:t>
      </w:r>
      <w:r w:rsidR="00CD31FE">
        <w:t>,</w:t>
      </w:r>
      <w:r w:rsidR="008330E0">
        <w:t xml:space="preserve"> staining thick tissues</w:t>
      </w:r>
      <w:r w:rsidR="00D95541">
        <w:t xml:space="preserve"> poses challenges </w:t>
      </w:r>
      <w:r w:rsidR="002B511E">
        <w:t xml:space="preserve">that need to be considered when opting for this method, </w:t>
      </w:r>
      <w:r w:rsidR="00D95541">
        <w:t>such as non-specific binding, poor antibody diffusion, long incubation times</w:t>
      </w:r>
      <w:r w:rsidR="00844901">
        <w:t>,</w:t>
      </w:r>
      <w:r w:rsidR="00C80A35">
        <w:t xml:space="preserve"> high background</w:t>
      </w:r>
      <w:r w:rsidR="00844901">
        <w:t xml:space="preserve">, and </w:t>
      </w:r>
      <w:r w:rsidR="004A1E11">
        <w:t>long working distance objectives</w:t>
      </w:r>
      <w:r w:rsidR="00C80A35">
        <w:t xml:space="preserve"> </w:t>
      </w:r>
      <w:r w:rsidR="00C80A35">
        <w:fldChar w:fldCharType="begin"/>
      </w:r>
      <w:r w:rsidR="00C80A35">
        <w:instrText xml:space="preserve"> ADDIN ZOTERO_ITEM CSL_CITATION {"citationID":"f5a5PrIP","properties":{"formattedCitation":"[40]","plainCitation":"[40]","noteIndex":0},"citationItems":[{"id":1659,"uris":["http://zotero.org/users/8356313/items/GLGBXABZ"],"itemData":{"id":1659,"type":"article-journal","abstract":"Purpose\nTo develop a new method of whole mount immunostaining that improves the penetration of staining reagents into the cornea and decreases non-specific binding and background.\n\nMethods\nAdult mouse corneas were fixed overnight in 4% paraformaldehyde or a mixture of 4% paraformaldehyde and 0.2% glutaraldehyde in 0.1 M phosphate buffer, pH 7.4, at 4 °C. After washing with 0.1% Triton X-100, corneas were embedded in 1% solidified agarose in a plastic column and fluorescent staining reagents, e.g., FITC-IgG (Fluorescein isothiocyanate- immunoglobulinG) conjugates in 0.5% solidified agarose was overlaid onto the specimens. The column was directionally immersed in a submarine gel electrophoresis apparatus filled with Tris-glycine buffer (TGB, pH=7.4) and electrophoresed at 4–10 mA for 10–24 h. For comparison, conventional protocols of immune fluorescent staining were also employed. The outcomes were evaluated by confocal microscopy.\n\nResults\nAntibody conjugates recognizing extracellular matrix (ECM) components, integral membrane protein, and intracellular structural proteins were used in whole mount corneas. The images of confocal laser scanning microscopy (CLSM) displayed a uniform distribution pattern of keratocan in corneal stroma, which is similar to that of section-staining. Anti-β-tubulin antibodies bound to microtubes that are distributed within the whole cell body of superficial corneal epithelium cells and stromal keratocytes, but it was found perinuclear of corneal epithelial wing layers and endothelium; integral membrane protein, FAK (focal adhesion kinase), specifically labeled stromal cells of keratectomy corneas that healed for three weeks. In comparison, conventional protocols of immune fluorescent staining using the same antibody conjugates were also employed but did not yield satisfactory results. It was found that IgG conjugates examined did not readily penetrate into stroma and/or intact corneal epithelium. Phalloidin is a small molecule that can readily penetrate into deep tissue and preferentially binds to F-actin. After the whole mount electrofluorescent staining of phalloidin-rhodamine in the mouse cornea, the results were the same as conventional whole mount staining during the healing of epithelial debridement. The cytoplasmic protrusion formed by lamellipodia and filopodia can be clearly demonstrated.\n\nConclusions\nThese results indicate that the whole mount electro-immunofluorescent staining allows the detection of antigens in all layers of cornea, i.e., epithelium, stroma, and endothelium.","container-title":"Molecular Vision","ISSN":"1090-0535","journalAbbreviation":"Mol Vis","note":"PMID: 19262742\nPMCID: PMC2650717","page":"505-517","source":"PubMed Central","title":"A novel protocol of whole mount electro-immunofluorescence staining","volume":"15","author":[{"family":"Liu","given":"Hongshan"},{"family":"Kao","given":"Winston W.Y."}],"issued":{"date-parts":[["2009",3,6]]}}}],"schema":"https://github.com/citation-style-language/schema/raw/master/csl-citation.json"} </w:instrText>
      </w:r>
      <w:r w:rsidR="00C80A35">
        <w:fldChar w:fldCharType="separate"/>
      </w:r>
      <w:r w:rsidR="00C80A35" w:rsidRPr="00C80A35">
        <w:t>[40]</w:t>
      </w:r>
      <w:r w:rsidR="00C80A35">
        <w:fldChar w:fldCharType="end"/>
      </w:r>
      <w:r w:rsidR="002B511E">
        <w:t>.</w:t>
      </w:r>
      <w:r w:rsidR="00EF23E7">
        <w:t xml:space="preserve"> </w:t>
      </w:r>
      <w:r w:rsidR="00DB1F52">
        <w:t>Although we did no stain the whole lung,</w:t>
      </w:r>
      <w:r w:rsidR="00A11592">
        <w:t xml:space="preserve"> 500 µm thick </w:t>
      </w:r>
      <w:r w:rsidR="00DF535E">
        <w:t xml:space="preserve">lung </w:t>
      </w:r>
      <w:r w:rsidR="00A11592">
        <w:t xml:space="preserve">sections </w:t>
      </w:r>
      <w:r w:rsidR="006C3119">
        <w:t>provide a better representation of the bio</w:t>
      </w:r>
      <w:r w:rsidR="00DB1F52">
        <w:t>distribution</w:t>
      </w:r>
      <w:r w:rsidR="00CD6365">
        <w:t xml:space="preserve"> of the administered </w:t>
      </w:r>
      <w:proofErr w:type="spellStart"/>
      <w:r w:rsidR="00DB1F52">
        <w:t>hUC</w:t>
      </w:r>
      <w:proofErr w:type="spellEnd"/>
      <w:r w:rsidR="00DB1F52">
        <w:t>-MSCs i</w:t>
      </w:r>
      <w:r w:rsidR="00CD6365">
        <w:t>n comparison with tradi</w:t>
      </w:r>
      <w:r w:rsidR="00E8141D">
        <w:t>tional thin sections standar</w:t>
      </w:r>
      <w:r w:rsidR="00DB1F52">
        <w:t>d</w:t>
      </w:r>
      <w:r w:rsidR="00E8141D">
        <w:t xml:space="preserve"> in histological studies</w:t>
      </w:r>
      <w:r w:rsidR="001A55C5">
        <w:t>, while saving</w:t>
      </w:r>
      <w:r w:rsidR="002F121D">
        <w:t xml:space="preserve"> costs and reducing the need for specialized microscopy equipment.</w:t>
      </w:r>
    </w:p>
    <w:p w14:paraId="64939423" w14:textId="7472FE8D" w:rsidR="001F4EBE" w:rsidRPr="005B6D91" w:rsidRDefault="001F4EBE" w:rsidP="00295E92">
      <w:pPr>
        <w:pStyle w:val="MDPI31text"/>
      </w:pPr>
      <w:r>
        <w:t>The</w:t>
      </w:r>
      <w:r w:rsidR="0081604F">
        <w:t xml:space="preserve"> field of optical tissue clearing is moving</w:t>
      </w:r>
      <w:r w:rsidR="002A5BA3">
        <w:t xml:space="preserve"> at a </w:t>
      </w:r>
      <w:r w:rsidR="0087011A">
        <w:t>fast pace</w:t>
      </w:r>
      <w:r w:rsidR="0081604F">
        <w:t xml:space="preserve"> with new protocols becoming available.</w:t>
      </w:r>
      <w:r w:rsidR="0087011A">
        <w:t xml:space="preserve"> Here, we did not </w:t>
      </w:r>
      <w:r w:rsidR="00B91748">
        <w:t xml:space="preserve">find a single protocol that </w:t>
      </w:r>
      <w:r w:rsidR="00A341E0">
        <w:t xml:space="preserve">allowed us to preserve the fluorescence of </w:t>
      </w:r>
      <w:proofErr w:type="spellStart"/>
      <w:r w:rsidR="00A341E0">
        <w:t>tdTomato</w:t>
      </w:r>
      <w:proofErr w:type="spellEnd"/>
      <w:r w:rsidR="00A341E0">
        <w:t xml:space="preserve">, stain the vasculature and </w:t>
      </w:r>
      <w:r w:rsidR="00583A96">
        <w:t>perform immunostaining simultaneously</w:t>
      </w:r>
      <w:r w:rsidR="0078775A">
        <w:t xml:space="preserve"> highlighting the challenges</w:t>
      </w:r>
      <w:r w:rsidR="00BB613E">
        <w:t xml:space="preserve"> of establishing an optical tissue clearing method for a new application</w:t>
      </w:r>
      <w:r w:rsidR="009A0FB4">
        <w:t xml:space="preserve">. </w:t>
      </w:r>
      <w:r w:rsidR="00BB613E">
        <w:t>Alter</w:t>
      </w:r>
      <w:r w:rsidR="00C46DEC">
        <w:t>n</w:t>
      </w:r>
      <w:r w:rsidR="00BB613E">
        <w:t>ative</w:t>
      </w:r>
      <w:r w:rsidR="009A0FB4">
        <w:t xml:space="preserve"> protocols</w:t>
      </w:r>
      <w:r w:rsidR="00BB613E">
        <w:t xml:space="preserve"> that</w:t>
      </w:r>
      <w:r w:rsidR="009A0FB4">
        <w:t xml:space="preserve"> could be tested in the future</w:t>
      </w:r>
      <w:r w:rsidR="00BB613E">
        <w:t xml:space="preserve"> include Ce3D,</w:t>
      </w:r>
      <w:r w:rsidR="00C46DEC">
        <w:t xml:space="preserve"> </w:t>
      </w:r>
      <w:proofErr w:type="spellStart"/>
      <w:r w:rsidR="00C46DEC">
        <w:t>OPTIClear</w:t>
      </w:r>
      <w:proofErr w:type="spellEnd"/>
      <w:r w:rsidR="00C46DEC">
        <w:t>,</w:t>
      </w:r>
      <w:r w:rsidR="005D62C8">
        <w:t xml:space="preserve"> and</w:t>
      </w:r>
      <w:r w:rsidR="00C46DEC">
        <w:t xml:space="preserve"> MACS</w:t>
      </w:r>
      <w:r w:rsidR="005D62C8">
        <w:t xml:space="preserve"> </w:t>
      </w:r>
      <w:r w:rsidR="005D62C8">
        <w:fldChar w:fldCharType="begin"/>
      </w:r>
      <w:r w:rsidR="00C80A35">
        <w:instrText xml:space="preserve"> ADDIN ZOTERO_ITEM CSL_CITATION {"citationID":"hA7MtWBA","properties":{"formattedCitation":"[14], [41], [42]","plainCitation":"[14], [41], [42]","noteIndex":0},"citationItems":[{"id":63,"uris":["http://zotero.org/users/8356313/items/TE26N9SI"],"itemData":{"id":63,"type":"article-journal","abstract":"Understanding the structure-function relationships between diverse cell types in a complex organ environment requires detailed in situ reconstruction of cell-associated molecular properties in the context of 3D, macro-scale tissue architecture. We recently developed clearing-enhanced 3D (Ce3D), a simple and effective method for tissue clearing that achieves excellent transparency; preserves cell morphology, tissue architecture, and reporter molecule fluorescence; and is robustly compatible with direct immunolabeling. These characteristics permit high-quality multiplex fluorescence microscopy of large tissue volumes, as well as image analysis using advanced platforms such as volumetric histocytometry, collectively allowing quantitative characterization of cells with respect to their spatial positioning within tissues on the basis of phenotypic and functional markers. Ce3D clearing is fast, achieving robust transparency of most tissues within 24 h, albeit still necessitating additional time for staining, imaging, and analysis (1-2 weeks). Here, we provide detailed procedures for tissue clearing using Ce3D, including optimized workflows for tissue processing and staining, as well as treatment of difficult-to-clear organs such as the brain. We also describe a new procedure for RNA detection in Ce3D-treated tissues, as well as provide additional details for the volumetric histocytometry data processing steps. Finally, we discuss limitations and work-around strategies for improving antibody-based tissue immunolabeling, fluorophore multiplexing, large-volume microscopy, and computational analysis of large image datasets. Together, these detailed procedures and solutions for high-resolution volumetric microscopy with Ce3D enable quantitative visualization of cells and tissues at a high level of detail, allowing exploration of cellular spatial relationships in a variety of tissue settings.","container-title":"Nature Protocols","DOI":"10.1038/s41596-019-0156-4","ISSN":"1750-2799","issue":"6","journalAbbreviation":"Nat Protoc","language":"eng","note":"PMID: 31028373","page":"1708-1733","source":"PubMed","title":"High-dimensional cell-level analysis of tissues with Ce3D multiplex volume imaging","volume":"14","author":[{"family":"Li","given":"Weizhe"},{"family":"Germain","given":"Ronald N."},{"family":"Gerner","given":"Michael Y."}],"issued":{"date-parts":[["2019",6]]}}},{"id":1653,"uris":["http://zotero.org/users/8356313/items/CFNY98FY"],"itemData":{"id":1653,"type":"article-journal","abstract":"Modern clearing techniques for the three-dimensional (3D) visualisation of neural tissue microstructure have been very effective when used on rodent brain but very few studies have utilised them on human brain material, mainly due to the inherent difficulties in processing post-mortem tissue. Here we develop a tissue clearing solution, OPTIClear, optimised for fresh and archival human brain tissue, including formalin-fixed paraffin-embedded material. In light of practical challenges with immunostaining in tissue clearing, we adapt the use of cresyl violet for visualisation of neurons in cleared tissue, with the potential for 3D quantification in regions of interest. Furthermore, we use lipophilic tracers for tracing of neuronal processes in post-mortem tissue, enabling the study of the morphology of human dendritic spines in 3D. The development of these different strategies for human tissue clearing has wide applicability and, we hope, will provide a baseline for further technique development.","container-title":"Nature Communications","DOI":"10.1038/s41467-018-03359-w","ISSN":"2041-1723","issue":"1","journalAbbreviation":"Nat Commun","language":"en","license":"2018 The Author(s)","note":"number: 1\npublisher: Nature Publishing Group","page":"1066","source":"www.nature.com","title":"Next generation histology methods for three-dimensional imaging of fresh and archival human brain tissues","volume":"9","author":[{"family":"Lai","given":"Hei Ming"},{"family":"Liu","given":"Alan King Lun"},{"family":"Ng","given":"Harry Ho Man"},{"family":"Goldfinger","given":"Marc H."},{"family":"Chau","given":"Tsz Wing"},{"family":"DeFelice","given":"John"},{"family":"Tilley","given":"Bension S."},{"family":"Wong","given":"Wai Man"},{"family":"Wu","given":"Wutian"},{"family":"Gentleman","given":"Steve M."}],"issued":{"date-parts":[["2018",3,14]]}}},{"id":1656,"uris":["http://zotero.org/users/8356313/items/5KYU9VBF"],"itemData":{"id":1656,"type":"article-journal","abstract":"Tissue optical clearing techniques have provided important tools for large-volume imaging. Aqueous-based clearing methods are known for good fluorescence preservation and scalable size maintenance, but are limited by long incubation time, insufficient clearing performance, or requirements for specialized devices. Additionally, few clearing methods are compatible with widely used lipophilic dyes while maintaining high clearing performance. Here, to address these issues, m-xylylenediamine (MXDA) is firstly introduced into tissue clearing and used to develop a rapid, highly efficient aqueous clearing method with robust lipophilic dyes compatibility, termed MXDA-based Aqueous Clearing System (MACS). MACS can render whole adult brains highly transparent within 2.5 days and is also applicable for other intact organs. Meanwhile, MACS possesses ideal compatibility with multiple probes, especially for lipophilic dyes. MACS achieves 3D imaging of the intact neural structures labeled by various techniques. Combining MACS with DiI labeling, MACS allows reconstruction of the detailed vascular structures of various organs and generates 3D pathology of glomeruli tufts in healthy and diabetic kidneys. Therefore, MACS provides a useful method for 3D mapping of intact tissues and is expected to facilitate morphological, physiological, and pathological studies of various organs.","container-title":"Advanced Science","DOI":"10.1002/advs.201903185","ISSN":"2198-3844","issue":"8","language":"en","note":"_eprint: https://onlinelibrary.wiley.com/doi/pdf/10.1002/advs.201903185","page":"1903185","source":"Wiley Online Library","title":"MACS: Rapid Aqueous Clearing System for 3D Mapping of Intact Organs","title-short":"MACS","volume":"7","author":[{"family":"Zhu","given":"Jingtan"},{"family":"Yu","given":"Tingting"},{"family":"Li","given":"Yusha"},{"family":"Xu","given":"Jianyi"},{"family":"Qi","given":"Yisong"},{"family":"Yao","given":"Yingtao"},{"family":"Ma","given":"Yilin"},{"family":"Wan","given":"Peng"},{"family":"Chen","given":"Zhilong"},{"family":"Li","given":"Xiangning"},{"family":"Gong","given":"Hui"},{"family":"Luo","given":"Qingming"},{"family":"Zhu","given":"Dan"}],"issued":{"date-parts":[["2020"]]}}}],"schema":"https://github.com/citation-style-language/schema/raw/master/csl-citation.json"} </w:instrText>
      </w:r>
      <w:r w:rsidR="005D62C8">
        <w:fldChar w:fldCharType="separate"/>
      </w:r>
      <w:r w:rsidR="00C80A35" w:rsidRPr="00C80A35">
        <w:t>[14], [41], [42]</w:t>
      </w:r>
      <w:r w:rsidR="005D62C8">
        <w:fldChar w:fldCharType="end"/>
      </w:r>
      <w:r w:rsidR="00C46DEC">
        <w:t>.</w:t>
      </w:r>
      <w:r w:rsidR="000C1C29">
        <w:t xml:space="preserve"> </w:t>
      </w:r>
      <w:r w:rsidR="00283E4B">
        <w:t>The Ce3D protocol has been tested for lung tissue and is compatible with immunofluorescent staining of immune cells</w:t>
      </w:r>
      <w:r w:rsidR="00674F79">
        <w:t xml:space="preserve"> while preserving fluorescence of reporter proteins</w:t>
      </w:r>
      <w:r w:rsidR="008D6B7A">
        <w:t xml:space="preserve"> </w:t>
      </w:r>
      <w:r w:rsidR="008D6B7A">
        <w:fldChar w:fldCharType="begin"/>
      </w:r>
      <w:r w:rsidR="008D6B7A">
        <w:instrText xml:space="preserve"> ADDIN ZOTERO_ITEM CSL_CITATION {"citationID":"IL4AAbT9","properties":{"formattedCitation":"[14]","plainCitation":"[14]","noteIndex":0},"citationItems":[{"id":63,"uris":["http://zotero.org/users/8356313/items/TE26N9SI"],"itemData":{"id":63,"type":"article-journal","abstract":"Understanding the structure-function relationships between diverse cell types in a complex organ environment requires detailed in situ reconstruction of cell-associated molecular properties in the context of 3D, macro-scale tissue architecture. We recently developed clearing-enhanced 3D (Ce3D), a simple and effective method for tissue clearing that achieves excellent transparency; preserves cell morphology, tissue architecture, and reporter molecule fluorescence; and is robustly compatible with direct immunolabeling. These characteristics permit high-quality multiplex fluorescence microscopy of large tissue volumes, as well as image analysis using advanced platforms such as volumetric histocytometry, collectively allowing quantitative characterization of cells with respect to their spatial positioning within tissues on the basis of phenotypic and functional markers. Ce3D clearing is fast, achieving robust transparency of most tissues within 24 h, albeit still necessitating additional time for staining, imaging, and analysis (1-2 weeks). Here, we provide detailed procedures for tissue clearing using Ce3D, including optimized workflows for tissue processing and staining, as well as treatment of difficult-to-clear organs such as the brain. We also describe a new procedure for RNA detection in Ce3D-treated tissues, as well as provide additional details for the volumetric histocytometry data processing steps. Finally, we discuss limitations and work-around strategies for improving antibody-based tissue immunolabeling, fluorophore multiplexing, large-volume microscopy, and computational analysis of large image datasets. Together, these detailed procedures and solutions for high-resolution volumetric microscopy with Ce3D enable quantitative visualization of cells and tissues at a high level of detail, allowing exploration of cellular spatial relationships in a variety of tissue settings.","container-title":"Nature Protocols","DOI":"10.1038/s41596-019-0156-4","ISSN":"1750-2799","issue":"6","journalAbbreviation":"Nat Protoc","language":"eng","note":"PMID: 31028373","page":"1708-1733","source":"PubMed","title":"High-dimensional cell-level analysis of tissues with Ce3D multiplex volume imaging","volume":"14","author":[{"family":"Li","given":"Weizhe"},{"family":"Germain","given":"Ronald N."},{"family":"Gerner","given":"Michael Y."}],"issued":{"date-parts":[["2019",6]]}}}],"schema":"https://github.com/citation-style-language/schema/raw/master/csl-citation.json"} </w:instrText>
      </w:r>
      <w:r w:rsidR="008D6B7A">
        <w:fldChar w:fldCharType="separate"/>
      </w:r>
      <w:r w:rsidR="008D6B7A" w:rsidRPr="008D6B7A">
        <w:t>[14]</w:t>
      </w:r>
      <w:r w:rsidR="008D6B7A">
        <w:fldChar w:fldCharType="end"/>
      </w:r>
      <w:r w:rsidR="00674F79">
        <w:t>.</w:t>
      </w:r>
      <w:r w:rsidR="003F4DA4">
        <w:t xml:space="preserve"> </w:t>
      </w:r>
      <w:proofErr w:type="spellStart"/>
      <w:r w:rsidR="00D82477">
        <w:t>OPTIClear</w:t>
      </w:r>
      <w:proofErr w:type="spellEnd"/>
      <w:r w:rsidR="00D82477">
        <w:t xml:space="preserve"> </w:t>
      </w:r>
      <w:r w:rsidR="00275690">
        <w:t xml:space="preserve">preserves </w:t>
      </w:r>
      <w:r w:rsidR="00C71A70">
        <w:t xml:space="preserve">fluorescence proteins, is compatible with lipophilic labels and most fluorescent dyes. Although </w:t>
      </w:r>
      <w:r w:rsidR="001A1691">
        <w:t xml:space="preserve">this method decreases the brightness of some dyes, is incompatible with some primary antibodies and </w:t>
      </w:r>
      <w:r w:rsidR="00F40A9B">
        <w:t xml:space="preserve">long term storage in the clearing solutions decreases fluorescence, it might be </w:t>
      </w:r>
      <w:r w:rsidR="00275E16">
        <w:t>explored for the purpose of cell tracking in the lungs</w:t>
      </w:r>
      <w:r w:rsidR="00AD1EF5">
        <w:t xml:space="preserve"> </w:t>
      </w:r>
      <w:r w:rsidR="00AD1EF5">
        <w:fldChar w:fldCharType="begin"/>
      </w:r>
      <w:r w:rsidR="00C80A35">
        <w:instrText xml:space="preserve"> ADDIN ZOTERO_ITEM CSL_CITATION {"citationID":"7Cp1BjfI","properties":{"formattedCitation":"[41]","plainCitation":"[41]","noteIndex":0},"citationItems":[{"id":1653,"uris":["http://zotero.org/users/8356313/items/CFNY98FY"],"itemData":{"id":1653,"type":"article-journal","abstract":"Modern clearing techniques for the three-dimensional (3D) visualisation of neural tissue microstructure have been very effective when used on rodent brain but very few studies have utilised them on human brain material, mainly due to the inherent difficulties in processing post-mortem tissue. Here we develop a tissue clearing solution, OPTIClear, optimised for fresh and archival human brain tissue, including formalin-fixed paraffin-embedded material. In light of practical challenges with immunostaining in tissue clearing, we adapt the use of cresyl violet for visualisation of neurons in cleared tissue, with the potential for 3D quantification in regions of interest. Furthermore, we use lipophilic tracers for tracing of neuronal processes in post-mortem tissue, enabling the study of the morphology of human dendritic spines in 3D. The development of these different strategies for human tissue clearing has wide applicability and, we hope, will provide a baseline for further technique development.","container-title":"Nature Communications","DOI":"10.1038/s41467-018-03359-w","ISSN":"2041-1723","issue":"1","journalAbbreviation":"Nat Commun","language":"en","license":"2018 The Author(s)","note":"number: 1\npublisher: Nature Publishing Group","page":"1066","source":"www.nature.com","title":"Next generation histology methods for three-dimensional imaging of fresh and archival human brain tissues","volume":"9","author":[{"family":"Lai","given":"Hei Ming"},{"family":"Liu","given":"Alan King Lun"},{"family":"Ng","given":"Harry Ho Man"},{"family":"Goldfinger","given":"Marc H."},{"family":"Chau","given":"Tsz Wing"},{"family":"DeFelice","given":"John"},{"family":"Tilley","given":"Bension S."},{"family":"Wong","given":"Wai Man"},{"family":"Wu","given":"Wutian"},{"family":"Gentleman","given":"Steve M."}],"issued":{"date-parts":[["2018",3,14]]}}}],"schema":"https://github.com/citation-style-language/schema/raw/master/csl-citation.json"} </w:instrText>
      </w:r>
      <w:r w:rsidR="00AD1EF5">
        <w:fldChar w:fldCharType="separate"/>
      </w:r>
      <w:r w:rsidR="00C80A35" w:rsidRPr="00C80A35">
        <w:t>[41]</w:t>
      </w:r>
      <w:r w:rsidR="00AD1EF5">
        <w:fldChar w:fldCharType="end"/>
      </w:r>
      <w:r w:rsidR="00275E16">
        <w:t>.</w:t>
      </w:r>
      <w:r w:rsidR="00456151">
        <w:t xml:space="preserve"> Finally, MACS </w:t>
      </w:r>
      <w:r w:rsidR="00123013">
        <w:t>has also been validated for lung tissue and is compatible with fluorescent proteins as well as with lipophilic dyes that have been used to stain vascular structures</w:t>
      </w:r>
      <w:r w:rsidR="00C235D4">
        <w:t xml:space="preserve">, </w:t>
      </w:r>
      <w:r w:rsidR="00DE1B4D">
        <w:t xml:space="preserve">and antibody labelling, </w:t>
      </w:r>
      <w:r w:rsidR="00C235D4">
        <w:t xml:space="preserve">making it a promising approach </w:t>
      </w:r>
      <w:r w:rsidR="00C235D4">
        <w:fldChar w:fldCharType="begin"/>
      </w:r>
      <w:r w:rsidR="00C80A35">
        <w:instrText xml:space="preserve"> ADDIN ZOTERO_ITEM CSL_CITATION {"citationID":"gPBgPytN","properties":{"formattedCitation":"[42]","plainCitation":"[42]","noteIndex":0},"citationItems":[{"id":1656,"uris":["http://zotero.org/users/8356313/items/5KYU9VBF"],"itemData":{"id":1656,"type":"article-journal","abstract":"Tissue optical clearing techniques have provided important tools for large-volume imaging. Aqueous-based clearing methods are known for good fluorescence preservation and scalable size maintenance, but are limited by long incubation time, insufficient clearing performance, or requirements for specialized devices. Additionally, few clearing methods are compatible with widely used lipophilic dyes while maintaining high clearing performance. Here, to address these issues, m-xylylenediamine (MXDA) is firstly introduced into tissue clearing and used to develop a rapid, highly efficient aqueous clearing method with robust lipophilic dyes compatibility, termed MXDA-based Aqueous Clearing System (MACS). MACS can render whole adult brains highly transparent within 2.5 days and is also applicable for other intact organs. Meanwhile, MACS possesses ideal compatibility with multiple probes, especially for lipophilic dyes. MACS achieves 3D imaging of the intact neural structures labeled by various techniques. Combining MACS with DiI labeling, MACS allows reconstruction of the detailed vascular structures of various organs and generates 3D pathology of glomeruli tufts in healthy and diabetic kidneys. Therefore, MACS provides a useful method for 3D mapping of intact tissues and is expected to facilitate morphological, physiological, and pathological studies of various organs.","container-title":"Advanced Science","DOI":"10.1002/advs.201903185","ISSN":"2198-3844","issue":"8","language":"en","note":"_eprint: https://onlinelibrary.wiley.com/doi/pdf/10.1002/advs.201903185","page":"1903185","source":"Wiley Online Library","title":"MACS: Rapid Aqueous Clearing System for 3D Mapping of Intact Organs","title-short":"MACS","volume":"7","author":[{"family":"Zhu","given":"Jingtan"},{"family":"Yu","given":"Tingting"},{"family":"Li","given":"Yusha"},{"family":"Xu","given":"Jianyi"},{"family":"Qi","given":"Yisong"},{"family":"Yao","given":"Yingtao"},{"family":"Ma","given":"Yilin"},{"family":"Wan","given":"Peng"},{"family":"Chen","given":"Zhilong"},{"family":"Li","given":"Xiangning"},{"family":"Gong","given":"Hui"},{"family":"Luo","given":"Qingming"},{"family":"Zhu","given":"Dan"}],"issued":{"date-parts":[["2020"]]}}}],"schema":"https://github.com/citation-style-language/schema/raw/master/csl-citation.json"} </w:instrText>
      </w:r>
      <w:r w:rsidR="00C235D4">
        <w:fldChar w:fldCharType="separate"/>
      </w:r>
      <w:r w:rsidR="00C80A35" w:rsidRPr="00C80A35">
        <w:t>[42]</w:t>
      </w:r>
      <w:r w:rsidR="00C235D4">
        <w:fldChar w:fldCharType="end"/>
      </w:r>
      <w:r w:rsidR="00C235D4">
        <w:t>.</w:t>
      </w:r>
    </w:p>
    <w:p w14:paraId="38263EAB" w14:textId="4CA762D2" w:rsidR="00295E92" w:rsidRDefault="00295E92" w:rsidP="00295E92">
      <w:pPr>
        <w:pStyle w:val="MDPI31text"/>
      </w:pPr>
      <w:r>
        <w:t xml:space="preserve">In summary, </w:t>
      </w:r>
      <w:r w:rsidRPr="005B6D91">
        <w:t xml:space="preserve">CUBIC is the only protocol that preserved </w:t>
      </w:r>
      <w:proofErr w:type="spellStart"/>
      <w:r w:rsidRPr="005B6D91">
        <w:t>tdTomato</w:t>
      </w:r>
      <w:proofErr w:type="spellEnd"/>
      <w:r w:rsidRPr="005B6D91">
        <w:t xml:space="preserve"> but</w:t>
      </w:r>
      <w:r>
        <w:t xml:space="preserve"> it resulted in </w:t>
      </w:r>
      <w:r w:rsidRPr="005B6D91">
        <w:t>Evans Blue</w:t>
      </w:r>
      <w:r>
        <w:t xml:space="preserve"> washing out of the sample.</w:t>
      </w:r>
      <w:r w:rsidRPr="005B6D91">
        <w:t xml:space="preserve"> </w:t>
      </w:r>
      <w:r>
        <w:t>T</w:t>
      </w:r>
      <w:r w:rsidRPr="005B6D91">
        <w:t>he opposite occur</w:t>
      </w:r>
      <w:r>
        <w:t>red</w:t>
      </w:r>
      <w:r w:rsidRPr="005B6D91">
        <w:t xml:space="preserve"> when using</w:t>
      </w:r>
      <w:r w:rsidR="00D7382C">
        <w:t xml:space="preserve"> a modified</w:t>
      </w:r>
      <w:r w:rsidRPr="005B6D91">
        <w:t xml:space="preserve"> s</w:t>
      </w:r>
      <w:r>
        <w:t>-</w:t>
      </w:r>
      <w:r w:rsidRPr="005B6D91">
        <w:t xml:space="preserve">DISCO or </w:t>
      </w:r>
      <w:proofErr w:type="spellStart"/>
      <w:r w:rsidRPr="005B6D91">
        <w:t>ECi</w:t>
      </w:r>
      <w:proofErr w:type="spellEnd"/>
      <w:r>
        <w:t xml:space="preserve">, as </w:t>
      </w:r>
      <w:proofErr w:type="spellStart"/>
      <w:r>
        <w:t>tdTomato</w:t>
      </w:r>
      <w:proofErr w:type="spellEnd"/>
      <w:r>
        <w:t xml:space="preserve"> was quenched, but Evans Blue was preserved.</w:t>
      </w:r>
      <w:r w:rsidRPr="005B6D91">
        <w:t xml:space="preserve"> These results reflect </w:t>
      </w:r>
      <w:r w:rsidR="00E05E8E">
        <w:t xml:space="preserve">some of </w:t>
      </w:r>
      <w:r w:rsidRPr="005B6D91">
        <w:t>the</w:t>
      </w:r>
      <w:r w:rsidR="00E05E8E">
        <w:t xml:space="preserve"> considerations</w:t>
      </w:r>
      <w:r w:rsidRPr="005B6D91">
        <w:t xml:space="preserve"> </w:t>
      </w:r>
      <w:r w:rsidR="00E05E8E">
        <w:t xml:space="preserve">for </w:t>
      </w:r>
      <w:r w:rsidRPr="005B6D91">
        <w:t>optimizing a clearing method for a specific application.</w:t>
      </w:r>
      <w:r>
        <w:t xml:space="preserve"> Nevertheless, using immunofluorescence for the endothelial marker CD31 to label the vasculature in CUBIC-cleared lung sections </w:t>
      </w:r>
      <w:r w:rsidR="00A53982">
        <w:t xml:space="preserve">seemed to </w:t>
      </w:r>
      <w:r>
        <w:t xml:space="preserve">indicate that the </w:t>
      </w:r>
      <w:proofErr w:type="spellStart"/>
      <w:r>
        <w:t>hUC</w:t>
      </w:r>
      <w:proofErr w:type="spellEnd"/>
      <w:r>
        <w:t xml:space="preserve">-MSCs </w:t>
      </w:r>
      <w:proofErr w:type="spellStart"/>
      <w:r>
        <w:t>localise</w:t>
      </w:r>
      <w:proofErr w:type="spellEnd"/>
      <w:r>
        <w:t xml:space="preserve"> within the micro vessels</w:t>
      </w:r>
      <w:r w:rsidR="00213926">
        <w:t>.</w:t>
      </w:r>
      <w:r>
        <w:t xml:space="preserve"> </w:t>
      </w:r>
    </w:p>
    <w:p w14:paraId="2E3EE7E9" w14:textId="77777777" w:rsidR="00295E92" w:rsidRPr="00181386" w:rsidRDefault="00295E92" w:rsidP="00295E92">
      <w:pPr>
        <w:pStyle w:val="MDPI31text"/>
      </w:pPr>
      <w:r>
        <w:t xml:space="preserve">Finally, we briefly explored the possibility of using CUBIC to study the immune response in the lung to the administration of </w:t>
      </w:r>
      <w:proofErr w:type="spellStart"/>
      <w:r>
        <w:t>hUC</w:t>
      </w:r>
      <w:proofErr w:type="spellEnd"/>
      <w:r>
        <w:t>-MSCs. A rapid infiltration of neutrophils was observed 2 h post cell injection with the number of these cells decreasing after 24 h. This proof of principle paves the way for studying other immune cell populations in thick lung sections in the context of cell therapies.</w:t>
      </w:r>
    </w:p>
    <w:bookmarkEnd w:id="17"/>
    <w:p w14:paraId="3E53A704" w14:textId="77777777" w:rsidR="00E47018" w:rsidRDefault="00295E92" w:rsidP="00E47018">
      <w:pPr>
        <w:pStyle w:val="MDPI21heading1"/>
      </w:pPr>
      <w:r>
        <w:rPr>
          <w:lang w:eastAsia="zh-CN"/>
        </w:rPr>
        <w:t xml:space="preserve">4. </w:t>
      </w:r>
      <w:r>
        <w:t>Materials and Methods</w:t>
      </w:r>
    </w:p>
    <w:p w14:paraId="2A3B2856" w14:textId="77777777" w:rsidR="00B91941" w:rsidRDefault="00E47018" w:rsidP="00B91941">
      <w:pPr>
        <w:pStyle w:val="MDPI31text"/>
        <w:rPr>
          <w:i/>
          <w:noProof/>
          <w:lang w:val="en-GB"/>
        </w:rPr>
      </w:pPr>
      <w:r>
        <w:rPr>
          <w:i/>
          <w:noProof/>
          <w:lang w:val="en-GB"/>
        </w:rPr>
        <w:t xml:space="preserve">4.1 </w:t>
      </w:r>
      <w:r w:rsidR="00B91941" w:rsidRPr="00E47018">
        <w:rPr>
          <w:i/>
          <w:noProof/>
          <w:lang w:val="en-GB"/>
        </w:rPr>
        <w:t xml:space="preserve">Cell culture and stable cell line generation </w:t>
      </w:r>
    </w:p>
    <w:p w14:paraId="3A872397" w14:textId="77777777" w:rsidR="00E47018" w:rsidRPr="00E47018" w:rsidRDefault="00E47018" w:rsidP="00B91941">
      <w:pPr>
        <w:pStyle w:val="MDPI31text"/>
        <w:rPr>
          <w:i/>
          <w:noProof/>
          <w:lang w:val="en-GB"/>
        </w:rPr>
      </w:pPr>
    </w:p>
    <w:p w14:paraId="6D6D221B" w14:textId="77777777" w:rsidR="00B91941" w:rsidRDefault="00B91941" w:rsidP="00B91941">
      <w:pPr>
        <w:pStyle w:val="MDPI31text"/>
      </w:pPr>
      <w:r w:rsidRPr="00B91941">
        <w:t>Human umbilical cord-derived mesenchymal stromal cells (</w:t>
      </w:r>
      <w:proofErr w:type="spellStart"/>
      <w:r w:rsidRPr="00B91941">
        <w:t>hUC</w:t>
      </w:r>
      <w:proofErr w:type="spellEnd"/>
      <w:r w:rsidRPr="00B91941">
        <w:t xml:space="preserve">-MSCs) were obtained from the National Health Service Blood and Transplant (NHSBT, UK) at passage 3. The </w:t>
      </w:r>
      <w:proofErr w:type="spellStart"/>
      <w:r w:rsidRPr="00B91941">
        <w:t>hUC</w:t>
      </w:r>
      <w:proofErr w:type="spellEnd"/>
      <w:r w:rsidRPr="00B91941">
        <w:t>-MSCs were transduced in the presence of 6 µg/ml DEAE-Dextran with a lentiviral vector pCDH-EF1-Luc2-P2A-tdTomato, encoding luc2 firefly luciferase (</w:t>
      </w:r>
      <w:proofErr w:type="spellStart"/>
      <w:r w:rsidRPr="00B91941">
        <w:t>FLuc</w:t>
      </w:r>
      <w:proofErr w:type="spellEnd"/>
      <w:r w:rsidRPr="00B91941">
        <w:t xml:space="preserve">) reporter under the constitutive elongation factor 1-α (EF1α) promoter and upstream of a P2A linker followed by the </w:t>
      </w:r>
      <w:proofErr w:type="spellStart"/>
      <w:r w:rsidRPr="00B91941">
        <w:t>tdTomato</w:t>
      </w:r>
      <w:proofErr w:type="spellEnd"/>
      <w:r w:rsidRPr="00B91941">
        <w:t xml:space="preserve"> fluorescent protein (gift from Kazuhiro </w:t>
      </w:r>
      <w:proofErr w:type="spellStart"/>
      <w:proofErr w:type="gramStart"/>
      <w:r w:rsidRPr="00B91941">
        <w:t>Oka;Addgene</w:t>
      </w:r>
      <w:proofErr w:type="spellEnd"/>
      <w:proofErr w:type="gramEnd"/>
      <w:r w:rsidRPr="00B91941">
        <w:t xml:space="preserve"> plasmid # 72486; http://n2t.net/addgene:72486; RRID:Addgene_72486). To obtain a &gt;98% transduced population, the cells were sorted based on </w:t>
      </w:r>
      <w:proofErr w:type="spellStart"/>
      <w:r w:rsidRPr="00B91941">
        <w:t>tdTomato</w:t>
      </w:r>
      <w:proofErr w:type="spellEnd"/>
      <w:r w:rsidRPr="00B91941">
        <w:t xml:space="preserve"> fluorescence (BD FACS Aria). Cells were cultured in α-MEM supplemented with 10% FBS at 37°C and in 5% CO2, and passaged at 80% confluence.</w:t>
      </w:r>
    </w:p>
    <w:p w14:paraId="0EC2663D" w14:textId="77777777" w:rsidR="00E47018" w:rsidRPr="00B91941" w:rsidRDefault="00E47018" w:rsidP="00B91941">
      <w:pPr>
        <w:pStyle w:val="MDPI31text"/>
      </w:pPr>
    </w:p>
    <w:p w14:paraId="52D8F286" w14:textId="77777777" w:rsidR="00B91941" w:rsidRDefault="00E47018" w:rsidP="00B91941">
      <w:pPr>
        <w:pStyle w:val="MDPI31text"/>
        <w:rPr>
          <w:i/>
          <w:noProof/>
          <w:lang w:val="en-GB"/>
        </w:rPr>
      </w:pPr>
      <w:r w:rsidRPr="00E47018">
        <w:rPr>
          <w:i/>
          <w:noProof/>
          <w:lang w:val="en-GB"/>
        </w:rPr>
        <w:t xml:space="preserve">4.2 </w:t>
      </w:r>
      <w:r w:rsidR="00B91941" w:rsidRPr="00E47018">
        <w:rPr>
          <w:i/>
          <w:noProof/>
          <w:lang w:val="en-GB"/>
        </w:rPr>
        <w:t>Animal experiments</w:t>
      </w:r>
    </w:p>
    <w:p w14:paraId="67DCD9A4" w14:textId="77777777" w:rsidR="00E47018" w:rsidRPr="00E47018" w:rsidRDefault="00E47018" w:rsidP="00B91941">
      <w:pPr>
        <w:pStyle w:val="MDPI31text"/>
        <w:rPr>
          <w:i/>
          <w:noProof/>
          <w:lang w:val="en-GB"/>
        </w:rPr>
      </w:pPr>
    </w:p>
    <w:p w14:paraId="1E96560D" w14:textId="7A9AEEB3" w:rsidR="00B91941" w:rsidRDefault="00B91941" w:rsidP="00B91941">
      <w:pPr>
        <w:pStyle w:val="MDPI31text"/>
      </w:pPr>
      <w:r w:rsidRPr="00B91941">
        <w:t>Eight to ten-week-old female albino mice (C57BL/6) (B6N-TyrC-Brd/</w:t>
      </w:r>
      <w:proofErr w:type="spellStart"/>
      <w:r w:rsidRPr="00B91941">
        <w:t>BrdCrCrl</w:t>
      </w:r>
      <w:proofErr w:type="spellEnd"/>
      <w:r w:rsidRPr="00B91941">
        <w:t xml:space="preserve"> (n=15), originally purchased from the Jackson Lab) were used for all animal experiments. Mice were housed in individually ventilated cages (IVCs) under a 12 h light/dark cycle and provided with standard food and water ad libitum. All animal procedures were performed under a license granted by the Home Office under the Animals (Scientific Procedures) Act 1986 and were approved by the University of Liverpool Animal Welfare and Ethics Review Board</w:t>
      </w:r>
      <w:r w:rsidRPr="00B91941">
        <w:fldChar w:fldCharType="begin"/>
      </w:r>
      <w:r w:rsidR="005D62C8">
        <w:instrText xml:space="preserve"> ADDIN ZOTERO_ITEM CSL_CITATION {"citationID":"e3yYK5hp","properties":{"formattedCitation":"(29)","plainCitation":"(29)","dontUpdate":true,"noteIndex":0},"citationItems":[{"id":293,"uris":["http://zotero.org/users/8356313/items/QEVESJ3U"],"itemData":{"id":293,"type":"webpage","abstract":"An Act to make new provision for the protection of animals used for experimental or other scientific purposes.","genre":"Text","language":"eng","note":"publisher: Statute Law Database","title":"Animals (Scientific Procedures) Act 1986","URL":"https://www.legislation.gov.uk/ukpga/1986/14/contents","author":[{"family":"Participation","given":"Expert"}],"accessed":{"date-parts":[["2022",1,30]]}}}],"schema":"https://github.com/citation-style-language/schema/raw/master/csl-citation.json"} </w:instrText>
      </w:r>
      <w:r w:rsidRPr="00B91941">
        <w:fldChar w:fldCharType="end"/>
      </w:r>
      <w:r w:rsidRPr="00B91941">
        <w:t>. Mice received 2.5 x 105 </w:t>
      </w:r>
      <w:proofErr w:type="spellStart"/>
      <w:r w:rsidRPr="00B91941">
        <w:t>FLuc</w:t>
      </w:r>
      <w:proofErr w:type="spellEnd"/>
      <w:r w:rsidRPr="00B91941">
        <w:t>-</w:t>
      </w:r>
      <w:proofErr w:type="spellStart"/>
      <w:r w:rsidRPr="00B91941">
        <w:t>tdTomato</w:t>
      </w:r>
      <w:proofErr w:type="spellEnd"/>
      <w:r w:rsidRPr="00B91941">
        <w:t>-</w:t>
      </w:r>
      <w:proofErr w:type="spellStart"/>
      <w:r w:rsidRPr="00B91941">
        <w:t>hUC</w:t>
      </w:r>
      <w:proofErr w:type="spellEnd"/>
      <w:r w:rsidRPr="00B91941">
        <w:t>-MSCs (</w:t>
      </w:r>
      <w:proofErr w:type="spellStart"/>
      <w:r w:rsidRPr="00B91941">
        <w:t>hUC</w:t>
      </w:r>
      <w:proofErr w:type="spellEnd"/>
      <w:r w:rsidRPr="00B91941">
        <w:t xml:space="preserve">-MSCs hereinafter) suspended in 100 </w:t>
      </w:r>
      <w:proofErr w:type="spellStart"/>
      <w:r w:rsidRPr="00B91941">
        <w:t>μL</w:t>
      </w:r>
      <w:proofErr w:type="spellEnd"/>
      <w:r w:rsidRPr="00B91941">
        <w:t xml:space="preserve"> of PBS by intravenous (IV) administration via the tail vein under inhaled </w:t>
      </w:r>
      <w:proofErr w:type="spellStart"/>
      <w:r w:rsidRPr="00B91941">
        <w:t>anaesthesia</w:t>
      </w:r>
      <w:proofErr w:type="spellEnd"/>
      <w:r w:rsidRPr="00B91941">
        <w:t xml:space="preserve"> with isoflurane.</w:t>
      </w:r>
    </w:p>
    <w:p w14:paraId="086FF2AA" w14:textId="77777777" w:rsidR="00E47018" w:rsidRPr="00B91941" w:rsidRDefault="00E47018" w:rsidP="00B91941">
      <w:pPr>
        <w:pStyle w:val="MDPI31text"/>
      </w:pPr>
    </w:p>
    <w:p w14:paraId="49BD113D" w14:textId="77777777" w:rsidR="00B91941" w:rsidRDefault="00E47018" w:rsidP="00B91941">
      <w:pPr>
        <w:pStyle w:val="MDPI31text"/>
        <w:rPr>
          <w:i/>
          <w:noProof/>
          <w:lang w:val="en-GB"/>
        </w:rPr>
      </w:pPr>
      <w:r w:rsidRPr="00E47018">
        <w:rPr>
          <w:i/>
          <w:noProof/>
          <w:lang w:val="en-GB"/>
        </w:rPr>
        <w:t xml:space="preserve">4.3 </w:t>
      </w:r>
      <w:r w:rsidR="00B91941" w:rsidRPr="00E47018">
        <w:rPr>
          <w:i/>
          <w:noProof/>
          <w:lang w:val="en-GB"/>
        </w:rPr>
        <w:t>Bioluminescence imaging</w:t>
      </w:r>
    </w:p>
    <w:p w14:paraId="754B34D0" w14:textId="77777777" w:rsidR="00E47018" w:rsidRPr="00E47018" w:rsidRDefault="00E47018" w:rsidP="00B91941">
      <w:pPr>
        <w:pStyle w:val="MDPI31text"/>
        <w:rPr>
          <w:i/>
          <w:noProof/>
          <w:lang w:val="en-GB"/>
        </w:rPr>
      </w:pPr>
    </w:p>
    <w:p w14:paraId="6135FFBA" w14:textId="77777777" w:rsidR="00B91941" w:rsidRDefault="00B91941" w:rsidP="00B91941">
      <w:pPr>
        <w:pStyle w:val="MDPI31text"/>
      </w:pPr>
      <w:r w:rsidRPr="00B91941">
        <w:rPr>
          <w:rFonts w:eastAsiaTheme="minorEastAsia"/>
        </w:rPr>
        <w:t>In vitro bioluminescence was performed by seeding a range of cell densities (from 625 to 2 x10</w:t>
      </w:r>
      <w:r w:rsidRPr="00444499">
        <w:rPr>
          <w:rFonts w:eastAsiaTheme="minorEastAsia"/>
          <w:vertAlign w:val="superscript"/>
        </w:rPr>
        <w:t>4</w:t>
      </w:r>
      <w:r w:rsidRPr="00B91941">
        <w:rPr>
          <w:rFonts w:eastAsiaTheme="minorEastAsia"/>
        </w:rPr>
        <w:t xml:space="preserve"> cells/well) into an optical bottom 96-well plate with black walls (#165,305, </w:t>
      </w:r>
      <w:proofErr w:type="spellStart"/>
      <w:r w:rsidRPr="00B91941">
        <w:rPr>
          <w:rFonts w:eastAsiaTheme="minorEastAsia"/>
        </w:rPr>
        <w:t>ThermoFisher</w:t>
      </w:r>
      <w:proofErr w:type="spellEnd"/>
      <w:r w:rsidRPr="00B91941">
        <w:rPr>
          <w:rFonts w:eastAsiaTheme="minorEastAsia"/>
        </w:rPr>
        <w:t xml:space="preserve">). The cells were allowed to attach for 3 h prior to the addition of 5.12 mM D-Luciferin. Imaging was performed immediately after substrate addition without an emission filter, a 13.3 cm </w:t>
      </w:r>
      <w:r w:rsidRPr="00B91941">
        <w:t xml:space="preserve">field of view (FOV), f-stop of 1 and a binning of 8. For in vivo bioluminescence imaging, mice received a subcutaneous (SC) injection of D-Luciferin (10 </w:t>
      </w:r>
      <w:proofErr w:type="spellStart"/>
      <w:r w:rsidRPr="00B91941">
        <w:t>μL</w:t>
      </w:r>
      <w:proofErr w:type="spellEnd"/>
      <w:r w:rsidRPr="00B91941">
        <w:t xml:space="preserve">/g [body weight] of a 47 mM stock solution) after cell injection. After 20 min, the animals were imaged with an IVIS Spectrum instrument (Perkin Elmer). Data are displayed in radiance (photons/second/centimeter2/steradian), where the signal intensity scale is </w:t>
      </w:r>
      <w:proofErr w:type="spellStart"/>
      <w:r w:rsidRPr="00B91941">
        <w:t>normalised</w:t>
      </w:r>
      <w:proofErr w:type="spellEnd"/>
      <w:r w:rsidRPr="00B91941">
        <w:t xml:space="preserve"> to the acquisition conditions. Acquisition was performed without an emission filter, a 22.8 cm FOV, f-stop of 1 and a binning of 8.</w:t>
      </w:r>
    </w:p>
    <w:p w14:paraId="6FA07F9F" w14:textId="77777777" w:rsidR="00E47018" w:rsidRPr="00B91941" w:rsidRDefault="00E47018" w:rsidP="00B91941">
      <w:pPr>
        <w:pStyle w:val="MDPI31text"/>
      </w:pPr>
    </w:p>
    <w:p w14:paraId="7B4CFD08" w14:textId="77777777" w:rsidR="00B91941" w:rsidRDefault="00E47018" w:rsidP="00B91941">
      <w:pPr>
        <w:pStyle w:val="MDPI31text"/>
        <w:rPr>
          <w:i/>
          <w:noProof/>
          <w:lang w:val="en-GB"/>
        </w:rPr>
      </w:pPr>
      <w:r w:rsidRPr="00E47018">
        <w:rPr>
          <w:i/>
          <w:noProof/>
          <w:lang w:val="en-GB"/>
        </w:rPr>
        <w:t xml:space="preserve">4.4 </w:t>
      </w:r>
      <w:r w:rsidR="00B91941" w:rsidRPr="00E47018">
        <w:rPr>
          <w:i/>
          <w:noProof/>
          <w:lang w:val="en-GB"/>
        </w:rPr>
        <w:t>Tissue preparation</w:t>
      </w:r>
    </w:p>
    <w:p w14:paraId="539408ED" w14:textId="77777777" w:rsidR="00E47018" w:rsidRPr="00E47018" w:rsidRDefault="00E47018" w:rsidP="00B91941">
      <w:pPr>
        <w:pStyle w:val="MDPI31text"/>
        <w:rPr>
          <w:i/>
          <w:noProof/>
          <w:lang w:val="en-GB"/>
        </w:rPr>
      </w:pPr>
    </w:p>
    <w:p w14:paraId="71275106" w14:textId="4421705A" w:rsidR="00B91941" w:rsidRDefault="00B91941" w:rsidP="00B91941">
      <w:pPr>
        <w:pStyle w:val="MDPI31text"/>
      </w:pPr>
      <w:r w:rsidRPr="00B91941">
        <w:t xml:space="preserve">Immediately after bioluminescence imaging (BLI), the animals received an IV injection of Evans Blue (Sigma; 3 µl/g) for vascular labelling. The dye was allowed to circulate for 5 min before proceeding with a retrograde perfusion fixation protocol </w:t>
      </w:r>
      <w:r w:rsidRPr="00B91941">
        <w:fldChar w:fldCharType="begin"/>
      </w:r>
      <w:r w:rsidR="005D62C8">
        <w:instrText xml:space="preserve"> ADDIN ZOTERO_ITEM CSL_CITATION {"citationID":"IYdaOrxx","properties":{"formattedCitation":"[25]","plainCitation":"[25]","noteIndex":0},"citationItems":[{"id":37,"uris":["http://zotero.org/users/8356313/items/JMGBNDS9"],"itemData":{"id":37,"type":"article-journal","abstract":"PURPOSE: 3 D imaging of the lung is not a trivial undertaking as during preparation the lung may collapse. Also serial sections and scans followed by 3 D reconstruction may lead to artifacts. The present study aims to figure out the best way to perform 3 D imaging in lung research.\nMATERIALS AND METHODS: We applied an optical tissue clearing (OTC) method, which uses ethyl cinnamate (ECi) as a fast, nontoxic and cheap clearing solvent, for 3 D imaging of retrograde perfused lungs by laser confocal fluorescence microscopy and light sheet fluorescence microscopy. We also introduced expansion microscopy (ExM), a cutting-edge technique, in 3 D imaging of lungs. We examined and compared the usefulness of these techniques for 3 D lung imaging. The ExM protocol was further extended to paraffin-embedded lung metastases blocks.\nRESULTS: The MHI148-PEI labeled lung vasculature was visualized by retrograde perfusion combined with trachea ligation and ECi based OTC. As compared with trans-cardiac perfusion, the retrograde perfusion results in a better maintenance of lung morphology. 3 D structure of alveoli, vascular branches and cilia in lung were revealed by immunofluorescence staining after ExM. 3 D distribution of microvasculature and neutrophil cells in 10 years old paraffin-embedded lung metastases were analyzed by ExM.\nCONCLUSIONS: The retrograde perfusion combined with trachea ligation technique could be applied in the lung research in mice. 3 D structure of lung vasculature can be visualized by MHI148-PEI perfusion and ECi based OTC in an efficient way. ExM and immunofluorescence staining protocol is highly recommended to perform 3 D imaging of fresh fixed lung as well as paraffin-embedded lung blocks.","container-title":"Experimental Lung Research","DOI":"10.1080/01902148.2020.1829183","ISSN":"1521-0499","issue":"10","journalAbbreviation":"Exp Lung Res","language":"eng","note":"PMID: 33043719","page":"393-408","source":"PubMed","title":"Application of ethyl cinnamate based optical tissue clearing and expansion microscopy combined with retrograde perfusion for 3D lung imaging","volume":"46","author":[{"family":"Sun","given":"Quanchao"},{"family":"Picascia","given":"Tiziana"},{"family":"Khan","given":"Arif Ul Maula"},{"family":"Brenna","given":"Cinzia"},{"family":"Heuveline","given":"Vincent"},{"family":"Schmaus","given":"Anja"},{"family":"Sleeman","given":"Jonathan P."},{"family":"Gretz","given":"Norbert"}],"issued":{"date-parts":[["2020",12]]}}}],"schema":"https://github.com/citation-style-language/schema/raw/master/csl-citation.json"} </w:instrText>
      </w:r>
      <w:r w:rsidRPr="00B91941">
        <w:fldChar w:fldCharType="separate"/>
      </w:r>
      <w:r w:rsidRPr="00B91941">
        <w:t>[25]</w:t>
      </w:r>
      <w:r w:rsidRPr="00B91941">
        <w:fldChar w:fldCharType="end"/>
      </w:r>
      <w:r w:rsidRPr="00B91941">
        <w:t>. The animals received an intraperitoneal overdose of pentobarbital (</w:t>
      </w:r>
      <w:proofErr w:type="spellStart"/>
      <w:r w:rsidRPr="00B91941">
        <w:t>Pentoject</w:t>
      </w:r>
      <w:proofErr w:type="spellEnd"/>
      <w:r w:rsidRPr="00B91941">
        <w:t xml:space="preserve">, 100 µl) followed by cannulation of the abdominal aorta, opening of the vena cava and flushing PBS with a manual pump at a constant pressure of 200 mbar (figure </w:t>
      </w:r>
      <w:r>
        <w:t>S</w:t>
      </w:r>
      <w:r w:rsidRPr="00B91941">
        <w:t>1) for 6 min, to remove all blood cells, followed by 6 min perfusion with 4% paraformaldehyde (PFA) to fix the whole animal. The total volume of each solution used per animal was 40 ml. The trachea was tied tightly with a surgical suture before opening the thoracic cavity for lung dissection. Finally, the lungs were post-fixed in 4% PFA overnight at 4°C.</w:t>
      </w:r>
    </w:p>
    <w:p w14:paraId="0C5C46B9" w14:textId="77777777" w:rsidR="00E47018" w:rsidRPr="00B91941" w:rsidRDefault="00E47018" w:rsidP="00B91941">
      <w:pPr>
        <w:pStyle w:val="MDPI31text"/>
      </w:pPr>
    </w:p>
    <w:p w14:paraId="4B11DE47" w14:textId="77777777" w:rsidR="00B91941" w:rsidRDefault="00E47018" w:rsidP="00B91941">
      <w:pPr>
        <w:pStyle w:val="MDPI31text"/>
      </w:pPr>
      <w:r w:rsidRPr="00E47018">
        <w:rPr>
          <w:i/>
          <w:noProof/>
          <w:lang w:val="en-GB"/>
        </w:rPr>
        <w:t xml:space="preserve">4.5 </w:t>
      </w:r>
      <w:r w:rsidR="00B91941" w:rsidRPr="00E47018">
        <w:rPr>
          <w:i/>
          <w:noProof/>
          <w:lang w:val="en-GB"/>
        </w:rPr>
        <w:t>Optical tissue clearing</w:t>
      </w:r>
    </w:p>
    <w:p w14:paraId="0789370B" w14:textId="10C5B7B3" w:rsidR="00B91941" w:rsidRPr="00B91941" w:rsidRDefault="00E47018" w:rsidP="00E47018">
      <w:pPr>
        <w:pStyle w:val="MDPI23heading3"/>
        <w:ind w:firstLine="425"/>
      </w:pPr>
      <w:r>
        <w:t xml:space="preserve">4.5.1 </w:t>
      </w:r>
      <w:r w:rsidR="00B91941" w:rsidRPr="00B91941">
        <w:t xml:space="preserve">Solvent-based tissue clearing: </w:t>
      </w:r>
      <w:r w:rsidR="00B741C4">
        <w:t xml:space="preserve">modified </w:t>
      </w:r>
      <w:r w:rsidR="00B91941" w:rsidRPr="00B91941">
        <w:t>s-DISCO and ECi</w:t>
      </w:r>
    </w:p>
    <w:p w14:paraId="36114E07" w14:textId="7045010E" w:rsidR="00B91941" w:rsidRDefault="00B91941" w:rsidP="00B91941">
      <w:pPr>
        <w:pStyle w:val="MDPI31text"/>
      </w:pPr>
      <w:r w:rsidRPr="00B91941">
        <w:t xml:space="preserve">The general procedure consists of dehydrating fixed samples by sequentially adding pH9-adjusted solvents chilled to 4°C. After dehydration, the respective RI matching solution was added until the samples reached optimal transparency for 3D imaging </w:t>
      </w:r>
      <w:r w:rsidRPr="00B91941">
        <w:fldChar w:fldCharType="begin"/>
      </w:r>
      <w:r w:rsidR="005D62C8">
        <w:instrText xml:space="preserve"> ADDIN ZOTERO_ITEM CSL_CITATION {"citationID":"9I80YLbS","properties":{"formattedCitation":"[28], [36]","plainCitation":"[28], [36]","noteIndex":0},"citationItems":[{"id":59,"uris":["http://zotero.org/users/8356313/items/4Z5RM5NH"],"itemData":{"id":59,"type":"article-journal","abstract":"Turbidity and opaqueness are inherent properties of tissues that limit the capacity to acquire microscopic images through large tissues. Creating a uniform refractive index, known as tissue clearing, overcomes most of these issues. These methods have enabled researchers to image large and complex 3D structures with unprecedented depth and resolution. However, tissue clearing has been adopted to a limited extent due to a combination of cost, time, complexity of existing methods and potential negative impact on fluorescence signal. Here, we describe 2Eci (2nd generation ethyl cinnamate-based clearing), which can be used to clear a wide range of tissues in several species, including human organoids, Drosophila melanogaster, zebrafish, axolotl and Xenopus laevis, in as little as 1-5 days, while preserving a broad range of fluorescent proteins, including GFP, mCherry, Brainbow and Alexa-conjugated fluorophores. Ethyl cinnamate is non-toxic and can easily be used in multi-user microscope facilities. This method opens up tissue clearing to a much broader group of researchers due to its ease of use, the non-toxic nature of ethyl cinnamate and broad applicability.","container-title":"Development (Cambridge, England)","DOI":"10.1242/dev.166884","ISSN":"1477-9129","issue":"3","journalAbbreviation":"Development","language":"eng","note":"PMID: 30665888\nPMCID: PMC7115989","page":"dev166884","source":"PubMed","title":"Broad applicability of a streamlined ethyl cinnamate-based clearing procedure","volume":"146","author":[{"family":"Masselink","given":"Wouter"},{"family":"Reumann","given":"Daniel"},{"family":"Murawala","given":"Prayag"},{"family":"Pasierbek","given":"Pawel"},{"family":"Taniguchi","given":"Yuka"},{"family":"Bonnay","given":"François"},{"family":"Meixner","given":"Katharina"},{"family":"Knoblich","given":"Jürgen A."},{"family":"Tanaka","given":"Elly M."}],"issued":{"date-parts":[["2019",2,1]]}},"label":"page"},{"id":56,"uris":["http://zotero.org/users/8356313/items/FXPIGCR7"],"itemData":{"id":56,"type":"article-journal","abstract":"Optical tissue clearing using dibenzyl ether (DBE) or BABB (1 part benzyl alcohol and 2 parts benzyl benzoate) is easy in application and allows deep-tissue imaging of a wide range of specimens. However, in both substances, optical clearing and storage times of enhanced green fluorescent protein (EGFP)-expressing specimens are limited due to the continuous formation of peroxides and aldehydes, which severely quench fluorescence. Stabilisation of purified DBE or BABB by addition of the antioxidant propyl gallate efficiently preserves fluorescence signals in EGFP-expressing samples for more than a year. This enables longer clearing times and improved tissue transparency with higher fluorescence signal intensity. The here introduced clearing protocol termed stabilised DISCO allows to image spines in a whole mouse brain and to detect faint changes in the activity-dependent expression pattern of tdTomato.","container-title":"Journal of Biophotonics","DOI":"10.1002/jbio.201800368","ISSN":"1864-0648","issue":"8","journalAbbreviation":"J Biophotonics","language":"eng","note":"PMID: 30932329","page":"e201800368","source":"PubMed","title":"High-resolution imaging of fluorescent whole mouse brains using stabilised organic media (sDISCO)","volume":"12","author":[{"family":"Hahn","given":"Christian"},{"family":"Becker","given":"Klaus"},{"family":"Saghafi","given":"Saiedeh"},{"family":"Pende","given":"Marko"},{"family":"Avdibašić","given":"Alma"},{"family":"Foroughipour","given":"Massih"},{"family":"Heinz","given":"Daniel E."},{"family":"Wotjak","given":"Carsten T."},{"family":"Dodt","given":"Hans-Ulrich"}],"issued":{"date-parts":[["2019",8]]}},"label":"page"}],"schema":"https://github.com/citation-style-language/schema/raw/master/csl-citation.json"} </w:instrText>
      </w:r>
      <w:r w:rsidRPr="00B91941">
        <w:fldChar w:fldCharType="separate"/>
      </w:r>
      <w:r w:rsidRPr="00B91941">
        <w:t>[28], [36]</w:t>
      </w:r>
      <w:r w:rsidRPr="00B91941">
        <w:fldChar w:fldCharType="end"/>
      </w:r>
      <w:r w:rsidRPr="00B91941">
        <w:t>. Solvents used and incubation duration are detailed in table 1.</w:t>
      </w:r>
    </w:p>
    <w:p w14:paraId="50EB42C0" w14:textId="77777777" w:rsidR="00B91941" w:rsidRDefault="00B91941" w:rsidP="00B91941">
      <w:pPr>
        <w:pStyle w:val="MDPI41tablecaption"/>
      </w:pPr>
      <w:r>
        <w:rPr>
          <w:b/>
        </w:rPr>
        <w:t>Table 1.</w:t>
      </w:r>
      <w:r>
        <w:t xml:space="preserve"> Solvent based clearing protocols. </w:t>
      </w:r>
      <w:r w:rsidRPr="00B91941">
        <w:t>The RI matching solvents used were Ethyl cinnamate (ECi), Dichloromethane (DCM), and Dibenzyl ether (Dibenzyl ether [DBE] - Sigma-Aldrich).</w:t>
      </w:r>
    </w:p>
    <w:tbl>
      <w:tblPr>
        <w:tblW w:w="7882"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82"/>
        <w:gridCol w:w="488"/>
        <w:gridCol w:w="1767"/>
        <w:gridCol w:w="992"/>
        <w:gridCol w:w="1701"/>
        <w:gridCol w:w="1134"/>
        <w:gridCol w:w="1418"/>
      </w:tblGrid>
      <w:tr w:rsidR="00B91941" w14:paraId="5A97DE8F" w14:textId="77777777" w:rsidTr="00B91941">
        <w:trPr>
          <w:trHeight w:val="308"/>
        </w:trPr>
        <w:tc>
          <w:tcPr>
            <w:tcW w:w="382" w:type="dxa"/>
            <w:tcBorders>
              <w:top w:val="single" w:sz="8" w:space="0" w:color="auto"/>
              <w:left w:val="nil"/>
              <w:bottom w:val="single" w:sz="4" w:space="0" w:color="auto"/>
              <w:right w:val="nil"/>
            </w:tcBorders>
            <w:vAlign w:val="center"/>
            <w:hideMark/>
          </w:tcPr>
          <w:p w14:paraId="6C6CA247" w14:textId="77777777" w:rsidR="00B91941" w:rsidRDefault="00B91941" w:rsidP="00B91941">
            <w:pPr>
              <w:pStyle w:val="MDPI42tablebody"/>
              <w:spacing w:line="240" w:lineRule="auto"/>
              <w:jc w:val="both"/>
              <w:rPr>
                <w:b/>
              </w:rPr>
            </w:pPr>
          </w:p>
        </w:tc>
        <w:tc>
          <w:tcPr>
            <w:tcW w:w="488" w:type="dxa"/>
            <w:tcBorders>
              <w:top w:val="single" w:sz="8" w:space="0" w:color="auto"/>
              <w:left w:val="nil"/>
              <w:bottom w:val="single" w:sz="4" w:space="0" w:color="auto"/>
              <w:right w:val="nil"/>
            </w:tcBorders>
          </w:tcPr>
          <w:p w14:paraId="1E9A7887" w14:textId="77777777" w:rsidR="00B91941" w:rsidRDefault="00B91941" w:rsidP="002F1104">
            <w:pPr>
              <w:pStyle w:val="MDPI42tablebody"/>
              <w:spacing w:line="240" w:lineRule="auto"/>
              <w:rPr>
                <w:b/>
              </w:rPr>
            </w:pPr>
          </w:p>
        </w:tc>
        <w:tc>
          <w:tcPr>
            <w:tcW w:w="4460" w:type="dxa"/>
            <w:gridSpan w:val="3"/>
            <w:tcBorders>
              <w:top w:val="single" w:sz="8" w:space="0" w:color="auto"/>
              <w:left w:val="nil"/>
              <w:bottom w:val="single" w:sz="4" w:space="0" w:color="auto"/>
              <w:right w:val="nil"/>
            </w:tcBorders>
            <w:vAlign w:val="center"/>
            <w:hideMark/>
          </w:tcPr>
          <w:p w14:paraId="270E9AE7" w14:textId="77777777" w:rsidR="00B91941" w:rsidRDefault="00B91941" w:rsidP="00B91941">
            <w:pPr>
              <w:pStyle w:val="MDPI42tablebody"/>
              <w:spacing w:line="240" w:lineRule="auto"/>
              <w:rPr>
                <w:b/>
              </w:rPr>
            </w:pPr>
            <w:r>
              <w:rPr>
                <w:b/>
              </w:rPr>
              <w:t xml:space="preserve">              500 µm sections</w:t>
            </w:r>
          </w:p>
        </w:tc>
        <w:tc>
          <w:tcPr>
            <w:tcW w:w="2552" w:type="dxa"/>
            <w:gridSpan w:val="2"/>
            <w:tcBorders>
              <w:top w:val="single" w:sz="8" w:space="0" w:color="auto"/>
              <w:left w:val="nil"/>
              <w:bottom w:val="single" w:sz="4" w:space="0" w:color="auto"/>
              <w:right w:val="nil"/>
            </w:tcBorders>
            <w:vAlign w:val="center"/>
            <w:hideMark/>
          </w:tcPr>
          <w:p w14:paraId="76594ACF" w14:textId="77777777" w:rsidR="00B91941" w:rsidRDefault="00B91941" w:rsidP="002F1104">
            <w:pPr>
              <w:pStyle w:val="MDPI42tablebody"/>
              <w:spacing w:line="240" w:lineRule="auto"/>
              <w:rPr>
                <w:b/>
              </w:rPr>
            </w:pPr>
            <w:r>
              <w:rPr>
                <w:b/>
              </w:rPr>
              <w:t>Whole organ</w:t>
            </w:r>
          </w:p>
        </w:tc>
      </w:tr>
      <w:tr w:rsidR="00B91941" w14:paraId="384B6C07" w14:textId="77777777" w:rsidTr="00B91941">
        <w:trPr>
          <w:trHeight w:val="298"/>
        </w:trPr>
        <w:tc>
          <w:tcPr>
            <w:tcW w:w="2637" w:type="dxa"/>
            <w:gridSpan w:val="3"/>
            <w:tcBorders>
              <w:top w:val="nil"/>
              <w:left w:val="nil"/>
              <w:bottom w:val="nil"/>
              <w:right w:val="nil"/>
            </w:tcBorders>
            <w:vAlign w:val="center"/>
            <w:hideMark/>
          </w:tcPr>
          <w:p w14:paraId="0F41FB6E" w14:textId="77777777" w:rsidR="00B91941" w:rsidRDefault="00B91941" w:rsidP="00B91941">
            <w:pPr>
              <w:pStyle w:val="MDPI42tablebody"/>
              <w:spacing w:line="240" w:lineRule="auto"/>
            </w:pPr>
          </w:p>
        </w:tc>
        <w:tc>
          <w:tcPr>
            <w:tcW w:w="992" w:type="dxa"/>
            <w:tcBorders>
              <w:top w:val="nil"/>
              <w:left w:val="nil"/>
              <w:bottom w:val="nil"/>
              <w:right w:val="nil"/>
            </w:tcBorders>
          </w:tcPr>
          <w:p w14:paraId="71575884" w14:textId="77777777" w:rsidR="00B91941" w:rsidRDefault="00B91941" w:rsidP="00B91941">
            <w:pPr>
              <w:pStyle w:val="MDPI42tablebody"/>
              <w:spacing w:line="240" w:lineRule="auto"/>
            </w:pPr>
            <w:r>
              <w:t>s-DISCO</w:t>
            </w:r>
          </w:p>
        </w:tc>
        <w:tc>
          <w:tcPr>
            <w:tcW w:w="1701" w:type="dxa"/>
            <w:tcBorders>
              <w:top w:val="nil"/>
              <w:left w:val="nil"/>
              <w:bottom w:val="nil"/>
              <w:right w:val="nil"/>
            </w:tcBorders>
            <w:vAlign w:val="center"/>
            <w:hideMark/>
          </w:tcPr>
          <w:p w14:paraId="3EEBAA94" w14:textId="77777777" w:rsidR="00B91941" w:rsidRDefault="00B91941" w:rsidP="00B91941">
            <w:pPr>
              <w:pStyle w:val="MDPI42tablebody"/>
              <w:spacing w:line="240" w:lineRule="auto"/>
            </w:pPr>
            <w:r>
              <w:t>ECi</w:t>
            </w:r>
          </w:p>
        </w:tc>
        <w:tc>
          <w:tcPr>
            <w:tcW w:w="1134" w:type="dxa"/>
            <w:tcBorders>
              <w:top w:val="nil"/>
              <w:left w:val="nil"/>
              <w:bottom w:val="nil"/>
              <w:right w:val="nil"/>
            </w:tcBorders>
            <w:vAlign w:val="center"/>
            <w:hideMark/>
          </w:tcPr>
          <w:p w14:paraId="71FBB585" w14:textId="77777777" w:rsidR="00B91941" w:rsidRDefault="00B91941" w:rsidP="00B91941">
            <w:pPr>
              <w:pStyle w:val="MDPI42tablebody"/>
              <w:spacing w:line="240" w:lineRule="auto"/>
            </w:pPr>
            <w:r>
              <w:t>s-DISCO</w:t>
            </w:r>
          </w:p>
        </w:tc>
        <w:tc>
          <w:tcPr>
            <w:tcW w:w="1418" w:type="dxa"/>
            <w:tcBorders>
              <w:top w:val="nil"/>
              <w:left w:val="nil"/>
              <w:bottom w:val="nil"/>
              <w:right w:val="nil"/>
            </w:tcBorders>
          </w:tcPr>
          <w:p w14:paraId="606FB3A3" w14:textId="77777777" w:rsidR="00B91941" w:rsidRDefault="00B91941" w:rsidP="00B91941">
            <w:pPr>
              <w:pStyle w:val="MDPI42tablebody"/>
              <w:spacing w:line="240" w:lineRule="auto"/>
            </w:pPr>
            <w:r>
              <w:t>ECi</w:t>
            </w:r>
          </w:p>
        </w:tc>
      </w:tr>
      <w:tr w:rsidR="00B91941" w14:paraId="604B4565" w14:textId="77777777" w:rsidTr="00B91941">
        <w:trPr>
          <w:trHeight w:val="284"/>
        </w:trPr>
        <w:tc>
          <w:tcPr>
            <w:tcW w:w="2637" w:type="dxa"/>
            <w:gridSpan w:val="3"/>
            <w:tcBorders>
              <w:top w:val="nil"/>
              <w:left w:val="nil"/>
              <w:bottom w:val="nil"/>
              <w:right w:val="nil"/>
            </w:tcBorders>
            <w:vAlign w:val="center"/>
            <w:hideMark/>
          </w:tcPr>
          <w:p w14:paraId="407C0D07" w14:textId="77777777" w:rsidR="00B91941" w:rsidRDefault="00B91941" w:rsidP="00B91941">
            <w:pPr>
              <w:pStyle w:val="MDPI42tablebody"/>
              <w:spacing w:line="240" w:lineRule="auto"/>
            </w:pPr>
            <w:r>
              <w:t>1-propanol 50%</w:t>
            </w:r>
          </w:p>
        </w:tc>
        <w:tc>
          <w:tcPr>
            <w:tcW w:w="992" w:type="dxa"/>
            <w:tcBorders>
              <w:top w:val="nil"/>
              <w:left w:val="nil"/>
              <w:bottom w:val="nil"/>
              <w:right w:val="nil"/>
            </w:tcBorders>
          </w:tcPr>
          <w:p w14:paraId="720CA021" w14:textId="77777777" w:rsidR="00B91941" w:rsidRDefault="00B91941" w:rsidP="00B91941">
            <w:pPr>
              <w:pStyle w:val="MDPI42tablebody"/>
              <w:spacing w:line="240" w:lineRule="auto"/>
            </w:pPr>
            <w:r>
              <w:t>10 min</w:t>
            </w:r>
          </w:p>
        </w:tc>
        <w:tc>
          <w:tcPr>
            <w:tcW w:w="1701" w:type="dxa"/>
            <w:tcBorders>
              <w:top w:val="nil"/>
              <w:left w:val="nil"/>
              <w:bottom w:val="nil"/>
              <w:right w:val="nil"/>
            </w:tcBorders>
            <w:vAlign w:val="center"/>
            <w:hideMark/>
          </w:tcPr>
          <w:p w14:paraId="696802FA" w14:textId="77777777" w:rsidR="00B91941" w:rsidRDefault="00B91941" w:rsidP="00B91941">
            <w:pPr>
              <w:pStyle w:val="MDPI42tablebody"/>
              <w:spacing w:line="240" w:lineRule="auto"/>
            </w:pPr>
            <w:r>
              <w:t>10 min</w:t>
            </w:r>
          </w:p>
        </w:tc>
        <w:tc>
          <w:tcPr>
            <w:tcW w:w="1134" w:type="dxa"/>
            <w:tcBorders>
              <w:top w:val="nil"/>
              <w:left w:val="nil"/>
              <w:bottom w:val="nil"/>
              <w:right w:val="nil"/>
            </w:tcBorders>
            <w:vAlign w:val="center"/>
            <w:hideMark/>
          </w:tcPr>
          <w:p w14:paraId="56472DBA" w14:textId="77777777" w:rsidR="00B91941" w:rsidRDefault="00B91941" w:rsidP="00B91941">
            <w:pPr>
              <w:pStyle w:val="MDPI42tablebody"/>
              <w:spacing w:line="240" w:lineRule="auto"/>
            </w:pPr>
            <w:r>
              <w:t>30 min</w:t>
            </w:r>
          </w:p>
        </w:tc>
        <w:tc>
          <w:tcPr>
            <w:tcW w:w="1418" w:type="dxa"/>
            <w:tcBorders>
              <w:top w:val="nil"/>
              <w:left w:val="nil"/>
              <w:bottom w:val="nil"/>
              <w:right w:val="nil"/>
            </w:tcBorders>
          </w:tcPr>
          <w:p w14:paraId="03B20A8C" w14:textId="77777777" w:rsidR="00B91941" w:rsidRDefault="00B91941" w:rsidP="00B91941">
            <w:pPr>
              <w:pStyle w:val="MDPI42tablebody"/>
              <w:spacing w:line="240" w:lineRule="auto"/>
            </w:pPr>
            <w:r>
              <w:t>30 min</w:t>
            </w:r>
          </w:p>
        </w:tc>
      </w:tr>
      <w:tr w:rsidR="00B91941" w14:paraId="574F09F6" w14:textId="77777777" w:rsidTr="00B91941">
        <w:trPr>
          <w:trHeight w:val="284"/>
        </w:trPr>
        <w:tc>
          <w:tcPr>
            <w:tcW w:w="2637" w:type="dxa"/>
            <w:gridSpan w:val="3"/>
            <w:tcBorders>
              <w:top w:val="nil"/>
              <w:left w:val="nil"/>
              <w:bottom w:val="nil"/>
              <w:right w:val="nil"/>
            </w:tcBorders>
            <w:vAlign w:val="center"/>
          </w:tcPr>
          <w:p w14:paraId="42B217CC" w14:textId="77777777" w:rsidR="00B91941" w:rsidRDefault="00B91941" w:rsidP="00B91941">
            <w:pPr>
              <w:pStyle w:val="MDPI42tablebody"/>
              <w:spacing w:line="240" w:lineRule="auto"/>
            </w:pPr>
            <w:r>
              <w:t>1-propanol 80%</w:t>
            </w:r>
          </w:p>
        </w:tc>
        <w:tc>
          <w:tcPr>
            <w:tcW w:w="992" w:type="dxa"/>
            <w:tcBorders>
              <w:top w:val="nil"/>
              <w:left w:val="nil"/>
              <w:bottom w:val="nil"/>
              <w:right w:val="nil"/>
            </w:tcBorders>
          </w:tcPr>
          <w:p w14:paraId="4547BA5C" w14:textId="77777777" w:rsidR="00B91941" w:rsidRDefault="00B91941" w:rsidP="00B91941">
            <w:pPr>
              <w:pStyle w:val="MDPI42tablebody"/>
              <w:spacing w:line="240" w:lineRule="auto"/>
            </w:pPr>
            <w:r>
              <w:t>10 min</w:t>
            </w:r>
          </w:p>
        </w:tc>
        <w:tc>
          <w:tcPr>
            <w:tcW w:w="1701" w:type="dxa"/>
            <w:tcBorders>
              <w:top w:val="nil"/>
              <w:left w:val="nil"/>
              <w:bottom w:val="nil"/>
              <w:right w:val="nil"/>
            </w:tcBorders>
            <w:vAlign w:val="center"/>
          </w:tcPr>
          <w:p w14:paraId="6BC53FAC" w14:textId="77777777" w:rsidR="00B91941" w:rsidRDefault="00B91941" w:rsidP="00B91941">
            <w:pPr>
              <w:pStyle w:val="MDPI42tablebody"/>
              <w:spacing w:line="240" w:lineRule="auto"/>
            </w:pPr>
            <w:r>
              <w:t>10 min</w:t>
            </w:r>
          </w:p>
        </w:tc>
        <w:tc>
          <w:tcPr>
            <w:tcW w:w="1134" w:type="dxa"/>
            <w:tcBorders>
              <w:top w:val="nil"/>
              <w:left w:val="nil"/>
              <w:bottom w:val="nil"/>
              <w:right w:val="nil"/>
            </w:tcBorders>
            <w:vAlign w:val="center"/>
          </w:tcPr>
          <w:p w14:paraId="0928AB0A" w14:textId="77777777" w:rsidR="00B91941" w:rsidRDefault="00B91941" w:rsidP="00B91941">
            <w:pPr>
              <w:pStyle w:val="MDPI42tablebody"/>
              <w:spacing w:line="240" w:lineRule="auto"/>
            </w:pPr>
            <w:r>
              <w:t>30 min</w:t>
            </w:r>
          </w:p>
        </w:tc>
        <w:tc>
          <w:tcPr>
            <w:tcW w:w="1418" w:type="dxa"/>
            <w:tcBorders>
              <w:top w:val="nil"/>
              <w:left w:val="nil"/>
              <w:bottom w:val="nil"/>
              <w:right w:val="nil"/>
            </w:tcBorders>
          </w:tcPr>
          <w:p w14:paraId="7836545A" w14:textId="77777777" w:rsidR="00B91941" w:rsidRDefault="00B91941" w:rsidP="00B91941">
            <w:pPr>
              <w:pStyle w:val="MDPI42tablebody"/>
              <w:spacing w:line="240" w:lineRule="auto"/>
            </w:pPr>
            <w:r>
              <w:t>30 min</w:t>
            </w:r>
          </w:p>
        </w:tc>
      </w:tr>
      <w:tr w:rsidR="00B91941" w14:paraId="3DD83B49" w14:textId="77777777" w:rsidTr="00B91941">
        <w:trPr>
          <w:trHeight w:val="284"/>
        </w:trPr>
        <w:tc>
          <w:tcPr>
            <w:tcW w:w="2637" w:type="dxa"/>
            <w:gridSpan w:val="3"/>
            <w:tcBorders>
              <w:top w:val="nil"/>
              <w:left w:val="nil"/>
              <w:bottom w:val="nil"/>
              <w:right w:val="nil"/>
            </w:tcBorders>
            <w:vAlign w:val="center"/>
          </w:tcPr>
          <w:p w14:paraId="0E3E1995" w14:textId="77777777" w:rsidR="00B91941" w:rsidRDefault="00B91941" w:rsidP="00B91941">
            <w:pPr>
              <w:pStyle w:val="MDPI42tablebody"/>
              <w:spacing w:line="240" w:lineRule="auto"/>
            </w:pPr>
            <w:r>
              <w:t>1-propanol 100%</w:t>
            </w:r>
          </w:p>
        </w:tc>
        <w:tc>
          <w:tcPr>
            <w:tcW w:w="992" w:type="dxa"/>
            <w:tcBorders>
              <w:top w:val="nil"/>
              <w:left w:val="nil"/>
              <w:bottom w:val="nil"/>
              <w:right w:val="nil"/>
            </w:tcBorders>
          </w:tcPr>
          <w:p w14:paraId="7F681C3A" w14:textId="77777777" w:rsidR="00B91941" w:rsidRDefault="00B91941" w:rsidP="00B91941">
            <w:pPr>
              <w:pStyle w:val="MDPI42tablebody"/>
              <w:spacing w:line="240" w:lineRule="auto"/>
            </w:pPr>
            <w:r>
              <w:t>3x 10 min</w:t>
            </w:r>
          </w:p>
        </w:tc>
        <w:tc>
          <w:tcPr>
            <w:tcW w:w="1701" w:type="dxa"/>
            <w:tcBorders>
              <w:top w:val="nil"/>
              <w:left w:val="nil"/>
              <w:bottom w:val="nil"/>
              <w:right w:val="nil"/>
            </w:tcBorders>
            <w:vAlign w:val="center"/>
          </w:tcPr>
          <w:p w14:paraId="580FD8A0" w14:textId="77777777" w:rsidR="00B91941" w:rsidRDefault="00B91941" w:rsidP="00B91941">
            <w:pPr>
              <w:pStyle w:val="MDPI42tablebody"/>
              <w:spacing w:line="240" w:lineRule="auto"/>
            </w:pPr>
            <w:r>
              <w:t>3x 10 min</w:t>
            </w:r>
          </w:p>
        </w:tc>
        <w:tc>
          <w:tcPr>
            <w:tcW w:w="1134" w:type="dxa"/>
            <w:tcBorders>
              <w:top w:val="nil"/>
              <w:left w:val="nil"/>
              <w:bottom w:val="nil"/>
              <w:right w:val="nil"/>
            </w:tcBorders>
            <w:vAlign w:val="center"/>
          </w:tcPr>
          <w:p w14:paraId="72F66031" w14:textId="77777777" w:rsidR="00B91941" w:rsidRDefault="00B91941" w:rsidP="00B91941">
            <w:pPr>
              <w:pStyle w:val="MDPI42tablebody"/>
              <w:spacing w:line="240" w:lineRule="auto"/>
            </w:pPr>
            <w:r>
              <w:t>3x 30 min</w:t>
            </w:r>
          </w:p>
        </w:tc>
        <w:tc>
          <w:tcPr>
            <w:tcW w:w="1418" w:type="dxa"/>
            <w:tcBorders>
              <w:top w:val="nil"/>
              <w:left w:val="nil"/>
              <w:bottom w:val="nil"/>
              <w:right w:val="nil"/>
            </w:tcBorders>
          </w:tcPr>
          <w:p w14:paraId="70D5317B" w14:textId="77777777" w:rsidR="00B91941" w:rsidRDefault="00B91941" w:rsidP="00B91941">
            <w:pPr>
              <w:pStyle w:val="MDPI42tablebody"/>
              <w:spacing w:line="240" w:lineRule="auto"/>
            </w:pPr>
            <w:r>
              <w:t>3x 30 min</w:t>
            </w:r>
          </w:p>
        </w:tc>
      </w:tr>
      <w:tr w:rsidR="00B91941" w14:paraId="57489315" w14:textId="77777777" w:rsidTr="00B91941">
        <w:trPr>
          <w:trHeight w:val="284"/>
        </w:trPr>
        <w:tc>
          <w:tcPr>
            <w:tcW w:w="2637" w:type="dxa"/>
            <w:gridSpan w:val="3"/>
            <w:tcBorders>
              <w:top w:val="nil"/>
              <w:left w:val="nil"/>
              <w:bottom w:val="nil"/>
              <w:right w:val="nil"/>
            </w:tcBorders>
            <w:vAlign w:val="center"/>
          </w:tcPr>
          <w:p w14:paraId="2B67463F" w14:textId="77777777" w:rsidR="00B91941" w:rsidRDefault="00B91941" w:rsidP="00B91941">
            <w:pPr>
              <w:pStyle w:val="MDPI42tablebody"/>
              <w:spacing w:line="240" w:lineRule="auto"/>
            </w:pPr>
            <w:r>
              <w:t>DCM</w:t>
            </w:r>
          </w:p>
        </w:tc>
        <w:tc>
          <w:tcPr>
            <w:tcW w:w="992" w:type="dxa"/>
            <w:tcBorders>
              <w:top w:val="nil"/>
              <w:left w:val="nil"/>
              <w:bottom w:val="nil"/>
              <w:right w:val="nil"/>
            </w:tcBorders>
          </w:tcPr>
          <w:p w14:paraId="33FEB9DA" w14:textId="77777777" w:rsidR="00B91941" w:rsidRDefault="00B91941" w:rsidP="00B91941">
            <w:pPr>
              <w:pStyle w:val="MDPI42tablebody"/>
              <w:spacing w:line="240" w:lineRule="auto"/>
            </w:pPr>
            <w:r>
              <w:t>5 min</w:t>
            </w:r>
          </w:p>
        </w:tc>
        <w:tc>
          <w:tcPr>
            <w:tcW w:w="1701" w:type="dxa"/>
            <w:tcBorders>
              <w:top w:val="nil"/>
              <w:left w:val="nil"/>
              <w:bottom w:val="nil"/>
              <w:right w:val="nil"/>
            </w:tcBorders>
            <w:vAlign w:val="center"/>
          </w:tcPr>
          <w:p w14:paraId="4E2CA74D" w14:textId="77777777" w:rsidR="00B91941" w:rsidRDefault="00B91941" w:rsidP="00B91941">
            <w:pPr>
              <w:pStyle w:val="MDPI42tablebody"/>
              <w:spacing w:line="240" w:lineRule="auto"/>
            </w:pPr>
            <w:r>
              <w:t>-</w:t>
            </w:r>
          </w:p>
        </w:tc>
        <w:tc>
          <w:tcPr>
            <w:tcW w:w="1134" w:type="dxa"/>
            <w:tcBorders>
              <w:top w:val="nil"/>
              <w:left w:val="nil"/>
              <w:bottom w:val="nil"/>
              <w:right w:val="nil"/>
            </w:tcBorders>
            <w:vAlign w:val="center"/>
          </w:tcPr>
          <w:p w14:paraId="221B1D46" w14:textId="77777777" w:rsidR="00B91941" w:rsidRDefault="00B91941" w:rsidP="00B91941">
            <w:pPr>
              <w:pStyle w:val="MDPI42tablebody"/>
              <w:spacing w:line="240" w:lineRule="auto"/>
            </w:pPr>
            <w:r>
              <w:t>20 min</w:t>
            </w:r>
          </w:p>
        </w:tc>
        <w:tc>
          <w:tcPr>
            <w:tcW w:w="1418" w:type="dxa"/>
            <w:tcBorders>
              <w:top w:val="nil"/>
              <w:left w:val="nil"/>
              <w:bottom w:val="nil"/>
              <w:right w:val="nil"/>
            </w:tcBorders>
          </w:tcPr>
          <w:p w14:paraId="053EDA47" w14:textId="77777777" w:rsidR="00B91941" w:rsidRDefault="00B91941" w:rsidP="00B91941">
            <w:pPr>
              <w:pStyle w:val="MDPI42tablebody"/>
              <w:spacing w:line="240" w:lineRule="auto"/>
            </w:pPr>
            <w:r>
              <w:t>-</w:t>
            </w:r>
          </w:p>
        </w:tc>
      </w:tr>
      <w:tr w:rsidR="00B91941" w14:paraId="69E7D437" w14:textId="77777777" w:rsidTr="00B91941">
        <w:trPr>
          <w:trHeight w:val="284"/>
        </w:trPr>
        <w:tc>
          <w:tcPr>
            <w:tcW w:w="2637" w:type="dxa"/>
            <w:gridSpan w:val="3"/>
            <w:tcBorders>
              <w:top w:val="nil"/>
              <w:left w:val="nil"/>
              <w:bottom w:val="nil"/>
              <w:right w:val="nil"/>
            </w:tcBorders>
            <w:vAlign w:val="center"/>
          </w:tcPr>
          <w:p w14:paraId="163F7CCD" w14:textId="77777777" w:rsidR="00B91941" w:rsidRDefault="00B91941" w:rsidP="00B91941">
            <w:pPr>
              <w:pStyle w:val="MDPI42tablebody"/>
              <w:spacing w:line="240" w:lineRule="auto"/>
            </w:pPr>
            <w:r>
              <w:t>DBE w/ 0.4% propyl gallate</w:t>
            </w:r>
          </w:p>
        </w:tc>
        <w:tc>
          <w:tcPr>
            <w:tcW w:w="992" w:type="dxa"/>
            <w:tcBorders>
              <w:top w:val="nil"/>
              <w:left w:val="nil"/>
              <w:bottom w:val="nil"/>
              <w:right w:val="nil"/>
            </w:tcBorders>
          </w:tcPr>
          <w:p w14:paraId="1CA374BB" w14:textId="77777777" w:rsidR="00B91941" w:rsidRDefault="00B91941" w:rsidP="00B91941">
            <w:pPr>
              <w:pStyle w:val="MDPI42tablebody"/>
              <w:spacing w:line="240" w:lineRule="auto"/>
            </w:pPr>
            <w:r>
              <w:t>Storage</w:t>
            </w:r>
          </w:p>
        </w:tc>
        <w:tc>
          <w:tcPr>
            <w:tcW w:w="1701" w:type="dxa"/>
            <w:tcBorders>
              <w:top w:val="nil"/>
              <w:left w:val="nil"/>
              <w:bottom w:val="nil"/>
              <w:right w:val="nil"/>
            </w:tcBorders>
            <w:vAlign w:val="center"/>
          </w:tcPr>
          <w:p w14:paraId="45C1DC83" w14:textId="77777777" w:rsidR="00B91941" w:rsidRDefault="00B91941" w:rsidP="00B91941">
            <w:pPr>
              <w:pStyle w:val="MDPI42tablebody"/>
              <w:spacing w:line="240" w:lineRule="auto"/>
            </w:pPr>
            <w:r>
              <w:t>-</w:t>
            </w:r>
          </w:p>
        </w:tc>
        <w:tc>
          <w:tcPr>
            <w:tcW w:w="1134" w:type="dxa"/>
            <w:tcBorders>
              <w:top w:val="nil"/>
              <w:left w:val="nil"/>
              <w:bottom w:val="nil"/>
              <w:right w:val="nil"/>
            </w:tcBorders>
            <w:vAlign w:val="center"/>
          </w:tcPr>
          <w:p w14:paraId="3935585E" w14:textId="77777777" w:rsidR="00B91941" w:rsidRDefault="00B91941" w:rsidP="00B91941">
            <w:pPr>
              <w:pStyle w:val="MDPI42tablebody"/>
              <w:spacing w:line="240" w:lineRule="auto"/>
            </w:pPr>
            <w:r>
              <w:t>Storage</w:t>
            </w:r>
          </w:p>
        </w:tc>
        <w:tc>
          <w:tcPr>
            <w:tcW w:w="1418" w:type="dxa"/>
            <w:tcBorders>
              <w:top w:val="nil"/>
              <w:left w:val="nil"/>
              <w:bottom w:val="nil"/>
              <w:right w:val="nil"/>
            </w:tcBorders>
          </w:tcPr>
          <w:p w14:paraId="4E8BF2A0" w14:textId="77777777" w:rsidR="00B91941" w:rsidRDefault="00B91941" w:rsidP="00B91941">
            <w:pPr>
              <w:pStyle w:val="MDPI42tablebody"/>
              <w:spacing w:line="240" w:lineRule="auto"/>
            </w:pPr>
            <w:r>
              <w:t>-</w:t>
            </w:r>
          </w:p>
        </w:tc>
      </w:tr>
      <w:tr w:rsidR="00B91941" w14:paraId="24D19364" w14:textId="77777777" w:rsidTr="00B91941">
        <w:trPr>
          <w:trHeight w:val="284"/>
        </w:trPr>
        <w:tc>
          <w:tcPr>
            <w:tcW w:w="2637" w:type="dxa"/>
            <w:gridSpan w:val="3"/>
            <w:tcBorders>
              <w:top w:val="nil"/>
              <w:left w:val="nil"/>
              <w:bottom w:val="single" w:sz="8" w:space="0" w:color="auto"/>
              <w:right w:val="nil"/>
            </w:tcBorders>
            <w:vAlign w:val="center"/>
          </w:tcPr>
          <w:p w14:paraId="7DC537FD" w14:textId="77777777" w:rsidR="00B91941" w:rsidRDefault="00B91941" w:rsidP="00B91941">
            <w:pPr>
              <w:pStyle w:val="MDPI42tablebody"/>
              <w:spacing w:line="240" w:lineRule="auto"/>
            </w:pPr>
            <w:r>
              <w:t>ECi</w:t>
            </w:r>
          </w:p>
        </w:tc>
        <w:tc>
          <w:tcPr>
            <w:tcW w:w="992" w:type="dxa"/>
            <w:tcBorders>
              <w:top w:val="nil"/>
              <w:left w:val="nil"/>
              <w:bottom w:val="single" w:sz="8" w:space="0" w:color="auto"/>
              <w:right w:val="nil"/>
            </w:tcBorders>
          </w:tcPr>
          <w:p w14:paraId="1201E856" w14:textId="77777777" w:rsidR="00B91941" w:rsidRDefault="00B91941" w:rsidP="00B91941">
            <w:pPr>
              <w:pStyle w:val="MDPI42tablebody"/>
              <w:spacing w:line="240" w:lineRule="auto"/>
            </w:pPr>
            <w:r>
              <w:t>-</w:t>
            </w:r>
          </w:p>
        </w:tc>
        <w:tc>
          <w:tcPr>
            <w:tcW w:w="1701" w:type="dxa"/>
            <w:tcBorders>
              <w:top w:val="nil"/>
              <w:left w:val="nil"/>
              <w:bottom w:val="single" w:sz="8" w:space="0" w:color="auto"/>
              <w:right w:val="nil"/>
            </w:tcBorders>
            <w:vAlign w:val="center"/>
          </w:tcPr>
          <w:p w14:paraId="6E3AF5CB" w14:textId="77777777" w:rsidR="00B91941" w:rsidRDefault="00B91941" w:rsidP="00B91941">
            <w:pPr>
              <w:pStyle w:val="MDPI42tablebody"/>
              <w:spacing w:line="240" w:lineRule="auto"/>
            </w:pPr>
            <w:r>
              <w:t>storage</w:t>
            </w:r>
          </w:p>
        </w:tc>
        <w:tc>
          <w:tcPr>
            <w:tcW w:w="1134" w:type="dxa"/>
            <w:tcBorders>
              <w:top w:val="nil"/>
              <w:left w:val="nil"/>
              <w:bottom w:val="single" w:sz="8" w:space="0" w:color="auto"/>
              <w:right w:val="nil"/>
            </w:tcBorders>
            <w:vAlign w:val="center"/>
          </w:tcPr>
          <w:p w14:paraId="66F462AE" w14:textId="77777777" w:rsidR="00B91941" w:rsidRDefault="00B91941" w:rsidP="00B91941">
            <w:pPr>
              <w:pStyle w:val="MDPI42tablebody"/>
              <w:spacing w:line="240" w:lineRule="auto"/>
            </w:pPr>
            <w:r>
              <w:t>-</w:t>
            </w:r>
          </w:p>
        </w:tc>
        <w:tc>
          <w:tcPr>
            <w:tcW w:w="1418" w:type="dxa"/>
            <w:tcBorders>
              <w:top w:val="nil"/>
              <w:left w:val="nil"/>
              <w:bottom w:val="single" w:sz="8" w:space="0" w:color="auto"/>
              <w:right w:val="nil"/>
            </w:tcBorders>
          </w:tcPr>
          <w:p w14:paraId="487AA9D1" w14:textId="77777777" w:rsidR="00B91941" w:rsidRDefault="00B91941" w:rsidP="00B91941">
            <w:pPr>
              <w:pStyle w:val="MDPI42tablebody"/>
              <w:spacing w:line="240" w:lineRule="auto"/>
            </w:pPr>
            <w:r>
              <w:t>storage</w:t>
            </w:r>
          </w:p>
        </w:tc>
      </w:tr>
    </w:tbl>
    <w:p w14:paraId="17101C5A" w14:textId="77777777" w:rsidR="00B91941" w:rsidRDefault="00B91941" w:rsidP="00B91941">
      <w:pPr>
        <w:pStyle w:val="MDPI31text"/>
        <w:rPr>
          <w:rFonts w:ascii="Calibri" w:hAnsi="Calibri" w:cs="Calibri"/>
        </w:rPr>
      </w:pPr>
      <w:r w:rsidRPr="000D426E">
        <w:rPr>
          <w:rFonts w:ascii="Calibri" w:hAnsi="Calibri" w:cs="Calibri"/>
        </w:rPr>
        <w:t> </w:t>
      </w:r>
    </w:p>
    <w:p w14:paraId="601C64F0" w14:textId="77777777" w:rsidR="00B91941" w:rsidRPr="00B91941" w:rsidRDefault="00E47018" w:rsidP="00B91941">
      <w:pPr>
        <w:pStyle w:val="MDPI31text"/>
      </w:pPr>
      <w:r>
        <w:t xml:space="preserve">4.5.2 </w:t>
      </w:r>
      <w:r w:rsidR="00B91941" w:rsidRPr="00B91941">
        <w:t>Aqueous-based tissue clearing: Clear, Unobstructed Brain/Body Imaging Cocktails and Computational Analysis (CUBIC)</w:t>
      </w:r>
    </w:p>
    <w:p w14:paraId="3C592687" w14:textId="1F507816" w:rsidR="00B91941" w:rsidRPr="00B91941" w:rsidRDefault="00B91941" w:rsidP="00B91941">
      <w:pPr>
        <w:pStyle w:val="MDPI31text"/>
      </w:pPr>
      <w:r w:rsidRPr="00B91941">
        <w:t xml:space="preserve">The CUBIC-cancer protocol was followed </w:t>
      </w:r>
      <w:r w:rsidRPr="00B91941">
        <w:fldChar w:fldCharType="begin"/>
      </w:r>
      <w:r w:rsidR="00C80A35">
        <w:instrText xml:space="preserve"> ADDIN ZOTERO_ITEM CSL_CITATION {"citationID":"cd6DAszX","properties":{"formattedCitation":"[44]","plainCitation":"[44]","noteIndex":0},"citationItems":[{"id":61,"uris":["http://zotero.org/users/8356313/items/LAYESANK"],"itemData":{"id":61,"type":"article-journal","abstract":"Stochastic and proliferative events initiated from a single cell can disrupt homeostatic balance and lead to fatal disease processes such as cancer metastasis. To overcome metastasis, it is necessary to detect and quantify sparsely distributed metastatic cells throughout the body at early stages. Here, we demonstrate that clear, unobstructed brain/body imaging cocktails and computational analysis (CUBIC)-based cancer (CUBIC-cancer) analysis with a refractive index (RI)-optimized protocol enables comprehensive cancer cell profiling of the whole body and organs. We applied CUBIC-cancer analysis to 13 mouse models using nine cancer cell lines and spatiotemporal quantification of metastatic cancer progression at single-cell resolution. CUBIC-cancer analysis suggests that the epithelial-mesenchymal transition promotes not only extravasation but also cell survival at metastatic sites. CUBIC-cancer analysis is also applicable to pharmacotherapeutic profiling of anti-tumor drugs. CUBIC-cancer analysis is compatible with in vivo bioluminescence imaging and 2D histology. We suggest that a scalable analytical pipeline with these three modalities may contribute to addressing currently incurable metastatic diseases.","container-title":"Cell Reports","DOI":"10.1016/j.celrep.2017.06.010","ISSN":"2211-1247","issue":"1","journalAbbreviation":"Cell Rep","language":"eng","note":"PMID: 28683317","page":"236-250","source":"PubMed","title":"Whole-Body Profiling of Cancer Metastasis with Single-Cell Resolution","volume":"20","author":[{"family":"Kubota","given":"Shimpei I."},{"family":"Takahashi","given":"Kei"},{"family":"Nishida","given":"Jun"},{"family":"Morishita","given":"Yasuyuki"},{"family":"Ehata","given":"Shogo"},{"family":"Tainaka","given":"Kazuki"},{"family":"Miyazono","given":"Kohei"},{"family":"Ueda","given":"Hiroki R."}],"issued":{"date-parts":[["2017",7,5]]}}}],"schema":"https://github.com/citation-style-language/schema/raw/master/csl-citation.json"} </w:instrText>
      </w:r>
      <w:r w:rsidRPr="00B91941">
        <w:fldChar w:fldCharType="separate"/>
      </w:r>
      <w:r w:rsidR="00C80A35" w:rsidRPr="00C80A35">
        <w:t>[44]</w:t>
      </w:r>
      <w:r w:rsidRPr="00B91941">
        <w:fldChar w:fldCharType="end"/>
      </w:r>
      <w:r w:rsidRPr="00B91941">
        <w:t xml:space="preserve">. Briefly, CUBIC-L2 solution (L2), for </w:t>
      </w:r>
      <w:proofErr w:type="spellStart"/>
      <w:r w:rsidRPr="00B91941">
        <w:t>delipidation</w:t>
      </w:r>
      <w:proofErr w:type="spellEnd"/>
      <w:r w:rsidRPr="00B91941">
        <w:t xml:space="preserve"> and </w:t>
      </w:r>
      <w:proofErr w:type="spellStart"/>
      <w:r w:rsidRPr="00B91941">
        <w:t>decolourisation</w:t>
      </w:r>
      <w:proofErr w:type="spellEnd"/>
      <w:r w:rsidRPr="00B91941">
        <w:t>, was prepared as a mixture of 10 w%/10 w% Triton X-100 (Sigma-Aldrich)/N-</w:t>
      </w:r>
      <w:proofErr w:type="spellStart"/>
      <w:r w:rsidRPr="00B91941">
        <w:t>buthyldiethanolamine</w:t>
      </w:r>
      <w:proofErr w:type="spellEnd"/>
      <w:r w:rsidRPr="00B91941">
        <w:t xml:space="preserve"> (B0725 Tokyo Chemical Industry). CUBIC-R2 solution (R2), for RI matching (RI=1.52), was prepared as a mixture of 30% (w/v) nicotinamide (Sigma) and 45% (w/v) antipyrine (Sigma). </w:t>
      </w:r>
    </w:p>
    <w:p w14:paraId="4327CCA1" w14:textId="77777777" w:rsidR="00B91941" w:rsidRDefault="00B91941" w:rsidP="00B91941">
      <w:pPr>
        <w:pStyle w:val="MDPI31text"/>
      </w:pPr>
      <w:r w:rsidRPr="00B91941">
        <w:t xml:space="preserve">For whole-organ clearing, 4% PFA fixed lungs were washed with PBS for 2 h, three times each, followed by immersion in CUBIC-L1 solution (L1) (50% (v/v) mixture of water and CUBIC-L2) for 6 h at 37°C. Then, the organs were immersed in L2 solution at 37°C for 48 h. L2 solution was refreshed after 24 h during this process. After </w:t>
      </w:r>
      <w:proofErr w:type="spellStart"/>
      <w:r w:rsidRPr="00B91941">
        <w:t>decolourisation</w:t>
      </w:r>
      <w:proofErr w:type="spellEnd"/>
      <w:r w:rsidRPr="00B91941">
        <w:t xml:space="preserve"> and lipid clearing, the organs were washed with PBS at room temperature for 2 h, followed by immersion in CUBIC-R1 solution (R1) (50% (v/v) mixture of water and CUBIC-R2) for 6 h at room temperature. Finally, organs were immersed and stored in R2 solution at room temperature overnight.</w:t>
      </w:r>
    </w:p>
    <w:p w14:paraId="68E2102E" w14:textId="77777777" w:rsidR="00E47018" w:rsidRPr="00B91941" w:rsidRDefault="00E47018" w:rsidP="00B91941">
      <w:pPr>
        <w:pStyle w:val="MDPI31text"/>
      </w:pPr>
    </w:p>
    <w:p w14:paraId="4393B0CB" w14:textId="77777777" w:rsidR="00B91941" w:rsidRDefault="00E47018" w:rsidP="00B91941">
      <w:pPr>
        <w:pStyle w:val="MDPI31text"/>
        <w:rPr>
          <w:i/>
          <w:noProof/>
          <w:lang w:val="en-GB"/>
        </w:rPr>
      </w:pPr>
      <w:r>
        <w:rPr>
          <w:i/>
          <w:noProof/>
          <w:lang w:val="en-GB"/>
        </w:rPr>
        <w:t xml:space="preserve">4.6 </w:t>
      </w:r>
      <w:r w:rsidR="00B91941" w:rsidRPr="00E47018">
        <w:rPr>
          <w:i/>
          <w:noProof/>
          <w:lang w:val="en-GB"/>
        </w:rPr>
        <w:t xml:space="preserve">Size change and transparency measurements </w:t>
      </w:r>
    </w:p>
    <w:p w14:paraId="13F22DCC" w14:textId="77777777" w:rsidR="00E47018" w:rsidRPr="00E47018" w:rsidRDefault="00E47018" w:rsidP="00B91941">
      <w:pPr>
        <w:pStyle w:val="MDPI31text"/>
        <w:rPr>
          <w:i/>
          <w:noProof/>
          <w:lang w:val="en-GB"/>
        </w:rPr>
      </w:pPr>
    </w:p>
    <w:p w14:paraId="4CD39A9D" w14:textId="1D753451" w:rsidR="00B91941" w:rsidRPr="00B91941" w:rsidRDefault="00B91941" w:rsidP="00B91941">
      <w:pPr>
        <w:pStyle w:val="MDPI31text"/>
      </w:pPr>
      <w:r w:rsidRPr="00B91941">
        <w:t>Fixed adult mouse lungs were cleared and imaged</w:t>
      </w:r>
      <w:r w:rsidRPr="00B91941">
        <w:rPr>
          <w:rStyle w:val="CommentReference"/>
          <w:sz w:val="20"/>
          <w:szCs w:val="22"/>
        </w:rPr>
        <w:t xml:space="preserve"> </w:t>
      </w:r>
      <w:r w:rsidRPr="00B91941">
        <w:t xml:space="preserve">before and after clearing. The size and transparency of the samples were outlined and calculated using ImageJ (by drawing the region of interest and measuring mean pixel intensity) (NIH, USA) </w:t>
      </w:r>
      <w:r w:rsidRPr="00B91941">
        <w:fldChar w:fldCharType="begin"/>
      </w:r>
      <w:r w:rsidR="00C80A35">
        <w:instrText xml:space="preserve"> ADDIN ZOTERO_ITEM CSL_CITATION {"citationID":"TMdh5mCZ","properties":{"formattedCitation":"[45]","plainCitation":"[45]","noteIndex":0},"citationItems":[{"id":292,"uris":["http://zotero.org/users/8356313/items/LSS4K3EF"],"itemData":{"id":292,"type":"webpage","title":"Fiji: an open-source platform for biological-image analysis | Nature Methods","URL":"https://www.nature.com/articles/nmeth.2019","accessed":{"date-parts":[["2022",1,30]]}}}],"schema":"https://github.com/citation-style-language/schema/raw/master/csl-citation.json"} </w:instrText>
      </w:r>
      <w:r w:rsidRPr="00B91941">
        <w:fldChar w:fldCharType="separate"/>
      </w:r>
      <w:r w:rsidR="00C80A35" w:rsidRPr="00C80A35">
        <w:t>[45]</w:t>
      </w:r>
      <w:r w:rsidRPr="00B91941">
        <w:fldChar w:fldCharType="end"/>
      </w:r>
      <w:r w:rsidRPr="00B91941">
        <w:t xml:space="preserve">. </w:t>
      </w:r>
      <w:r w:rsidR="00403FB8">
        <w:t xml:space="preserve">The area </w:t>
      </w:r>
      <w:r w:rsidR="00BC4C21">
        <w:t>(cm</w:t>
      </w:r>
      <w:r w:rsidR="00BC4C21" w:rsidRPr="00444499">
        <w:rPr>
          <w:vertAlign w:val="superscript"/>
        </w:rPr>
        <w:t>2</w:t>
      </w:r>
      <w:r w:rsidR="00BC4C21">
        <w:t xml:space="preserve">) </w:t>
      </w:r>
      <w:r w:rsidR="00403FB8">
        <w:t xml:space="preserve">of </w:t>
      </w:r>
      <w:r w:rsidR="008C4047">
        <w:t>each single lung lobe was</w:t>
      </w:r>
      <w:r w:rsidR="00E26534">
        <w:t xml:space="preserve"> calculated by</w:t>
      </w:r>
      <w:r w:rsidR="008C4047">
        <w:t xml:space="preserve"> delineat</w:t>
      </w:r>
      <w:r w:rsidR="00BC4C21">
        <w:t>ion</w:t>
      </w:r>
      <w:r w:rsidR="008C4047">
        <w:t xml:space="preserve"> using the ROI tool and the average </w:t>
      </w:r>
      <w:r w:rsidR="00E26534">
        <w:t xml:space="preserve">of all samples was set as the before value for all comparisons. </w:t>
      </w:r>
      <w:r w:rsidRPr="00B91941">
        <w:t xml:space="preserve">The median grey value of the cleared organ image was used to measure transparency by normalizing the obtained value to the background of the same image </w:t>
      </w:r>
      <w:r w:rsidRPr="00B91941">
        <w:fldChar w:fldCharType="begin"/>
      </w:r>
      <w:r w:rsidR="005D62C8">
        <w:instrText xml:space="preserve"> ADDIN ZOTERO_ITEM CSL_CITATION {"citationID":"l2BfQBqy","properties":{"formattedCitation":"[30]","plainCitation":"[30]","noteIndex":0},"citationItems":[{"id":280,"uris":["http://zotero.org/users/8356313/items/JJ8ILHNR"],"itemData":{"id":280,"type":"article-journal","container-title":"Scientific Reports","DOI":"10.1038/s41598-018-31153-7","ISSN":"2045-2322","issue":"1","journalAbbreviation":"Sci Rep","language":"en","page":"12815","source":"DOI.org (Crossref)","title":"Optimizing tissue-clearing conditions based on analysis of the critical factors affecting tissue-clearing procedures","volume":"8","author":[{"family":"Kim","given":"June Hoan"},{"family":"Jang","given":"Min Jee"},{"family":"Choi","given":"Jungyoon"},{"family":"Lee","given":"Eunsoo"},{"family":"Song","given":"Kyung–Deok"},{"family":"Cho","given":"Jaeho"},{"family":"Kim","given":"Keun-Tae"},{"family":"Cha","given":"Hyuk-Jin"},{"family":"Sun","given":"Woong"}],"issued":{"date-parts":[["2018",12]]}}}],"schema":"https://github.com/citation-style-language/schema/raw/master/csl-citation.json"} </w:instrText>
      </w:r>
      <w:r w:rsidRPr="00B91941">
        <w:fldChar w:fldCharType="separate"/>
      </w:r>
      <w:r w:rsidRPr="00B91941">
        <w:t>[30]</w:t>
      </w:r>
      <w:r w:rsidRPr="00B91941">
        <w:fldChar w:fldCharType="end"/>
      </w:r>
      <w:r w:rsidRPr="00B91941">
        <w:t>.</w:t>
      </w:r>
    </w:p>
    <w:p w14:paraId="6CDF5904" w14:textId="77777777" w:rsidR="00B91941" w:rsidRDefault="00B91941" w:rsidP="00B91941">
      <w:pPr>
        <w:pStyle w:val="MDPI31text"/>
        <w:rPr>
          <w:rFonts w:ascii="Arial" w:hAnsi="Arial" w:cs="Arial"/>
          <w:sz w:val="24"/>
          <w:szCs w:val="24"/>
        </w:rPr>
      </w:pPr>
    </w:p>
    <w:p w14:paraId="4F66E271" w14:textId="77777777" w:rsidR="00B91941" w:rsidRPr="00B91941" w:rsidRDefault="00B91941" w:rsidP="00B91941">
      <w:pPr>
        <w:pStyle w:val="MDPI31text"/>
      </w:pPr>
      <m:oMathPara>
        <m:oMath>
          <m:r>
            <w:rPr>
              <w:rFonts w:ascii="Cambria Math" w:hAnsi="Cambria Math"/>
            </w:rPr>
            <m:t>Transparency</m:t>
          </m:r>
          <m:r>
            <m:rPr>
              <m:sty m:val="p"/>
            </m:rPr>
            <w:rPr>
              <w:rFonts w:ascii="Cambria Math" w:hAnsi="Cambria Math"/>
            </w:rPr>
            <m:t>=</m:t>
          </m:r>
          <m:f>
            <m:fPr>
              <m:ctrlPr>
                <w:rPr>
                  <w:rFonts w:ascii="Cambria Math" w:hAnsi="Cambria Math"/>
                </w:rPr>
              </m:ctrlPr>
            </m:fPr>
            <m:num>
              <m:r>
                <w:rPr>
                  <w:rFonts w:ascii="Cambria Math" w:hAnsi="Cambria Math"/>
                </w:rPr>
                <m:t>sample</m:t>
              </m:r>
              <m:r>
                <m:rPr>
                  <m:sty m:val="p"/>
                </m:rPr>
                <w:rPr>
                  <w:rFonts w:ascii="Cambria Math" w:hAnsi="Cambria Math"/>
                </w:rPr>
                <m:t xml:space="preserve"> </m:t>
              </m:r>
              <m:r>
                <w:rPr>
                  <w:rFonts w:ascii="Cambria Math" w:hAnsi="Cambria Math"/>
                </w:rPr>
                <m:t>median</m:t>
              </m:r>
              <m:r>
                <m:rPr>
                  <m:sty m:val="p"/>
                </m:rPr>
                <w:rPr>
                  <w:rFonts w:ascii="Cambria Math" w:hAnsi="Cambria Math"/>
                </w:rPr>
                <m:t xml:space="preserve"> </m:t>
              </m:r>
              <m:r>
                <w:rPr>
                  <w:rFonts w:ascii="Cambria Math" w:hAnsi="Cambria Math"/>
                </w:rPr>
                <m:t>grey</m:t>
              </m:r>
              <m:r>
                <m:rPr>
                  <m:sty m:val="p"/>
                </m:rPr>
                <w:rPr>
                  <w:rFonts w:ascii="Cambria Math" w:hAnsi="Cambria Math"/>
                </w:rPr>
                <m:t xml:space="preserve"> </m:t>
              </m:r>
              <m:r>
                <w:rPr>
                  <w:rFonts w:ascii="Cambria Math" w:hAnsi="Cambria Math"/>
                </w:rPr>
                <m:t>value</m:t>
              </m:r>
            </m:num>
            <m:den>
              <m:r>
                <w:rPr>
                  <w:rFonts w:ascii="Cambria Math" w:hAnsi="Cambria Math"/>
                </w:rPr>
                <m:t>average</m:t>
              </m:r>
              <m:r>
                <m:rPr>
                  <m:sty m:val="p"/>
                </m:rPr>
                <w:rPr>
                  <w:rFonts w:ascii="Cambria Math" w:hAnsi="Cambria Math"/>
                </w:rPr>
                <m:t xml:space="preserve"> </m:t>
              </m:r>
              <m:r>
                <w:rPr>
                  <w:rFonts w:ascii="Cambria Math" w:hAnsi="Cambria Math"/>
                </w:rPr>
                <m:t>background</m:t>
              </m:r>
              <m:r>
                <m:rPr>
                  <m:sty m:val="p"/>
                </m:rPr>
                <w:rPr>
                  <w:rFonts w:ascii="Cambria Math" w:hAnsi="Cambria Math"/>
                </w:rPr>
                <m:t xml:space="preserve"> </m:t>
              </m:r>
              <m:r>
                <w:rPr>
                  <w:rFonts w:ascii="Cambria Math" w:hAnsi="Cambria Math"/>
                </w:rPr>
                <m:t>median</m:t>
              </m:r>
              <m:r>
                <m:rPr>
                  <m:sty m:val="p"/>
                </m:rPr>
                <w:rPr>
                  <w:rFonts w:ascii="Cambria Math" w:hAnsi="Cambria Math"/>
                </w:rPr>
                <m:t xml:space="preserve"> </m:t>
              </m:r>
              <m:r>
                <w:rPr>
                  <w:rFonts w:ascii="Cambria Math" w:hAnsi="Cambria Math"/>
                </w:rPr>
                <m:t>grey</m:t>
              </m:r>
              <m:r>
                <m:rPr>
                  <m:sty m:val="p"/>
                </m:rPr>
                <w:rPr>
                  <w:rFonts w:ascii="Cambria Math" w:hAnsi="Cambria Math"/>
                </w:rPr>
                <m:t xml:space="preserve"> </m:t>
              </m:r>
              <m:r>
                <w:rPr>
                  <w:rFonts w:ascii="Cambria Math" w:hAnsi="Cambria Math"/>
                </w:rPr>
                <m:t>value</m:t>
              </m:r>
            </m:den>
          </m:f>
          <m:r>
            <m:rPr>
              <m:sty m:val="p"/>
            </m:rPr>
            <w:rPr>
              <w:rFonts w:ascii="Cambria Math" w:hAnsi="Cambria Math"/>
            </w:rPr>
            <m:t>*100</m:t>
          </m:r>
        </m:oMath>
      </m:oMathPara>
    </w:p>
    <w:p w14:paraId="120C7EB9" w14:textId="77777777" w:rsidR="00B91941" w:rsidRDefault="00B91941" w:rsidP="00B91941">
      <w:pPr>
        <w:pStyle w:val="MDPI31text"/>
        <w:rPr>
          <w:rFonts w:ascii="Arial" w:hAnsi="Arial" w:cs="Arial"/>
          <w:sz w:val="24"/>
          <w:szCs w:val="24"/>
        </w:rPr>
      </w:pPr>
    </w:p>
    <w:p w14:paraId="04664B0A" w14:textId="77777777" w:rsidR="00B91941" w:rsidRDefault="00E47018" w:rsidP="00B91941">
      <w:pPr>
        <w:pStyle w:val="MDPI31text"/>
        <w:rPr>
          <w:i/>
          <w:noProof/>
          <w:lang w:val="en-GB"/>
        </w:rPr>
      </w:pPr>
      <w:r>
        <w:rPr>
          <w:i/>
          <w:noProof/>
          <w:lang w:val="en-GB"/>
        </w:rPr>
        <w:t xml:space="preserve">4.7 </w:t>
      </w:r>
      <w:r w:rsidR="00B91941" w:rsidRPr="00E47018">
        <w:rPr>
          <w:i/>
          <w:noProof/>
          <w:lang w:val="en-GB"/>
        </w:rPr>
        <w:t>Immunofluorescence</w:t>
      </w:r>
    </w:p>
    <w:p w14:paraId="63596B37" w14:textId="77777777" w:rsidR="00E47018" w:rsidRPr="00E47018" w:rsidRDefault="00E47018" w:rsidP="00B91941">
      <w:pPr>
        <w:pStyle w:val="MDPI31text"/>
        <w:rPr>
          <w:i/>
          <w:noProof/>
          <w:lang w:val="en-GB"/>
        </w:rPr>
      </w:pPr>
    </w:p>
    <w:p w14:paraId="7872F9BD" w14:textId="77777777" w:rsidR="00B91941" w:rsidRPr="00B91941" w:rsidRDefault="00B91941" w:rsidP="00B91941">
      <w:pPr>
        <w:pStyle w:val="MDPI31text"/>
      </w:pPr>
      <w:r w:rsidRPr="00B91941">
        <w:t xml:space="preserve">The lungs were cryoprotected in 15% sucrose followed by 30% sucrose over a period of 48 h before embedding in optimal cutting temperature (OCT) medium. The samples were cut into 500 µm sections on a cryostat (Thermo Scientific, </w:t>
      </w:r>
      <w:proofErr w:type="spellStart"/>
      <w:r w:rsidRPr="00B91941">
        <w:t>Microm</w:t>
      </w:r>
      <w:proofErr w:type="spellEnd"/>
      <w:r w:rsidRPr="00B91941">
        <w:t xml:space="preserve"> HM505E) at -20°C and stored at -80°C. </w:t>
      </w:r>
    </w:p>
    <w:p w14:paraId="6DE3C2EA" w14:textId="77777777" w:rsidR="00B91941" w:rsidRDefault="00B91941" w:rsidP="00B91941">
      <w:pPr>
        <w:pStyle w:val="MDPI31text"/>
      </w:pPr>
      <w:r w:rsidRPr="00B91941">
        <w:t xml:space="preserve">For CUBIC staining, the tissue sections were delipidated by immersion in 50% CUBIC-L for 30 min at 37°C followed by overnight incubation in CUBIC-L at 37°C with shaking. All sections were washed 3x with PBS for 5 min. Tissues were incubated with </w:t>
      </w:r>
      <w:proofErr w:type="spellStart"/>
      <w:r w:rsidRPr="00B91941">
        <w:t>zenon</w:t>
      </w:r>
      <w:proofErr w:type="spellEnd"/>
      <w:r w:rsidRPr="00B91941">
        <w:t xml:space="preserve"> Alexa Fluor® 647 (Invitrogen, Z25008) labelled human mitochondria primary antibody (Merck, MAB1273), 1:500 for 48 h at 4°C and washed with PBS overnight at 4°C. For CD31 (R&amp;D systems, AF3628) staining, the lung sections were blocked overnight with PBS-</w:t>
      </w:r>
      <w:proofErr w:type="spellStart"/>
      <w:r w:rsidRPr="00B91941">
        <w:t>TxDBN</w:t>
      </w:r>
      <w:proofErr w:type="spellEnd"/>
      <w:r w:rsidRPr="00B91941">
        <w:t xml:space="preserve"> buffer (1x PBS, 2% TritonX-100, ddH2O, 2% BSA, 20% DMSO) at 37°C and incubated with CD31 1:100 antibody for 72 h at 37°C. Upon an overnight washing step, secondary antibody (Alexa Fluor® 647) incubation was done at 37°C for 24 h. After the final overnight washing step, solvent-based or CUBIC clearing was performed as indicated in the clearing section.</w:t>
      </w:r>
    </w:p>
    <w:p w14:paraId="55B98391" w14:textId="77777777" w:rsidR="00E47018" w:rsidRPr="00B91941" w:rsidRDefault="00E47018" w:rsidP="00B91941">
      <w:pPr>
        <w:pStyle w:val="MDPI31text"/>
      </w:pPr>
    </w:p>
    <w:p w14:paraId="48F9358E" w14:textId="77777777" w:rsidR="00B91941" w:rsidRDefault="00E47018" w:rsidP="00B91941">
      <w:pPr>
        <w:pStyle w:val="MDPI31text"/>
        <w:rPr>
          <w:i/>
          <w:noProof/>
          <w:lang w:val="en-GB"/>
        </w:rPr>
      </w:pPr>
      <w:r w:rsidRPr="00E47018">
        <w:rPr>
          <w:i/>
          <w:noProof/>
          <w:lang w:val="en-GB"/>
        </w:rPr>
        <w:t xml:space="preserve">4.8 </w:t>
      </w:r>
      <w:r w:rsidR="00B91941" w:rsidRPr="00E47018">
        <w:rPr>
          <w:i/>
          <w:noProof/>
          <w:lang w:val="en-GB"/>
        </w:rPr>
        <w:t>Imaging</w:t>
      </w:r>
    </w:p>
    <w:p w14:paraId="1B88674C" w14:textId="77777777" w:rsidR="00E47018" w:rsidRPr="00E47018" w:rsidRDefault="00E47018" w:rsidP="00B91941">
      <w:pPr>
        <w:pStyle w:val="MDPI31text"/>
        <w:rPr>
          <w:i/>
          <w:noProof/>
          <w:lang w:val="en-GB"/>
        </w:rPr>
      </w:pPr>
    </w:p>
    <w:p w14:paraId="5AEF98DD" w14:textId="26BC77EE" w:rsidR="00B91941" w:rsidRDefault="00B91941" w:rsidP="00B91941">
      <w:pPr>
        <w:pStyle w:val="MDPI31text"/>
      </w:pPr>
      <w:bookmarkStart w:id="18" w:name="_Hlk108610801"/>
      <w:r w:rsidRPr="00B91941">
        <w:t xml:space="preserve">Cells in culture were imaged by light microscopy with a Leica DM IL microscope coupled to a DFC420C camera. Confocal images were acquired on a Leica DMi8 with </w:t>
      </w:r>
      <w:proofErr w:type="spellStart"/>
      <w:r w:rsidRPr="00B91941">
        <w:t>Andor</w:t>
      </w:r>
      <w:proofErr w:type="spellEnd"/>
      <w:r w:rsidRPr="00B91941">
        <w:t xml:space="preserve"> Dragonfly spinning disk, coupled to an EMCCD camera using a 10x/0.45 air objective. Z-stacks were captured using the 488, 561 and 637 nm laser lines. The emission filters used were 525/50, 600/50 and 700/75. Maximum intensity projections, three-dimensional reconstructions and image analysis were done using the IMARIS (</w:t>
      </w:r>
      <w:proofErr w:type="spellStart"/>
      <w:r w:rsidRPr="00B91941">
        <w:t>Bitplane</w:t>
      </w:r>
      <w:proofErr w:type="spellEnd"/>
      <w:r w:rsidRPr="00B91941">
        <w:t xml:space="preserve">) software packages, processed with ImageJ 3D viewer </w:t>
      </w:r>
      <w:r w:rsidRPr="00B91941">
        <w:fldChar w:fldCharType="begin"/>
      </w:r>
      <w:r w:rsidR="00C80A35">
        <w:instrText xml:space="preserve"> ADDIN ZOTERO_ITEM CSL_CITATION {"citationID":"ryi3eOLH","properties":{"formattedCitation":"[45]","plainCitation":"[45]","noteIndex":0},"citationItems":[{"id":292,"uris":["http://zotero.org/users/8356313/items/LSS4K3EF"],"itemData":{"id":292,"type":"webpage","title":"Fiji: an open-source platform for biological-image analysis | Nature Methods","URL":"https://www.nature.com/articles/nmeth.2019","accessed":{"date-parts":[["2022",1,30]]}}}],"schema":"https://github.com/citation-style-language/schema/raw/master/csl-citation.json"} </w:instrText>
      </w:r>
      <w:r w:rsidRPr="00B91941">
        <w:fldChar w:fldCharType="separate"/>
      </w:r>
      <w:r w:rsidR="00C80A35" w:rsidRPr="00C80A35">
        <w:t>[45]</w:t>
      </w:r>
      <w:r w:rsidRPr="00B91941">
        <w:fldChar w:fldCharType="end"/>
      </w:r>
      <w:r w:rsidRPr="00B91941">
        <w:t xml:space="preserve">. 3D surfaces were obtained via un-stacking </w:t>
      </w:r>
      <w:proofErr w:type="gramStart"/>
      <w:r w:rsidRPr="00B91941">
        <w:t>the .</w:t>
      </w:r>
      <w:proofErr w:type="spellStart"/>
      <w:r w:rsidRPr="00B91941">
        <w:t>ims</w:t>
      </w:r>
      <w:proofErr w:type="spellEnd"/>
      <w:proofErr w:type="gramEnd"/>
      <w:r w:rsidRPr="00B91941">
        <w:t xml:space="preserve"> image in Image J and reconstructed via variable threshold intensity (3D slicer). 3D elaboration was performed using NVIDIA ® Quadro 6000 GPUs, and exported </w:t>
      </w:r>
      <w:proofErr w:type="gramStart"/>
      <w:r w:rsidRPr="00B91941">
        <w:t>as .</w:t>
      </w:r>
      <w:proofErr w:type="spellStart"/>
      <w:r w:rsidRPr="00B91941">
        <w:t>stl</w:t>
      </w:r>
      <w:proofErr w:type="spellEnd"/>
      <w:proofErr w:type="gramEnd"/>
      <w:r w:rsidRPr="00B91941">
        <w:t>.</w:t>
      </w:r>
      <w:bookmarkEnd w:id="18"/>
    </w:p>
    <w:p w14:paraId="34C8305A" w14:textId="77777777" w:rsidR="00E47018" w:rsidRPr="00B91941" w:rsidRDefault="00E47018" w:rsidP="00B91941">
      <w:pPr>
        <w:pStyle w:val="MDPI31text"/>
      </w:pPr>
    </w:p>
    <w:p w14:paraId="7EF3ACE8" w14:textId="77777777" w:rsidR="00B91941" w:rsidRDefault="00E47018" w:rsidP="00B91941">
      <w:pPr>
        <w:pStyle w:val="MDPI31text"/>
        <w:rPr>
          <w:i/>
          <w:noProof/>
          <w:lang w:val="en-GB"/>
        </w:rPr>
      </w:pPr>
      <w:r w:rsidRPr="00E47018">
        <w:rPr>
          <w:i/>
          <w:noProof/>
          <w:lang w:val="en-GB"/>
        </w:rPr>
        <w:t xml:space="preserve">4.9 </w:t>
      </w:r>
      <w:r w:rsidR="00B91941" w:rsidRPr="00E47018">
        <w:rPr>
          <w:i/>
          <w:noProof/>
          <w:lang w:val="en-GB"/>
        </w:rPr>
        <w:t>Statistics</w:t>
      </w:r>
    </w:p>
    <w:p w14:paraId="653D33AB" w14:textId="77777777" w:rsidR="00E47018" w:rsidRPr="00E47018" w:rsidRDefault="00E47018" w:rsidP="00B91941">
      <w:pPr>
        <w:pStyle w:val="MDPI31text"/>
        <w:rPr>
          <w:i/>
          <w:noProof/>
          <w:lang w:val="en-GB"/>
        </w:rPr>
      </w:pPr>
    </w:p>
    <w:p w14:paraId="77F41CD5" w14:textId="77777777" w:rsidR="00B91941" w:rsidRPr="00B91941" w:rsidRDefault="00B91941" w:rsidP="00B91941">
      <w:pPr>
        <w:pStyle w:val="MDPI31text"/>
      </w:pPr>
      <w:r w:rsidRPr="00B91941">
        <w:t>The GraphPad Prism software was used to conduct the statistical analysis. The mean and standard deviation are used to represent all values in graphs. The number of replicates included in the analyses, as well as the type of statistical test used, are given in the figure legends.</w:t>
      </w:r>
    </w:p>
    <w:p w14:paraId="6B02FEED" w14:textId="77777777" w:rsidR="00295E92" w:rsidRDefault="00295E92" w:rsidP="00295E92">
      <w:pPr>
        <w:pStyle w:val="MDPI21heading1"/>
      </w:pPr>
      <w:r>
        <w:t>5. Conclusions</w:t>
      </w:r>
    </w:p>
    <w:p w14:paraId="6CFACB7F" w14:textId="1A154763" w:rsidR="00295E92" w:rsidRPr="00A23CF3" w:rsidRDefault="00295E92" w:rsidP="00295E92">
      <w:pPr>
        <w:pStyle w:val="MDPI31text"/>
      </w:pPr>
      <w:bookmarkStart w:id="19" w:name="_Hlk108612497"/>
      <w:r>
        <w:t xml:space="preserve">We compared three </w:t>
      </w:r>
      <w:r>
        <w:rPr>
          <w:lang w:eastAsia="en-GB"/>
        </w:rPr>
        <w:t>optical tissue clearing</w:t>
      </w:r>
      <w:r>
        <w:t xml:space="preserve"> methods to track the lung biodistribution of </w:t>
      </w:r>
      <w:proofErr w:type="spellStart"/>
      <w:r>
        <w:t>hUC</w:t>
      </w:r>
      <w:proofErr w:type="spellEnd"/>
      <w:r>
        <w:t xml:space="preserve">-MSCs labelled with the fluorescent protein </w:t>
      </w:r>
      <w:proofErr w:type="spellStart"/>
      <w:r>
        <w:t>tdTomato</w:t>
      </w:r>
      <w:proofErr w:type="spellEnd"/>
      <w:r>
        <w:t xml:space="preserve">. Direct detection of the </w:t>
      </w:r>
      <w:proofErr w:type="spellStart"/>
      <w:r>
        <w:t>tdTomato</w:t>
      </w:r>
      <w:proofErr w:type="spellEnd"/>
      <w:r>
        <w:t xml:space="preserve"> cells was only possible using the CUBIC clearing protocol, which although time consuming, results in highly transparent lungs and showed good antibody compatibility and penetration. </w:t>
      </w:r>
      <w:bookmarkStart w:id="20" w:name="_Hlk97393256"/>
      <w:r>
        <w:t xml:space="preserve">Moreover, using immunofluorescent staining allows the study of the interaction of the </w:t>
      </w:r>
      <w:proofErr w:type="spellStart"/>
      <w:r>
        <w:t>hUC</w:t>
      </w:r>
      <w:proofErr w:type="spellEnd"/>
      <w:r>
        <w:t xml:space="preserve">-MSCs with cells in the host’s lung. </w:t>
      </w:r>
      <w:bookmarkEnd w:id="20"/>
      <w:r>
        <w:t xml:space="preserve">Using 3D imaging of CUBIC cleared lungs we showed that </w:t>
      </w:r>
      <w:proofErr w:type="spellStart"/>
      <w:r>
        <w:t>hUC</w:t>
      </w:r>
      <w:proofErr w:type="spellEnd"/>
      <w:r>
        <w:t xml:space="preserve">-MSCs were trapped in the pulmonary </w:t>
      </w:r>
      <w:r w:rsidR="00C90D96">
        <w:t>micro</w:t>
      </w:r>
      <w:r>
        <w:t>vasculature</w:t>
      </w:r>
      <w:r w:rsidR="00C90D96">
        <w:t>, triggering an innate immune response,</w:t>
      </w:r>
      <w:r>
        <w:t xml:space="preserve"> and are mostly cleared within the first 24 h after IV injection.</w:t>
      </w:r>
    </w:p>
    <w:bookmarkEnd w:id="19"/>
    <w:p w14:paraId="6C5DBBA6" w14:textId="77777777" w:rsidR="00295E92" w:rsidRDefault="00295E92" w:rsidP="00295E92">
      <w:pPr>
        <w:pStyle w:val="MDPI62BackMatter"/>
        <w:spacing w:before="240"/>
      </w:pPr>
      <w:r>
        <w:rPr>
          <w:b/>
        </w:rPr>
        <w:t xml:space="preserve">Supplementary Materials: </w:t>
      </w:r>
      <w:r>
        <w:t xml:space="preserve">The following supporting information can be downloaded at: </w:t>
      </w:r>
      <w:r w:rsidRPr="00B91941">
        <w:rPr>
          <w:highlight w:val="yellow"/>
        </w:rPr>
        <w:t>www.mdpi.com/xxx/s1</w:t>
      </w:r>
      <w:r>
        <w:t xml:space="preserve">, Figure S1: Perfusion pump; Figure S2: Lung morphology after optical tissue clearing; Figure S3: Fluorescence preservation of </w:t>
      </w:r>
      <w:proofErr w:type="spellStart"/>
      <w:r>
        <w:t>tdTomato</w:t>
      </w:r>
      <w:proofErr w:type="spellEnd"/>
      <w:r>
        <w:t xml:space="preserve"> after clearing; Figure S4: Evans Blue vascular staining; Table S1: Solvent based optical tissue clearing of 100 µm lung sections.</w:t>
      </w:r>
    </w:p>
    <w:p w14:paraId="62F4BA86" w14:textId="77777777" w:rsidR="00295E92" w:rsidRDefault="00295E92" w:rsidP="00295E92">
      <w:pPr>
        <w:pStyle w:val="MDPI62BackMatter"/>
      </w:pPr>
      <w:r>
        <w:rPr>
          <w:b/>
        </w:rPr>
        <w:t>Author Contributions</w:t>
      </w:r>
      <w:r>
        <w:t xml:space="preserve"> Conceptualization, V.S and A.H.P.; methodology, A.H.P and F.A.; software, A.H.P. and L.R.; validation, P.M., R.L., and V.S.; formal analysis, A.H.P.; investigation, A.H.P.; resources, P.M.; data curation, A.H.P.; writing—original draft preparation, A.H.P.; writing—review and editing, P.M., R.L., V.S. and L.R.; visualization, A.H.P and L.R.; supervision, V.S. and P.M.; project administration, P.M.; funding acquisition, P.M. All authors have read and agreed to the published version of the manuscript.</w:t>
      </w:r>
    </w:p>
    <w:p w14:paraId="61A4A42F" w14:textId="77777777" w:rsidR="00295E92" w:rsidRDefault="00295E92" w:rsidP="00295E92">
      <w:pPr>
        <w:pStyle w:val="MDPI31text"/>
        <w:ind w:firstLine="0"/>
        <w:rPr>
          <w:sz w:val="18"/>
          <w:szCs w:val="20"/>
          <w:lang w:eastAsia="en-US"/>
        </w:rPr>
      </w:pPr>
      <w:r>
        <w:rPr>
          <w:b/>
        </w:rPr>
        <w:t>Funding:</w:t>
      </w:r>
      <w:r>
        <w:t xml:space="preserve"> This research was </w:t>
      </w:r>
      <w:r w:rsidRPr="00295E92">
        <w:rPr>
          <w:sz w:val="18"/>
          <w:szCs w:val="20"/>
          <w:lang w:eastAsia="en-US"/>
        </w:rPr>
        <w:t xml:space="preserve">funded by the European Union’s Horizon 2020 research and innovation </w:t>
      </w:r>
      <w:proofErr w:type="spellStart"/>
      <w:r w:rsidRPr="00295E92">
        <w:rPr>
          <w:sz w:val="18"/>
          <w:szCs w:val="20"/>
          <w:lang w:eastAsia="en-US"/>
        </w:rPr>
        <w:t>programme</w:t>
      </w:r>
      <w:proofErr w:type="spellEnd"/>
      <w:r w:rsidRPr="00295E92">
        <w:rPr>
          <w:sz w:val="18"/>
          <w:szCs w:val="20"/>
          <w:lang w:eastAsia="en-US"/>
        </w:rPr>
        <w:t xml:space="preserve"> under the Marie </w:t>
      </w:r>
      <w:proofErr w:type="spellStart"/>
      <w:r w:rsidRPr="00295E92">
        <w:rPr>
          <w:sz w:val="18"/>
          <w:szCs w:val="20"/>
          <w:lang w:eastAsia="en-US"/>
        </w:rPr>
        <w:t>Skłodowska</w:t>
      </w:r>
      <w:proofErr w:type="spellEnd"/>
      <w:r w:rsidRPr="00295E92">
        <w:rPr>
          <w:sz w:val="18"/>
          <w:szCs w:val="20"/>
          <w:lang w:eastAsia="en-US"/>
        </w:rPr>
        <w:t>-Curie grant agreement No. 813839.</w:t>
      </w:r>
    </w:p>
    <w:p w14:paraId="043B826F" w14:textId="77777777" w:rsidR="00B91941" w:rsidRPr="00295E92" w:rsidRDefault="00B91941" w:rsidP="00295E92">
      <w:pPr>
        <w:pStyle w:val="MDPI31text"/>
        <w:ind w:firstLine="0"/>
        <w:rPr>
          <w:sz w:val="18"/>
          <w:szCs w:val="20"/>
          <w:lang w:eastAsia="en-US"/>
        </w:rPr>
      </w:pPr>
    </w:p>
    <w:p w14:paraId="7A078A41" w14:textId="77777777" w:rsidR="00295E92" w:rsidRDefault="00295E92" w:rsidP="00295E92">
      <w:pPr>
        <w:pStyle w:val="MDPI62BackMatter"/>
        <w:rPr>
          <w:b/>
        </w:rPr>
      </w:pPr>
      <w:bookmarkStart w:id="21" w:name="_Hlk89945590"/>
      <w:bookmarkStart w:id="22" w:name="_Hlk60054323"/>
      <w:r w:rsidRPr="00B27433">
        <w:rPr>
          <w:b/>
        </w:rPr>
        <w:t xml:space="preserve">Institutional Review Board Statement: </w:t>
      </w:r>
      <w:r>
        <w:t>T</w:t>
      </w:r>
      <w:r w:rsidRPr="00B27433">
        <w:t xml:space="preserve">he animal study </w:t>
      </w:r>
      <w:r>
        <w:t>protocol</w:t>
      </w:r>
      <w:r w:rsidRPr="00B27433">
        <w:t xml:space="preserve"> was approved by the </w:t>
      </w:r>
      <w:r>
        <w:t>Home Office under the Animals (Scientific Procedures) Act 1986 and was approved by the University of Liverpool Animal Welfare and Ethics Review Board.</w:t>
      </w:r>
      <w:bookmarkEnd w:id="21"/>
    </w:p>
    <w:p w14:paraId="0E4FC6B8" w14:textId="77777777" w:rsidR="00295E92" w:rsidRPr="00613B31" w:rsidRDefault="00295E92" w:rsidP="00295E92">
      <w:pPr>
        <w:pStyle w:val="MDPI62BackMatter"/>
      </w:pPr>
      <w:r w:rsidRPr="007D75A8">
        <w:rPr>
          <w:b/>
        </w:rPr>
        <w:t xml:space="preserve">Data Availability Statement: </w:t>
      </w:r>
      <w:r w:rsidRPr="00295E92">
        <w:t xml:space="preserve">The data that support the findings of this study are available to download from </w:t>
      </w:r>
      <w:proofErr w:type="spellStart"/>
      <w:r w:rsidRPr="00295E92">
        <w:t>Zenodo</w:t>
      </w:r>
      <w:proofErr w:type="spellEnd"/>
      <w:r w:rsidRPr="00295E92">
        <w:t xml:space="preserve"> at</w:t>
      </w:r>
      <w:r>
        <w:t xml:space="preserve"> </w:t>
      </w:r>
      <w:bookmarkStart w:id="23" w:name="_GoBack"/>
      <w:r w:rsidR="006F0C6F">
        <w:fldChar w:fldCharType="begin"/>
      </w:r>
      <w:r w:rsidR="006F0C6F">
        <w:instrText xml:space="preserve"> HYPERLINK "http://doi.org/10.5281/zenodo.6638775" </w:instrText>
      </w:r>
      <w:r w:rsidR="006F0C6F">
        <w:fldChar w:fldCharType="separate"/>
      </w:r>
      <w:r w:rsidRPr="00295E92">
        <w:t>http://doi.org/10.5281/zenodo.6638775</w:t>
      </w:r>
      <w:r w:rsidR="006F0C6F">
        <w:fldChar w:fldCharType="end"/>
      </w:r>
      <w:bookmarkEnd w:id="23"/>
    </w:p>
    <w:bookmarkEnd w:id="22"/>
    <w:p w14:paraId="258731EC" w14:textId="77777777" w:rsidR="00295E92" w:rsidRDefault="00295E92" w:rsidP="00295E92">
      <w:pPr>
        <w:pStyle w:val="MDPI31text"/>
        <w:ind w:firstLine="0"/>
        <w:rPr>
          <w:sz w:val="18"/>
          <w:szCs w:val="20"/>
          <w:lang w:eastAsia="en-US"/>
        </w:rPr>
      </w:pPr>
      <w:r w:rsidRPr="00295E92">
        <w:rPr>
          <w:b/>
          <w:sz w:val="18"/>
          <w:szCs w:val="20"/>
          <w:lang w:eastAsia="en-US"/>
        </w:rPr>
        <w:t>Acknowledgments:</w:t>
      </w:r>
      <w:r w:rsidRPr="00295E92">
        <w:rPr>
          <w:sz w:val="18"/>
          <w:szCs w:val="20"/>
          <w:lang w:eastAsia="en-US"/>
        </w:rPr>
        <w:t xml:space="preserve"> In vivo imaging data in this article were obtained in the Centre for Preclinical Imaging (CPI) of the University of Liverpool. The CPI has been funded by a Medical Research Council (MRC) grant (MR/L012707/1). All microscopy data were acquired at the Centre for Cell Imaging (CCI) of the University of Liverpool. The confocal system used in this work was funded by BBSRC grant number </w:t>
      </w:r>
      <w:hyperlink r:id="rId23" w:tgtFrame="_blank" w:history="1">
        <w:r w:rsidRPr="00295E92">
          <w:rPr>
            <w:sz w:val="18"/>
            <w:szCs w:val="20"/>
            <w:lang w:eastAsia="en-US"/>
          </w:rPr>
          <w:t>BB/R01390X/1</w:t>
        </w:r>
      </w:hyperlink>
      <w:r w:rsidRPr="00295E92">
        <w:rPr>
          <w:sz w:val="18"/>
          <w:szCs w:val="20"/>
          <w:lang w:eastAsia="en-US"/>
        </w:rPr>
        <w:t xml:space="preserve">. The histology work was performed at the histology facility of the University of Liverpool. 3D surface models were performed in </w:t>
      </w:r>
      <w:proofErr w:type="spellStart"/>
      <w:r w:rsidRPr="00295E92">
        <w:rPr>
          <w:sz w:val="18"/>
          <w:szCs w:val="20"/>
          <w:lang w:eastAsia="en-US"/>
        </w:rPr>
        <w:t>DiMo</w:t>
      </w:r>
      <w:proofErr w:type="spellEnd"/>
      <w:r w:rsidRPr="00295E92">
        <w:rPr>
          <w:sz w:val="18"/>
          <w:szCs w:val="20"/>
          <w:lang w:eastAsia="en-US"/>
        </w:rPr>
        <w:t xml:space="preserve"> lab, University of Liverpool using NVIDIA GPU hardware. The authors gratefully acknowledge these facilities for their support and assistance in this work. We thank Marie Held (CCI) for the expert advice on image analysis and Jennifer Adcott for training and help with the use of the Dragonfly. We kindly thank Professor Norbert Gretz for helpful advice on setting up the perfusion protocol for sample collection.</w:t>
      </w:r>
    </w:p>
    <w:p w14:paraId="4E930399" w14:textId="77777777" w:rsidR="00295E92" w:rsidRPr="00295E92" w:rsidRDefault="00295E92" w:rsidP="00295E92">
      <w:pPr>
        <w:pStyle w:val="MDPI31text"/>
        <w:ind w:firstLine="0"/>
        <w:rPr>
          <w:sz w:val="18"/>
          <w:szCs w:val="20"/>
          <w:lang w:eastAsia="en-US"/>
        </w:rPr>
      </w:pPr>
    </w:p>
    <w:p w14:paraId="78FDEEC1" w14:textId="77777777" w:rsidR="00295E92" w:rsidRDefault="00295E92" w:rsidP="00295E92">
      <w:pPr>
        <w:pStyle w:val="MDPI62BackMatter"/>
      </w:pPr>
      <w:r>
        <w:rPr>
          <w:b/>
        </w:rPr>
        <w:t>Conflicts of Interest:</w:t>
      </w:r>
      <w:r>
        <w:t xml:space="preserve"> The authors declare no conflict of interest. The funders had no role in the design of the study; in the collection, analyses, or interpretation of data; in the writing of the manuscript; or in the decision to publish the results.</w:t>
      </w:r>
    </w:p>
    <w:p w14:paraId="40BD4AB7" w14:textId="77777777" w:rsidR="00295E92" w:rsidRPr="00FA04F1" w:rsidRDefault="00295E92" w:rsidP="00295E92">
      <w:pPr>
        <w:pStyle w:val="MDPI21heading1"/>
        <w:ind w:left="0"/>
      </w:pPr>
      <w:r w:rsidRPr="00FA04F1">
        <w:t>References</w:t>
      </w:r>
    </w:p>
    <w:bookmarkStart w:id="24" w:name="page3"/>
    <w:bookmarkEnd w:id="24"/>
    <w:p w14:paraId="0FF4AE40" w14:textId="77777777" w:rsidR="0005504B" w:rsidRPr="0005504B" w:rsidRDefault="00295E92" w:rsidP="0005504B">
      <w:pPr>
        <w:pStyle w:val="Bibliography"/>
        <w:rPr>
          <w:sz w:val="18"/>
        </w:rPr>
      </w:pPr>
      <w:r>
        <w:fldChar w:fldCharType="begin"/>
      </w:r>
      <w:r w:rsidR="0005504B">
        <w:instrText xml:space="preserve"> ADDIN ZOTERO_BIBL {"uncited":[],"omitted":[],"custom":[]} CSL_BIBLIOGRAPHY </w:instrText>
      </w:r>
      <w:r>
        <w:fldChar w:fldCharType="separate"/>
      </w:r>
      <w:r w:rsidR="0005504B" w:rsidRPr="0005504B">
        <w:rPr>
          <w:sz w:val="18"/>
        </w:rPr>
        <w:t>[1]</w:t>
      </w:r>
      <w:r w:rsidR="0005504B" w:rsidRPr="0005504B">
        <w:rPr>
          <w:sz w:val="18"/>
        </w:rPr>
        <w:tab/>
        <w:t xml:space="preserve">G. Kolios and Y. Moodley, ‘Introduction to Stem Cells and Regenerative Medicine’, </w:t>
      </w:r>
      <w:r w:rsidR="0005504B" w:rsidRPr="0005504B">
        <w:rPr>
          <w:i/>
          <w:iCs/>
          <w:sz w:val="18"/>
        </w:rPr>
        <w:t>Respiration</w:t>
      </w:r>
      <w:r w:rsidR="0005504B" w:rsidRPr="0005504B">
        <w:rPr>
          <w:sz w:val="18"/>
        </w:rPr>
        <w:t>, vol. 85, no. 1, pp. 3–10, 2013, doi: 10.1159/000345615.</w:t>
      </w:r>
    </w:p>
    <w:p w14:paraId="38CD94E2" w14:textId="77777777" w:rsidR="0005504B" w:rsidRPr="0005504B" w:rsidRDefault="0005504B" w:rsidP="0005504B">
      <w:pPr>
        <w:pStyle w:val="Bibliography"/>
        <w:rPr>
          <w:sz w:val="18"/>
        </w:rPr>
      </w:pPr>
      <w:r w:rsidRPr="0005504B">
        <w:rPr>
          <w:sz w:val="18"/>
        </w:rPr>
        <w:t>[2]</w:t>
      </w:r>
      <w:r w:rsidRPr="0005504B">
        <w:rPr>
          <w:sz w:val="18"/>
        </w:rPr>
        <w:tab/>
        <w:t xml:space="preserve">M. J. Hoogduijn and E. Lombardo, ‘Mesenchymal Stromal Cells Anno 2019: Dawn of the Therapeutic Era? Concise Review’, </w:t>
      </w:r>
      <w:r w:rsidRPr="0005504B">
        <w:rPr>
          <w:i/>
          <w:iCs/>
          <w:sz w:val="18"/>
        </w:rPr>
        <w:t>STEM CELLS Translational Medicine</w:t>
      </w:r>
      <w:r w:rsidRPr="0005504B">
        <w:rPr>
          <w:sz w:val="18"/>
        </w:rPr>
        <w:t>, vol. 8, no. 11, pp. 1126–1134, 2019, doi: 10.1002/sctm.19-0073.</w:t>
      </w:r>
    </w:p>
    <w:p w14:paraId="41D56E74" w14:textId="77777777" w:rsidR="0005504B" w:rsidRPr="0005504B" w:rsidRDefault="0005504B" w:rsidP="0005504B">
      <w:pPr>
        <w:pStyle w:val="Bibliography"/>
        <w:rPr>
          <w:sz w:val="18"/>
        </w:rPr>
      </w:pPr>
      <w:r w:rsidRPr="0005504B">
        <w:rPr>
          <w:sz w:val="18"/>
        </w:rPr>
        <w:t>[3]</w:t>
      </w:r>
      <w:r w:rsidRPr="0005504B">
        <w:rPr>
          <w:sz w:val="18"/>
        </w:rPr>
        <w:tab/>
        <w:t xml:space="preserve">U. M. Fischer </w:t>
      </w:r>
      <w:r w:rsidRPr="0005504B">
        <w:rPr>
          <w:i/>
          <w:iCs/>
          <w:sz w:val="18"/>
        </w:rPr>
        <w:t>et al.</w:t>
      </w:r>
      <w:r w:rsidRPr="0005504B">
        <w:rPr>
          <w:sz w:val="18"/>
        </w:rPr>
        <w:t xml:space="preserve">, ‘Pulmonary passage is a major obstacle for intravenous stem cell delivery: the pulmonary first-pass effect’, </w:t>
      </w:r>
      <w:r w:rsidRPr="0005504B">
        <w:rPr>
          <w:i/>
          <w:iCs/>
          <w:sz w:val="18"/>
        </w:rPr>
        <w:t>Stem Cells Dev</w:t>
      </w:r>
      <w:r w:rsidRPr="0005504B">
        <w:rPr>
          <w:sz w:val="18"/>
        </w:rPr>
        <w:t>, vol. 18, no. 5, pp. 683–692, Jun. 2009, doi: 10.1089/scd.2008.0253.</w:t>
      </w:r>
    </w:p>
    <w:p w14:paraId="33FB3581" w14:textId="77777777" w:rsidR="0005504B" w:rsidRPr="0005504B" w:rsidRDefault="0005504B" w:rsidP="0005504B">
      <w:pPr>
        <w:pStyle w:val="Bibliography"/>
        <w:rPr>
          <w:sz w:val="18"/>
        </w:rPr>
      </w:pPr>
      <w:r w:rsidRPr="0005504B">
        <w:rPr>
          <w:sz w:val="18"/>
        </w:rPr>
        <w:t>[4]</w:t>
      </w:r>
      <w:r w:rsidRPr="0005504B">
        <w:rPr>
          <w:sz w:val="18"/>
        </w:rPr>
        <w:tab/>
        <w:t xml:space="preserve">E. Eggenhofer </w:t>
      </w:r>
      <w:r w:rsidRPr="0005504B">
        <w:rPr>
          <w:i/>
          <w:iCs/>
          <w:sz w:val="18"/>
        </w:rPr>
        <w:t>et al.</w:t>
      </w:r>
      <w:r w:rsidRPr="0005504B">
        <w:rPr>
          <w:sz w:val="18"/>
        </w:rPr>
        <w:t xml:space="preserve">, ‘Mesenchymal stem cells are short-lived and do not migrate beyond the lungs after intravenous infusion’, </w:t>
      </w:r>
      <w:r w:rsidRPr="0005504B">
        <w:rPr>
          <w:i/>
          <w:iCs/>
          <w:sz w:val="18"/>
        </w:rPr>
        <w:t>Front Immunol</w:t>
      </w:r>
      <w:r w:rsidRPr="0005504B">
        <w:rPr>
          <w:sz w:val="18"/>
        </w:rPr>
        <w:t>, vol. 3, p. 297, 2012, doi: 10.3389/fimmu.2012.00297.</w:t>
      </w:r>
    </w:p>
    <w:p w14:paraId="474055C7" w14:textId="77777777" w:rsidR="0005504B" w:rsidRPr="0005504B" w:rsidRDefault="0005504B" w:rsidP="0005504B">
      <w:pPr>
        <w:pStyle w:val="Bibliography"/>
        <w:rPr>
          <w:sz w:val="18"/>
        </w:rPr>
      </w:pPr>
      <w:r w:rsidRPr="0005504B">
        <w:rPr>
          <w:sz w:val="18"/>
        </w:rPr>
        <w:t>[5]</w:t>
      </w:r>
      <w:r w:rsidRPr="0005504B">
        <w:rPr>
          <w:sz w:val="18"/>
        </w:rPr>
        <w:tab/>
        <w:t xml:space="preserve">J. Comenge </w:t>
      </w:r>
      <w:r w:rsidRPr="0005504B">
        <w:rPr>
          <w:i/>
          <w:iCs/>
          <w:sz w:val="18"/>
        </w:rPr>
        <w:t>et al.</w:t>
      </w:r>
      <w:r w:rsidRPr="0005504B">
        <w:rPr>
          <w:sz w:val="18"/>
        </w:rPr>
        <w:t xml:space="preserve">, ‘Multimodal cell tracking from systemic administration to tumour growth by combining gold nanorods and reporter genes’, </w:t>
      </w:r>
      <w:r w:rsidRPr="0005504B">
        <w:rPr>
          <w:i/>
          <w:iCs/>
          <w:sz w:val="18"/>
        </w:rPr>
        <w:t>Elife</w:t>
      </w:r>
      <w:r w:rsidRPr="0005504B">
        <w:rPr>
          <w:sz w:val="18"/>
        </w:rPr>
        <w:t>, vol. 7, p. e33140, Jun. 2018, doi: 10.7554/eLife.33140.</w:t>
      </w:r>
    </w:p>
    <w:p w14:paraId="0A278AD0" w14:textId="77777777" w:rsidR="0005504B" w:rsidRPr="0005504B" w:rsidRDefault="0005504B" w:rsidP="0005504B">
      <w:pPr>
        <w:pStyle w:val="Bibliography"/>
        <w:rPr>
          <w:sz w:val="18"/>
        </w:rPr>
      </w:pPr>
      <w:r w:rsidRPr="0005504B">
        <w:rPr>
          <w:sz w:val="18"/>
        </w:rPr>
        <w:t>[6]</w:t>
      </w:r>
      <w:r w:rsidRPr="0005504B">
        <w:rPr>
          <w:sz w:val="18"/>
        </w:rPr>
        <w:tab/>
        <w:t xml:space="preserve">I. Santeramo </w:t>
      </w:r>
      <w:r w:rsidRPr="0005504B">
        <w:rPr>
          <w:i/>
          <w:iCs/>
          <w:sz w:val="18"/>
        </w:rPr>
        <w:t>et al.</w:t>
      </w:r>
      <w:r w:rsidRPr="0005504B">
        <w:rPr>
          <w:sz w:val="18"/>
        </w:rPr>
        <w:t xml:space="preserve">, ‘Human Kidney-Derived Cells Ameliorate Acute Kidney Injury Without Engrafting into Renal Tissue’, </w:t>
      </w:r>
      <w:r w:rsidRPr="0005504B">
        <w:rPr>
          <w:i/>
          <w:iCs/>
          <w:sz w:val="18"/>
        </w:rPr>
        <w:t>STEM CELLS Translational Medicine</w:t>
      </w:r>
      <w:r w:rsidRPr="0005504B">
        <w:rPr>
          <w:sz w:val="18"/>
        </w:rPr>
        <w:t>, vol. 6, no. 5, pp. 1373–1384, 2017, doi: 10.1002/sctm.16-0352.</w:t>
      </w:r>
    </w:p>
    <w:p w14:paraId="2A050709" w14:textId="77777777" w:rsidR="0005504B" w:rsidRPr="0005504B" w:rsidRDefault="0005504B" w:rsidP="0005504B">
      <w:pPr>
        <w:pStyle w:val="Bibliography"/>
        <w:rPr>
          <w:sz w:val="18"/>
        </w:rPr>
      </w:pPr>
      <w:r w:rsidRPr="0005504B">
        <w:rPr>
          <w:sz w:val="18"/>
        </w:rPr>
        <w:t>[7]</w:t>
      </w:r>
      <w:r w:rsidRPr="0005504B">
        <w:rPr>
          <w:sz w:val="18"/>
        </w:rPr>
        <w:tab/>
        <w:t xml:space="preserve">G. Moll, J. A. Ankrum, S. D. Olson, and J. A. Nolta, ‘Improved MSC Minimal Criteria to Maximize Patient Safety: A Call to Embrace Tissue Factor and Hemocompatibility Assessment of MSC Products’, </w:t>
      </w:r>
      <w:r w:rsidRPr="0005504B">
        <w:rPr>
          <w:i/>
          <w:iCs/>
          <w:sz w:val="18"/>
        </w:rPr>
        <w:t>Stem Cells Translational Medicine</w:t>
      </w:r>
      <w:r w:rsidRPr="0005504B">
        <w:rPr>
          <w:sz w:val="18"/>
        </w:rPr>
        <w:t>, p. szab005, Feb. 2022, doi: 10.1093/stcltm/szab005.</w:t>
      </w:r>
    </w:p>
    <w:p w14:paraId="1DEBA3F6" w14:textId="77777777" w:rsidR="0005504B" w:rsidRPr="0005504B" w:rsidRDefault="0005504B" w:rsidP="0005504B">
      <w:pPr>
        <w:pStyle w:val="Bibliography"/>
        <w:rPr>
          <w:sz w:val="18"/>
        </w:rPr>
      </w:pPr>
      <w:r w:rsidRPr="0005504B">
        <w:rPr>
          <w:sz w:val="18"/>
        </w:rPr>
        <w:t>[8]</w:t>
      </w:r>
      <w:r w:rsidRPr="0005504B">
        <w:rPr>
          <w:sz w:val="18"/>
        </w:rPr>
        <w:tab/>
        <w:t xml:space="preserve">B. Lukomska, L. Stanaszek, E. Zuba-Surma, P. Legosz, S. Sarzynska, and K. Drela, ‘Challenges and Controversies in Human Mesenchymal Stem Cell Therapy’, </w:t>
      </w:r>
      <w:r w:rsidRPr="0005504B">
        <w:rPr>
          <w:i/>
          <w:iCs/>
          <w:sz w:val="18"/>
        </w:rPr>
        <w:t>Stem Cells International</w:t>
      </w:r>
      <w:r w:rsidRPr="0005504B">
        <w:rPr>
          <w:sz w:val="18"/>
        </w:rPr>
        <w:t>, vol. 2019, pp. 1–10, Apr. 2019, doi: 10.1155/2019/9628536.</w:t>
      </w:r>
    </w:p>
    <w:p w14:paraId="73FDD6FA" w14:textId="77777777" w:rsidR="0005504B" w:rsidRPr="0005504B" w:rsidRDefault="0005504B" w:rsidP="0005504B">
      <w:pPr>
        <w:pStyle w:val="Bibliography"/>
        <w:rPr>
          <w:sz w:val="18"/>
        </w:rPr>
      </w:pPr>
      <w:r w:rsidRPr="0005504B">
        <w:rPr>
          <w:sz w:val="18"/>
        </w:rPr>
        <w:t>[9]</w:t>
      </w:r>
      <w:r w:rsidRPr="0005504B">
        <w:rPr>
          <w:sz w:val="18"/>
        </w:rPr>
        <w:tab/>
        <w:t xml:space="preserve">R. H. Lee </w:t>
      </w:r>
      <w:r w:rsidRPr="0005504B">
        <w:rPr>
          <w:i/>
          <w:iCs/>
          <w:sz w:val="18"/>
        </w:rPr>
        <w:t>et al.</w:t>
      </w:r>
      <w:r w:rsidRPr="0005504B">
        <w:rPr>
          <w:sz w:val="18"/>
        </w:rPr>
        <w:t xml:space="preserve">, ‘Intravenous hMSCs improve myocardial infarction in mice because cells embolized in lung are activated to secrete the anti-inflammatory protein TSG-6’, </w:t>
      </w:r>
      <w:r w:rsidRPr="0005504B">
        <w:rPr>
          <w:i/>
          <w:iCs/>
          <w:sz w:val="18"/>
        </w:rPr>
        <w:t>Cell Stem Cell</w:t>
      </w:r>
      <w:r w:rsidRPr="0005504B">
        <w:rPr>
          <w:sz w:val="18"/>
        </w:rPr>
        <w:t>, vol. 5, no. 1, pp. 54–63, Jul. 2009, doi: 10.1016/j.stem.2009.05.003.</w:t>
      </w:r>
    </w:p>
    <w:p w14:paraId="6C2D2104" w14:textId="77777777" w:rsidR="0005504B" w:rsidRPr="0005504B" w:rsidRDefault="0005504B" w:rsidP="0005504B">
      <w:pPr>
        <w:pStyle w:val="Bibliography"/>
        <w:rPr>
          <w:sz w:val="18"/>
        </w:rPr>
      </w:pPr>
      <w:r w:rsidRPr="0005504B">
        <w:rPr>
          <w:sz w:val="18"/>
        </w:rPr>
        <w:t>[10]</w:t>
      </w:r>
      <w:r w:rsidRPr="0005504B">
        <w:rPr>
          <w:sz w:val="18"/>
        </w:rPr>
        <w:tab/>
        <w:t xml:space="preserve">C. H. Masterson </w:t>
      </w:r>
      <w:r w:rsidRPr="0005504B">
        <w:rPr>
          <w:i/>
          <w:iCs/>
          <w:sz w:val="18"/>
        </w:rPr>
        <w:t>et al.</w:t>
      </w:r>
      <w:r w:rsidRPr="0005504B">
        <w:rPr>
          <w:sz w:val="18"/>
        </w:rPr>
        <w:t xml:space="preserve">, ‘Intra-vital imaging of mesenchymal stromal cell kinetics in the pulmonary vasculature during infection’, </w:t>
      </w:r>
      <w:r w:rsidRPr="0005504B">
        <w:rPr>
          <w:i/>
          <w:iCs/>
          <w:sz w:val="18"/>
        </w:rPr>
        <w:t>Sci Rep</w:t>
      </w:r>
      <w:r w:rsidRPr="0005504B">
        <w:rPr>
          <w:sz w:val="18"/>
        </w:rPr>
        <w:t>, vol. 11, no. 1, p. 5265, Mar. 2021, doi: 10.1038/s41598-021-83894-7.</w:t>
      </w:r>
    </w:p>
    <w:p w14:paraId="1A587B62" w14:textId="77777777" w:rsidR="0005504B" w:rsidRPr="0005504B" w:rsidRDefault="0005504B" w:rsidP="0005504B">
      <w:pPr>
        <w:pStyle w:val="Bibliography"/>
        <w:rPr>
          <w:sz w:val="18"/>
        </w:rPr>
      </w:pPr>
      <w:r w:rsidRPr="0005504B">
        <w:rPr>
          <w:sz w:val="18"/>
        </w:rPr>
        <w:t>[11]</w:t>
      </w:r>
      <w:r w:rsidRPr="0005504B">
        <w:rPr>
          <w:sz w:val="18"/>
        </w:rPr>
        <w:tab/>
        <w:t xml:space="preserve">A. Galleu </w:t>
      </w:r>
      <w:r w:rsidRPr="0005504B">
        <w:rPr>
          <w:i/>
          <w:iCs/>
          <w:sz w:val="18"/>
        </w:rPr>
        <w:t>et al.</w:t>
      </w:r>
      <w:r w:rsidRPr="0005504B">
        <w:rPr>
          <w:sz w:val="18"/>
        </w:rPr>
        <w:t xml:space="preserve">, ‘Apoptosis in mesenchymal stromal cells induces in vivo recipient-mediated immunomodulation’, </w:t>
      </w:r>
      <w:r w:rsidRPr="0005504B">
        <w:rPr>
          <w:i/>
          <w:iCs/>
          <w:sz w:val="18"/>
        </w:rPr>
        <w:t>Sci Transl Med</w:t>
      </w:r>
      <w:r w:rsidRPr="0005504B">
        <w:rPr>
          <w:sz w:val="18"/>
        </w:rPr>
        <w:t>, vol. 9, no. 416, p. eaam7828, Nov. 2017, doi: 10.1126/scitranslmed.aam7828.</w:t>
      </w:r>
    </w:p>
    <w:p w14:paraId="4F822BDA" w14:textId="77777777" w:rsidR="0005504B" w:rsidRPr="0005504B" w:rsidRDefault="0005504B" w:rsidP="0005504B">
      <w:pPr>
        <w:pStyle w:val="Bibliography"/>
        <w:rPr>
          <w:sz w:val="18"/>
        </w:rPr>
      </w:pPr>
      <w:r w:rsidRPr="0005504B">
        <w:rPr>
          <w:sz w:val="18"/>
        </w:rPr>
        <w:t>[12]</w:t>
      </w:r>
      <w:r w:rsidRPr="0005504B">
        <w:rPr>
          <w:sz w:val="18"/>
        </w:rPr>
        <w:tab/>
        <w:t xml:space="preserve">T. E. G. Krueger, D. L. J. Thorek, S. R. Denmeade, J. T. Isaacs, and W. N. Brennen, ‘Concise Review: Mesenchymal Stem Cell-Based Drug Delivery: The Good, the Bad, the Ugly, and the Promise’, </w:t>
      </w:r>
      <w:r w:rsidRPr="0005504B">
        <w:rPr>
          <w:i/>
          <w:iCs/>
          <w:sz w:val="18"/>
        </w:rPr>
        <w:t>STEM CELLS Translational Medicine</w:t>
      </w:r>
      <w:r w:rsidRPr="0005504B">
        <w:rPr>
          <w:sz w:val="18"/>
        </w:rPr>
        <w:t>, vol. 7, no. 9, pp. 651–663, 2018, doi: 10.1002/sctm.18-0024.</w:t>
      </w:r>
    </w:p>
    <w:p w14:paraId="4FD92E73" w14:textId="77777777" w:rsidR="0005504B" w:rsidRPr="0005504B" w:rsidRDefault="0005504B" w:rsidP="0005504B">
      <w:pPr>
        <w:pStyle w:val="Bibliography"/>
        <w:rPr>
          <w:sz w:val="18"/>
        </w:rPr>
      </w:pPr>
      <w:r w:rsidRPr="0005504B">
        <w:rPr>
          <w:sz w:val="18"/>
        </w:rPr>
        <w:t>[13]</w:t>
      </w:r>
      <w:r w:rsidRPr="0005504B">
        <w:rPr>
          <w:sz w:val="18"/>
        </w:rPr>
        <w:tab/>
        <w:t>‘A guidebook for DISCO tissue clearing | Molecular Systems Biology’. https://www.embopress.org/doi/full/10.15252/msb.20209807 (accessed Nov. 22, 2021).</w:t>
      </w:r>
    </w:p>
    <w:p w14:paraId="59D7CCF7" w14:textId="77777777" w:rsidR="0005504B" w:rsidRPr="0005504B" w:rsidRDefault="0005504B" w:rsidP="0005504B">
      <w:pPr>
        <w:pStyle w:val="Bibliography"/>
        <w:rPr>
          <w:sz w:val="18"/>
        </w:rPr>
      </w:pPr>
      <w:r w:rsidRPr="0005504B">
        <w:rPr>
          <w:sz w:val="18"/>
        </w:rPr>
        <w:t>[14]</w:t>
      </w:r>
      <w:r w:rsidRPr="0005504B">
        <w:rPr>
          <w:sz w:val="18"/>
        </w:rPr>
        <w:tab/>
        <w:t xml:space="preserve">W. Li, R. N. Germain, and M. Y. Gerner, ‘High-dimensional cell-level analysis of tissues with Ce3D multiplex volume imaging’, </w:t>
      </w:r>
      <w:r w:rsidRPr="0005504B">
        <w:rPr>
          <w:i/>
          <w:iCs/>
          <w:sz w:val="18"/>
        </w:rPr>
        <w:t>Nat Protoc</w:t>
      </w:r>
      <w:r w:rsidRPr="0005504B">
        <w:rPr>
          <w:sz w:val="18"/>
        </w:rPr>
        <w:t>, vol. 14, no. 6, pp. 1708–1733, Jun. 2019, doi: 10.1038/s41596-019-0156-4.</w:t>
      </w:r>
    </w:p>
    <w:p w14:paraId="46DEFBBE" w14:textId="77777777" w:rsidR="0005504B" w:rsidRPr="0005504B" w:rsidRDefault="0005504B" w:rsidP="0005504B">
      <w:pPr>
        <w:pStyle w:val="Bibliography"/>
        <w:rPr>
          <w:sz w:val="18"/>
        </w:rPr>
      </w:pPr>
      <w:r w:rsidRPr="0005504B">
        <w:rPr>
          <w:sz w:val="18"/>
        </w:rPr>
        <w:t>[15]</w:t>
      </w:r>
      <w:r w:rsidRPr="0005504B">
        <w:rPr>
          <w:sz w:val="18"/>
        </w:rPr>
        <w:tab/>
        <w:t xml:space="preserve">M. Muntifering, D. Castranova, G. A. Gibson, E. Meyer, M. Kofron, and A. M. Watson, ‘Clearing for Deep Tissue Imaging’, </w:t>
      </w:r>
      <w:r w:rsidRPr="0005504B">
        <w:rPr>
          <w:i/>
          <w:iCs/>
          <w:sz w:val="18"/>
        </w:rPr>
        <w:t>Curr Protoc Cytom</w:t>
      </w:r>
      <w:r w:rsidRPr="0005504B">
        <w:rPr>
          <w:sz w:val="18"/>
        </w:rPr>
        <w:t>, vol. 86, no. 1, p. e38, Oct. 2018, doi: 10.1002/cpcy.38.</w:t>
      </w:r>
    </w:p>
    <w:p w14:paraId="736C83F5" w14:textId="77777777" w:rsidR="0005504B" w:rsidRPr="0005504B" w:rsidRDefault="0005504B" w:rsidP="0005504B">
      <w:pPr>
        <w:pStyle w:val="Bibliography"/>
        <w:rPr>
          <w:sz w:val="18"/>
        </w:rPr>
      </w:pPr>
      <w:r w:rsidRPr="0005504B">
        <w:rPr>
          <w:sz w:val="18"/>
        </w:rPr>
        <w:t>[16]</w:t>
      </w:r>
      <w:r w:rsidRPr="0005504B">
        <w:rPr>
          <w:sz w:val="18"/>
        </w:rPr>
        <w:tab/>
        <w:t xml:space="preserve">P. Ariel, ‘A beginner’s guide to tissue clearing’, </w:t>
      </w:r>
      <w:r w:rsidRPr="0005504B">
        <w:rPr>
          <w:i/>
          <w:iCs/>
          <w:sz w:val="18"/>
        </w:rPr>
        <w:t>The International Journal of Biochemistry &amp; Cell Biology</w:t>
      </w:r>
      <w:r w:rsidRPr="0005504B">
        <w:rPr>
          <w:sz w:val="18"/>
        </w:rPr>
        <w:t>, vol. 84, pp. 35–39, Mar. 2017, doi: 10.1016/j.biocel.2016.12.009.</w:t>
      </w:r>
    </w:p>
    <w:p w14:paraId="250F4956" w14:textId="77777777" w:rsidR="0005504B" w:rsidRPr="0005504B" w:rsidRDefault="0005504B" w:rsidP="0005504B">
      <w:pPr>
        <w:pStyle w:val="Bibliography"/>
        <w:rPr>
          <w:sz w:val="18"/>
        </w:rPr>
      </w:pPr>
      <w:r w:rsidRPr="0005504B">
        <w:rPr>
          <w:sz w:val="18"/>
        </w:rPr>
        <w:t>[17]</w:t>
      </w:r>
      <w:r w:rsidRPr="0005504B">
        <w:rPr>
          <w:sz w:val="18"/>
        </w:rPr>
        <w:tab/>
        <w:t xml:space="preserve">D. S. Richardson and J. W. Lichtman, ‘Clarifying Tissue Clearing’, </w:t>
      </w:r>
      <w:r w:rsidRPr="0005504B">
        <w:rPr>
          <w:i/>
          <w:iCs/>
          <w:sz w:val="18"/>
        </w:rPr>
        <w:t>Cell</w:t>
      </w:r>
      <w:r w:rsidRPr="0005504B">
        <w:rPr>
          <w:sz w:val="18"/>
        </w:rPr>
        <w:t>, vol. 162, no. 2, pp. 246–257, Jul. 2015, doi: 10.1016/j.cell.2015.06.067.</w:t>
      </w:r>
    </w:p>
    <w:p w14:paraId="567D417B" w14:textId="77777777" w:rsidR="0005504B" w:rsidRPr="0005504B" w:rsidRDefault="0005504B" w:rsidP="0005504B">
      <w:pPr>
        <w:pStyle w:val="Bibliography"/>
        <w:rPr>
          <w:sz w:val="18"/>
        </w:rPr>
      </w:pPr>
      <w:r w:rsidRPr="0005504B">
        <w:rPr>
          <w:sz w:val="18"/>
        </w:rPr>
        <w:t>[18]</w:t>
      </w:r>
      <w:r w:rsidRPr="0005504B">
        <w:rPr>
          <w:sz w:val="18"/>
        </w:rPr>
        <w:tab/>
        <w:t xml:space="preserve">J. Zhao, H. M. Lai, Y. Qi, D. He, and H. Sun, ‘Current Status of Tissue Clearing and the Path Forward in Neuroscience’, </w:t>
      </w:r>
      <w:r w:rsidRPr="0005504B">
        <w:rPr>
          <w:i/>
          <w:iCs/>
          <w:sz w:val="18"/>
        </w:rPr>
        <w:t>ACS Chem Neurosci</w:t>
      </w:r>
      <w:r w:rsidRPr="0005504B">
        <w:rPr>
          <w:sz w:val="18"/>
        </w:rPr>
        <w:t>, vol. 12, no. 1, pp. 5–29, Jan. 2021, doi: 10.1021/acschemneuro.0c00563.</w:t>
      </w:r>
    </w:p>
    <w:p w14:paraId="1E45F256" w14:textId="77777777" w:rsidR="0005504B" w:rsidRPr="0005504B" w:rsidRDefault="0005504B" w:rsidP="0005504B">
      <w:pPr>
        <w:pStyle w:val="Bibliography"/>
        <w:rPr>
          <w:sz w:val="18"/>
        </w:rPr>
      </w:pPr>
      <w:r w:rsidRPr="0005504B">
        <w:rPr>
          <w:sz w:val="18"/>
        </w:rPr>
        <w:t>[19]</w:t>
      </w:r>
      <w:r w:rsidRPr="0005504B">
        <w:rPr>
          <w:sz w:val="18"/>
        </w:rPr>
        <w:tab/>
        <w:t xml:space="preserve">H. Kolesová, V. Olejníčková, A. Kvasilová, M. Gregorovičová, and D. Sedmera, ‘Tissue clearing and imaging methods for cardiovascular development’, </w:t>
      </w:r>
      <w:r w:rsidRPr="0005504B">
        <w:rPr>
          <w:i/>
          <w:iCs/>
          <w:sz w:val="18"/>
        </w:rPr>
        <w:t>iScience</w:t>
      </w:r>
      <w:r w:rsidRPr="0005504B">
        <w:rPr>
          <w:sz w:val="18"/>
        </w:rPr>
        <w:t>, vol. 24, no. 4, p. 102387, Apr. 2021, doi: 10.1016/j.isci.2021.102387.</w:t>
      </w:r>
    </w:p>
    <w:p w14:paraId="7C6EA13C" w14:textId="77777777" w:rsidR="0005504B" w:rsidRPr="0005504B" w:rsidRDefault="0005504B" w:rsidP="0005504B">
      <w:pPr>
        <w:pStyle w:val="Bibliography"/>
        <w:rPr>
          <w:sz w:val="18"/>
        </w:rPr>
      </w:pPr>
      <w:r w:rsidRPr="0005504B">
        <w:rPr>
          <w:sz w:val="18"/>
        </w:rPr>
        <w:t>[20]</w:t>
      </w:r>
      <w:r w:rsidRPr="0005504B">
        <w:rPr>
          <w:sz w:val="18"/>
        </w:rPr>
        <w:tab/>
        <w:t xml:space="preserve">T. Tian, Z. Yang, and X. Li, ‘Tissue clearing technique: Recent progress and biomedical applications’, </w:t>
      </w:r>
      <w:r w:rsidRPr="0005504B">
        <w:rPr>
          <w:i/>
          <w:iCs/>
          <w:sz w:val="18"/>
        </w:rPr>
        <w:t>J Anat</w:t>
      </w:r>
      <w:r w:rsidRPr="0005504B">
        <w:rPr>
          <w:sz w:val="18"/>
        </w:rPr>
        <w:t>, vol. 238, no. 2, pp. 489–507, Feb. 2021, doi: 10.1111/joa.13309.</w:t>
      </w:r>
    </w:p>
    <w:p w14:paraId="3B2C6C64" w14:textId="77777777" w:rsidR="0005504B" w:rsidRPr="0005504B" w:rsidRDefault="0005504B" w:rsidP="0005504B">
      <w:pPr>
        <w:pStyle w:val="Bibliography"/>
        <w:rPr>
          <w:sz w:val="18"/>
        </w:rPr>
      </w:pPr>
      <w:r w:rsidRPr="0005504B">
        <w:rPr>
          <w:sz w:val="18"/>
        </w:rPr>
        <w:t>[21]</w:t>
      </w:r>
      <w:r w:rsidRPr="0005504B">
        <w:rPr>
          <w:sz w:val="18"/>
        </w:rPr>
        <w:tab/>
        <w:t xml:space="preserve">K. R. Weiss, F. F. Voigt, D. P. Shepherd, and J. Huisken, ‘Tutorial: practical considerations for tissue clearing and imaging’, </w:t>
      </w:r>
      <w:r w:rsidRPr="0005504B">
        <w:rPr>
          <w:i/>
          <w:iCs/>
          <w:sz w:val="18"/>
        </w:rPr>
        <w:t>Nat Protoc</w:t>
      </w:r>
      <w:r w:rsidRPr="0005504B">
        <w:rPr>
          <w:sz w:val="18"/>
        </w:rPr>
        <w:t>, vol. 16, no. 6, pp. 2732–2748, Jun. 2021, doi: 10.1038/s41596-021-00502-8.</w:t>
      </w:r>
    </w:p>
    <w:p w14:paraId="3246F9E4" w14:textId="77777777" w:rsidR="0005504B" w:rsidRPr="0005504B" w:rsidRDefault="0005504B" w:rsidP="0005504B">
      <w:pPr>
        <w:pStyle w:val="Bibliography"/>
        <w:rPr>
          <w:sz w:val="18"/>
        </w:rPr>
      </w:pPr>
      <w:r w:rsidRPr="0005504B">
        <w:rPr>
          <w:sz w:val="18"/>
        </w:rPr>
        <w:t>[22]</w:t>
      </w:r>
      <w:r w:rsidRPr="0005504B">
        <w:rPr>
          <w:sz w:val="18"/>
        </w:rPr>
        <w:tab/>
        <w:t xml:space="preserve">Y. Zhan, H. Wu, L. Liu, J. Lin, and S. Zhang, ‘Organic solvent-based tissue clearing techniques and their applications’, </w:t>
      </w:r>
      <w:r w:rsidRPr="0005504B">
        <w:rPr>
          <w:i/>
          <w:iCs/>
          <w:sz w:val="18"/>
        </w:rPr>
        <w:t>J Biophotonics</w:t>
      </w:r>
      <w:r w:rsidRPr="0005504B">
        <w:rPr>
          <w:sz w:val="18"/>
        </w:rPr>
        <w:t>, vol. 14, no. 6, p. e202000413, Jun. 2021, doi: 10.1002/jbio.202000413.</w:t>
      </w:r>
    </w:p>
    <w:p w14:paraId="67ED7731" w14:textId="77777777" w:rsidR="0005504B" w:rsidRPr="0005504B" w:rsidRDefault="0005504B" w:rsidP="0005504B">
      <w:pPr>
        <w:pStyle w:val="Bibliography"/>
        <w:rPr>
          <w:sz w:val="18"/>
        </w:rPr>
      </w:pPr>
      <w:r w:rsidRPr="0005504B">
        <w:rPr>
          <w:sz w:val="18"/>
        </w:rPr>
        <w:t>[23]</w:t>
      </w:r>
      <w:r w:rsidRPr="0005504B">
        <w:rPr>
          <w:sz w:val="18"/>
        </w:rPr>
        <w:tab/>
        <w:t xml:space="preserve">T. Liu, L. Yang, X. Han, X. Ding, J. Li, and J. Yang, ‘Local sympathetic innervations modulate the lung innate immune responses’, </w:t>
      </w:r>
      <w:r w:rsidRPr="0005504B">
        <w:rPr>
          <w:i/>
          <w:iCs/>
          <w:sz w:val="18"/>
        </w:rPr>
        <w:t>Science Advances</w:t>
      </w:r>
      <w:r w:rsidRPr="0005504B">
        <w:rPr>
          <w:sz w:val="18"/>
        </w:rPr>
        <w:t>, vol. 6, no. 20, p. eaay1497, doi: 10.1126/sciadv.aay1497.</w:t>
      </w:r>
    </w:p>
    <w:p w14:paraId="1C028B10" w14:textId="77777777" w:rsidR="0005504B" w:rsidRPr="0005504B" w:rsidRDefault="0005504B" w:rsidP="0005504B">
      <w:pPr>
        <w:pStyle w:val="Bibliography"/>
        <w:rPr>
          <w:sz w:val="18"/>
        </w:rPr>
      </w:pPr>
      <w:r w:rsidRPr="0005504B">
        <w:rPr>
          <w:sz w:val="18"/>
        </w:rPr>
        <w:t>[24]</w:t>
      </w:r>
      <w:r w:rsidRPr="0005504B">
        <w:rPr>
          <w:sz w:val="18"/>
        </w:rPr>
        <w:tab/>
        <w:t xml:space="preserve">C. Pan </w:t>
      </w:r>
      <w:r w:rsidRPr="0005504B">
        <w:rPr>
          <w:i/>
          <w:iCs/>
          <w:sz w:val="18"/>
        </w:rPr>
        <w:t>et al.</w:t>
      </w:r>
      <w:r w:rsidRPr="0005504B">
        <w:rPr>
          <w:sz w:val="18"/>
        </w:rPr>
        <w:t xml:space="preserve">, ‘Deep Learning Reveals Cancer Metastasis and Therapeutic Antibody Targeting in the Entire Body’, </w:t>
      </w:r>
      <w:r w:rsidRPr="0005504B">
        <w:rPr>
          <w:i/>
          <w:iCs/>
          <w:sz w:val="18"/>
        </w:rPr>
        <w:t>Cell</w:t>
      </w:r>
      <w:r w:rsidRPr="0005504B">
        <w:rPr>
          <w:sz w:val="18"/>
        </w:rPr>
        <w:t>, vol. 179, no. 7, pp. 1661-1676.e19, Dec. 2019, doi: 10.1016/j.cell.2019.11.013.</w:t>
      </w:r>
    </w:p>
    <w:p w14:paraId="289DACBF" w14:textId="77777777" w:rsidR="0005504B" w:rsidRPr="0005504B" w:rsidRDefault="0005504B" w:rsidP="0005504B">
      <w:pPr>
        <w:pStyle w:val="Bibliography"/>
        <w:rPr>
          <w:sz w:val="18"/>
        </w:rPr>
      </w:pPr>
      <w:r w:rsidRPr="0005504B">
        <w:rPr>
          <w:sz w:val="18"/>
        </w:rPr>
        <w:t>[25]</w:t>
      </w:r>
      <w:r w:rsidRPr="0005504B">
        <w:rPr>
          <w:sz w:val="18"/>
        </w:rPr>
        <w:tab/>
        <w:t xml:space="preserve">Q. Sun </w:t>
      </w:r>
      <w:r w:rsidRPr="0005504B">
        <w:rPr>
          <w:i/>
          <w:iCs/>
          <w:sz w:val="18"/>
        </w:rPr>
        <w:t>et al.</w:t>
      </w:r>
      <w:r w:rsidRPr="0005504B">
        <w:rPr>
          <w:sz w:val="18"/>
        </w:rPr>
        <w:t xml:space="preserve">, ‘Application of ethyl cinnamate based optical tissue clearing and expansion microscopy combined with retrograde perfusion for 3D lung imaging’, </w:t>
      </w:r>
      <w:r w:rsidRPr="0005504B">
        <w:rPr>
          <w:i/>
          <w:iCs/>
          <w:sz w:val="18"/>
        </w:rPr>
        <w:t>Exp Lung Res</w:t>
      </w:r>
      <w:r w:rsidRPr="0005504B">
        <w:rPr>
          <w:sz w:val="18"/>
        </w:rPr>
        <w:t>, vol. 46, no. 10, pp. 393–408, Dec. 2020, doi: 10.1080/01902148.2020.1829183.</w:t>
      </w:r>
    </w:p>
    <w:p w14:paraId="43F8DD40" w14:textId="77777777" w:rsidR="0005504B" w:rsidRPr="0005504B" w:rsidRDefault="0005504B" w:rsidP="0005504B">
      <w:pPr>
        <w:pStyle w:val="Bibliography"/>
        <w:rPr>
          <w:sz w:val="18"/>
        </w:rPr>
      </w:pPr>
      <w:r w:rsidRPr="0005504B">
        <w:rPr>
          <w:sz w:val="18"/>
        </w:rPr>
        <w:t>[26]</w:t>
      </w:r>
      <w:r w:rsidRPr="0005504B">
        <w:rPr>
          <w:sz w:val="18"/>
        </w:rPr>
        <w:tab/>
        <w:t xml:space="preserve">S. E. Honeycutt and L. L. O’Brien, ‘Injection of Evans blue dye to fluorescently label and image intact vasculature’, </w:t>
      </w:r>
      <w:r w:rsidRPr="0005504B">
        <w:rPr>
          <w:i/>
          <w:iCs/>
          <w:sz w:val="18"/>
        </w:rPr>
        <w:t>BioTechniques</w:t>
      </w:r>
      <w:r w:rsidRPr="0005504B">
        <w:rPr>
          <w:sz w:val="18"/>
        </w:rPr>
        <w:t>, vol. 70, no. 3, pp. 181–185, Mar. 2021, doi: 10.2144/btn-2020-0152.</w:t>
      </w:r>
    </w:p>
    <w:p w14:paraId="3D4CAD20" w14:textId="77777777" w:rsidR="0005504B" w:rsidRPr="0005504B" w:rsidRDefault="0005504B" w:rsidP="0005504B">
      <w:pPr>
        <w:pStyle w:val="Bibliography"/>
        <w:rPr>
          <w:sz w:val="18"/>
        </w:rPr>
      </w:pPr>
      <w:r w:rsidRPr="0005504B">
        <w:rPr>
          <w:sz w:val="18"/>
        </w:rPr>
        <w:t>[27]</w:t>
      </w:r>
      <w:r w:rsidRPr="0005504B">
        <w:rPr>
          <w:sz w:val="18"/>
        </w:rPr>
        <w:tab/>
        <w:t xml:space="preserve">E. A. Susaki, K. Tainaka, D. Perrin, H. Yukinaga, A. Kuno, and H. R. Ueda, ‘Advanced CUBIC protocols for whole-brain and whole-body clearing and imaging’, </w:t>
      </w:r>
      <w:r w:rsidRPr="0005504B">
        <w:rPr>
          <w:i/>
          <w:iCs/>
          <w:sz w:val="18"/>
        </w:rPr>
        <w:t>Nat Protoc</w:t>
      </w:r>
      <w:r w:rsidRPr="0005504B">
        <w:rPr>
          <w:sz w:val="18"/>
        </w:rPr>
        <w:t>, vol. 10, no. 11, pp. 1709–1727, Nov. 2015, doi: 10.1038/nprot.2015.085.</w:t>
      </w:r>
    </w:p>
    <w:p w14:paraId="419A8C67" w14:textId="77777777" w:rsidR="0005504B" w:rsidRPr="0005504B" w:rsidRDefault="0005504B" w:rsidP="0005504B">
      <w:pPr>
        <w:pStyle w:val="Bibliography"/>
        <w:rPr>
          <w:sz w:val="18"/>
        </w:rPr>
      </w:pPr>
      <w:r w:rsidRPr="0005504B">
        <w:rPr>
          <w:sz w:val="18"/>
        </w:rPr>
        <w:t>[28]</w:t>
      </w:r>
      <w:r w:rsidRPr="0005504B">
        <w:rPr>
          <w:sz w:val="18"/>
        </w:rPr>
        <w:tab/>
        <w:t xml:space="preserve">W. Masselink </w:t>
      </w:r>
      <w:r w:rsidRPr="0005504B">
        <w:rPr>
          <w:i/>
          <w:iCs/>
          <w:sz w:val="18"/>
        </w:rPr>
        <w:t>et al.</w:t>
      </w:r>
      <w:r w:rsidRPr="0005504B">
        <w:rPr>
          <w:sz w:val="18"/>
        </w:rPr>
        <w:t xml:space="preserve">, ‘Broad applicability of a streamlined ethyl cinnamate-based clearing procedure’, </w:t>
      </w:r>
      <w:r w:rsidRPr="0005504B">
        <w:rPr>
          <w:i/>
          <w:iCs/>
          <w:sz w:val="18"/>
        </w:rPr>
        <w:t>Development</w:t>
      </w:r>
      <w:r w:rsidRPr="0005504B">
        <w:rPr>
          <w:sz w:val="18"/>
        </w:rPr>
        <w:t>, vol. 146, no. 3, p. dev166884, Feb. 2019, doi: 10.1242/dev.166884.</w:t>
      </w:r>
    </w:p>
    <w:p w14:paraId="610914D9" w14:textId="77777777" w:rsidR="0005504B" w:rsidRPr="0005504B" w:rsidRDefault="0005504B" w:rsidP="0005504B">
      <w:pPr>
        <w:pStyle w:val="Bibliography"/>
        <w:rPr>
          <w:sz w:val="18"/>
        </w:rPr>
      </w:pPr>
      <w:r w:rsidRPr="0005504B">
        <w:rPr>
          <w:sz w:val="18"/>
        </w:rPr>
        <w:t>[29]</w:t>
      </w:r>
      <w:r w:rsidRPr="0005504B">
        <w:rPr>
          <w:sz w:val="18"/>
        </w:rPr>
        <w:tab/>
        <w:t>‘Shaner 2005 Nature Methods - Choosing fluorescent proteins.pdf’. Accessed: Feb. 23, 2022. [Online]. Available: http://www.tsienlab.ucsd.edu/Publications/Shaner%202005%20Nature%20Methods%20-%20Choosing%20fluorescent%20proteins.pdf</w:t>
      </w:r>
    </w:p>
    <w:p w14:paraId="3471A2F9" w14:textId="77777777" w:rsidR="0005504B" w:rsidRPr="0005504B" w:rsidRDefault="0005504B" w:rsidP="0005504B">
      <w:pPr>
        <w:pStyle w:val="Bibliography"/>
        <w:rPr>
          <w:sz w:val="18"/>
        </w:rPr>
      </w:pPr>
      <w:r w:rsidRPr="0005504B">
        <w:rPr>
          <w:sz w:val="18"/>
        </w:rPr>
        <w:t>[30]</w:t>
      </w:r>
      <w:r w:rsidRPr="0005504B">
        <w:rPr>
          <w:sz w:val="18"/>
        </w:rPr>
        <w:tab/>
        <w:t xml:space="preserve">J. H. Kim </w:t>
      </w:r>
      <w:r w:rsidRPr="0005504B">
        <w:rPr>
          <w:i/>
          <w:iCs/>
          <w:sz w:val="18"/>
        </w:rPr>
        <w:t>et al.</w:t>
      </w:r>
      <w:r w:rsidRPr="0005504B">
        <w:rPr>
          <w:sz w:val="18"/>
        </w:rPr>
        <w:t xml:space="preserve">, ‘Optimizing tissue-clearing conditions based on analysis of the critical factors affecting tissue-clearing procedures’, </w:t>
      </w:r>
      <w:r w:rsidRPr="0005504B">
        <w:rPr>
          <w:i/>
          <w:iCs/>
          <w:sz w:val="18"/>
        </w:rPr>
        <w:t>Sci Rep</w:t>
      </w:r>
      <w:r w:rsidRPr="0005504B">
        <w:rPr>
          <w:sz w:val="18"/>
        </w:rPr>
        <w:t>, vol. 8, no. 1, p. 12815, Dec. 2018, doi: 10.1038/s41598-018-31153-7.</w:t>
      </w:r>
    </w:p>
    <w:p w14:paraId="0685F1A5" w14:textId="77777777" w:rsidR="0005504B" w:rsidRPr="0005504B" w:rsidRDefault="0005504B" w:rsidP="0005504B">
      <w:pPr>
        <w:pStyle w:val="Bibliography"/>
        <w:rPr>
          <w:sz w:val="18"/>
        </w:rPr>
      </w:pPr>
      <w:r w:rsidRPr="0005504B">
        <w:rPr>
          <w:sz w:val="18"/>
        </w:rPr>
        <w:t>[31]</w:t>
      </w:r>
      <w:r w:rsidRPr="0005504B">
        <w:rPr>
          <w:sz w:val="18"/>
        </w:rPr>
        <w:tab/>
        <w:t xml:space="preserve">S. Schrepfer, T. Deuse, H. Reichenspurner, M. P. Fischbein, R. C. Robbins, and M. P. Pelletier, ‘Stem cell transplantation: the lung barrier’, </w:t>
      </w:r>
      <w:r w:rsidRPr="0005504B">
        <w:rPr>
          <w:i/>
          <w:iCs/>
          <w:sz w:val="18"/>
        </w:rPr>
        <w:t>Transplant Proc</w:t>
      </w:r>
      <w:r w:rsidRPr="0005504B">
        <w:rPr>
          <w:sz w:val="18"/>
        </w:rPr>
        <w:t>, vol. 39, no. 2, pp. 573–576, Mar. 2007, doi: 10.1016/j.transproceed.2006.12.019.</w:t>
      </w:r>
    </w:p>
    <w:p w14:paraId="5B93E97B" w14:textId="77777777" w:rsidR="0005504B" w:rsidRPr="0005504B" w:rsidRDefault="0005504B" w:rsidP="0005504B">
      <w:pPr>
        <w:pStyle w:val="Bibliography"/>
        <w:rPr>
          <w:sz w:val="18"/>
        </w:rPr>
      </w:pPr>
      <w:r w:rsidRPr="0005504B">
        <w:rPr>
          <w:sz w:val="18"/>
        </w:rPr>
        <w:t>[32]</w:t>
      </w:r>
      <w:r w:rsidRPr="0005504B">
        <w:rPr>
          <w:sz w:val="18"/>
        </w:rPr>
        <w:tab/>
        <w:t xml:space="preserve">G.-J. Kremers, S. G. Gilbert, P. J. Cranfill, M. W. Davidson, and D. W. Piston, ‘Fluorescent proteins at a glance’, </w:t>
      </w:r>
      <w:r w:rsidRPr="0005504B">
        <w:rPr>
          <w:i/>
          <w:iCs/>
          <w:sz w:val="18"/>
        </w:rPr>
        <w:t>Journal of Cell Science</w:t>
      </w:r>
      <w:r w:rsidRPr="0005504B">
        <w:rPr>
          <w:sz w:val="18"/>
        </w:rPr>
        <w:t>, vol. 124, no. 2, pp. 157–160, Jan. 2011, doi: 10.1242/jcs.072744.</w:t>
      </w:r>
    </w:p>
    <w:p w14:paraId="547109C5" w14:textId="77777777" w:rsidR="0005504B" w:rsidRPr="0005504B" w:rsidRDefault="0005504B" w:rsidP="0005504B">
      <w:pPr>
        <w:pStyle w:val="Bibliography"/>
        <w:rPr>
          <w:sz w:val="18"/>
        </w:rPr>
      </w:pPr>
      <w:r w:rsidRPr="0005504B">
        <w:rPr>
          <w:sz w:val="18"/>
        </w:rPr>
        <w:t>[33]</w:t>
      </w:r>
      <w:r w:rsidRPr="0005504B">
        <w:rPr>
          <w:sz w:val="18"/>
        </w:rPr>
        <w:tab/>
        <w:t xml:space="preserve">A. Ertürk </w:t>
      </w:r>
      <w:r w:rsidRPr="0005504B">
        <w:rPr>
          <w:i/>
          <w:iCs/>
          <w:sz w:val="18"/>
        </w:rPr>
        <w:t>et al.</w:t>
      </w:r>
      <w:r w:rsidRPr="0005504B">
        <w:rPr>
          <w:sz w:val="18"/>
        </w:rPr>
        <w:t xml:space="preserve">, ‘Three-dimensional imaging of solvent-cleared organs using 3DISCO’, </w:t>
      </w:r>
      <w:r w:rsidRPr="0005504B">
        <w:rPr>
          <w:i/>
          <w:iCs/>
          <w:sz w:val="18"/>
        </w:rPr>
        <w:t>Nat Protoc</w:t>
      </w:r>
      <w:r w:rsidRPr="0005504B">
        <w:rPr>
          <w:sz w:val="18"/>
        </w:rPr>
        <w:t>, vol. 7, no. 11, pp. 1983–1995, Nov. 2012, doi: 10.1038/nprot.2012.119.</w:t>
      </w:r>
    </w:p>
    <w:p w14:paraId="0F90AE99" w14:textId="77777777" w:rsidR="0005504B" w:rsidRPr="0005504B" w:rsidRDefault="0005504B" w:rsidP="0005504B">
      <w:pPr>
        <w:pStyle w:val="Bibliography"/>
        <w:rPr>
          <w:sz w:val="18"/>
        </w:rPr>
      </w:pPr>
      <w:r w:rsidRPr="0005504B">
        <w:rPr>
          <w:sz w:val="18"/>
        </w:rPr>
        <w:t>[34]</w:t>
      </w:r>
      <w:r w:rsidRPr="0005504B">
        <w:rPr>
          <w:sz w:val="18"/>
        </w:rPr>
        <w:tab/>
        <w:t xml:space="preserve">C. Pan </w:t>
      </w:r>
      <w:r w:rsidRPr="0005504B">
        <w:rPr>
          <w:i/>
          <w:iCs/>
          <w:sz w:val="18"/>
        </w:rPr>
        <w:t>et al.</w:t>
      </w:r>
      <w:r w:rsidRPr="0005504B">
        <w:rPr>
          <w:sz w:val="18"/>
        </w:rPr>
        <w:t xml:space="preserve">, ‘Shrinkage-mediated imaging of entire organs and organisms using uDISCO’, </w:t>
      </w:r>
      <w:r w:rsidRPr="0005504B">
        <w:rPr>
          <w:i/>
          <w:iCs/>
          <w:sz w:val="18"/>
        </w:rPr>
        <w:t>Nat Methods</w:t>
      </w:r>
      <w:r w:rsidRPr="0005504B">
        <w:rPr>
          <w:sz w:val="18"/>
        </w:rPr>
        <w:t>, vol. 13, no. 10, pp. 859–867, Oct. 2016, doi: 10.1038/nmeth.3964.</w:t>
      </w:r>
    </w:p>
    <w:p w14:paraId="3C86E9DE" w14:textId="77777777" w:rsidR="0005504B" w:rsidRPr="0005504B" w:rsidRDefault="0005504B" w:rsidP="0005504B">
      <w:pPr>
        <w:pStyle w:val="Bibliography"/>
        <w:rPr>
          <w:sz w:val="18"/>
        </w:rPr>
      </w:pPr>
      <w:r w:rsidRPr="0005504B">
        <w:rPr>
          <w:sz w:val="18"/>
        </w:rPr>
        <w:t>[35]</w:t>
      </w:r>
      <w:r w:rsidRPr="0005504B">
        <w:rPr>
          <w:sz w:val="18"/>
        </w:rPr>
        <w:tab/>
        <w:t xml:space="preserve">A. K. Glaser </w:t>
      </w:r>
      <w:r w:rsidRPr="0005504B">
        <w:rPr>
          <w:i/>
          <w:iCs/>
          <w:sz w:val="18"/>
        </w:rPr>
        <w:t>et al.</w:t>
      </w:r>
      <w:r w:rsidRPr="0005504B">
        <w:rPr>
          <w:sz w:val="18"/>
        </w:rPr>
        <w:t xml:space="preserve">, ‘Multi-immersion open-top light-sheet microscope for high-throughput imaging of cleared tissues’, </w:t>
      </w:r>
      <w:r w:rsidRPr="0005504B">
        <w:rPr>
          <w:i/>
          <w:iCs/>
          <w:sz w:val="18"/>
        </w:rPr>
        <w:t>Nat Commun</w:t>
      </w:r>
      <w:r w:rsidRPr="0005504B">
        <w:rPr>
          <w:sz w:val="18"/>
        </w:rPr>
        <w:t>, vol. 10, no. 1, p. 2781, Jul. 2019, doi: 10.1038/s41467-019-10534-0.</w:t>
      </w:r>
    </w:p>
    <w:p w14:paraId="1EC6ABAA" w14:textId="77777777" w:rsidR="0005504B" w:rsidRPr="0005504B" w:rsidRDefault="0005504B" w:rsidP="0005504B">
      <w:pPr>
        <w:pStyle w:val="Bibliography"/>
        <w:rPr>
          <w:sz w:val="18"/>
        </w:rPr>
      </w:pPr>
      <w:r w:rsidRPr="0005504B">
        <w:rPr>
          <w:sz w:val="18"/>
        </w:rPr>
        <w:t>[36]</w:t>
      </w:r>
      <w:r w:rsidRPr="0005504B">
        <w:rPr>
          <w:sz w:val="18"/>
        </w:rPr>
        <w:tab/>
        <w:t xml:space="preserve">C. Hahn </w:t>
      </w:r>
      <w:r w:rsidRPr="0005504B">
        <w:rPr>
          <w:i/>
          <w:iCs/>
          <w:sz w:val="18"/>
        </w:rPr>
        <w:t>et al.</w:t>
      </w:r>
      <w:r w:rsidRPr="0005504B">
        <w:rPr>
          <w:sz w:val="18"/>
        </w:rPr>
        <w:t xml:space="preserve">, ‘High-resolution imaging of fluorescent whole mouse brains using stabilised organic media (sDISCO)’, </w:t>
      </w:r>
      <w:r w:rsidRPr="0005504B">
        <w:rPr>
          <w:i/>
          <w:iCs/>
          <w:sz w:val="18"/>
        </w:rPr>
        <w:t>J Biophotonics</w:t>
      </w:r>
      <w:r w:rsidRPr="0005504B">
        <w:rPr>
          <w:sz w:val="18"/>
        </w:rPr>
        <w:t>, vol. 12, no. 8, p. e201800368, Aug. 2019, doi: 10.1002/jbio.201800368.</w:t>
      </w:r>
    </w:p>
    <w:p w14:paraId="46B44D35" w14:textId="77777777" w:rsidR="0005504B" w:rsidRPr="0005504B" w:rsidRDefault="0005504B" w:rsidP="0005504B">
      <w:pPr>
        <w:pStyle w:val="Bibliography"/>
        <w:rPr>
          <w:sz w:val="18"/>
        </w:rPr>
      </w:pPr>
      <w:r w:rsidRPr="0005504B">
        <w:rPr>
          <w:sz w:val="18"/>
        </w:rPr>
        <w:t>[37]</w:t>
      </w:r>
      <w:r w:rsidRPr="0005504B">
        <w:rPr>
          <w:sz w:val="18"/>
        </w:rPr>
        <w:tab/>
        <w:t xml:space="preserve">C. Olianti </w:t>
      </w:r>
      <w:r w:rsidRPr="0005504B">
        <w:rPr>
          <w:i/>
          <w:iCs/>
          <w:sz w:val="18"/>
        </w:rPr>
        <w:t>et al.</w:t>
      </w:r>
      <w:r w:rsidRPr="0005504B">
        <w:rPr>
          <w:sz w:val="18"/>
        </w:rPr>
        <w:t xml:space="preserve">, ‘Optical clearing in cardiac imaging: A comparative study’, </w:t>
      </w:r>
      <w:r w:rsidRPr="0005504B">
        <w:rPr>
          <w:i/>
          <w:iCs/>
          <w:sz w:val="18"/>
        </w:rPr>
        <w:t>Progress in Biophysics and Molecular Biology</w:t>
      </w:r>
      <w:r w:rsidRPr="0005504B">
        <w:rPr>
          <w:sz w:val="18"/>
        </w:rPr>
        <w:t>, vol. 168, pp. 10–17, Jan. 2022, doi: 10.1016/j.pbiomolbio.2021.07.012.</w:t>
      </w:r>
    </w:p>
    <w:p w14:paraId="0E02C9CA" w14:textId="77777777" w:rsidR="0005504B" w:rsidRPr="0005504B" w:rsidRDefault="0005504B" w:rsidP="0005504B">
      <w:pPr>
        <w:pStyle w:val="Bibliography"/>
        <w:rPr>
          <w:sz w:val="18"/>
        </w:rPr>
      </w:pPr>
      <w:r w:rsidRPr="0005504B">
        <w:rPr>
          <w:sz w:val="18"/>
        </w:rPr>
        <w:t>[38]</w:t>
      </w:r>
      <w:r w:rsidRPr="0005504B">
        <w:rPr>
          <w:sz w:val="18"/>
        </w:rPr>
        <w:tab/>
        <w:t xml:space="preserve">Y. Li, J. Xu, P. Wan, T. Yu, and D. Zhu, ‘Optimization of GFP Fluorescence Preservation by a Modified uDISCO Clearing Protocol’, </w:t>
      </w:r>
      <w:r w:rsidRPr="0005504B">
        <w:rPr>
          <w:i/>
          <w:iCs/>
          <w:sz w:val="18"/>
        </w:rPr>
        <w:t>Front Neuroanat</w:t>
      </w:r>
      <w:r w:rsidRPr="0005504B">
        <w:rPr>
          <w:sz w:val="18"/>
        </w:rPr>
        <w:t>, vol. 12, p. 67, 2018, doi: 10.3389/fnana.2018.00067.</w:t>
      </w:r>
    </w:p>
    <w:p w14:paraId="1C041490" w14:textId="77777777" w:rsidR="0005504B" w:rsidRPr="0005504B" w:rsidRDefault="0005504B" w:rsidP="0005504B">
      <w:pPr>
        <w:pStyle w:val="Bibliography"/>
        <w:rPr>
          <w:sz w:val="18"/>
        </w:rPr>
      </w:pPr>
      <w:r w:rsidRPr="0005504B">
        <w:rPr>
          <w:sz w:val="18"/>
        </w:rPr>
        <w:t>[39]</w:t>
      </w:r>
      <w:r w:rsidRPr="0005504B">
        <w:rPr>
          <w:sz w:val="18"/>
        </w:rPr>
        <w:tab/>
        <w:t xml:space="preserve">Y. Qi </w:t>
      </w:r>
      <w:r w:rsidRPr="0005504B">
        <w:rPr>
          <w:i/>
          <w:iCs/>
          <w:sz w:val="18"/>
        </w:rPr>
        <w:t>et al.</w:t>
      </w:r>
      <w:r w:rsidRPr="0005504B">
        <w:rPr>
          <w:sz w:val="18"/>
        </w:rPr>
        <w:t xml:space="preserve">, ‘FDISCO: Advanced solvent-based clearing method for imaging whole organs’, </w:t>
      </w:r>
      <w:r w:rsidRPr="0005504B">
        <w:rPr>
          <w:i/>
          <w:iCs/>
          <w:sz w:val="18"/>
        </w:rPr>
        <w:t>Sci Adv</w:t>
      </w:r>
      <w:r w:rsidRPr="0005504B">
        <w:rPr>
          <w:sz w:val="18"/>
        </w:rPr>
        <w:t>, vol. 5, no. 1, p. eaau8355, Jan. 2019, doi: 10.1126/sciadv.aau8355.</w:t>
      </w:r>
    </w:p>
    <w:p w14:paraId="6395AB68" w14:textId="77777777" w:rsidR="0005504B" w:rsidRPr="0005504B" w:rsidRDefault="0005504B" w:rsidP="0005504B">
      <w:pPr>
        <w:pStyle w:val="Bibliography"/>
        <w:rPr>
          <w:sz w:val="18"/>
        </w:rPr>
      </w:pPr>
      <w:r w:rsidRPr="0005504B">
        <w:rPr>
          <w:sz w:val="18"/>
        </w:rPr>
        <w:t>[40]</w:t>
      </w:r>
      <w:r w:rsidRPr="0005504B">
        <w:rPr>
          <w:sz w:val="18"/>
        </w:rPr>
        <w:tab/>
        <w:t xml:space="preserve">H. Liu and W. W. Y. Kao, ‘A novel protocol of whole mount electro-immunofluorescence staining’, </w:t>
      </w:r>
      <w:r w:rsidRPr="0005504B">
        <w:rPr>
          <w:i/>
          <w:iCs/>
          <w:sz w:val="18"/>
        </w:rPr>
        <w:t>Mol Vis</w:t>
      </w:r>
      <w:r w:rsidRPr="0005504B">
        <w:rPr>
          <w:sz w:val="18"/>
        </w:rPr>
        <w:t>, vol. 15, pp. 505–517, Mar. 2009.</w:t>
      </w:r>
    </w:p>
    <w:p w14:paraId="7FDD9F7A" w14:textId="77777777" w:rsidR="0005504B" w:rsidRPr="0005504B" w:rsidRDefault="0005504B" w:rsidP="0005504B">
      <w:pPr>
        <w:pStyle w:val="Bibliography"/>
        <w:rPr>
          <w:sz w:val="18"/>
        </w:rPr>
      </w:pPr>
      <w:r w:rsidRPr="0005504B">
        <w:rPr>
          <w:sz w:val="18"/>
        </w:rPr>
        <w:t>[41]</w:t>
      </w:r>
      <w:r w:rsidRPr="0005504B">
        <w:rPr>
          <w:sz w:val="18"/>
        </w:rPr>
        <w:tab/>
        <w:t xml:space="preserve">H. M. Lai </w:t>
      </w:r>
      <w:r w:rsidRPr="0005504B">
        <w:rPr>
          <w:i/>
          <w:iCs/>
          <w:sz w:val="18"/>
        </w:rPr>
        <w:t>et al.</w:t>
      </w:r>
      <w:r w:rsidRPr="0005504B">
        <w:rPr>
          <w:sz w:val="18"/>
        </w:rPr>
        <w:t xml:space="preserve">, ‘Next generation histology methods for three-dimensional imaging of fresh and archival human brain tissues’, </w:t>
      </w:r>
      <w:r w:rsidRPr="0005504B">
        <w:rPr>
          <w:i/>
          <w:iCs/>
          <w:sz w:val="18"/>
        </w:rPr>
        <w:t>Nat Commun</w:t>
      </w:r>
      <w:r w:rsidRPr="0005504B">
        <w:rPr>
          <w:sz w:val="18"/>
        </w:rPr>
        <w:t>, vol. 9, no. 1, Art. no. 1, Mar. 2018, doi: 10.1038/s41467-018-03359-w.</w:t>
      </w:r>
    </w:p>
    <w:p w14:paraId="743BFE55" w14:textId="77777777" w:rsidR="0005504B" w:rsidRPr="0005504B" w:rsidRDefault="0005504B" w:rsidP="0005504B">
      <w:pPr>
        <w:pStyle w:val="Bibliography"/>
        <w:rPr>
          <w:sz w:val="18"/>
        </w:rPr>
      </w:pPr>
      <w:r w:rsidRPr="0005504B">
        <w:rPr>
          <w:sz w:val="18"/>
        </w:rPr>
        <w:t>[42]</w:t>
      </w:r>
      <w:r w:rsidRPr="0005504B">
        <w:rPr>
          <w:sz w:val="18"/>
        </w:rPr>
        <w:tab/>
        <w:t xml:space="preserve">J. Zhu </w:t>
      </w:r>
      <w:r w:rsidRPr="0005504B">
        <w:rPr>
          <w:i/>
          <w:iCs/>
          <w:sz w:val="18"/>
        </w:rPr>
        <w:t>et al.</w:t>
      </w:r>
      <w:r w:rsidRPr="0005504B">
        <w:rPr>
          <w:sz w:val="18"/>
        </w:rPr>
        <w:t xml:space="preserve">, ‘MACS: Rapid Aqueous Clearing System for 3D Mapping of Intact Organs’, </w:t>
      </w:r>
      <w:r w:rsidRPr="0005504B">
        <w:rPr>
          <w:i/>
          <w:iCs/>
          <w:sz w:val="18"/>
        </w:rPr>
        <w:t>Advanced Science</w:t>
      </w:r>
      <w:r w:rsidRPr="0005504B">
        <w:rPr>
          <w:sz w:val="18"/>
        </w:rPr>
        <w:t>, vol. 7, no. 8, p. 1903185, 2020, doi: 10.1002/advs.201903185.</w:t>
      </w:r>
    </w:p>
    <w:p w14:paraId="3C98FC30" w14:textId="77777777" w:rsidR="0005504B" w:rsidRPr="0005504B" w:rsidRDefault="0005504B" w:rsidP="0005504B">
      <w:pPr>
        <w:pStyle w:val="Bibliography"/>
        <w:rPr>
          <w:sz w:val="18"/>
        </w:rPr>
      </w:pPr>
      <w:r w:rsidRPr="0005504B">
        <w:rPr>
          <w:sz w:val="18"/>
        </w:rPr>
        <w:t>[43]</w:t>
      </w:r>
      <w:r w:rsidRPr="0005504B">
        <w:rPr>
          <w:sz w:val="18"/>
        </w:rPr>
        <w:tab/>
        <w:t>E. Participation, ‘Animals (Scientific Procedures) Act 1986’. https://www.legislation.gov.uk/ukpga/1986/14/contents (accessed Jan. 30, 2022).</w:t>
      </w:r>
    </w:p>
    <w:p w14:paraId="540F9A46" w14:textId="77777777" w:rsidR="0005504B" w:rsidRPr="0005504B" w:rsidRDefault="0005504B" w:rsidP="0005504B">
      <w:pPr>
        <w:pStyle w:val="Bibliography"/>
        <w:rPr>
          <w:sz w:val="18"/>
        </w:rPr>
      </w:pPr>
      <w:r w:rsidRPr="0005504B">
        <w:rPr>
          <w:sz w:val="18"/>
        </w:rPr>
        <w:t>[44]</w:t>
      </w:r>
      <w:r w:rsidRPr="0005504B">
        <w:rPr>
          <w:sz w:val="18"/>
        </w:rPr>
        <w:tab/>
        <w:t xml:space="preserve">S. I. Kubota </w:t>
      </w:r>
      <w:r w:rsidRPr="0005504B">
        <w:rPr>
          <w:i/>
          <w:iCs/>
          <w:sz w:val="18"/>
        </w:rPr>
        <w:t>et al.</w:t>
      </w:r>
      <w:r w:rsidRPr="0005504B">
        <w:rPr>
          <w:sz w:val="18"/>
        </w:rPr>
        <w:t xml:space="preserve">, ‘Whole-Body Profiling of Cancer Metastasis with Single-Cell Resolution’, </w:t>
      </w:r>
      <w:r w:rsidRPr="0005504B">
        <w:rPr>
          <w:i/>
          <w:iCs/>
          <w:sz w:val="18"/>
        </w:rPr>
        <w:t>Cell Rep</w:t>
      </w:r>
      <w:r w:rsidRPr="0005504B">
        <w:rPr>
          <w:sz w:val="18"/>
        </w:rPr>
        <w:t>, vol. 20, no. 1, pp. 236–250, Jul. 2017, doi: 10.1016/j.celrep.2017.06.010.</w:t>
      </w:r>
    </w:p>
    <w:p w14:paraId="759E4B4A" w14:textId="77777777" w:rsidR="0005504B" w:rsidRPr="0005504B" w:rsidRDefault="0005504B" w:rsidP="0005504B">
      <w:pPr>
        <w:pStyle w:val="Bibliography"/>
        <w:rPr>
          <w:sz w:val="18"/>
        </w:rPr>
      </w:pPr>
      <w:r w:rsidRPr="0005504B">
        <w:rPr>
          <w:sz w:val="18"/>
        </w:rPr>
        <w:t>[45]</w:t>
      </w:r>
      <w:r w:rsidRPr="0005504B">
        <w:rPr>
          <w:sz w:val="18"/>
        </w:rPr>
        <w:tab/>
        <w:t>‘Fiji: an open-source platform for biological-image analysis | Nature Methods’. https://www.nature.com/articles/nmeth.2019 (accessed Jan. 30, 2022).</w:t>
      </w:r>
    </w:p>
    <w:p w14:paraId="3954E1E3" w14:textId="301C302C" w:rsidR="00EA6902" w:rsidRDefault="00295E92" w:rsidP="00E47018">
      <w:pPr>
        <w:pStyle w:val="MDPI71References"/>
        <w:numPr>
          <w:ilvl w:val="0"/>
          <w:numId w:val="0"/>
        </w:numPr>
      </w:pPr>
      <w:r>
        <w:fldChar w:fldCharType="end"/>
      </w:r>
    </w:p>
    <w:sectPr w:rsidR="00EA6902" w:rsidSect="009B551E">
      <w:headerReference w:type="even" r:id="rId24"/>
      <w:headerReference w:type="default" r:id="rId25"/>
      <w:footerReference w:type="default" r:id="rId26"/>
      <w:headerReference w:type="first" r:id="rId27"/>
      <w:footerReference w:type="first" r:id="rId28"/>
      <w:type w:val="continuous"/>
      <w:pgSz w:w="11906" w:h="16838" w:code="9"/>
      <w:pgMar w:top="1417" w:right="720" w:bottom="1077" w:left="720" w:header="1020" w:footer="340" w:gutter="0"/>
      <w:lnNumType w:countBy="1" w:distance="255" w:restart="continuous"/>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D6DDC6" w14:textId="77777777" w:rsidR="006F0C6F" w:rsidRDefault="006F0C6F">
      <w:pPr>
        <w:spacing w:line="240" w:lineRule="auto"/>
      </w:pPr>
      <w:r>
        <w:separator/>
      </w:r>
    </w:p>
  </w:endnote>
  <w:endnote w:type="continuationSeparator" w:id="0">
    <w:p w14:paraId="1112FF7E" w14:textId="77777777" w:rsidR="006F0C6F" w:rsidRDefault="006F0C6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DengXian Light">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4ECC0" w14:textId="77777777" w:rsidR="0004400E" w:rsidRPr="00A71A3D" w:rsidRDefault="0004400E"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75753" w14:textId="77777777" w:rsidR="00471F5A" w:rsidRDefault="00471F5A" w:rsidP="00A24869">
    <w:pPr>
      <w:pStyle w:val="MDPIfooterfirstpage"/>
      <w:pBdr>
        <w:top w:val="single" w:sz="4" w:space="0" w:color="000000"/>
      </w:pBdr>
      <w:adjustRightInd w:val="0"/>
      <w:snapToGrid w:val="0"/>
      <w:spacing w:before="480" w:line="100" w:lineRule="exact"/>
      <w:rPr>
        <w:i/>
        <w:iCs/>
        <w:lang w:val="fr-CH"/>
      </w:rPr>
    </w:pPr>
  </w:p>
  <w:p w14:paraId="517DBD47" w14:textId="77777777" w:rsidR="0004400E" w:rsidRPr="008B308E" w:rsidRDefault="0004400E" w:rsidP="004340C2">
    <w:pPr>
      <w:pStyle w:val="MDPIfooterfirstpage"/>
      <w:tabs>
        <w:tab w:val="clear" w:pos="8845"/>
        <w:tab w:val="right" w:pos="10466"/>
      </w:tabs>
      <w:spacing w:line="240" w:lineRule="auto"/>
      <w:jc w:val="both"/>
      <w:rPr>
        <w:lang w:val="fr-CH"/>
      </w:rPr>
    </w:pPr>
    <w:r w:rsidRPr="00B04A30">
      <w:rPr>
        <w:i/>
        <w:iCs/>
        <w:lang w:val="fr-CH"/>
      </w:rPr>
      <w:t>Int. J. Mol. Sci.</w:t>
    </w:r>
    <w:r w:rsidRPr="00176A50">
      <w:rPr>
        <w:i/>
        <w:lang w:val="fr-CH"/>
      </w:rPr>
      <w:t xml:space="preserve"> </w:t>
    </w:r>
    <w:r w:rsidR="00C86F84">
      <w:rPr>
        <w:b/>
        <w:iCs/>
        <w:lang w:val="fr-CH"/>
      </w:rPr>
      <w:t>2022</w:t>
    </w:r>
    <w:r w:rsidR="00506BC0" w:rsidRPr="00506BC0">
      <w:rPr>
        <w:iCs/>
        <w:lang w:val="fr-CH"/>
      </w:rPr>
      <w:t>,</w:t>
    </w:r>
    <w:r w:rsidR="00C86F84">
      <w:rPr>
        <w:i/>
        <w:iCs/>
        <w:lang w:val="fr-CH"/>
      </w:rPr>
      <w:t xml:space="preserve"> 23</w:t>
    </w:r>
    <w:r w:rsidR="00506BC0" w:rsidRPr="00506BC0">
      <w:rPr>
        <w:iCs/>
        <w:lang w:val="fr-CH"/>
      </w:rPr>
      <w:t xml:space="preserve">, </w:t>
    </w:r>
    <w:r w:rsidR="000B74CE">
      <w:rPr>
        <w:iCs/>
        <w:lang w:val="fr-CH"/>
      </w:rPr>
      <w:t>x</w:t>
    </w:r>
    <w:r w:rsidR="00471F5A">
      <w:rPr>
        <w:iCs/>
        <w:lang w:val="fr-CH"/>
      </w:rPr>
      <w:t>. https://doi.org/10.3390/xxxxx</w:t>
    </w:r>
    <w:r w:rsidR="004340C2" w:rsidRPr="008B308E">
      <w:rPr>
        <w:lang w:val="fr-CH"/>
      </w:rPr>
      <w:tab/>
    </w:r>
    <w:r w:rsidRPr="008B308E">
      <w:rPr>
        <w:lang w:val="fr-CH"/>
      </w:rPr>
      <w:t>www.mdpi.com/journal/</w:t>
    </w:r>
    <w:proofErr w:type="spellStart"/>
    <w:r>
      <w:t>ijms</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B36C28" w14:textId="77777777" w:rsidR="006F0C6F" w:rsidRDefault="006F0C6F">
      <w:pPr>
        <w:spacing w:line="240" w:lineRule="auto"/>
      </w:pPr>
      <w:r>
        <w:separator/>
      </w:r>
    </w:p>
  </w:footnote>
  <w:footnote w:type="continuationSeparator" w:id="0">
    <w:p w14:paraId="26FB798F" w14:textId="77777777" w:rsidR="006F0C6F" w:rsidRDefault="006F0C6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E6BE45" w14:textId="77777777" w:rsidR="0004400E" w:rsidRDefault="0004400E" w:rsidP="000440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B8D3A" w14:textId="77777777" w:rsidR="00471F5A" w:rsidRDefault="0004400E" w:rsidP="004340C2">
    <w:pPr>
      <w:tabs>
        <w:tab w:val="right" w:pos="10466"/>
      </w:tabs>
      <w:adjustRightInd w:val="0"/>
      <w:snapToGrid w:val="0"/>
      <w:spacing w:line="240" w:lineRule="auto"/>
      <w:rPr>
        <w:sz w:val="16"/>
      </w:rPr>
    </w:pPr>
    <w:r>
      <w:rPr>
        <w:i/>
        <w:sz w:val="16"/>
      </w:rPr>
      <w:t xml:space="preserve">Int. J. Mol. Sci. </w:t>
    </w:r>
    <w:r w:rsidR="00C86F84">
      <w:rPr>
        <w:b/>
        <w:sz w:val="16"/>
      </w:rPr>
      <w:t>2022</w:t>
    </w:r>
    <w:r w:rsidR="00506BC0" w:rsidRPr="00506BC0">
      <w:rPr>
        <w:sz w:val="16"/>
      </w:rPr>
      <w:t>,</w:t>
    </w:r>
    <w:r w:rsidR="00C86F84">
      <w:rPr>
        <w:i/>
        <w:sz w:val="16"/>
      </w:rPr>
      <w:t xml:space="preserve"> 23</w:t>
    </w:r>
    <w:r w:rsidR="000B74CE">
      <w:rPr>
        <w:sz w:val="16"/>
      </w:rPr>
      <w:t>, x FOR PEER REVIEW</w:t>
    </w:r>
    <w:r w:rsidR="004340C2">
      <w:rPr>
        <w:sz w:val="16"/>
      </w:rPr>
      <w:tab/>
    </w:r>
    <w:r w:rsidR="000B74CE">
      <w:rPr>
        <w:sz w:val="16"/>
      </w:rPr>
      <w:fldChar w:fldCharType="begin"/>
    </w:r>
    <w:r w:rsidR="000B74CE">
      <w:rPr>
        <w:sz w:val="16"/>
      </w:rPr>
      <w:instrText xml:space="preserve"> PAGE   \* MERGEFORMAT </w:instrText>
    </w:r>
    <w:r w:rsidR="000B74CE">
      <w:rPr>
        <w:sz w:val="16"/>
      </w:rPr>
      <w:fldChar w:fldCharType="separate"/>
    </w:r>
    <w:r w:rsidR="00A1712D">
      <w:rPr>
        <w:sz w:val="16"/>
      </w:rPr>
      <w:t>5</w:t>
    </w:r>
    <w:r w:rsidR="000B74CE">
      <w:rPr>
        <w:sz w:val="16"/>
      </w:rPr>
      <w:fldChar w:fldCharType="end"/>
    </w:r>
    <w:r w:rsidR="000B74CE">
      <w:rPr>
        <w:sz w:val="16"/>
      </w:rPr>
      <w:t xml:space="preserve"> of </w:t>
    </w:r>
    <w:r w:rsidR="000B74CE">
      <w:rPr>
        <w:sz w:val="16"/>
      </w:rPr>
      <w:fldChar w:fldCharType="begin"/>
    </w:r>
    <w:r w:rsidR="000B74CE">
      <w:rPr>
        <w:sz w:val="16"/>
      </w:rPr>
      <w:instrText xml:space="preserve"> NUMPAGES   \* MERGEFORMAT </w:instrText>
    </w:r>
    <w:r w:rsidR="000B74CE">
      <w:rPr>
        <w:sz w:val="16"/>
      </w:rPr>
      <w:fldChar w:fldCharType="separate"/>
    </w:r>
    <w:r w:rsidR="00A1712D">
      <w:rPr>
        <w:sz w:val="16"/>
      </w:rPr>
      <w:t>5</w:t>
    </w:r>
    <w:r w:rsidR="000B74CE">
      <w:rPr>
        <w:sz w:val="16"/>
      </w:rPr>
      <w:fldChar w:fldCharType="end"/>
    </w:r>
  </w:p>
  <w:p w14:paraId="34B5E81A" w14:textId="77777777" w:rsidR="0004400E" w:rsidRPr="003257E1" w:rsidRDefault="0004400E" w:rsidP="00A24869">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487" w:type="dxa"/>
      <w:tblCellMar>
        <w:left w:w="0" w:type="dxa"/>
        <w:right w:w="0" w:type="dxa"/>
      </w:tblCellMar>
      <w:tblLook w:val="04A0" w:firstRow="1" w:lastRow="0" w:firstColumn="1" w:lastColumn="0" w:noHBand="0" w:noVBand="1"/>
    </w:tblPr>
    <w:tblGrid>
      <w:gridCol w:w="3679"/>
      <w:gridCol w:w="4535"/>
      <w:gridCol w:w="2273"/>
    </w:tblGrid>
    <w:tr w:rsidR="00471F5A" w:rsidRPr="004340C2" w14:paraId="1E8AE8B0" w14:textId="77777777" w:rsidTr="005332CC">
      <w:trPr>
        <w:trHeight w:val="686"/>
      </w:trPr>
      <w:tc>
        <w:tcPr>
          <w:tcW w:w="3679" w:type="dxa"/>
          <w:shd w:val="clear" w:color="auto" w:fill="auto"/>
          <w:vAlign w:val="center"/>
        </w:tcPr>
        <w:p w14:paraId="1C3AF68E" w14:textId="77777777" w:rsidR="00471F5A" w:rsidRPr="00762525" w:rsidRDefault="000B1F19" w:rsidP="004340C2">
          <w:pPr>
            <w:pStyle w:val="Header"/>
            <w:pBdr>
              <w:bottom w:val="none" w:sz="0" w:space="0" w:color="auto"/>
            </w:pBdr>
            <w:jc w:val="left"/>
            <w:rPr>
              <w:rFonts w:eastAsia="DengXian"/>
              <w:b/>
              <w:bCs/>
            </w:rPr>
          </w:pPr>
          <w:r w:rsidRPr="00762525">
            <w:rPr>
              <w:rFonts w:eastAsia="DengXian"/>
              <w:b/>
              <w:bCs/>
            </w:rPr>
            <w:drawing>
              <wp:inline distT="0" distB="0" distL="0" distR="0" wp14:anchorId="6E0438C3" wp14:editId="33027E29">
                <wp:extent cx="1669415" cy="436245"/>
                <wp:effectExtent l="0" t="0" r="0" b="0"/>
                <wp:docPr id="1" name="Picture 3" descr="C:\Users\home\Desktop\logos\ijms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logos\ijms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9415" cy="436245"/>
                        </a:xfrm>
                        <a:prstGeom prst="rect">
                          <a:avLst/>
                        </a:prstGeom>
                        <a:noFill/>
                        <a:ln>
                          <a:noFill/>
                        </a:ln>
                      </pic:spPr>
                    </pic:pic>
                  </a:graphicData>
                </a:graphic>
              </wp:inline>
            </w:drawing>
          </w:r>
        </w:p>
      </w:tc>
      <w:tc>
        <w:tcPr>
          <w:tcW w:w="4535" w:type="dxa"/>
          <w:shd w:val="clear" w:color="auto" w:fill="auto"/>
          <w:vAlign w:val="center"/>
        </w:tcPr>
        <w:p w14:paraId="1D115A43" w14:textId="77777777" w:rsidR="00471F5A" w:rsidRPr="00762525" w:rsidRDefault="00471F5A" w:rsidP="004340C2">
          <w:pPr>
            <w:pStyle w:val="Header"/>
            <w:pBdr>
              <w:bottom w:val="none" w:sz="0" w:space="0" w:color="auto"/>
            </w:pBdr>
            <w:rPr>
              <w:rFonts w:eastAsia="DengXian"/>
              <w:b/>
              <w:bCs/>
            </w:rPr>
          </w:pPr>
        </w:p>
      </w:tc>
      <w:tc>
        <w:tcPr>
          <w:tcW w:w="2273" w:type="dxa"/>
          <w:shd w:val="clear" w:color="auto" w:fill="auto"/>
          <w:vAlign w:val="center"/>
        </w:tcPr>
        <w:p w14:paraId="3DC08A6A" w14:textId="77777777" w:rsidR="00471F5A" w:rsidRPr="00762525" w:rsidRDefault="005332CC" w:rsidP="005332CC">
          <w:pPr>
            <w:pStyle w:val="Header"/>
            <w:pBdr>
              <w:bottom w:val="none" w:sz="0" w:space="0" w:color="auto"/>
            </w:pBdr>
            <w:jc w:val="right"/>
            <w:rPr>
              <w:rFonts w:eastAsia="DengXian"/>
              <w:b/>
              <w:bCs/>
            </w:rPr>
          </w:pPr>
          <w:r>
            <w:rPr>
              <w:rFonts w:eastAsia="DengXian"/>
              <w:b/>
              <w:bCs/>
            </w:rPr>
            <w:drawing>
              <wp:inline distT="0" distB="0" distL="0" distR="0" wp14:anchorId="01AEC556" wp14:editId="28D530F0">
                <wp:extent cx="540000" cy="360000"/>
                <wp:effectExtent l="0" t="0" r="0" b="2540"/>
                <wp:docPr id="7" name="Picture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2">
                          <a:extLst>
                            <a:ext uri="{28A0092B-C50C-407E-A947-70E740481C1C}">
                              <a14:useLocalDpi xmlns:a14="http://schemas.microsoft.com/office/drawing/2010/main" val="0"/>
                            </a:ext>
                          </a:extLst>
                        </a:blip>
                        <a:stretch>
                          <a:fillRect/>
                        </a:stretch>
                      </pic:blipFill>
                      <pic:spPr>
                        <a:xfrm>
                          <a:off x="0" y="0"/>
                          <a:ext cx="540000" cy="360000"/>
                        </a:xfrm>
                        <a:prstGeom prst="rect">
                          <a:avLst/>
                        </a:prstGeom>
                      </pic:spPr>
                    </pic:pic>
                  </a:graphicData>
                </a:graphic>
              </wp:inline>
            </w:drawing>
          </w:r>
        </w:p>
      </w:tc>
    </w:tr>
  </w:tbl>
  <w:p w14:paraId="520D7C28" w14:textId="77777777" w:rsidR="0004400E" w:rsidRPr="00471F5A" w:rsidRDefault="0004400E" w:rsidP="00A24869">
    <w:pPr>
      <w:pBdr>
        <w:bottom w:val="single" w:sz="4" w:space="1" w:color="000000"/>
      </w:pBdr>
      <w:adjustRightInd w:val="0"/>
      <w:snapToGrid w:val="0"/>
      <w:spacing w:line="100" w:lineRule="exact"/>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B468F5"/>
    <w:multiLevelType w:val="hybridMultilevel"/>
    <w:tmpl w:val="551C9AE8"/>
    <w:lvl w:ilvl="0" w:tplc="E264CA3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2085B"/>
    <w:multiLevelType w:val="hybridMultilevel"/>
    <w:tmpl w:val="77E02BF6"/>
    <w:lvl w:ilvl="0" w:tplc="664029F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9" w15:restartNumberingAfterBreak="0">
    <w:nsid w:val="70012E46"/>
    <w:multiLevelType w:val="hybridMultilevel"/>
    <w:tmpl w:val="7946DCD0"/>
    <w:lvl w:ilvl="0" w:tplc="5C06B1C6">
      <w:start w:val="1"/>
      <w:numFmt w:val="decimal"/>
      <w:lvlRestart w:val="0"/>
      <w:pStyle w:val="MDPI7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6311A3B"/>
    <w:multiLevelType w:val="hybridMultilevel"/>
    <w:tmpl w:val="5EB4AE68"/>
    <w:lvl w:ilvl="0" w:tplc="42505D78">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num w:numId="1">
    <w:abstractNumId w:val="4"/>
  </w:num>
  <w:num w:numId="2">
    <w:abstractNumId w:val="6"/>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8"/>
  </w:num>
  <w:num w:numId="7">
    <w:abstractNumId w:val="2"/>
  </w:num>
  <w:num w:numId="8">
    <w:abstractNumId w:val="8"/>
  </w:num>
  <w:num w:numId="9">
    <w:abstractNumId w:val="2"/>
  </w:num>
  <w:num w:numId="10">
    <w:abstractNumId w:val="8"/>
  </w:num>
  <w:num w:numId="11">
    <w:abstractNumId w:val="2"/>
  </w:num>
  <w:num w:numId="12">
    <w:abstractNumId w:val="10"/>
  </w:num>
  <w:num w:numId="13">
    <w:abstractNumId w:val="8"/>
  </w:num>
  <w:num w:numId="14">
    <w:abstractNumId w:val="2"/>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7"/>
  </w:num>
  <w:num w:numId="20">
    <w:abstractNumId w:val="0"/>
  </w:num>
  <w:num w:numId="21">
    <w:abstractNumId w:val="8"/>
  </w:num>
  <w:num w:numId="22">
    <w:abstractNumId w:val="2"/>
  </w:num>
  <w:num w:numId="23">
    <w:abstractNumId w:val="0"/>
  </w:num>
  <w:num w:numId="24">
    <w:abstractNumId w:val="1"/>
  </w:num>
  <w:num w:numId="25">
    <w:abstractNumId w:val="11"/>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ztzSwMDE0Nzc2NLdU0lEKTi0uzszPAykwqgUAKdcDiywAAAA="/>
  </w:docVars>
  <w:rsids>
    <w:rsidRoot w:val="00AD7BFD"/>
    <w:rsid w:val="00007A2B"/>
    <w:rsid w:val="00030B9D"/>
    <w:rsid w:val="000348D8"/>
    <w:rsid w:val="00035FC3"/>
    <w:rsid w:val="00042AF8"/>
    <w:rsid w:val="0004400E"/>
    <w:rsid w:val="00044C0A"/>
    <w:rsid w:val="0004721A"/>
    <w:rsid w:val="00053EBF"/>
    <w:rsid w:val="0005504B"/>
    <w:rsid w:val="0009213F"/>
    <w:rsid w:val="000A0F93"/>
    <w:rsid w:val="000A1E26"/>
    <w:rsid w:val="000A3EE8"/>
    <w:rsid w:val="000B1F19"/>
    <w:rsid w:val="000B5171"/>
    <w:rsid w:val="000B74CE"/>
    <w:rsid w:val="000C151B"/>
    <w:rsid w:val="000C1C29"/>
    <w:rsid w:val="000C2465"/>
    <w:rsid w:val="000C504E"/>
    <w:rsid w:val="000D1C00"/>
    <w:rsid w:val="000D360E"/>
    <w:rsid w:val="000D41E3"/>
    <w:rsid w:val="000E5CA1"/>
    <w:rsid w:val="00102377"/>
    <w:rsid w:val="00116D4C"/>
    <w:rsid w:val="00120C0D"/>
    <w:rsid w:val="00123013"/>
    <w:rsid w:val="00123A57"/>
    <w:rsid w:val="00144467"/>
    <w:rsid w:val="00151262"/>
    <w:rsid w:val="00152DBE"/>
    <w:rsid w:val="00157A9F"/>
    <w:rsid w:val="0016006D"/>
    <w:rsid w:val="0016372F"/>
    <w:rsid w:val="00191746"/>
    <w:rsid w:val="001A1691"/>
    <w:rsid w:val="001A1E76"/>
    <w:rsid w:val="001A55C5"/>
    <w:rsid w:val="001D349C"/>
    <w:rsid w:val="001D4D23"/>
    <w:rsid w:val="001E2AEB"/>
    <w:rsid w:val="001E4A07"/>
    <w:rsid w:val="001F4EBE"/>
    <w:rsid w:val="0020081E"/>
    <w:rsid w:val="002009D4"/>
    <w:rsid w:val="00211F69"/>
    <w:rsid w:val="0021217E"/>
    <w:rsid w:val="00213926"/>
    <w:rsid w:val="002223FC"/>
    <w:rsid w:val="00223767"/>
    <w:rsid w:val="00227F3E"/>
    <w:rsid w:val="00240486"/>
    <w:rsid w:val="002423A1"/>
    <w:rsid w:val="00254FBE"/>
    <w:rsid w:val="00261B68"/>
    <w:rsid w:val="00264D99"/>
    <w:rsid w:val="00270DA0"/>
    <w:rsid w:val="00272C35"/>
    <w:rsid w:val="00275690"/>
    <w:rsid w:val="00275E16"/>
    <w:rsid w:val="00281B36"/>
    <w:rsid w:val="00283E4B"/>
    <w:rsid w:val="0029135C"/>
    <w:rsid w:val="00295E92"/>
    <w:rsid w:val="002A4533"/>
    <w:rsid w:val="002A5BA3"/>
    <w:rsid w:val="002B511E"/>
    <w:rsid w:val="002C6554"/>
    <w:rsid w:val="002E1ACC"/>
    <w:rsid w:val="002E255F"/>
    <w:rsid w:val="002F121D"/>
    <w:rsid w:val="003040E0"/>
    <w:rsid w:val="00324292"/>
    <w:rsid w:val="00326141"/>
    <w:rsid w:val="00331431"/>
    <w:rsid w:val="00347070"/>
    <w:rsid w:val="00350C5F"/>
    <w:rsid w:val="003544EB"/>
    <w:rsid w:val="00357E10"/>
    <w:rsid w:val="00370EC8"/>
    <w:rsid w:val="00374BAC"/>
    <w:rsid w:val="0037766B"/>
    <w:rsid w:val="00377F4F"/>
    <w:rsid w:val="00382F6B"/>
    <w:rsid w:val="003A15E9"/>
    <w:rsid w:val="003A791E"/>
    <w:rsid w:val="003B1C13"/>
    <w:rsid w:val="003B49D7"/>
    <w:rsid w:val="003B7C96"/>
    <w:rsid w:val="003C5102"/>
    <w:rsid w:val="003D3232"/>
    <w:rsid w:val="003D3D4C"/>
    <w:rsid w:val="003E012D"/>
    <w:rsid w:val="003E1763"/>
    <w:rsid w:val="003F0E95"/>
    <w:rsid w:val="003F1497"/>
    <w:rsid w:val="003F4DA4"/>
    <w:rsid w:val="00401D30"/>
    <w:rsid w:val="00403FB8"/>
    <w:rsid w:val="0041581F"/>
    <w:rsid w:val="00424B6C"/>
    <w:rsid w:val="004340C2"/>
    <w:rsid w:val="00443AAF"/>
    <w:rsid w:val="00444499"/>
    <w:rsid w:val="00445481"/>
    <w:rsid w:val="004504C9"/>
    <w:rsid w:val="004505CF"/>
    <w:rsid w:val="004549E5"/>
    <w:rsid w:val="00456151"/>
    <w:rsid w:val="00457C3A"/>
    <w:rsid w:val="004669B4"/>
    <w:rsid w:val="0046725B"/>
    <w:rsid w:val="00471F5A"/>
    <w:rsid w:val="00475043"/>
    <w:rsid w:val="004814D8"/>
    <w:rsid w:val="0048607A"/>
    <w:rsid w:val="004A046F"/>
    <w:rsid w:val="004A1E11"/>
    <w:rsid w:val="004A5071"/>
    <w:rsid w:val="004C3FF6"/>
    <w:rsid w:val="004D21A1"/>
    <w:rsid w:val="004D3B65"/>
    <w:rsid w:val="00501D0F"/>
    <w:rsid w:val="00506BC0"/>
    <w:rsid w:val="005139C3"/>
    <w:rsid w:val="0051540B"/>
    <w:rsid w:val="00522C09"/>
    <w:rsid w:val="0053256F"/>
    <w:rsid w:val="005332CC"/>
    <w:rsid w:val="00533D0C"/>
    <w:rsid w:val="00557B4B"/>
    <w:rsid w:val="00562123"/>
    <w:rsid w:val="005664C6"/>
    <w:rsid w:val="0056677F"/>
    <w:rsid w:val="00583A96"/>
    <w:rsid w:val="005B6005"/>
    <w:rsid w:val="005C5DE8"/>
    <w:rsid w:val="005D62C8"/>
    <w:rsid w:val="005F4F4E"/>
    <w:rsid w:val="00605718"/>
    <w:rsid w:val="00606DEF"/>
    <w:rsid w:val="00613E06"/>
    <w:rsid w:val="00620098"/>
    <w:rsid w:val="006205C4"/>
    <w:rsid w:val="00626E73"/>
    <w:rsid w:val="00645D18"/>
    <w:rsid w:val="00646BFC"/>
    <w:rsid w:val="0065393F"/>
    <w:rsid w:val="0065560B"/>
    <w:rsid w:val="006566FB"/>
    <w:rsid w:val="00666C02"/>
    <w:rsid w:val="00674F79"/>
    <w:rsid w:val="0068381A"/>
    <w:rsid w:val="00685ACA"/>
    <w:rsid w:val="00686D0C"/>
    <w:rsid w:val="00690899"/>
    <w:rsid w:val="00691777"/>
    <w:rsid w:val="00692393"/>
    <w:rsid w:val="0069499E"/>
    <w:rsid w:val="006A0603"/>
    <w:rsid w:val="006A6678"/>
    <w:rsid w:val="006A71C5"/>
    <w:rsid w:val="006A74F9"/>
    <w:rsid w:val="006C3119"/>
    <w:rsid w:val="006C6DB8"/>
    <w:rsid w:val="006D7B35"/>
    <w:rsid w:val="006D7D99"/>
    <w:rsid w:val="006F0C6F"/>
    <w:rsid w:val="006F797D"/>
    <w:rsid w:val="00712B63"/>
    <w:rsid w:val="0071323C"/>
    <w:rsid w:val="00722347"/>
    <w:rsid w:val="00723EF9"/>
    <w:rsid w:val="00744847"/>
    <w:rsid w:val="00751EA1"/>
    <w:rsid w:val="00762525"/>
    <w:rsid w:val="007648D8"/>
    <w:rsid w:val="00773053"/>
    <w:rsid w:val="00784E49"/>
    <w:rsid w:val="0078775A"/>
    <w:rsid w:val="00792DC7"/>
    <w:rsid w:val="00797AB1"/>
    <w:rsid w:val="007B47DF"/>
    <w:rsid w:val="007C021F"/>
    <w:rsid w:val="007D0ABE"/>
    <w:rsid w:val="007D1D66"/>
    <w:rsid w:val="00801759"/>
    <w:rsid w:val="00804595"/>
    <w:rsid w:val="008145DC"/>
    <w:rsid w:val="00815491"/>
    <w:rsid w:val="00815D1E"/>
    <w:rsid w:val="0081604F"/>
    <w:rsid w:val="00822B6B"/>
    <w:rsid w:val="0082500C"/>
    <w:rsid w:val="008330E0"/>
    <w:rsid w:val="00843AAF"/>
    <w:rsid w:val="00844901"/>
    <w:rsid w:val="008474ED"/>
    <w:rsid w:val="00860149"/>
    <w:rsid w:val="00862B31"/>
    <w:rsid w:val="008669FB"/>
    <w:rsid w:val="0087011A"/>
    <w:rsid w:val="008A1AEB"/>
    <w:rsid w:val="008A2378"/>
    <w:rsid w:val="008A3D4D"/>
    <w:rsid w:val="008A3E62"/>
    <w:rsid w:val="008B6A2E"/>
    <w:rsid w:val="008C1897"/>
    <w:rsid w:val="008C4047"/>
    <w:rsid w:val="008C5241"/>
    <w:rsid w:val="008D69AF"/>
    <w:rsid w:val="008D6B7A"/>
    <w:rsid w:val="008E19B8"/>
    <w:rsid w:val="008E4118"/>
    <w:rsid w:val="008F2594"/>
    <w:rsid w:val="00911F22"/>
    <w:rsid w:val="009161FF"/>
    <w:rsid w:val="00927E8C"/>
    <w:rsid w:val="00965011"/>
    <w:rsid w:val="00993114"/>
    <w:rsid w:val="00995425"/>
    <w:rsid w:val="009A0FB4"/>
    <w:rsid w:val="009A3E00"/>
    <w:rsid w:val="009A7262"/>
    <w:rsid w:val="009B30A9"/>
    <w:rsid w:val="009B54F4"/>
    <w:rsid w:val="009B551E"/>
    <w:rsid w:val="009C1F04"/>
    <w:rsid w:val="009F5C65"/>
    <w:rsid w:val="009F70E6"/>
    <w:rsid w:val="00A11592"/>
    <w:rsid w:val="00A126C2"/>
    <w:rsid w:val="00A15FF4"/>
    <w:rsid w:val="00A16187"/>
    <w:rsid w:val="00A1712D"/>
    <w:rsid w:val="00A24869"/>
    <w:rsid w:val="00A341E0"/>
    <w:rsid w:val="00A45E53"/>
    <w:rsid w:val="00A53982"/>
    <w:rsid w:val="00A54A2D"/>
    <w:rsid w:val="00A563F4"/>
    <w:rsid w:val="00A56FF8"/>
    <w:rsid w:val="00A62565"/>
    <w:rsid w:val="00A65FB0"/>
    <w:rsid w:val="00A8104C"/>
    <w:rsid w:val="00A852BC"/>
    <w:rsid w:val="00A90060"/>
    <w:rsid w:val="00AA1BD0"/>
    <w:rsid w:val="00AB5AEE"/>
    <w:rsid w:val="00AB6637"/>
    <w:rsid w:val="00AC0491"/>
    <w:rsid w:val="00AD1EF5"/>
    <w:rsid w:val="00AD4C85"/>
    <w:rsid w:val="00AD7138"/>
    <w:rsid w:val="00AD7BFD"/>
    <w:rsid w:val="00AE19F7"/>
    <w:rsid w:val="00AF78DE"/>
    <w:rsid w:val="00B010FE"/>
    <w:rsid w:val="00B05206"/>
    <w:rsid w:val="00B224E9"/>
    <w:rsid w:val="00B22E26"/>
    <w:rsid w:val="00B377C4"/>
    <w:rsid w:val="00B46F24"/>
    <w:rsid w:val="00B47634"/>
    <w:rsid w:val="00B60928"/>
    <w:rsid w:val="00B622F2"/>
    <w:rsid w:val="00B63C85"/>
    <w:rsid w:val="00B66C79"/>
    <w:rsid w:val="00B72696"/>
    <w:rsid w:val="00B741C4"/>
    <w:rsid w:val="00B91748"/>
    <w:rsid w:val="00B91941"/>
    <w:rsid w:val="00B93109"/>
    <w:rsid w:val="00B943B8"/>
    <w:rsid w:val="00BA511C"/>
    <w:rsid w:val="00BB613E"/>
    <w:rsid w:val="00BC4C21"/>
    <w:rsid w:val="00BC5D92"/>
    <w:rsid w:val="00BC74C5"/>
    <w:rsid w:val="00BD0270"/>
    <w:rsid w:val="00BE2474"/>
    <w:rsid w:val="00BE2524"/>
    <w:rsid w:val="00C03302"/>
    <w:rsid w:val="00C03A3A"/>
    <w:rsid w:val="00C16DD7"/>
    <w:rsid w:val="00C235D4"/>
    <w:rsid w:val="00C45DFF"/>
    <w:rsid w:val="00C46DEC"/>
    <w:rsid w:val="00C51E9D"/>
    <w:rsid w:val="00C53791"/>
    <w:rsid w:val="00C71A70"/>
    <w:rsid w:val="00C75DFC"/>
    <w:rsid w:val="00C778E5"/>
    <w:rsid w:val="00C80A35"/>
    <w:rsid w:val="00C83FE1"/>
    <w:rsid w:val="00C84F02"/>
    <w:rsid w:val="00C8667F"/>
    <w:rsid w:val="00C86F84"/>
    <w:rsid w:val="00C90466"/>
    <w:rsid w:val="00C90D96"/>
    <w:rsid w:val="00CB291A"/>
    <w:rsid w:val="00CC0A40"/>
    <w:rsid w:val="00CC2664"/>
    <w:rsid w:val="00CC7AAB"/>
    <w:rsid w:val="00CC7F8D"/>
    <w:rsid w:val="00CD31FE"/>
    <w:rsid w:val="00CD54D3"/>
    <w:rsid w:val="00CD6365"/>
    <w:rsid w:val="00CE4114"/>
    <w:rsid w:val="00CE4479"/>
    <w:rsid w:val="00D01578"/>
    <w:rsid w:val="00D15FD7"/>
    <w:rsid w:val="00D2527A"/>
    <w:rsid w:val="00D52B76"/>
    <w:rsid w:val="00D53C17"/>
    <w:rsid w:val="00D7382C"/>
    <w:rsid w:val="00D82477"/>
    <w:rsid w:val="00D83445"/>
    <w:rsid w:val="00D95541"/>
    <w:rsid w:val="00DA6AE2"/>
    <w:rsid w:val="00DB1F52"/>
    <w:rsid w:val="00DD25B5"/>
    <w:rsid w:val="00DE07DE"/>
    <w:rsid w:val="00DE1B4D"/>
    <w:rsid w:val="00DE228F"/>
    <w:rsid w:val="00DF48AE"/>
    <w:rsid w:val="00DF535E"/>
    <w:rsid w:val="00E02AA6"/>
    <w:rsid w:val="00E03F44"/>
    <w:rsid w:val="00E05E8E"/>
    <w:rsid w:val="00E14912"/>
    <w:rsid w:val="00E17581"/>
    <w:rsid w:val="00E20009"/>
    <w:rsid w:val="00E26534"/>
    <w:rsid w:val="00E26A84"/>
    <w:rsid w:val="00E343F7"/>
    <w:rsid w:val="00E426D8"/>
    <w:rsid w:val="00E47018"/>
    <w:rsid w:val="00E47258"/>
    <w:rsid w:val="00E50C33"/>
    <w:rsid w:val="00E52E54"/>
    <w:rsid w:val="00E53385"/>
    <w:rsid w:val="00E63A82"/>
    <w:rsid w:val="00E70528"/>
    <w:rsid w:val="00E8141D"/>
    <w:rsid w:val="00E81963"/>
    <w:rsid w:val="00E82DCF"/>
    <w:rsid w:val="00E8311E"/>
    <w:rsid w:val="00E91ACB"/>
    <w:rsid w:val="00EA149D"/>
    <w:rsid w:val="00EA591D"/>
    <w:rsid w:val="00EA6902"/>
    <w:rsid w:val="00EA77C5"/>
    <w:rsid w:val="00EB7013"/>
    <w:rsid w:val="00EC21E4"/>
    <w:rsid w:val="00EC23EC"/>
    <w:rsid w:val="00ED2E1D"/>
    <w:rsid w:val="00EF23E7"/>
    <w:rsid w:val="00F05B9C"/>
    <w:rsid w:val="00F1193E"/>
    <w:rsid w:val="00F1450C"/>
    <w:rsid w:val="00F2406A"/>
    <w:rsid w:val="00F40A9B"/>
    <w:rsid w:val="00F42807"/>
    <w:rsid w:val="00F52C88"/>
    <w:rsid w:val="00F54E21"/>
    <w:rsid w:val="00F57FA0"/>
    <w:rsid w:val="00F705DF"/>
    <w:rsid w:val="00F8065D"/>
    <w:rsid w:val="00F85B1B"/>
    <w:rsid w:val="00F879E4"/>
    <w:rsid w:val="00F91974"/>
    <w:rsid w:val="00FB540D"/>
    <w:rsid w:val="00FC3455"/>
    <w:rsid w:val="00FC39AC"/>
    <w:rsid w:val="00FC7435"/>
    <w:rsid w:val="00FD698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036881"/>
  <w15:chartTrackingRefBased/>
  <w15:docId w15:val="{58128CE3-63CD-4604-9D79-63277CA6D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6902"/>
    <w:pPr>
      <w:spacing w:line="260" w:lineRule="atLeast"/>
      <w:jc w:val="both"/>
    </w:pPr>
    <w:rPr>
      <w:rFonts w:ascii="Palatino Linotype" w:hAnsi="Palatino Linotype"/>
      <w:noProof/>
      <w:color w:val="000000"/>
    </w:rPr>
  </w:style>
  <w:style w:type="paragraph" w:styleId="Heading2">
    <w:name w:val="heading 2"/>
    <w:basedOn w:val="Normal"/>
    <w:next w:val="Normal"/>
    <w:link w:val="Heading2Char"/>
    <w:uiPriority w:val="9"/>
    <w:unhideWhenUsed/>
    <w:qFormat/>
    <w:rsid w:val="00295E92"/>
    <w:pPr>
      <w:keepNext/>
      <w:keepLines/>
      <w:spacing w:before="40" w:line="259" w:lineRule="auto"/>
      <w:jc w:val="left"/>
      <w:outlineLvl w:val="1"/>
    </w:pPr>
    <w:rPr>
      <w:rFonts w:ascii="Arial" w:eastAsiaTheme="majorEastAsia" w:hAnsi="Arial" w:cstheme="majorBidi"/>
      <w:i/>
      <w:noProof w:val="0"/>
      <w:color w:val="auto"/>
      <w:sz w:val="26"/>
      <w:szCs w:val="26"/>
      <w:u w:val="single"/>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EA690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A690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A690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A6902"/>
    <w:pPr>
      <w:adjustRightInd w:val="0"/>
      <w:snapToGrid w:val="0"/>
      <w:spacing w:line="240" w:lineRule="atLeast"/>
      <w:ind w:right="113"/>
      <w:jc w:val="left"/>
    </w:pPr>
    <w:rPr>
      <w:rFonts w:eastAsia="Times New Roman"/>
      <w:noProof w:val="0"/>
      <w:sz w:val="14"/>
      <w:lang w:eastAsia="de-DE" w:bidi="en-US"/>
    </w:rPr>
  </w:style>
  <w:style w:type="paragraph" w:customStyle="1" w:styleId="MDPI16affiliation">
    <w:name w:val="MDPI_1.6_affiliation"/>
    <w:qFormat/>
    <w:rsid w:val="00EA690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A6902"/>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EA6902"/>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EA6902"/>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EA690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A6902"/>
    <w:rPr>
      <w:rFonts w:ascii="Palatino Linotype" w:hAnsi="Palatino Linotype"/>
      <w:noProof/>
      <w:color w:val="000000"/>
      <w:szCs w:val="18"/>
    </w:rPr>
  </w:style>
  <w:style w:type="paragraph" w:styleId="Header">
    <w:name w:val="header"/>
    <w:basedOn w:val="Normal"/>
    <w:link w:val="HeaderChar"/>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A6902"/>
    <w:rPr>
      <w:rFonts w:ascii="Palatino Linotype" w:hAnsi="Palatino Linotype"/>
      <w:noProof/>
      <w:color w:val="000000"/>
      <w:szCs w:val="18"/>
    </w:rPr>
  </w:style>
  <w:style w:type="paragraph" w:customStyle="1" w:styleId="MDPIheaderjournallogo">
    <w:name w:val="MDPI_header_journal_logo"/>
    <w:qFormat/>
    <w:rsid w:val="00EA6902"/>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EA6902"/>
    <w:pPr>
      <w:ind w:firstLine="0"/>
    </w:pPr>
  </w:style>
  <w:style w:type="paragraph" w:customStyle="1" w:styleId="MDPI31text">
    <w:name w:val="MDPI_3.1_text"/>
    <w:qFormat/>
    <w:rsid w:val="00E5338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A6902"/>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EA6902"/>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A6902"/>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A6902"/>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332CC"/>
    <w:pPr>
      <w:numPr>
        <w:numId w:val="25"/>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332CC"/>
    <w:pPr>
      <w:numPr>
        <w:numId w:val="23"/>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A6902"/>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A6902"/>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A6902"/>
    <w:pPr>
      <w:adjustRightInd w:val="0"/>
      <w:snapToGrid w:val="0"/>
      <w:spacing w:before="240" w:after="120"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B7269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A6902"/>
    <w:pPr>
      <w:adjustRightInd w:val="0"/>
      <w:snapToGrid w:val="0"/>
      <w:spacing w:line="228" w:lineRule="auto"/>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A6902"/>
    <w:pPr>
      <w:adjustRightInd w:val="0"/>
      <w:snapToGrid w:val="0"/>
      <w:spacing w:before="120" w:after="240" w:line="228" w:lineRule="auto"/>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EA690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1theorem">
    <w:name w:val="MDPI_8.1_theorem"/>
    <w:qFormat/>
    <w:rsid w:val="00EA6902"/>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EA6902"/>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footerfirstpage">
    <w:name w:val="MDPI_footer_firstpage"/>
    <w:qFormat/>
    <w:rsid w:val="00EA6902"/>
    <w:pPr>
      <w:tabs>
        <w:tab w:val="right" w:pos="8845"/>
      </w:tabs>
      <w:spacing w:line="160" w:lineRule="exact"/>
    </w:pPr>
    <w:rPr>
      <w:rFonts w:ascii="Palatino Linotype" w:eastAsia="Times New Roman" w:hAnsi="Palatino Linotype"/>
      <w:color w:val="000000"/>
      <w:sz w:val="16"/>
      <w:lang w:eastAsia="de-DE"/>
    </w:rPr>
  </w:style>
  <w:style w:type="paragraph" w:customStyle="1" w:styleId="MDPI23heading3">
    <w:name w:val="MDPI_2.3_heading3"/>
    <w:qFormat/>
    <w:rsid w:val="00EA6902"/>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A6902"/>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EA6902"/>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51540B"/>
    <w:pPr>
      <w:numPr>
        <w:numId w:val="26"/>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A6902"/>
    <w:rPr>
      <w:rFonts w:cs="Tahoma"/>
      <w:szCs w:val="18"/>
    </w:rPr>
  </w:style>
  <w:style w:type="character" w:customStyle="1" w:styleId="BalloonTextChar">
    <w:name w:val="Balloon Text Char"/>
    <w:link w:val="BalloonText"/>
    <w:uiPriority w:val="99"/>
    <w:rsid w:val="00EA6902"/>
    <w:rPr>
      <w:rFonts w:ascii="Palatino Linotype" w:hAnsi="Palatino Linotype" w:cs="Tahoma"/>
      <w:noProof/>
      <w:color w:val="000000"/>
      <w:szCs w:val="18"/>
    </w:rPr>
  </w:style>
  <w:style w:type="character" w:styleId="LineNumber">
    <w:name w:val="line number"/>
    <w:uiPriority w:val="99"/>
    <w:rsid w:val="009B551E"/>
    <w:rPr>
      <w:rFonts w:ascii="Palatino Linotype" w:hAnsi="Palatino Linotype"/>
      <w:sz w:val="16"/>
    </w:rPr>
  </w:style>
  <w:style w:type="table" w:customStyle="1" w:styleId="MDPI41threelinetable">
    <w:name w:val="MDPI_4.1_three_line_table"/>
    <w:basedOn w:val="TableNormal"/>
    <w:uiPriority w:val="99"/>
    <w:rsid w:val="00EA690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A6902"/>
    <w:rPr>
      <w:color w:val="0000FF"/>
      <w:u w:val="single"/>
    </w:rPr>
  </w:style>
  <w:style w:type="character" w:styleId="UnresolvedMention">
    <w:name w:val="Unresolved Mention"/>
    <w:uiPriority w:val="99"/>
    <w:semiHidden/>
    <w:unhideWhenUsed/>
    <w:rsid w:val="00A65FB0"/>
    <w:rPr>
      <w:color w:val="605E5C"/>
      <w:shd w:val="clear" w:color="auto" w:fill="E1DFDD"/>
    </w:rPr>
  </w:style>
  <w:style w:type="table" w:styleId="TableGrid">
    <w:name w:val="Table Grid"/>
    <w:basedOn w:val="TableNormal"/>
    <w:uiPriority w:val="59"/>
    <w:rsid w:val="00EA690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EA6902"/>
    <w:pPr>
      <w:adjustRightInd w:val="0"/>
      <w:snapToGrid w:val="0"/>
      <w:spacing w:line="240" w:lineRule="atLeast"/>
      <w:ind w:right="113"/>
    </w:pPr>
    <w:rPr>
      <w:rFonts w:ascii="Palatino Linotype" w:hAnsi="Palatino Linotype" w:cs="Cordia New"/>
      <w:sz w:val="14"/>
      <w:szCs w:val="22"/>
    </w:rPr>
  </w:style>
  <w:style w:type="paragraph" w:customStyle="1" w:styleId="MDPI62BackMatter">
    <w:name w:val="MDPI_6.2_BackMatter"/>
    <w:qFormat/>
    <w:rsid w:val="00EA6902"/>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A6902"/>
    <w:pPr>
      <w:adjustRightInd w:val="0"/>
      <w:snapToGrid w:val="0"/>
      <w:spacing w:after="120" w:line="240" w:lineRule="atLeast"/>
      <w:ind w:right="113"/>
    </w:pPr>
    <w:rPr>
      <w:rFonts w:ascii="Palatino Linotype" w:hAnsi="Palatino Linotype"/>
      <w:snapToGrid w:val="0"/>
      <w:color w:val="000000"/>
      <w:sz w:val="14"/>
      <w:lang w:eastAsia="en-US" w:bidi="en-US"/>
    </w:rPr>
  </w:style>
  <w:style w:type="paragraph" w:customStyle="1" w:styleId="MDPI15academiceditor">
    <w:name w:val="MDPI_1.5_academic_editor"/>
    <w:qFormat/>
    <w:rsid w:val="00C86F84"/>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EA6902"/>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EA6902"/>
    <w:pPr>
      <w:adjustRightInd w:val="0"/>
      <w:snapToGrid w:val="0"/>
      <w:spacing w:before="240" w:after="120" w:line="26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A6902"/>
    <w:pPr>
      <w:adjustRightInd w:val="0"/>
      <w:snapToGrid w:val="0"/>
      <w:spacing w:before="240" w:after="120" w:line="260" w:lineRule="atLeast"/>
      <w:jc w:val="center"/>
    </w:pPr>
    <w:rPr>
      <w:rFonts w:ascii="Palatino Linotype" w:hAnsi="Palatino Linotype"/>
      <w:noProof/>
      <w:color w:val="000000"/>
      <w:sz w:val="18"/>
      <w:lang w:bidi="en-US"/>
    </w:rPr>
  </w:style>
  <w:style w:type="paragraph" w:customStyle="1" w:styleId="MDPI72Copyright">
    <w:name w:val="MDPI_7.2_Copyright"/>
    <w:qFormat/>
    <w:rsid w:val="00EA6902"/>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EA6902"/>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EA6902"/>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EA6902"/>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header">
    <w:name w:val="MDPI_header"/>
    <w:qFormat/>
    <w:rsid w:val="00EA690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EA6902"/>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EA6902"/>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EA6902"/>
    <w:rPr>
      <w:rFonts w:ascii="Palatino Linotype" w:hAnsi="Palatino Linotype"/>
      <w:color w:val="000000"/>
      <w:lang w:val="en-CA" w:eastAsia="en-US"/>
    </w:rPr>
    <w:tblPr>
      <w:tblCellMar>
        <w:left w:w="0" w:type="dxa"/>
        <w:right w:w="0" w:type="dxa"/>
      </w:tblCellMar>
    </w:tblPr>
  </w:style>
  <w:style w:type="paragraph" w:customStyle="1" w:styleId="MDPItext">
    <w:name w:val="MDPI_text"/>
    <w:qFormat/>
    <w:rsid w:val="00EA6902"/>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EA6902"/>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EA6902"/>
  </w:style>
  <w:style w:type="paragraph" w:styleId="Bibliography">
    <w:name w:val="Bibliography"/>
    <w:basedOn w:val="Normal"/>
    <w:next w:val="Normal"/>
    <w:uiPriority w:val="37"/>
    <w:unhideWhenUsed/>
    <w:rsid w:val="00EA6902"/>
    <w:pPr>
      <w:tabs>
        <w:tab w:val="left" w:pos="504"/>
      </w:tabs>
      <w:spacing w:line="240" w:lineRule="atLeast"/>
      <w:ind w:left="504" w:hanging="504"/>
    </w:pPr>
  </w:style>
  <w:style w:type="paragraph" w:styleId="BodyText">
    <w:name w:val="Body Text"/>
    <w:link w:val="BodyTextChar"/>
    <w:rsid w:val="00EA690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A6902"/>
    <w:rPr>
      <w:rFonts w:ascii="Palatino Linotype" w:hAnsi="Palatino Linotype"/>
      <w:color w:val="000000"/>
      <w:sz w:val="24"/>
      <w:lang w:eastAsia="de-DE"/>
    </w:rPr>
  </w:style>
  <w:style w:type="character" w:styleId="CommentReference">
    <w:name w:val="annotation reference"/>
    <w:uiPriority w:val="99"/>
    <w:rsid w:val="00EA6902"/>
    <w:rPr>
      <w:sz w:val="21"/>
      <w:szCs w:val="21"/>
    </w:rPr>
  </w:style>
  <w:style w:type="paragraph" w:styleId="CommentText">
    <w:name w:val="annotation text"/>
    <w:basedOn w:val="Normal"/>
    <w:link w:val="CommentTextChar"/>
    <w:rsid w:val="00EA6902"/>
  </w:style>
  <w:style w:type="character" w:customStyle="1" w:styleId="CommentTextChar">
    <w:name w:val="Comment Text Char"/>
    <w:link w:val="CommentText"/>
    <w:rsid w:val="00EA6902"/>
    <w:rPr>
      <w:rFonts w:ascii="Palatino Linotype" w:hAnsi="Palatino Linotype"/>
      <w:noProof/>
      <w:color w:val="000000"/>
    </w:rPr>
  </w:style>
  <w:style w:type="paragraph" w:styleId="CommentSubject">
    <w:name w:val="annotation subject"/>
    <w:basedOn w:val="CommentText"/>
    <w:next w:val="CommentText"/>
    <w:link w:val="CommentSubjectChar"/>
    <w:rsid w:val="00EA6902"/>
    <w:rPr>
      <w:b/>
      <w:bCs/>
    </w:rPr>
  </w:style>
  <w:style w:type="character" w:customStyle="1" w:styleId="CommentSubjectChar">
    <w:name w:val="Comment Subject Char"/>
    <w:link w:val="CommentSubject"/>
    <w:rsid w:val="00EA6902"/>
    <w:rPr>
      <w:rFonts w:ascii="Palatino Linotype" w:hAnsi="Palatino Linotype"/>
      <w:b/>
      <w:bCs/>
      <w:noProof/>
      <w:color w:val="000000"/>
    </w:rPr>
  </w:style>
  <w:style w:type="character" w:styleId="EndnoteReference">
    <w:name w:val="endnote reference"/>
    <w:rsid w:val="00EA6902"/>
    <w:rPr>
      <w:vertAlign w:val="superscript"/>
    </w:rPr>
  </w:style>
  <w:style w:type="paragraph" w:styleId="EndnoteText">
    <w:name w:val="endnote text"/>
    <w:basedOn w:val="Normal"/>
    <w:link w:val="EndnoteTextChar"/>
    <w:semiHidden/>
    <w:unhideWhenUsed/>
    <w:rsid w:val="00EA6902"/>
    <w:pPr>
      <w:spacing w:line="240" w:lineRule="auto"/>
    </w:pPr>
  </w:style>
  <w:style w:type="character" w:customStyle="1" w:styleId="EndnoteTextChar">
    <w:name w:val="Endnote Text Char"/>
    <w:link w:val="EndnoteText"/>
    <w:semiHidden/>
    <w:rsid w:val="00EA6902"/>
    <w:rPr>
      <w:rFonts w:ascii="Palatino Linotype" w:hAnsi="Palatino Linotype"/>
      <w:noProof/>
      <w:color w:val="000000"/>
    </w:rPr>
  </w:style>
  <w:style w:type="character" w:styleId="FollowedHyperlink">
    <w:name w:val="FollowedHyperlink"/>
    <w:rsid w:val="00EA6902"/>
    <w:rPr>
      <w:color w:val="954F72"/>
      <w:u w:val="single"/>
    </w:rPr>
  </w:style>
  <w:style w:type="paragraph" w:styleId="FootnoteText">
    <w:name w:val="footnote text"/>
    <w:basedOn w:val="Normal"/>
    <w:link w:val="FootnoteTextChar"/>
    <w:semiHidden/>
    <w:unhideWhenUsed/>
    <w:rsid w:val="00EA6902"/>
    <w:pPr>
      <w:spacing w:line="240" w:lineRule="auto"/>
    </w:pPr>
  </w:style>
  <w:style w:type="character" w:customStyle="1" w:styleId="FootnoteTextChar">
    <w:name w:val="Footnote Text Char"/>
    <w:link w:val="FootnoteText"/>
    <w:semiHidden/>
    <w:rsid w:val="00EA6902"/>
    <w:rPr>
      <w:rFonts w:ascii="Palatino Linotype" w:hAnsi="Palatino Linotype"/>
      <w:noProof/>
      <w:color w:val="000000"/>
    </w:rPr>
  </w:style>
  <w:style w:type="paragraph" w:styleId="NormalWeb">
    <w:name w:val="Normal (Web)"/>
    <w:basedOn w:val="Normal"/>
    <w:uiPriority w:val="99"/>
    <w:rsid w:val="00EA6902"/>
    <w:rPr>
      <w:szCs w:val="24"/>
    </w:rPr>
  </w:style>
  <w:style w:type="paragraph" w:customStyle="1" w:styleId="MsoFootnoteText0">
    <w:name w:val="MsoFootnoteText"/>
    <w:basedOn w:val="NormalWeb"/>
    <w:qFormat/>
    <w:rsid w:val="00EA6902"/>
    <w:rPr>
      <w:rFonts w:ascii="Times New Roman" w:hAnsi="Times New Roman"/>
    </w:rPr>
  </w:style>
  <w:style w:type="character" w:styleId="PageNumber">
    <w:name w:val="page number"/>
    <w:rsid w:val="00EA6902"/>
  </w:style>
  <w:style w:type="character" w:styleId="PlaceholderText">
    <w:name w:val="Placeholder Text"/>
    <w:uiPriority w:val="99"/>
    <w:semiHidden/>
    <w:rsid w:val="00EA6902"/>
    <w:rPr>
      <w:color w:val="808080"/>
    </w:rPr>
  </w:style>
  <w:style w:type="paragraph" w:customStyle="1" w:styleId="MDPI71FootNotes">
    <w:name w:val="MDPI_7.1_FootNotes"/>
    <w:qFormat/>
    <w:rsid w:val="00211F69"/>
    <w:pPr>
      <w:numPr>
        <w:numId w:val="24"/>
      </w:numPr>
      <w:adjustRightInd w:val="0"/>
      <w:snapToGrid w:val="0"/>
      <w:spacing w:line="228" w:lineRule="auto"/>
    </w:pPr>
    <w:rPr>
      <w:rFonts w:ascii="Palatino Linotype" w:eastAsiaTheme="minorEastAsia" w:hAnsi="Palatino Linotype"/>
      <w:noProof/>
      <w:color w:val="000000"/>
      <w:sz w:val="18"/>
    </w:rPr>
  </w:style>
  <w:style w:type="character" w:customStyle="1" w:styleId="Heading2Char">
    <w:name w:val="Heading 2 Char"/>
    <w:basedOn w:val="DefaultParagraphFont"/>
    <w:link w:val="Heading2"/>
    <w:uiPriority w:val="9"/>
    <w:rsid w:val="00295E92"/>
    <w:rPr>
      <w:rFonts w:ascii="Arial" w:eastAsiaTheme="majorEastAsia" w:hAnsi="Arial" w:cstheme="majorBidi"/>
      <w:i/>
      <w:sz w:val="26"/>
      <w:szCs w:val="26"/>
      <w:u w:val="single"/>
      <w:lang w:val="en-GB" w:eastAsia="en-US"/>
    </w:rPr>
  </w:style>
  <w:style w:type="paragraph" w:styleId="Caption">
    <w:name w:val="caption"/>
    <w:basedOn w:val="Normal"/>
    <w:next w:val="Normal"/>
    <w:uiPriority w:val="35"/>
    <w:unhideWhenUsed/>
    <w:qFormat/>
    <w:rsid w:val="00B91941"/>
    <w:pPr>
      <w:spacing w:after="200" w:line="240" w:lineRule="auto"/>
      <w:jc w:val="left"/>
    </w:pPr>
    <w:rPr>
      <w:rFonts w:asciiTheme="minorHAnsi" w:eastAsiaTheme="minorHAnsi" w:hAnsiTheme="minorHAnsi" w:cstheme="minorBidi"/>
      <w:i/>
      <w:iCs/>
      <w:noProof w:val="0"/>
      <w:color w:val="44546A" w:themeColor="text2"/>
      <w:sz w:val="18"/>
      <w:szCs w:val="18"/>
      <w:lang w:val="en-GB" w:eastAsia="en-US"/>
    </w:rPr>
  </w:style>
  <w:style w:type="paragraph" w:styleId="Revision">
    <w:name w:val="Revision"/>
    <w:hidden/>
    <w:uiPriority w:val="99"/>
    <w:semiHidden/>
    <w:rsid w:val="00007A2B"/>
    <w:rPr>
      <w:rFonts w:ascii="Palatino Linotype" w:hAnsi="Palatino Linotype"/>
      <w:noProof/>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0965515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ancesco.Amadeo@liv.ac.uk" TargetMode="External"/><Relationship Id="rId13" Type="http://schemas.openxmlformats.org/officeDocument/2006/relationships/hyperlink" Target="mailto:bwilm@liv.ac.uk"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tiff"/><Relationship Id="rId7" Type="http://schemas.openxmlformats.org/officeDocument/2006/relationships/image" Target="media/image1.png"/><Relationship Id="rId12" Type="http://schemas.openxmlformats.org/officeDocument/2006/relationships/hyperlink" Target="mailto:Francesco.Amadeo@liv.ac.uk" TargetMode="External"/><Relationship Id="rId17" Type="http://schemas.openxmlformats.org/officeDocument/2006/relationships/hyperlink" Target="mailto:p.a.murray@liv.ac.uk"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mailto:violaine.see@univ-lyon1.fr" TargetMode="External"/><Relationship Id="rId20" Type="http://schemas.openxmlformats.org/officeDocument/2006/relationships/image" Target="media/image4.tif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Hernandez-Pichardo@liv.ac.uk"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mailto:ressel@liverpool.ac.uk" TargetMode="External"/><Relationship Id="rId23" Type="http://schemas.openxmlformats.org/officeDocument/2006/relationships/hyperlink" Target="https://bbsrc.ukri.org/research/grants-search/AwardDetails/?FundingReference=BB/R01390X/1" TargetMode="External"/><Relationship Id="rId28" Type="http://schemas.openxmlformats.org/officeDocument/2006/relationships/footer" Target="footer2.xml"/><Relationship Id="rId10" Type="http://schemas.openxmlformats.org/officeDocument/2006/relationships/hyperlink" Target="mailto:p.a.murray@liv.ac.uk" TargetMode="External"/><Relationship Id="rId19"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hyperlink" Target="mailto:bwilm@liv.ac.uk" TargetMode="External"/><Relationship Id="rId14" Type="http://schemas.openxmlformats.org/officeDocument/2006/relationships/hyperlink" Target="mailto:raphael.levy@univ-paris13.fr" TargetMode="External"/><Relationship Id="rId22" Type="http://schemas.openxmlformats.org/officeDocument/2006/relationships/image" Target="media/image6.tiff"/><Relationship Id="rId27" Type="http://schemas.openxmlformats.org/officeDocument/2006/relationships/header" Target="header3.xml"/><Relationship Id="rId30"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bryo\Downloads\ijm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ijms-template.dot</Template>
  <TotalTime>4</TotalTime>
  <Pages>19</Pages>
  <Words>27112</Words>
  <Characters>154545</Characters>
  <Application>Microsoft Office Word</Application>
  <DocSecurity>0</DocSecurity>
  <Lines>1287</Lines>
  <Paragraphs>362</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181295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Murray, Patricia</dc:creator>
  <cp:keywords/>
  <dc:description/>
  <cp:lastModifiedBy>Murray, Patricia</cp:lastModifiedBy>
  <cp:revision>3</cp:revision>
  <cp:lastPrinted>2022-11-06T22:49:00Z</cp:lastPrinted>
  <dcterms:created xsi:type="dcterms:W3CDTF">2022-11-06T22:49:00Z</dcterms:created>
  <dcterms:modified xsi:type="dcterms:W3CDTF">2022-11-06T22:58:00Z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id="J5dIgO1l"/&gt;&lt;style id="http://www.zotero.org/styles/ieee" locale="en-GB" hasBibliography="1" bibliographyStyleHasBeenSet="1"/&gt;&lt;prefs&gt;&lt;pref name="fieldType" value="Field"/&gt;&lt;/prefs&gt;&lt;/data&gt;</vt:lpwstr>
  </property>
</Properties>
</file>