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33302" w14:textId="77777777" w:rsidR="00A20B12" w:rsidRPr="00A20B12" w:rsidRDefault="00A20B12" w:rsidP="00A20B12">
      <w:pPr>
        <w:rPr>
          <w:rFonts w:ascii="Helvetica" w:hAnsi="Helvetica"/>
          <w:b/>
          <w:u w:val="single"/>
        </w:rPr>
      </w:pPr>
      <w:r w:rsidRPr="00A20B12">
        <w:rPr>
          <w:rFonts w:ascii="Helvetica" w:hAnsi="Helvetica"/>
          <w:b/>
          <w:u w:val="single"/>
        </w:rPr>
        <w:t>Supplementary figures</w:t>
      </w:r>
    </w:p>
    <w:p w14:paraId="7C389848" w14:textId="77777777" w:rsidR="00A20B12" w:rsidRPr="00A20B12" w:rsidRDefault="00A20B12" w:rsidP="00A20B12">
      <w:pPr>
        <w:rPr>
          <w:rFonts w:ascii="Helvetica" w:hAnsi="Helvetica"/>
        </w:rPr>
      </w:pPr>
    </w:p>
    <w:p w14:paraId="22370A14" w14:textId="77777777" w:rsidR="00A20B12" w:rsidRPr="00A20B12" w:rsidRDefault="00A20B12" w:rsidP="00A20B12">
      <w:pPr>
        <w:keepNext/>
        <w:rPr>
          <w:rFonts w:ascii="Helvetica" w:hAnsi="Helvetica"/>
        </w:rPr>
      </w:pPr>
      <w:r w:rsidRPr="00A20B12">
        <w:rPr>
          <w:rFonts w:ascii="Helvetica" w:hAnsi="Helvetica"/>
          <w:noProof/>
          <w:lang w:eastAsia="en-GB"/>
        </w:rPr>
        <w:drawing>
          <wp:inline distT="0" distB="0" distL="0" distR="0" wp14:anchorId="46DF2A29" wp14:editId="7A612EBF">
            <wp:extent cx="3390900" cy="5126481"/>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93767" cy="5130815"/>
                    </a:xfrm>
                    <a:prstGeom prst="rect">
                      <a:avLst/>
                    </a:prstGeom>
                  </pic:spPr>
                </pic:pic>
              </a:graphicData>
            </a:graphic>
          </wp:inline>
        </w:drawing>
      </w:r>
    </w:p>
    <w:p w14:paraId="348A67ED" w14:textId="6C73B55C" w:rsidR="00A20B12" w:rsidRDefault="00A20B12" w:rsidP="00A20B12">
      <w:pPr>
        <w:spacing w:line="360" w:lineRule="auto"/>
        <w:jc w:val="both"/>
        <w:rPr>
          <w:rFonts w:ascii="Helvetica" w:eastAsia="Times New Roman" w:hAnsi="Helvetica" w:cstheme="minorHAnsi"/>
          <w:color w:val="242424"/>
          <w:shd w:val="clear" w:color="auto" w:fill="FFFFFF"/>
          <w:lang w:eastAsia="en-GB"/>
        </w:rPr>
      </w:pPr>
      <w:r w:rsidRPr="00A20B12">
        <w:rPr>
          <w:rFonts w:ascii="Helvetica" w:hAnsi="Helvetica" w:cstheme="minorHAnsi"/>
          <w:b/>
        </w:rPr>
        <w:t xml:space="preserve">Supplementary Figure </w:t>
      </w:r>
      <w:r w:rsidRPr="00A20B12">
        <w:rPr>
          <w:rFonts w:ascii="Helvetica" w:hAnsi="Helvetica" w:cstheme="minorHAnsi"/>
          <w:b/>
        </w:rPr>
        <w:fldChar w:fldCharType="begin"/>
      </w:r>
      <w:r w:rsidRPr="00A20B12">
        <w:rPr>
          <w:rFonts w:ascii="Helvetica" w:hAnsi="Helvetica" w:cstheme="minorHAnsi"/>
          <w:b/>
        </w:rPr>
        <w:instrText xml:space="preserve"> SEQ Figure \* ARABIC </w:instrText>
      </w:r>
      <w:r w:rsidRPr="00A20B12">
        <w:rPr>
          <w:rFonts w:ascii="Helvetica" w:hAnsi="Helvetica" w:cstheme="minorHAnsi"/>
          <w:b/>
        </w:rPr>
        <w:fldChar w:fldCharType="separate"/>
      </w:r>
      <w:r w:rsidR="00CD0465">
        <w:rPr>
          <w:rFonts w:ascii="Helvetica" w:hAnsi="Helvetica" w:cstheme="minorHAnsi"/>
          <w:b/>
          <w:noProof/>
        </w:rPr>
        <w:t>1</w:t>
      </w:r>
      <w:r w:rsidRPr="00A20B12">
        <w:rPr>
          <w:rFonts w:ascii="Helvetica" w:hAnsi="Helvetica" w:cstheme="minorHAnsi"/>
          <w:b/>
          <w:noProof/>
        </w:rPr>
        <w:fldChar w:fldCharType="end"/>
      </w:r>
      <w:r w:rsidRPr="00A20B12">
        <w:rPr>
          <w:rFonts w:ascii="Helvetica" w:hAnsi="Helvetica" w:cstheme="minorHAnsi"/>
          <w:b/>
          <w:noProof/>
        </w:rPr>
        <w:t xml:space="preserve">. Schematic illustrating the tissue resected from pull-through surgery. </w:t>
      </w:r>
      <w:r w:rsidRPr="00A20B12">
        <w:rPr>
          <w:rFonts w:ascii="Helvetica" w:eastAsia="Times New Roman" w:hAnsi="Helvetica" w:cstheme="minorHAnsi"/>
          <w:color w:val="242424"/>
          <w:shd w:val="clear" w:color="auto" w:fill="FFFFFF"/>
          <w:lang w:eastAsia="en-GB"/>
        </w:rPr>
        <w:t>From the tissue resected, 4 pieces of tissue were collected. A small piece of tissue each was taken from 4 regions, labelled segment I-IV.</w:t>
      </w:r>
    </w:p>
    <w:p w14:paraId="3B457650" w14:textId="72D8A16B" w:rsidR="004D3FE1" w:rsidRDefault="004D3FE1" w:rsidP="00A20B12">
      <w:pPr>
        <w:spacing w:line="360" w:lineRule="auto"/>
        <w:jc w:val="both"/>
        <w:rPr>
          <w:rFonts w:ascii="Helvetica" w:eastAsia="Times New Roman" w:hAnsi="Helvetica" w:cstheme="minorHAnsi"/>
          <w:color w:val="242424"/>
          <w:shd w:val="clear" w:color="auto" w:fill="FFFFFF"/>
          <w:lang w:eastAsia="en-GB"/>
        </w:rPr>
      </w:pPr>
    </w:p>
    <w:p w14:paraId="6CF00A86" w14:textId="77777777" w:rsidR="004D3FE1" w:rsidRDefault="004D3FE1" w:rsidP="004D3FE1">
      <w:pPr>
        <w:spacing w:line="360" w:lineRule="auto"/>
        <w:rPr>
          <w:rFonts w:ascii="Helvetica" w:hAnsi="Helvetica"/>
          <w:b/>
          <w:bCs/>
        </w:rPr>
      </w:pPr>
    </w:p>
    <w:p w14:paraId="141078EB" w14:textId="77777777" w:rsidR="004D3FE1" w:rsidRDefault="004D3FE1" w:rsidP="004D3FE1">
      <w:pPr>
        <w:spacing w:line="360" w:lineRule="auto"/>
        <w:rPr>
          <w:rFonts w:ascii="Helvetica" w:hAnsi="Helvetica"/>
          <w:b/>
          <w:bCs/>
        </w:rPr>
      </w:pPr>
    </w:p>
    <w:p w14:paraId="0C9D9090" w14:textId="77777777" w:rsidR="004D3FE1" w:rsidRDefault="004D3FE1" w:rsidP="004D3FE1">
      <w:pPr>
        <w:spacing w:line="360" w:lineRule="auto"/>
        <w:rPr>
          <w:rFonts w:ascii="Helvetica" w:hAnsi="Helvetica"/>
          <w:b/>
          <w:bCs/>
        </w:rPr>
      </w:pPr>
    </w:p>
    <w:p w14:paraId="3ACCB3EC" w14:textId="77777777" w:rsidR="004D3FE1" w:rsidRDefault="004D3FE1" w:rsidP="004D3FE1">
      <w:pPr>
        <w:spacing w:line="360" w:lineRule="auto"/>
        <w:rPr>
          <w:rFonts w:ascii="Helvetica" w:hAnsi="Helvetica"/>
          <w:b/>
          <w:bCs/>
        </w:rPr>
      </w:pPr>
    </w:p>
    <w:p w14:paraId="7B7401C9" w14:textId="77777777" w:rsidR="004D3FE1" w:rsidRDefault="004D3FE1" w:rsidP="004D3FE1">
      <w:pPr>
        <w:spacing w:line="360" w:lineRule="auto"/>
        <w:rPr>
          <w:rFonts w:ascii="Helvetica" w:hAnsi="Helvetica"/>
          <w:b/>
          <w:bCs/>
        </w:rPr>
      </w:pPr>
    </w:p>
    <w:p w14:paraId="3392B837" w14:textId="77777777" w:rsidR="004D3FE1" w:rsidRDefault="004D3FE1" w:rsidP="004D3FE1">
      <w:pPr>
        <w:spacing w:line="360" w:lineRule="auto"/>
        <w:rPr>
          <w:rFonts w:ascii="Helvetica" w:hAnsi="Helvetica"/>
          <w:b/>
          <w:bCs/>
        </w:rPr>
      </w:pPr>
    </w:p>
    <w:p w14:paraId="28C35A10" w14:textId="77777777" w:rsidR="004D3FE1" w:rsidRDefault="004D3FE1" w:rsidP="004D3FE1">
      <w:pPr>
        <w:spacing w:line="360" w:lineRule="auto"/>
        <w:rPr>
          <w:rFonts w:ascii="Helvetica" w:hAnsi="Helvetica"/>
          <w:b/>
          <w:bCs/>
        </w:rPr>
      </w:pPr>
    </w:p>
    <w:p w14:paraId="0F067D15" w14:textId="77777777" w:rsidR="004D3FE1" w:rsidRDefault="004D3FE1" w:rsidP="004D3FE1">
      <w:pPr>
        <w:spacing w:line="360" w:lineRule="auto"/>
        <w:rPr>
          <w:rFonts w:ascii="Helvetica" w:hAnsi="Helvetica"/>
          <w:b/>
          <w:bCs/>
        </w:rPr>
      </w:pPr>
    </w:p>
    <w:p w14:paraId="6ACD2940" w14:textId="77777777" w:rsidR="009A275D" w:rsidRDefault="009A275D" w:rsidP="004D3FE1">
      <w:pPr>
        <w:spacing w:line="360" w:lineRule="auto"/>
        <w:rPr>
          <w:rFonts w:ascii="Helvetica" w:hAnsi="Helvetica"/>
          <w:b/>
          <w:bCs/>
        </w:rPr>
      </w:pPr>
    </w:p>
    <w:p w14:paraId="736AF6BE" w14:textId="347AEC6F" w:rsidR="004D3FE1" w:rsidRPr="004D3FE1" w:rsidRDefault="004D3FE1" w:rsidP="004D3FE1">
      <w:pPr>
        <w:spacing w:line="360" w:lineRule="auto"/>
        <w:rPr>
          <w:rFonts w:ascii="Helvetica" w:hAnsi="Helvetica"/>
        </w:rPr>
      </w:pPr>
      <w:r>
        <w:rPr>
          <w:rFonts w:ascii="Helvetica" w:hAnsi="Helvetica"/>
          <w:b/>
          <w:bCs/>
        </w:rPr>
        <w:t xml:space="preserve">Supplementary </w:t>
      </w:r>
      <w:r w:rsidRPr="004D3FE1">
        <w:rPr>
          <w:rFonts w:ascii="Helvetica" w:hAnsi="Helvetica"/>
          <w:b/>
          <w:bCs/>
        </w:rPr>
        <w:t>Table 1</w:t>
      </w:r>
      <w:r w:rsidRPr="004D3FE1">
        <w:rPr>
          <w:rFonts w:ascii="Helvetica" w:hAnsi="Helvetica"/>
        </w:rPr>
        <w:t>: Primary antibodies for immunofluorescence staining</w:t>
      </w:r>
    </w:p>
    <w:tbl>
      <w:tblPr>
        <w:tblStyle w:val="ListTable3-Accent3"/>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604"/>
        <w:gridCol w:w="1667"/>
        <w:gridCol w:w="1212"/>
        <w:gridCol w:w="1516"/>
      </w:tblGrid>
      <w:tr w:rsidR="004D3FE1" w:rsidRPr="004D3FE1" w14:paraId="5AF0D9DB" w14:textId="77777777" w:rsidTr="004D3FE1">
        <w:trPr>
          <w:cnfStyle w:val="100000000000" w:firstRow="1" w:lastRow="0" w:firstColumn="0" w:lastColumn="0" w:oddVBand="0" w:evenVBand="0" w:oddHBand="0" w:evenHBand="0" w:firstRowFirstColumn="0" w:firstRowLastColumn="0" w:lastRowFirstColumn="0" w:lastRowLastColumn="0"/>
          <w:trHeight w:val="885"/>
          <w:jc w:val="center"/>
        </w:trPr>
        <w:tc>
          <w:tcPr>
            <w:cnfStyle w:val="001000000100" w:firstRow="0" w:lastRow="0" w:firstColumn="1" w:lastColumn="0" w:oddVBand="0" w:evenVBand="0" w:oddHBand="0" w:evenHBand="0" w:firstRowFirstColumn="1" w:firstRowLastColumn="0" w:lastRowFirstColumn="0" w:lastRowLastColumn="0"/>
            <w:tcW w:w="1696" w:type="dxa"/>
            <w:tcBorders>
              <w:bottom w:val="single" w:sz="4" w:space="0" w:color="auto"/>
            </w:tcBorders>
            <w:vAlign w:val="center"/>
          </w:tcPr>
          <w:p w14:paraId="6988CB29" w14:textId="77777777" w:rsidR="004D3FE1" w:rsidRPr="004D3FE1" w:rsidRDefault="004D3FE1" w:rsidP="00C43F0B">
            <w:pPr>
              <w:spacing w:line="360" w:lineRule="auto"/>
              <w:jc w:val="center"/>
              <w:rPr>
                <w:rFonts w:ascii="Helvetica" w:hAnsi="Helvetica"/>
              </w:rPr>
            </w:pPr>
            <w:r w:rsidRPr="004D3FE1">
              <w:rPr>
                <w:rFonts w:ascii="Helvetica" w:hAnsi="Helvetica"/>
              </w:rPr>
              <w:lastRenderedPageBreak/>
              <w:t>Antibody</w:t>
            </w:r>
          </w:p>
        </w:tc>
        <w:tc>
          <w:tcPr>
            <w:tcW w:w="1560" w:type="dxa"/>
            <w:vAlign w:val="center"/>
          </w:tcPr>
          <w:p w14:paraId="3FE6D2B7" w14:textId="77777777" w:rsidR="004D3FE1" w:rsidRPr="004D3FE1" w:rsidRDefault="004D3FE1" w:rsidP="00C43F0B">
            <w:pPr>
              <w:spacing w:line="36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Description</w:t>
            </w:r>
          </w:p>
        </w:tc>
        <w:tc>
          <w:tcPr>
            <w:tcW w:w="1604" w:type="dxa"/>
            <w:vAlign w:val="center"/>
          </w:tcPr>
          <w:p w14:paraId="152E82C3" w14:textId="77777777" w:rsidR="004D3FE1" w:rsidRPr="004D3FE1" w:rsidRDefault="004D3FE1" w:rsidP="00C43F0B">
            <w:pPr>
              <w:spacing w:line="36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Location</w:t>
            </w:r>
          </w:p>
        </w:tc>
        <w:tc>
          <w:tcPr>
            <w:tcW w:w="1667" w:type="dxa"/>
            <w:vAlign w:val="center"/>
          </w:tcPr>
          <w:p w14:paraId="345B22DF" w14:textId="77777777" w:rsidR="004D3FE1" w:rsidRPr="004D3FE1" w:rsidRDefault="004D3FE1" w:rsidP="00C43F0B">
            <w:pPr>
              <w:spacing w:line="36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Host/Details</w:t>
            </w:r>
          </w:p>
        </w:tc>
        <w:tc>
          <w:tcPr>
            <w:tcW w:w="1212" w:type="dxa"/>
            <w:vAlign w:val="center"/>
          </w:tcPr>
          <w:p w14:paraId="2755890C" w14:textId="77777777" w:rsidR="004D3FE1" w:rsidRPr="004D3FE1" w:rsidRDefault="004D3FE1" w:rsidP="00C43F0B">
            <w:pPr>
              <w:spacing w:line="36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Dilution</w:t>
            </w:r>
          </w:p>
        </w:tc>
        <w:tc>
          <w:tcPr>
            <w:tcW w:w="1516" w:type="dxa"/>
            <w:vAlign w:val="center"/>
          </w:tcPr>
          <w:p w14:paraId="17776881" w14:textId="77777777" w:rsidR="004D3FE1" w:rsidRPr="004D3FE1" w:rsidRDefault="004D3FE1" w:rsidP="00C43F0B">
            <w:pPr>
              <w:spacing w:line="36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Supplier</w:t>
            </w:r>
          </w:p>
        </w:tc>
      </w:tr>
      <w:tr w:rsidR="004D3FE1" w:rsidRPr="004D3FE1" w14:paraId="72BB77CF" w14:textId="77777777" w:rsidTr="004D3FE1">
        <w:trPr>
          <w:cnfStyle w:val="000000100000" w:firstRow="0" w:lastRow="0" w:firstColumn="0" w:lastColumn="0" w:oddVBand="0" w:evenVBand="0" w:oddHBand="1" w:evenHBand="0" w:firstRowFirstColumn="0" w:firstRowLastColumn="0" w:lastRowFirstColumn="0" w:lastRowLastColumn="0"/>
          <w:trHeight w:val="177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4E27ADA" w14:textId="65981383" w:rsidR="004D3FE1" w:rsidRPr="004D3FE1" w:rsidRDefault="004D3FE1" w:rsidP="00C43F0B">
            <w:pPr>
              <w:spacing w:line="360" w:lineRule="auto"/>
              <w:jc w:val="center"/>
              <w:rPr>
                <w:rFonts w:ascii="Helvetica" w:hAnsi="Helvetica"/>
              </w:rPr>
            </w:pPr>
            <w:r w:rsidRPr="004D3FE1">
              <w:rPr>
                <w:rFonts w:ascii="Helvetica" w:hAnsi="Helvetica"/>
              </w:rPr>
              <w:t>Anti-p75 NGF Receptor (NGFR</w:t>
            </w:r>
            <w:r>
              <w:rPr>
                <w:rFonts w:ascii="Helvetica" w:hAnsi="Helvetica"/>
              </w:rPr>
              <w:t>5</w:t>
            </w:r>
            <w:r w:rsidRPr="004D3FE1">
              <w:rPr>
                <w:rFonts w:ascii="Helvetica" w:hAnsi="Helvetica"/>
              </w:rPr>
              <w:t>)</w:t>
            </w:r>
          </w:p>
        </w:tc>
        <w:tc>
          <w:tcPr>
            <w:tcW w:w="1560" w:type="dxa"/>
            <w:vAlign w:val="center"/>
          </w:tcPr>
          <w:p w14:paraId="5F8FE44C"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Enteric neural crest progenitor marker</w:t>
            </w:r>
          </w:p>
        </w:tc>
        <w:tc>
          <w:tcPr>
            <w:tcW w:w="1604" w:type="dxa"/>
            <w:vAlign w:val="center"/>
          </w:tcPr>
          <w:p w14:paraId="2E360F0D"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4D3FE1">
              <w:rPr>
                <w:rFonts w:ascii="Helvetica" w:hAnsi="Helvetica"/>
                <w:sz w:val="22"/>
                <w:szCs w:val="22"/>
              </w:rPr>
              <w:t>Cell surface</w:t>
            </w:r>
          </w:p>
        </w:tc>
        <w:tc>
          <w:tcPr>
            <w:tcW w:w="1667" w:type="dxa"/>
            <w:vAlign w:val="center"/>
          </w:tcPr>
          <w:p w14:paraId="6AEC3E96"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Mouse IgG1</w:t>
            </w:r>
          </w:p>
          <w:p w14:paraId="0429EAAB"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 xml:space="preserve">Monoclonal </w:t>
            </w:r>
          </w:p>
        </w:tc>
        <w:tc>
          <w:tcPr>
            <w:tcW w:w="1212" w:type="dxa"/>
            <w:vAlign w:val="center"/>
          </w:tcPr>
          <w:p w14:paraId="571C646E"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1:500</w:t>
            </w:r>
          </w:p>
          <w:p w14:paraId="7745C6A5"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p>
        </w:tc>
        <w:tc>
          <w:tcPr>
            <w:tcW w:w="1516" w:type="dxa"/>
            <w:vAlign w:val="center"/>
          </w:tcPr>
          <w:p w14:paraId="4AE29D5B"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Abcam (ab3125)</w:t>
            </w:r>
          </w:p>
        </w:tc>
      </w:tr>
      <w:tr w:rsidR="004D3FE1" w:rsidRPr="004D3FE1" w14:paraId="2F467673" w14:textId="77777777" w:rsidTr="004D3FE1">
        <w:trPr>
          <w:trHeight w:val="177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CF0328B" w14:textId="77777777" w:rsidR="004D3FE1" w:rsidRPr="004D3FE1" w:rsidRDefault="004D3FE1" w:rsidP="00C43F0B">
            <w:pPr>
              <w:spacing w:line="360" w:lineRule="auto"/>
              <w:jc w:val="center"/>
              <w:rPr>
                <w:rFonts w:ascii="Helvetica" w:hAnsi="Helvetica"/>
              </w:rPr>
            </w:pPr>
            <w:r w:rsidRPr="004D3FE1">
              <w:rPr>
                <w:rFonts w:ascii="Helvetica" w:hAnsi="Helvetica"/>
              </w:rPr>
              <w:t>Anti-Calretinin</w:t>
            </w:r>
          </w:p>
          <w:p w14:paraId="45CFB92A" w14:textId="77777777" w:rsidR="004D3FE1" w:rsidRPr="004D3FE1" w:rsidRDefault="004D3FE1" w:rsidP="00C43F0B">
            <w:pPr>
              <w:spacing w:line="360" w:lineRule="auto"/>
              <w:jc w:val="center"/>
              <w:rPr>
                <w:rFonts w:ascii="Helvetica" w:hAnsi="Helvetica"/>
              </w:rPr>
            </w:pPr>
          </w:p>
        </w:tc>
        <w:tc>
          <w:tcPr>
            <w:tcW w:w="1560" w:type="dxa"/>
            <w:vAlign w:val="center"/>
          </w:tcPr>
          <w:p w14:paraId="4CFF62B7" w14:textId="5A320E4F"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 xml:space="preserve">Enteric Neuronal marker </w:t>
            </w:r>
            <w:r w:rsidR="003C0454" w:rsidRPr="009A275D">
              <w:rPr>
                <w:rFonts w:ascii="Helvetica" w:hAnsi="Helvetica"/>
              </w:rPr>
              <w:t>(subset of enteric neurons)</w:t>
            </w:r>
          </w:p>
        </w:tc>
        <w:tc>
          <w:tcPr>
            <w:tcW w:w="1604" w:type="dxa"/>
            <w:vAlign w:val="center"/>
          </w:tcPr>
          <w:p w14:paraId="7C7AD3E1"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4D3FE1">
              <w:rPr>
                <w:rFonts w:ascii="Helvetica" w:hAnsi="Helvetica"/>
                <w:sz w:val="22"/>
                <w:szCs w:val="22"/>
              </w:rPr>
              <w:t>Cytoplasm (ganglia)</w:t>
            </w:r>
          </w:p>
        </w:tc>
        <w:tc>
          <w:tcPr>
            <w:tcW w:w="1667" w:type="dxa"/>
            <w:vAlign w:val="center"/>
          </w:tcPr>
          <w:p w14:paraId="0F1F50EF"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Rabbit IgG1 Monoclonal</w:t>
            </w:r>
          </w:p>
        </w:tc>
        <w:tc>
          <w:tcPr>
            <w:tcW w:w="1212" w:type="dxa"/>
            <w:vAlign w:val="center"/>
          </w:tcPr>
          <w:p w14:paraId="3F708D68"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1:50</w:t>
            </w:r>
          </w:p>
          <w:p w14:paraId="5BEDAB8B"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1516" w:type="dxa"/>
            <w:vAlign w:val="center"/>
          </w:tcPr>
          <w:p w14:paraId="47DAC864"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Abcam (ab702)</w:t>
            </w:r>
          </w:p>
        </w:tc>
      </w:tr>
      <w:tr w:rsidR="004D3FE1" w:rsidRPr="004D3FE1" w14:paraId="444BB13A" w14:textId="77777777" w:rsidTr="004D3FE1">
        <w:trPr>
          <w:cnfStyle w:val="000000100000" w:firstRow="0" w:lastRow="0" w:firstColumn="0" w:lastColumn="0" w:oddVBand="0" w:evenVBand="0" w:oddHBand="1" w:evenHBand="0" w:firstRowFirstColumn="0" w:firstRowLastColumn="0" w:lastRowFirstColumn="0" w:lastRowLastColumn="0"/>
          <w:trHeight w:val="131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D3AF69D" w14:textId="77777777" w:rsidR="004D3FE1" w:rsidRPr="004D3FE1" w:rsidRDefault="004D3FE1" w:rsidP="00C43F0B">
            <w:pPr>
              <w:spacing w:line="360" w:lineRule="auto"/>
              <w:jc w:val="center"/>
              <w:rPr>
                <w:rFonts w:ascii="Helvetica" w:hAnsi="Helvetica"/>
                <w:color w:val="3B3838" w:themeColor="background2" w:themeShade="40"/>
              </w:rPr>
            </w:pPr>
            <w:r w:rsidRPr="004D3FE1">
              <w:rPr>
                <w:rFonts w:ascii="Helvetica" w:hAnsi="Helvetica"/>
                <w:color w:val="171717" w:themeColor="background2" w:themeShade="1A"/>
              </w:rPr>
              <w:t>Anti-</w:t>
            </w:r>
            <w:proofErr w:type="spellStart"/>
            <w:r w:rsidRPr="004D3FE1">
              <w:rPr>
                <w:rFonts w:ascii="Helvetica" w:hAnsi="Helvetica"/>
                <w:color w:val="171717" w:themeColor="background2" w:themeShade="1A"/>
              </w:rPr>
              <w:t>HuD</w:t>
            </w:r>
            <w:proofErr w:type="spellEnd"/>
            <w:r w:rsidRPr="004D3FE1">
              <w:rPr>
                <w:rFonts w:ascii="Helvetica" w:hAnsi="Helvetica"/>
                <w:color w:val="171717" w:themeColor="background2" w:themeShade="1A"/>
              </w:rPr>
              <w:t xml:space="preserve"> + </w:t>
            </w:r>
            <w:proofErr w:type="spellStart"/>
            <w:r w:rsidRPr="004D3FE1">
              <w:rPr>
                <w:rFonts w:ascii="Helvetica" w:hAnsi="Helvetica"/>
                <w:color w:val="171717" w:themeColor="background2" w:themeShade="1A"/>
              </w:rPr>
              <w:t>HuC</w:t>
            </w:r>
            <w:proofErr w:type="spellEnd"/>
          </w:p>
        </w:tc>
        <w:tc>
          <w:tcPr>
            <w:tcW w:w="1560" w:type="dxa"/>
            <w:vAlign w:val="center"/>
          </w:tcPr>
          <w:p w14:paraId="1A13C0E6"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Human neuronal marker</w:t>
            </w:r>
          </w:p>
        </w:tc>
        <w:tc>
          <w:tcPr>
            <w:tcW w:w="1604" w:type="dxa"/>
            <w:vAlign w:val="center"/>
          </w:tcPr>
          <w:p w14:paraId="02DC058F"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4D3FE1">
              <w:rPr>
                <w:rFonts w:ascii="Helvetica" w:hAnsi="Helvetica"/>
                <w:sz w:val="22"/>
                <w:szCs w:val="22"/>
              </w:rPr>
              <w:t>Cell soma/ cytoplasm</w:t>
            </w:r>
          </w:p>
        </w:tc>
        <w:tc>
          <w:tcPr>
            <w:tcW w:w="1667" w:type="dxa"/>
            <w:vAlign w:val="center"/>
          </w:tcPr>
          <w:p w14:paraId="4DCDF5CC"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Rabbit Monoclonal</w:t>
            </w:r>
          </w:p>
        </w:tc>
        <w:tc>
          <w:tcPr>
            <w:tcW w:w="1212" w:type="dxa"/>
            <w:vAlign w:val="center"/>
          </w:tcPr>
          <w:p w14:paraId="715B6B73"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1:500</w:t>
            </w:r>
          </w:p>
        </w:tc>
        <w:tc>
          <w:tcPr>
            <w:tcW w:w="1516" w:type="dxa"/>
            <w:vAlign w:val="center"/>
          </w:tcPr>
          <w:p w14:paraId="5B36118A"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Abcam (ab184267)</w:t>
            </w:r>
          </w:p>
        </w:tc>
      </w:tr>
      <w:tr w:rsidR="004D3FE1" w:rsidRPr="004D3FE1" w14:paraId="07283EB6" w14:textId="77777777" w:rsidTr="004D3FE1">
        <w:trPr>
          <w:trHeight w:val="1317"/>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vAlign w:val="center"/>
          </w:tcPr>
          <w:p w14:paraId="26DACC99" w14:textId="77777777" w:rsidR="004D3FE1" w:rsidRPr="004D3FE1" w:rsidRDefault="004D3FE1" w:rsidP="00C43F0B">
            <w:pPr>
              <w:spacing w:line="360" w:lineRule="auto"/>
              <w:jc w:val="center"/>
              <w:rPr>
                <w:rFonts w:ascii="Helvetica" w:hAnsi="Helvetica"/>
                <w:color w:val="171717" w:themeColor="background2" w:themeShade="1A"/>
              </w:rPr>
            </w:pPr>
            <w:r w:rsidRPr="004D3FE1">
              <w:rPr>
                <w:rFonts w:ascii="Helvetica" w:hAnsi="Helvetica"/>
                <w:color w:val="171717" w:themeColor="background2" w:themeShade="1A"/>
              </w:rPr>
              <w:t>Anti-glucose transporter 1 (GLUT1)</w:t>
            </w:r>
          </w:p>
        </w:tc>
        <w:tc>
          <w:tcPr>
            <w:tcW w:w="1560" w:type="dxa"/>
            <w:tcBorders>
              <w:bottom w:val="single" w:sz="4" w:space="0" w:color="auto"/>
            </w:tcBorders>
            <w:vAlign w:val="center"/>
          </w:tcPr>
          <w:p w14:paraId="32E7CAD8"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Expressed in nerve perineurium</w:t>
            </w:r>
          </w:p>
        </w:tc>
        <w:tc>
          <w:tcPr>
            <w:tcW w:w="1604" w:type="dxa"/>
            <w:tcBorders>
              <w:bottom w:val="single" w:sz="4" w:space="0" w:color="auto"/>
            </w:tcBorders>
            <w:vAlign w:val="center"/>
          </w:tcPr>
          <w:p w14:paraId="015DA254"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4D3FE1">
              <w:rPr>
                <w:rFonts w:ascii="Helvetica" w:hAnsi="Helvetica"/>
                <w:sz w:val="22"/>
                <w:szCs w:val="22"/>
              </w:rPr>
              <w:t>Cell membrane</w:t>
            </w:r>
          </w:p>
        </w:tc>
        <w:tc>
          <w:tcPr>
            <w:tcW w:w="1667" w:type="dxa"/>
            <w:tcBorders>
              <w:bottom w:val="single" w:sz="4" w:space="0" w:color="auto"/>
            </w:tcBorders>
            <w:vAlign w:val="center"/>
          </w:tcPr>
          <w:p w14:paraId="00292C8A"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Rabbit IgG polyclonal</w:t>
            </w:r>
          </w:p>
        </w:tc>
        <w:tc>
          <w:tcPr>
            <w:tcW w:w="1212" w:type="dxa"/>
            <w:tcBorders>
              <w:bottom w:val="single" w:sz="4" w:space="0" w:color="auto"/>
            </w:tcBorders>
            <w:vAlign w:val="center"/>
          </w:tcPr>
          <w:p w14:paraId="469E4A34"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1:100</w:t>
            </w:r>
          </w:p>
        </w:tc>
        <w:tc>
          <w:tcPr>
            <w:tcW w:w="1516" w:type="dxa"/>
            <w:tcBorders>
              <w:bottom w:val="single" w:sz="4" w:space="0" w:color="auto"/>
            </w:tcBorders>
            <w:vAlign w:val="center"/>
          </w:tcPr>
          <w:p w14:paraId="41918857"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Abcam (ab15309)</w:t>
            </w:r>
          </w:p>
        </w:tc>
      </w:tr>
      <w:tr w:rsidR="004D3FE1" w:rsidRPr="004D3FE1" w14:paraId="563D7C3A" w14:textId="77777777" w:rsidTr="004D3FE1">
        <w:trPr>
          <w:cnfStyle w:val="000000100000" w:firstRow="0" w:lastRow="0" w:firstColumn="0" w:lastColumn="0" w:oddVBand="0" w:evenVBand="0" w:oddHBand="1" w:evenHBand="0" w:firstRowFirstColumn="0" w:firstRowLastColumn="0" w:lastRowFirstColumn="0" w:lastRowLastColumn="0"/>
          <w:trHeight w:val="1338"/>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vAlign w:val="center"/>
          </w:tcPr>
          <w:p w14:paraId="2DFA7C13" w14:textId="77777777" w:rsidR="004D3FE1" w:rsidRPr="004D3FE1" w:rsidRDefault="004D3FE1" w:rsidP="00C43F0B">
            <w:pPr>
              <w:spacing w:line="360" w:lineRule="auto"/>
              <w:jc w:val="center"/>
              <w:rPr>
                <w:rFonts w:ascii="Helvetica" w:hAnsi="Helvetica"/>
                <w:color w:val="171717" w:themeColor="background2" w:themeShade="1A"/>
              </w:rPr>
            </w:pPr>
            <w:r w:rsidRPr="004D3FE1">
              <w:rPr>
                <w:rFonts w:ascii="Helvetica" w:hAnsi="Helvetica"/>
                <w:color w:val="171717" w:themeColor="background2" w:themeShade="1A"/>
              </w:rPr>
              <w:t>Anti-CD34</w:t>
            </w:r>
          </w:p>
        </w:tc>
        <w:tc>
          <w:tcPr>
            <w:tcW w:w="1560" w:type="dxa"/>
            <w:tcBorders>
              <w:top w:val="single" w:sz="4" w:space="0" w:color="auto"/>
              <w:bottom w:val="single" w:sz="4" w:space="0" w:color="auto"/>
            </w:tcBorders>
            <w:vAlign w:val="center"/>
          </w:tcPr>
          <w:p w14:paraId="7D76A1F7"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Telocyte marker</w:t>
            </w:r>
          </w:p>
        </w:tc>
        <w:tc>
          <w:tcPr>
            <w:tcW w:w="1604" w:type="dxa"/>
            <w:tcBorders>
              <w:top w:val="single" w:sz="4" w:space="0" w:color="auto"/>
              <w:bottom w:val="single" w:sz="4" w:space="0" w:color="auto"/>
            </w:tcBorders>
            <w:vAlign w:val="center"/>
          </w:tcPr>
          <w:p w14:paraId="4B30825B"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4D3FE1">
              <w:rPr>
                <w:rFonts w:ascii="Helvetica" w:hAnsi="Helvetica"/>
                <w:sz w:val="22"/>
                <w:szCs w:val="22"/>
              </w:rPr>
              <w:t>Membrane</w:t>
            </w:r>
          </w:p>
        </w:tc>
        <w:tc>
          <w:tcPr>
            <w:tcW w:w="1667" w:type="dxa"/>
            <w:tcBorders>
              <w:top w:val="single" w:sz="4" w:space="0" w:color="auto"/>
              <w:bottom w:val="single" w:sz="4" w:space="0" w:color="auto"/>
            </w:tcBorders>
            <w:vAlign w:val="center"/>
          </w:tcPr>
          <w:p w14:paraId="1F05C031"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Recombinant Rabbit monoclonal</w:t>
            </w:r>
          </w:p>
        </w:tc>
        <w:tc>
          <w:tcPr>
            <w:tcW w:w="1212" w:type="dxa"/>
            <w:tcBorders>
              <w:top w:val="single" w:sz="4" w:space="0" w:color="auto"/>
              <w:bottom w:val="single" w:sz="4" w:space="0" w:color="auto"/>
            </w:tcBorders>
            <w:vAlign w:val="center"/>
          </w:tcPr>
          <w:p w14:paraId="3AAAD731"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1:250</w:t>
            </w:r>
          </w:p>
        </w:tc>
        <w:tc>
          <w:tcPr>
            <w:tcW w:w="1516" w:type="dxa"/>
            <w:tcBorders>
              <w:top w:val="single" w:sz="4" w:space="0" w:color="auto"/>
              <w:bottom w:val="single" w:sz="4" w:space="0" w:color="auto"/>
            </w:tcBorders>
            <w:vAlign w:val="center"/>
          </w:tcPr>
          <w:p w14:paraId="470E3FE7"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Abcam</w:t>
            </w:r>
          </w:p>
          <w:p w14:paraId="08B6573D" w14:textId="77777777" w:rsidR="004D3FE1" w:rsidRPr="004D3FE1" w:rsidRDefault="004D3FE1" w:rsidP="00C43F0B">
            <w:pPr>
              <w:spacing w:line="36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rPr>
            </w:pPr>
            <w:r w:rsidRPr="004D3FE1">
              <w:rPr>
                <w:rFonts w:ascii="Helvetica" w:hAnsi="Helvetica"/>
              </w:rPr>
              <w:t>(ab81289)</w:t>
            </w:r>
          </w:p>
        </w:tc>
      </w:tr>
      <w:tr w:rsidR="004D3FE1" w:rsidRPr="004D3FE1" w14:paraId="57B717AD" w14:textId="77777777" w:rsidTr="004D3FE1">
        <w:trPr>
          <w:trHeight w:val="1296"/>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vAlign w:val="center"/>
          </w:tcPr>
          <w:p w14:paraId="0FD39856" w14:textId="77777777" w:rsidR="004D3FE1" w:rsidRPr="004D3FE1" w:rsidRDefault="004D3FE1" w:rsidP="00C43F0B">
            <w:pPr>
              <w:spacing w:line="360" w:lineRule="auto"/>
              <w:jc w:val="center"/>
              <w:rPr>
                <w:rFonts w:ascii="Helvetica" w:hAnsi="Helvetica"/>
                <w:color w:val="171717" w:themeColor="background2" w:themeShade="1A"/>
              </w:rPr>
            </w:pPr>
            <w:r w:rsidRPr="004D3FE1">
              <w:rPr>
                <w:rFonts w:ascii="Helvetica" w:hAnsi="Helvetica"/>
                <w:color w:val="171717" w:themeColor="background2" w:themeShade="1A"/>
              </w:rPr>
              <w:t>Anti-Tubulin β3 (Tuj)</w:t>
            </w:r>
          </w:p>
        </w:tc>
        <w:tc>
          <w:tcPr>
            <w:tcW w:w="1560" w:type="dxa"/>
            <w:tcBorders>
              <w:top w:val="single" w:sz="4" w:space="0" w:color="auto"/>
              <w:bottom w:val="single" w:sz="4" w:space="0" w:color="auto"/>
            </w:tcBorders>
            <w:vAlign w:val="center"/>
          </w:tcPr>
          <w:p w14:paraId="4387D7DC"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Neuronal microtubule marker</w:t>
            </w:r>
          </w:p>
        </w:tc>
        <w:tc>
          <w:tcPr>
            <w:tcW w:w="1604" w:type="dxa"/>
            <w:tcBorders>
              <w:top w:val="single" w:sz="4" w:space="0" w:color="auto"/>
              <w:bottom w:val="single" w:sz="4" w:space="0" w:color="auto"/>
            </w:tcBorders>
            <w:vAlign w:val="center"/>
          </w:tcPr>
          <w:p w14:paraId="4D70EABD"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4D3FE1">
              <w:rPr>
                <w:rFonts w:ascii="Helvetica" w:hAnsi="Helvetica"/>
                <w:sz w:val="22"/>
                <w:szCs w:val="22"/>
              </w:rPr>
              <w:t>Cytoskeleton</w:t>
            </w:r>
          </w:p>
        </w:tc>
        <w:tc>
          <w:tcPr>
            <w:tcW w:w="1667" w:type="dxa"/>
            <w:tcBorders>
              <w:top w:val="single" w:sz="4" w:space="0" w:color="auto"/>
              <w:bottom w:val="single" w:sz="4" w:space="0" w:color="auto"/>
            </w:tcBorders>
            <w:vAlign w:val="center"/>
          </w:tcPr>
          <w:p w14:paraId="7FEA2A00"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Mouse IgG2a monoclonal</w:t>
            </w:r>
          </w:p>
        </w:tc>
        <w:tc>
          <w:tcPr>
            <w:tcW w:w="1212" w:type="dxa"/>
            <w:tcBorders>
              <w:top w:val="single" w:sz="4" w:space="0" w:color="auto"/>
              <w:bottom w:val="single" w:sz="4" w:space="0" w:color="auto"/>
            </w:tcBorders>
            <w:vAlign w:val="center"/>
          </w:tcPr>
          <w:p w14:paraId="555A3DEE"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1:500</w:t>
            </w:r>
          </w:p>
        </w:tc>
        <w:tc>
          <w:tcPr>
            <w:tcW w:w="1516" w:type="dxa"/>
            <w:tcBorders>
              <w:top w:val="single" w:sz="4" w:space="0" w:color="auto"/>
              <w:bottom w:val="single" w:sz="4" w:space="0" w:color="auto"/>
            </w:tcBorders>
            <w:vAlign w:val="center"/>
          </w:tcPr>
          <w:p w14:paraId="0206BE17" w14:textId="77777777" w:rsidR="004D3FE1" w:rsidRPr="004D3FE1" w:rsidRDefault="004D3FE1" w:rsidP="00C43F0B">
            <w:pPr>
              <w:spacing w:line="36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rPr>
            </w:pPr>
            <w:r w:rsidRPr="004D3FE1">
              <w:rPr>
                <w:rFonts w:ascii="Helvetica" w:hAnsi="Helvetica"/>
              </w:rPr>
              <w:t>Biolegend (801201)</w:t>
            </w:r>
          </w:p>
        </w:tc>
      </w:tr>
    </w:tbl>
    <w:p w14:paraId="7BB57536" w14:textId="77777777" w:rsidR="004D3FE1" w:rsidRPr="004D3FE1" w:rsidRDefault="004D3FE1" w:rsidP="00A20B12">
      <w:pPr>
        <w:spacing w:line="360" w:lineRule="auto"/>
        <w:jc w:val="both"/>
        <w:rPr>
          <w:rFonts w:ascii="Helvetica" w:eastAsia="Times New Roman" w:hAnsi="Helvetica" w:cstheme="minorHAnsi"/>
          <w:lang w:eastAsia="en-GB"/>
        </w:rPr>
      </w:pPr>
    </w:p>
    <w:p w14:paraId="3CC1AD97" w14:textId="77777777" w:rsidR="00A20B12" w:rsidRPr="004D3FE1" w:rsidRDefault="00A20B12" w:rsidP="00A20B12">
      <w:pPr>
        <w:spacing w:line="360" w:lineRule="auto"/>
        <w:jc w:val="both"/>
        <w:rPr>
          <w:rFonts w:ascii="Helvetica" w:hAnsi="Helvetica"/>
          <w:b/>
          <w:noProof/>
        </w:rPr>
      </w:pPr>
    </w:p>
    <w:p w14:paraId="0E3D1B2C" w14:textId="77777777" w:rsidR="00CD0465" w:rsidRDefault="00CD0465" w:rsidP="00CD0465">
      <w:pPr>
        <w:pStyle w:val="Caption"/>
        <w:keepNext/>
      </w:pPr>
      <w:r>
        <w:rPr>
          <w:rFonts w:ascii="Helvetica" w:hAnsi="Helvetica"/>
          <w:noProof/>
          <w:sz w:val="24"/>
          <w:szCs w:val="24"/>
        </w:rPr>
        <w:lastRenderedPageBreak/>
        <w:drawing>
          <wp:inline distT="0" distB="0" distL="0" distR="0" wp14:anchorId="3856A990" wp14:editId="25376CEA">
            <wp:extent cx="4359349" cy="83122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ut1 confocalmerges.png"/>
                    <pic:cNvPicPr/>
                  </pic:nvPicPr>
                  <pic:blipFill rotWithShape="1">
                    <a:blip r:embed="rId11" cstate="print">
                      <a:extLst>
                        <a:ext uri="{28A0092B-C50C-407E-A947-70E740481C1C}">
                          <a14:useLocalDpi xmlns:a14="http://schemas.microsoft.com/office/drawing/2010/main" val="0"/>
                        </a:ext>
                      </a:extLst>
                    </a:blip>
                    <a:srcRect b="23705"/>
                    <a:stretch/>
                  </pic:blipFill>
                  <pic:spPr bwMode="auto">
                    <a:xfrm>
                      <a:off x="0" y="0"/>
                      <a:ext cx="4359947" cy="8313410"/>
                    </a:xfrm>
                    <a:prstGeom prst="rect">
                      <a:avLst/>
                    </a:prstGeom>
                    <a:ln>
                      <a:noFill/>
                    </a:ln>
                    <a:extLst>
                      <a:ext uri="{53640926-AAD7-44D8-BBD7-CCE9431645EC}">
                        <a14:shadowObscured xmlns:a14="http://schemas.microsoft.com/office/drawing/2010/main"/>
                      </a:ext>
                    </a:extLst>
                  </pic:spPr>
                </pic:pic>
              </a:graphicData>
            </a:graphic>
          </wp:inline>
        </w:drawing>
      </w:r>
    </w:p>
    <w:p w14:paraId="51811B5A" w14:textId="5DBDED38" w:rsidR="00CD0465" w:rsidRPr="00CD0465" w:rsidRDefault="00CD0465" w:rsidP="00CD0465">
      <w:pPr>
        <w:pStyle w:val="Caption"/>
        <w:spacing w:line="360" w:lineRule="auto"/>
        <w:jc w:val="both"/>
        <w:rPr>
          <w:rFonts w:ascii="Arial" w:hAnsi="Arial" w:cs="Arial"/>
          <w:i w:val="0"/>
          <w:iCs w:val="0"/>
          <w:noProof/>
          <w:color w:val="auto"/>
          <w:sz w:val="24"/>
          <w:szCs w:val="24"/>
        </w:rPr>
      </w:pPr>
      <w:r w:rsidRPr="00CD0465">
        <w:rPr>
          <w:rFonts w:ascii="Arial" w:hAnsi="Arial" w:cs="Arial"/>
          <w:b/>
          <w:i w:val="0"/>
          <w:color w:val="auto"/>
          <w:sz w:val="24"/>
        </w:rPr>
        <w:lastRenderedPageBreak/>
        <w:t xml:space="preserve">Supplementary Figure </w:t>
      </w:r>
      <w:r w:rsidRPr="00CD0465">
        <w:rPr>
          <w:rFonts w:ascii="Arial" w:hAnsi="Arial" w:cs="Arial"/>
          <w:b/>
          <w:i w:val="0"/>
          <w:color w:val="auto"/>
          <w:sz w:val="24"/>
        </w:rPr>
        <w:fldChar w:fldCharType="begin"/>
      </w:r>
      <w:r w:rsidRPr="00CD0465">
        <w:rPr>
          <w:rFonts w:ascii="Arial" w:hAnsi="Arial" w:cs="Arial"/>
          <w:b/>
          <w:i w:val="0"/>
          <w:color w:val="auto"/>
          <w:sz w:val="24"/>
        </w:rPr>
        <w:instrText xml:space="preserve"> SEQ Figure \* ARABIC </w:instrText>
      </w:r>
      <w:r w:rsidRPr="00CD0465">
        <w:rPr>
          <w:rFonts w:ascii="Arial" w:hAnsi="Arial" w:cs="Arial"/>
          <w:b/>
          <w:i w:val="0"/>
          <w:color w:val="auto"/>
          <w:sz w:val="24"/>
        </w:rPr>
        <w:fldChar w:fldCharType="separate"/>
      </w:r>
      <w:r w:rsidRPr="00CD0465">
        <w:rPr>
          <w:rFonts w:ascii="Arial" w:hAnsi="Arial" w:cs="Arial"/>
          <w:b/>
          <w:i w:val="0"/>
          <w:noProof/>
          <w:color w:val="auto"/>
          <w:sz w:val="24"/>
        </w:rPr>
        <w:t>2</w:t>
      </w:r>
      <w:r w:rsidRPr="00CD0465">
        <w:rPr>
          <w:rFonts w:ascii="Arial" w:hAnsi="Arial" w:cs="Arial"/>
          <w:b/>
          <w:i w:val="0"/>
          <w:color w:val="auto"/>
          <w:sz w:val="24"/>
        </w:rPr>
        <w:fldChar w:fldCharType="end"/>
      </w:r>
      <w:r w:rsidRPr="00CD0465">
        <w:rPr>
          <w:rFonts w:ascii="Arial" w:hAnsi="Arial" w:cs="Arial"/>
          <w:b/>
          <w:bCs/>
          <w:i w:val="0"/>
          <w:iCs w:val="0"/>
          <w:color w:val="auto"/>
          <w:sz w:val="36"/>
          <w:szCs w:val="24"/>
        </w:rPr>
        <w:t>.</w:t>
      </w:r>
      <w:r w:rsidRPr="00CD0465">
        <w:rPr>
          <w:rFonts w:ascii="Arial" w:hAnsi="Arial" w:cs="Arial"/>
          <w:b/>
          <w:bCs/>
          <w:i w:val="0"/>
          <w:iCs w:val="0"/>
          <w:color w:val="auto"/>
          <w:sz w:val="24"/>
          <w:szCs w:val="24"/>
        </w:rPr>
        <w:t xml:space="preserve"> p75 and GLUT1 immunofluorescence through the </w:t>
      </w:r>
      <w:r w:rsidR="004E65B5">
        <w:rPr>
          <w:rFonts w:ascii="Arial" w:hAnsi="Arial" w:cs="Arial"/>
          <w:b/>
          <w:bCs/>
          <w:i w:val="0"/>
          <w:iCs w:val="0"/>
          <w:color w:val="auto"/>
          <w:sz w:val="24"/>
          <w:szCs w:val="24"/>
        </w:rPr>
        <w:t>resected tissue</w:t>
      </w:r>
      <w:r w:rsidRPr="00CD0465">
        <w:rPr>
          <w:rFonts w:ascii="Arial" w:hAnsi="Arial" w:cs="Arial"/>
          <w:b/>
          <w:bCs/>
          <w:i w:val="0"/>
          <w:iCs w:val="0"/>
          <w:color w:val="auto"/>
          <w:sz w:val="24"/>
          <w:szCs w:val="24"/>
        </w:rPr>
        <w:t>.</w:t>
      </w:r>
      <w:r w:rsidRPr="00CD0465">
        <w:rPr>
          <w:rFonts w:ascii="Arial" w:hAnsi="Arial" w:cs="Arial"/>
          <w:i w:val="0"/>
          <w:iCs w:val="0"/>
          <w:color w:val="auto"/>
          <w:sz w:val="24"/>
          <w:szCs w:val="24"/>
        </w:rPr>
        <w:t xml:space="preserve"> </w:t>
      </w:r>
      <w:r w:rsidRPr="00CD0465">
        <w:rPr>
          <w:rFonts w:ascii="Arial" w:hAnsi="Arial" w:cs="Arial"/>
          <w:i w:val="0"/>
          <w:iCs w:val="0"/>
          <w:noProof/>
          <w:color w:val="auto"/>
          <w:sz w:val="24"/>
          <w:szCs w:val="24"/>
        </w:rPr>
        <w:t>Tissue sections from HSCR pullthrough colon were stained with p75 (red) and GLUT1 (green). Images show both the submucosal plexus (a,c,e,g) and the myenteric plexus (b,d,f,h). In each case, the perineurium was also labelled by GLUT1 (e-h). Representative images of results from 4 patients. Scale bar = 20µm, for all images.</w:t>
      </w:r>
    </w:p>
    <w:p w14:paraId="6D2D4010" w14:textId="77E8556A" w:rsidR="00A20B12" w:rsidRPr="004D3FE1" w:rsidRDefault="00A20B12" w:rsidP="00CD0465">
      <w:pPr>
        <w:pStyle w:val="Caption"/>
        <w:rPr>
          <w:rFonts w:ascii="Helvetica" w:hAnsi="Helvetica"/>
          <w:sz w:val="24"/>
          <w:szCs w:val="24"/>
        </w:rPr>
      </w:pPr>
    </w:p>
    <w:p w14:paraId="7BFF8737" w14:textId="77777777" w:rsidR="00A20B12" w:rsidRPr="00A20B12" w:rsidRDefault="00A20B12" w:rsidP="00A20B12">
      <w:pPr>
        <w:rPr>
          <w:rFonts w:ascii="Helvetica" w:hAnsi="Helvetica"/>
        </w:rPr>
      </w:pPr>
      <w:r w:rsidRPr="00A20B12">
        <w:rPr>
          <w:rFonts w:ascii="Helvetica" w:hAnsi="Helvetica"/>
          <w:noProof/>
          <w:lang w:eastAsia="en-GB"/>
        </w:rPr>
        <w:drawing>
          <wp:inline distT="0" distB="0" distL="0" distR="0" wp14:anchorId="7D4B5D01" wp14:editId="4F3BE6E0">
            <wp:extent cx="5853091" cy="5805218"/>
            <wp:effectExtent l="0" t="0" r="0" b="5080"/>
            <wp:docPr id="14" name="Picture 14"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map&#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53091" cy="5805218"/>
                    </a:xfrm>
                    <a:prstGeom prst="rect">
                      <a:avLst/>
                    </a:prstGeom>
                    <a:ln>
                      <a:noFill/>
                    </a:ln>
                    <a:extLst>
                      <a:ext uri="{53640926-AAD7-44D8-BBD7-CCE9431645EC}">
                        <a14:shadowObscured xmlns:a14="http://schemas.microsoft.com/office/drawing/2010/main"/>
                      </a:ext>
                    </a:extLst>
                  </pic:spPr>
                </pic:pic>
              </a:graphicData>
            </a:graphic>
          </wp:inline>
        </w:drawing>
      </w:r>
    </w:p>
    <w:p w14:paraId="14F34E48" w14:textId="7010210D" w:rsidR="00A20B12" w:rsidRDefault="00A20B12" w:rsidP="00A20B12">
      <w:pPr>
        <w:spacing w:line="360" w:lineRule="auto"/>
        <w:jc w:val="both"/>
        <w:rPr>
          <w:rFonts w:ascii="Helvetica" w:hAnsi="Helvetica"/>
          <w:noProof/>
        </w:rPr>
      </w:pPr>
      <w:r w:rsidRPr="00A20B12">
        <w:rPr>
          <w:rFonts w:ascii="Helvetica" w:hAnsi="Helvetica"/>
          <w:b/>
        </w:rPr>
        <w:t xml:space="preserve">Supplementary Figure </w:t>
      </w:r>
      <w:r w:rsidRPr="00A20B12">
        <w:rPr>
          <w:rFonts w:ascii="Helvetica" w:hAnsi="Helvetica"/>
          <w:b/>
        </w:rPr>
        <w:fldChar w:fldCharType="begin"/>
      </w:r>
      <w:r w:rsidRPr="00A20B12">
        <w:rPr>
          <w:rFonts w:ascii="Helvetica" w:hAnsi="Helvetica"/>
          <w:b/>
        </w:rPr>
        <w:instrText xml:space="preserve"> SEQ Figure \* ARABIC </w:instrText>
      </w:r>
      <w:r w:rsidRPr="00A20B12">
        <w:rPr>
          <w:rFonts w:ascii="Helvetica" w:hAnsi="Helvetica"/>
          <w:b/>
        </w:rPr>
        <w:fldChar w:fldCharType="separate"/>
      </w:r>
      <w:r w:rsidR="00CD0465">
        <w:rPr>
          <w:rFonts w:ascii="Helvetica" w:hAnsi="Helvetica"/>
          <w:b/>
          <w:noProof/>
        </w:rPr>
        <w:t>3</w:t>
      </w:r>
      <w:r w:rsidRPr="00A20B12">
        <w:rPr>
          <w:rFonts w:ascii="Helvetica" w:hAnsi="Helvetica"/>
          <w:b/>
          <w:noProof/>
        </w:rPr>
        <w:fldChar w:fldCharType="end"/>
      </w:r>
      <w:r w:rsidRPr="00A20B12">
        <w:rPr>
          <w:rFonts w:ascii="Helvetica" w:hAnsi="Helvetica"/>
          <w:b/>
          <w:noProof/>
        </w:rPr>
        <w:t xml:space="preserve">. p75 and Tuj immunofluorescence staining through the </w:t>
      </w:r>
      <w:r w:rsidR="004E65B5">
        <w:rPr>
          <w:rFonts w:ascii="Helvetica" w:hAnsi="Helvetica"/>
          <w:b/>
          <w:noProof/>
        </w:rPr>
        <w:t>resected tissue</w:t>
      </w:r>
      <w:r w:rsidRPr="00A20B12">
        <w:rPr>
          <w:rFonts w:ascii="Helvetica" w:hAnsi="Helvetica"/>
          <w:b/>
          <w:noProof/>
        </w:rPr>
        <w:t xml:space="preserve">. </w:t>
      </w:r>
      <w:r w:rsidRPr="00A20B12">
        <w:rPr>
          <w:rFonts w:ascii="Helvetica" w:hAnsi="Helvetica"/>
          <w:noProof/>
        </w:rPr>
        <w:t xml:space="preserve">Tissue sections from the HSCR colon were stained with p75 (red) and Tuj (green). Images show the submucosal plexus (a,c,e,g) and the myenteric </w:t>
      </w:r>
      <w:r w:rsidRPr="00A20B12">
        <w:rPr>
          <w:rFonts w:ascii="Helvetica" w:hAnsi="Helvetica"/>
          <w:noProof/>
        </w:rPr>
        <w:lastRenderedPageBreak/>
        <w:t xml:space="preserve">plexus (b,d,f,h). In segments I (a,b) and II (c,d), p75 and Tuj were present throughout ganglia of both plexus. In segments III (e,f) and IV (g,h), while the perineurium was only stained with p75 and not Tuj, the Tuj staining was present in a nerve fibre pattern as </w:t>
      </w:r>
      <w:bookmarkStart w:id="0" w:name="_GoBack"/>
      <w:r w:rsidRPr="009A275D">
        <w:rPr>
          <w:rFonts w:ascii="Helvetica" w:hAnsi="Helvetica"/>
          <w:noProof/>
        </w:rPr>
        <w:t>opp</w:t>
      </w:r>
      <w:r w:rsidR="003C0454" w:rsidRPr="009A275D">
        <w:rPr>
          <w:rFonts w:ascii="Helvetica" w:hAnsi="Helvetica"/>
          <w:noProof/>
        </w:rPr>
        <w:t>o</w:t>
      </w:r>
      <w:r w:rsidRPr="009A275D">
        <w:rPr>
          <w:rFonts w:ascii="Helvetica" w:hAnsi="Helvetica"/>
          <w:noProof/>
        </w:rPr>
        <w:t>sed</w:t>
      </w:r>
      <w:bookmarkEnd w:id="0"/>
      <w:r w:rsidRPr="00A20B12">
        <w:rPr>
          <w:rFonts w:ascii="Helvetica" w:hAnsi="Helvetica"/>
          <w:noProof/>
        </w:rPr>
        <w:t xml:space="preserve"> to the staining throughout the ganglia. Representative images of results from 4 patients. Scale bars = 20µm for all images.</w:t>
      </w:r>
    </w:p>
    <w:p w14:paraId="5F4307D5" w14:textId="77777777" w:rsidR="003C0454" w:rsidRPr="00A20B12" w:rsidRDefault="003C0454" w:rsidP="00A20B12">
      <w:pPr>
        <w:spacing w:line="360" w:lineRule="auto"/>
        <w:jc w:val="both"/>
        <w:rPr>
          <w:rFonts w:ascii="Helvetica" w:hAnsi="Helvetica"/>
          <w:noProof/>
        </w:rPr>
      </w:pPr>
    </w:p>
    <w:p w14:paraId="550ED907" w14:textId="77777777" w:rsidR="00A20B12" w:rsidRPr="00A20B12" w:rsidRDefault="00A20B12" w:rsidP="00A20B12">
      <w:pPr>
        <w:rPr>
          <w:rFonts w:ascii="Helvetica" w:hAnsi="Helvetica"/>
        </w:rPr>
      </w:pPr>
    </w:p>
    <w:p w14:paraId="35A8B637" w14:textId="77777777" w:rsidR="00A20B12" w:rsidRPr="00A20B12" w:rsidRDefault="00A20B12" w:rsidP="00A20B12">
      <w:pPr>
        <w:keepNext/>
        <w:rPr>
          <w:rFonts w:ascii="Helvetica" w:hAnsi="Helvetica"/>
        </w:rPr>
      </w:pPr>
      <w:r w:rsidRPr="00A20B12">
        <w:rPr>
          <w:rFonts w:ascii="Helvetica" w:hAnsi="Helvetica"/>
          <w:noProof/>
          <w:lang w:eastAsia="en-GB"/>
        </w:rPr>
        <w:drawing>
          <wp:inline distT="0" distB="0" distL="0" distR="0" wp14:anchorId="4814EE6D" wp14:editId="660B9746">
            <wp:extent cx="4860791" cy="5068841"/>
            <wp:effectExtent l="0" t="0" r="0" b="0"/>
            <wp:docPr id="7" name="Picture 7" descr="A picture containing text, indoor, colorful,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colorful, da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60791" cy="5068841"/>
                    </a:xfrm>
                    <a:prstGeom prst="rect">
                      <a:avLst/>
                    </a:prstGeom>
                    <a:ln>
                      <a:noFill/>
                    </a:ln>
                    <a:extLst>
                      <a:ext uri="{53640926-AAD7-44D8-BBD7-CCE9431645EC}">
                        <a14:shadowObscured xmlns:a14="http://schemas.microsoft.com/office/drawing/2010/main"/>
                      </a:ext>
                    </a:extLst>
                  </pic:spPr>
                </pic:pic>
              </a:graphicData>
            </a:graphic>
          </wp:inline>
        </w:drawing>
      </w:r>
    </w:p>
    <w:p w14:paraId="24631933" w14:textId="3EFF4DE1" w:rsidR="00A20B12" w:rsidRPr="00A20B12" w:rsidRDefault="00A20B12" w:rsidP="00A20B12">
      <w:pPr>
        <w:spacing w:line="360" w:lineRule="auto"/>
        <w:jc w:val="both"/>
        <w:rPr>
          <w:rFonts w:ascii="Helvetica" w:hAnsi="Helvetica"/>
          <w:bCs/>
        </w:rPr>
      </w:pPr>
      <w:r w:rsidRPr="00A20B12">
        <w:rPr>
          <w:rFonts w:ascii="Helvetica" w:hAnsi="Helvetica"/>
          <w:b/>
        </w:rPr>
        <w:t xml:space="preserve">Supplementary Figure </w:t>
      </w:r>
      <w:r w:rsidRPr="00A20B12">
        <w:rPr>
          <w:rFonts w:ascii="Helvetica" w:hAnsi="Helvetica"/>
          <w:b/>
        </w:rPr>
        <w:fldChar w:fldCharType="begin"/>
      </w:r>
      <w:r w:rsidRPr="00A20B12">
        <w:rPr>
          <w:rFonts w:ascii="Helvetica" w:hAnsi="Helvetica"/>
          <w:b/>
        </w:rPr>
        <w:instrText xml:space="preserve"> SEQ Figure \* ARABIC </w:instrText>
      </w:r>
      <w:r w:rsidRPr="00A20B12">
        <w:rPr>
          <w:rFonts w:ascii="Helvetica" w:hAnsi="Helvetica"/>
          <w:b/>
        </w:rPr>
        <w:fldChar w:fldCharType="separate"/>
      </w:r>
      <w:r w:rsidR="00CD0465">
        <w:rPr>
          <w:rFonts w:ascii="Helvetica" w:hAnsi="Helvetica"/>
          <w:b/>
          <w:noProof/>
        </w:rPr>
        <w:t>4</w:t>
      </w:r>
      <w:r w:rsidRPr="00A20B12">
        <w:rPr>
          <w:rFonts w:ascii="Helvetica" w:hAnsi="Helvetica"/>
          <w:b/>
        </w:rPr>
        <w:fldChar w:fldCharType="end"/>
      </w:r>
      <w:r w:rsidRPr="00A20B12">
        <w:rPr>
          <w:rFonts w:ascii="Helvetica" w:hAnsi="Helvetica"/>
          <w:b/>
        </w:rPr>
        <w:t xml:space="preserve">. </w:t>
      </w:r>
      <w:r w:rsidRPr="00A20B12">
        <w:rPr>
          <w:rFonts w:ascii="Helvetica" w:hAnsi="Helvetica"/>
          <w:b/>
          <w:bCs/>
          <w:noProof/>
        </w:rPr>
        <w:t>Magnified images of the dual staining of ganglia and hybrid with p75 and Hu in Hirschsprung’s bowel.</w:t>
      </w:r>
      <w:r w:rsidRPr="00A20B12">
        <w:rPr>
          <w:rFonts w:ascii="Helvetica" w:hAnsi="Helvetica"/>
          <w:bCs/>
          <w:noProof/>
        </w:rPr>
        <w:t xml:space="preserve"> </w:t>
      </w:r>
      <w:r w:rsidRPr="00A20B12">
        <w:rPr>
          <w:rFonts w:ascii="Helvetica" w:hAnsi="Helvetica"/>
          <w:noProof/>
        </w:rPr>
        <w:t>Magnified views of confocal images of the ganglia and hybrid structure found in segments I and II labelled for p75 (red) and Hu (green). Hu was found in cell bodies in both ganglia (a, a’, b’) and within the hybrid structure (b). Scale bar = 20µm for all images.</w:t>
      </w:r>
    </w:p>
    <w:p w14:paraId="08CA7C5E" w14:textId="77777777" w:rsidR="00A20B12" w:rsidRPr="00A20B12" w:rsidRDefault="00A20B12" w:rsidP="00A20B12">
      <w:pPr>
        <w:pStyle w:val="Caption"/>
        <w:spacing w:line="360" w:lineRule="auto"/>
        <w:jc w:val="both"/>
        <w:rPr>
          <w:rFonts w:ascii="Helvetica" w:hAnsi="Helvetica"/>
          <w:sz w:val="24"/>
          <w:szCs w:val="24"/>
        </w:rPr>
      </w:pPr>
    </w:p>
    <w:p w14:paraId="5B11D686" w14:textId="77777777" w:rsidR="00A20B12" w:rsidRPr="00A20B12" w:rsidRDefault="00A20B12" w:rsidP="00A20B12">
      <w:pPr>
        <w:spacing w:line="360" w:lineRule="auto"/>
        <w:jc w:val="both"/>
        <w:rPr>
          <w:rFonts w:ascii="Helvetica" w:hAnsi="Helvetica"/>
        </w:rPr>
      </w:pPr>
    </w:p>
    <w:p w14:paraId="565FAB3E" w14:textId="77777777" w:rsidR="00A20B12" w:rsidRPr="00A20B12" w:rsidRDefault="00A20B12" w:rsidP="00A20B12">
      <w:pPr>
        <w:keepNext/>
        <w:rPr>
          <w:rFonts w:ascii="Helvetica" w:hAnsi="Helvetica"/>
        </w:rPr>
      </w:pPr>
      <w:r w:rsidRPr="00A20B12">
        <w:rPr>
          <w:rFonts w:ascii="Helvetica" w:hAnsi="Helvetica"/>
          <w:noProof/>
        </w:rPr>
        <w:lastRenderedPageBreak/>
        <w:t xml:space="preserve">        </w:t>
      </w:r>
      <w:r w:rsidRPr="00A20B12">
        <w:rPr>
          <w:rFonts w:ascii="Helvetica" w:hAnsi="Helvetica"/>
          <w:noProof/>
          <w:lang w:eastAsia="en-GB"/>
        </w:rPr>
        <w:drawing>
          <wp:inline distT="0" distB="0" distL="0" distR="0" wp14:anchorId="65B743CD" wp14:editId="6A416DEC">
            <wp:extent cx="5131788" cy="6680200"/>
            <wp:effectExtent l="0" t="0" r="0" b="0"/>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93" t="9157" r="22070" b="22578"/>
                    <a:stretch/>
                  </pic:blipFill>
                  <pic:spPr bwMode="auto">
                    <a:xfrm>
                      <a:off x="0" y="0"/>
                      <a:ext cx="5147223" cy="6700292"/>
                    </a:xfrm>
                    <a:prstGeom prst="rect">
                      <a:avLst/>
                    </a:prstGeom>
                    <a:noFill/>
                    <a:ln>
                      <a:noFill/>
                    </a:ln>
                    <a:extLst>
                      <a:ext uri="{53640926-AAD7-44D8-BBD7-CCE9431645EC}">
                        <a14:shadowObscured xmlns:a14="http://schemas.microsoft.com/office/drawing/2010/main"/>
                      </a:ext>
                    </a:extLst>
                  </pic:spPr>
                </pic:pic>
              </a:graphicData>
            </a:graphic>
          </wp:inline>
        </w:drawing>
      </w:r>
    </w:p>
    <w:p w14:paraId="608628EB" w14:textId="1F3E4F75" w:rsidR="00976667" w:rsidRPr="00A20B12" w:rsidRDefault="00A20B12" w:rsidP="001574AD">
      <w:pPr>
        <w:spacing w:line="360" w:lineRule="auto"/>
        <w:jc w:val="both"/>
        <w:rPr>
          <w:rFonts w:ascii="Helvetica" w:hAnsi="Helvetica"/>
        </w:rPr>
      </w:pPr>
      <w:r w:rsidRPr="00A20B12">
        <w:rPr>
          <w:rFonts w:ascii="Helvetica" w:hAnsi="Helvetica"/>
          <w:b/>
        </w:rPr>
        <w:t xml:space="preserve">Supplementary Figure </w:t>
      </w:r>
      <w:r w:rsidRPr="00A20B12">
        <w:rPr>
          <w:rFonts w:ascii="Helvetica" w:hAnsi="Helvetica"/>
          <w:b/>
        </w:rPr>
        <w:fldChar w:fldCharType="begin"/>
      </w:r>
      <w:r w:rsidRPr="00A20B12">
        <w:rPr>
          <w:rFonts w:ascii="Helvetica" w:hAnsi="Helvetica"/>
          <w:b/>
        </w:rPr>
        <w:instrText xml:space="preserve"> SEQ Figure \* ARABIC </w:instrText>
      </w:r>
      <w:r w:rsidRPr="00A20B12">
        <w:rPr>
          <w:rFonts w:ascii="Helvetica" w:hAnsi="Helvetica"/>
          <w:b/>
        </w:rPr>
        <w:fldChar w:fldCharType="separate"/>
      </w:r>
      <w:r w:rsidR="00CD0465">
        <w:rPr>
          <w:rFonts w:ascii="Helvetica" w:hAnsi="Helvetica"/>
          <w:b/>
          <w:noProof/>
        </w:rPr>
        <w:t>5</w:t>
      </w:r>
      <w:r w:rsidRPr="00A20B12">
        <w:rPr>
          <w:rFonts w:ascii="Helvetica" w:hAnsi="Helvetica"/>
          <w:b/>
          <w:noProof/>
        </w:rPr>
        <w:fldChar w:fldCharType="end"/>
      </w:r>
      <w:r w:rsidRPr="00A20B12">
        <w:rPr>
          <w:rFonts w:ascii="Helvetica" w:hAnsi="Helvetica"/>
          <w:b/>
          <w:noProof/>
        </w:rPr>
        <w:t xml:space="preserve">. </w:t>
      </w:r>
      <w:r w:rsidRPr="00A20B12">
        <w:rPr>
          <w:rFonts w:ascii="Helvetica" w:hAnsi="Helvetica"/>
          <w:b/>
          <w:bCs/>
        </w:rPr>
        <w:t xml:space="preserve">p75 and CD34 immunofluorescence staining in the submucosal plexus of Hirschsprung’s bowel. </w:t>
      </w:r>
      <w:r w:rsidRPr="00A20B12">
        <w:rPr>
          <w:rFonts w:ascii="Helvetica" w:hAnsi="Helvetica"/>
          <w:noProof/>
        </w:rPr>
        <w:t>Tissue sections from HSCR colon were stained with p75 (red) and CD34 (green) in the submucosal plexus. In segment I, CD34-positive telocytes can be found to form a complete layer around the ganglia, and telopodes extend into the ganglia. In segment II, the telocytes layer is distrupted. In segments III and IV, CD34-positive cells are found outside the p75 positive perineurium, as well as</w:t>
      </w:r>
      <w:r w:rsidR="000A6D70">
        <w:rPr>
          <w:rFonts w:ascii="Helvetica" w:hAnsi="Helvetica"/>
          <w:noProof/>
        </w:rPr>
        <w:t xml:space="preserve"> </w:t>
      </w:r>
      <w:r w:rsidR="001915EA">
        <w:rPr>
          <w:rFonts w:ascii="Helvetica" w:hAnsi="Helvetica"/>
          <w:noProof/>
        </w:rPr>
        <w:t xml:space="preserve">very </w:t>
      </w:r>
      <w:r w:rsidR="003F7B34">
        <w:rPr>
          <w:rFonts w:ascii="Helvetica" w:hAnsi="Helvetica"/>
          <w:noProof/>
        </w:rPr>
        <w:t>few</w:t>
      </w:r>
      <w:r w:rsidR="000A6D70">
        <w:rPr>
          <w:rFonts w:ascii="Helvetica" w:hAnsi="Helvetica"/>
          <w:noProof/>
        </w:rPr>
        <w:t xml:space="preserve"> CD34 cells within</w:t>
      </w:r>
      <w:r w:rsidRPr="00A20B12">
        <w:rPr>
          <w:rFonts w:ascii="Helvetica" w:hAnsi="Helvetica"/>
          <w:noProof/>
        </w:rPr>
        <w:t xml:space="preserve"> the nerve</w:t>
      </w:r>
      <w:r w:rsidR="000A6D70">
        <w:rPr>
          <w:rFonts w:ascii="Helvetica" w:hAnsi="Helvetica"/>
          <w:noProof/>
        </w:rPr>
        <w:t xml:space="preserve"> bundles</w:t>
      </w:r>
      <w:r w:rsidRPr="00A20B12">
        <w:rPr>
          <w:rFonts w:ascii="Helvetica" w:hAnsi="Helvetica"/>
          <w:noProof/>
        </w:rPr>
        <w:t xml:space="preserve">. Representative images of results from 4 patients. Scale bars = 20µm for all images. </w:t>
      </w:r>
    </w:p>
    <w:sectPr w:rsidR="00976667" w:rsidRPr="00A20B12">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DF43E" w14:textId="77777777" w:rsidR="006558DE" w:rsidRDefault="006558DE">
      <w:r>
        <w:separator/>
      </w:r>
    </w:p>
  </w:endnote>
  <w:endnote w:type="continuationSeparator" w:id="0">
    <w:p w14:paraId="7F2ED94E" w14:textId="77777777" w:rsidR="006558DE" w:rsidRDefault="00655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CB7CF0" w14:paraId="33AD91EF" w14:textId="77777777" w:rsidTr="00B5649E">
      <w:tc>
        <w:tcPr>
          <w:tcW w:w="3005" w:type="dxa"/>
        </w:tcPr>
        <w:p w14:paraId="12958662" w14:textId="77777777" w:rsidR="00CB7CF0" w:rsidRDefault="009A275D" w:rsidP="00B5649E">
          <w:pPr>
            <w:pStyle w:val="Header"/>
            <w:ind w:left="-115"/>
          </w:pPr>
        </w:p>
      </w:tc>
      <w:tc>
        <w:tcPr>
          <w:tcW w:w="3005" w:type="dxa"/>
        </w:tcPr>
        <w:p w14:paraId="0D512982" w14:textId="77777777" w:rsidR="00CB7CF0" w:rsidRDefault="009A275D" w:rsidP="00B5649E">
          <w:pPr>
            <w:pStyle w:val="Header"/>
            <w:jc w:val="center"/>
          </w:pPr>
        </w:p>
      </w:tc>
      <w:tc>
        <w:tcPr>
          <w:tcW w:w="3005" w:type="dxa"/>
        </w:tcPr>
        <w:p w14:paraId="7DB213C6" w14:textId="77777777" w:rsidR="00CB7CF0" w:rsidRDefault="009A275D" w:rsidP="00B5649E">
          <w:pPr>
            <w:pStyle w:val="Header"/>
            <w:ind w:right="-115"/>
            <w:jc w:val="right"/>
          </w:pPr>
        </w:p>
      </w:tc>
    </w:tr>
  </w:tbl>
  <w:p w14:paraId="24C4532B" w14:textId="77777777" w:rsidR="00CB7CF0" w:rsidRDefault="009A275D" w:rsidP="00B56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96A4F" w14:textId="77777777" w:rsidR="006558DE" w:rsidRDefault="006558DE">
      <w:r>
        <w:separator/>
      </w:r>
    </w:p>
  </w:footnote>
  <w:footnote w:type="continuationSeparator" w:id="0">
    <w:p w14:paraId="4E1CB521" w14:textId="77777777" w:rsidR="006558DE" w:rsidRDefault="00655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CB7CF0" w14:paraId="6E3F52FD" w14:textId="77777777" w:rsidTr="00B5649E">
      <w:tc>
        <w:tcPr>
          <w:tcW w:w="3005" w:type="dxa"/>
        </w:tcPr>
        <w:p w14:paraId="199FC078" w14:textId="77777777" w:rsidR="00CB7CF0" w:rsidRDefault="009A275D" w:rsidP="00B5649E">
          <w:pPr>
            <w:pStyle w:val="Header"/>
            <w:ind w:left="-115"/>
          </w:pPr>
        </w:p>
      </w:tc>
      <w:tc>
        <w:tcPr>
          <w:tcW w:w="3005" w:type="dxa"/>
        </w:tcPr>
        <w:p w14:paraId="20A76E66" w14:textId="77777777" w:rsidR="00CB7CF0" w:rsidRDefault="009A275D" w:rsidP="00B5649E">
          <w:pPr>
            <w:pStyle w:val="Header"/>
            <w:jc w:val="center"/>
          </w:pPr>
        </w:p>
      </w:tc>
      <w:tc>
        <w:tcPr>
          <w:tcW w:w="3005" w:type="dxa"/>
        </w:tcPr>
        <w:p w14:paraId="5242F860" w14:textId="77777777" w:rsidR="00CB7CF0" w:rsidRDefault="009A275D" w:rsidP="00B5649E">
          <w:pPr>
            <w:pStyle w:val="Header"/>
            <w:ind w:right="-115"/>
            <w:jc w:val="right"/>
          </w:pPr>
        </w:p>
      </w:tc>
    </w:tr>
  </w:tbl>
  <w:p w14:paraId="0E5FA521" w14:textId="77777777" w:rsidR="00CB7CF0" w:rsidRDefault="009A275D" w:rsidP="00B564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B12"/>
    <w:rsid w:val="000A6D70"/>
    <w:rsid w:val="00147E90"/>
    <w:rsid w:val="001574AD"/>
    <w:rsid w:val="001915EA"/>
    <w:rsid w:val="00261B9A"/>
    <w:rsid w:val="002B2E98"/>
    <w:rsid w:val="00300CF3"/>
    <w:rsid w:val="003C0454"/>
    <w:rsid w:val="003F7B34"/>
    <w:rsid w:val="004D3FE1"/>
    <w:rsid w:val="004E65B5"/>
    <w:rsid w:val="005A244A"/>
    <w:rsid w:val="005E14EA"/>
    <w:rsid w:val="006558DE"/>
    <w:rsid w:val="00727371"/>
    <w:rsid w:val="00786DA0"/>
    <w:rsid w:val="009A275D"/>
    <w:rsid w:val="00A20B12"/>
    <w:rsid w:val="00AB082B"/>
    <w:rsid w:val="00C76B99"/>
    <w:rsid w:val="00CD0465"/>
    <w:rsid w:val="00EE053D"/>
    <w:rsid w:val="00F87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8DEC"/>
  <w15:chartTrackingRefBased/>
  <w15:docId w15:val="{66FF3DCF-A872-A94C-87BF-06AA054A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B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A20B12"/>
  </w:style>
  <w:style w:type="paragraph" w:styleId="Header">
    <w:name w:val="header"/>
    <w:basedOn w:val="Normal"/>
    <w:link w:val="HeaderChar"/>
    <w:uiPriority w:val="99"/>
    <w:unhideWhenUsed/>
    <w:rsid w:val="00A20B12"/>
    <w:pPr>
      <w:tabs>
        <w:tab w:val="center" w:pos="4680"/>
        <w:tab w:val="right" w:pos="9360"/>
      </w:tabs>
    </w:pPr>
  </w:style>
  <w:style w:type="character" w:customStyle="1" w:styleId="HeaderChar1">
    <w:name w:val="Header Char1"/>
    <w:basedOn w:val="DefaultParagraphFont"/>
    <w:uiPriority w:val="99"/>
    <w:semiHidden/>
    <w:rsid w:val="00A20B12"/>
  </w:style>
  <w:style w:type="character" w:customStyle="1" w:styleId="FooterChar">
    <w:name w:val="Footer Char"/>
    <w:basedOn w:val="DefaultParagraphFont"/>
    <w:link w:val="Footer"/>
    <w:uiPriority w:val="99"/>
    <w:rsid w:val="00A20B12"/>
  </w:style>
  <w:style w:type="paragraph" w:styleId="Footer">
    <w:name w:val="footer"/>
    <w:basedOn w:val="Normal"/>
    <w:link w:val="FooterChar"/>
    <w:uiPriority w:val="99"/>
    <w:unhideWhenUsed/>
    <w:rsid w:val="00A20B12"/>
    <w:pPr>
      <w:tabs>
        <w:tab w:val="center" w:pos="4680"/>
        <w:tab w:val="right" w:pos="9360"/>
      </w:tabs>
    </w:pPr>
  </w:style>
  <w:style w:type="character" w:customStyle="1" w:styleId="FooterChar1">
    <w:name w:val="Footer Char1"/>
    <w:basedOn w:val="DefaultParagraphFont"/>
    <w:uiPriority w:val="99"/>
    <w:semiHidden/>
    <w:rsid w:val="00A20B12"/>
  </w:style>
  <w:style w:type="paragraph" w:styleId="Caption">
    <w:name w:val="caption"/>
    <w:basedOn w:val="Normal"/>
    <w:next w:val="Normal"/>
    <w:uiPriority w:val="35"/>
    <w:unhideWhenUsed/>
    <w:qFormat/>
    <w:rsid w:val="00A20B12"/>
    <w:pPr>
      <w:spacing w:after="200"/>
    </w:pPr>
    <w:rPr>
      <w:i/>
      <w:iCs/>
      <w:color w:val="44546A" w:themeColor="text2"/>
      <w:sz w:val="18"/>
      <w:szCs w:val="18"/>
    </w:rPr>
  </w:style>
  <w:style w:type="table" w:styleId="ListTable3-Accent3">
    <w:name w:val="List Table 3 Accent 3"/>
    <w:basedOn w:val="TableNormal"/>
    <w:uiPriority w:val="48"/>
    <w:rsid w:val="004D3FE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CommentText">
    <w:name w:val="annotation text"/>
    <w:basedOn w:val="Normal"/>
    <w:link w:val="CommentTextChar"/>
    <w:uiPriority w:val="99"/>
    <w:unhideWhenUsed/>
    <w:rsid w:val="00CD0465"/>
    <w:rPr>
      <w:sz w:val="20"/>
      <w:szCs w:val="20"/>
    </w:rPr>
  </w:style>
  <w:style w:type="character" w:customStyle="1" w:styleId="CommentTextChar">
    <w:name w:val="Comment Text Char"/>
    <w:basedOn w:val="DefaultParagraphFont"/>
    <w:link w:val="CommentText"/>
    <w:uiPriority w:val="99"/>
    <w:rsid w:val="00CD0465"/>
    <w:rPr>
      <w:sz w:val="20"/>
      <w:szCs w:val="20"/>
    </w:rPr>
  </w:style>
  <w:style w:type="character" w:styleId="CommentReference">
    <w:name w:val="annotation reference"/>
    <w:basedOn w:val="DefaultParagraphFont"/>
    <w:uiPriority w:val="99"/>
    <w:semiHidden/>
    <w:unhideWhenUsed/>
    <w:rsid w:val="00CD0465"/>
    <w:rPr>
      <w:sz w:val="16"/>
      <w:szCs w:val="16"/>
    </w:rPr>
  </w:style>
  <w:style w:type="paragraph" w:styleId="BalloonText">
    <w:name w:val="Balloon Text"/>
    <w:basedOn w:val="Normal"/>
    <w:link w:val="BalloonTextChar"/>
    <w:uiPriority w:val="99"/>
    <w:semiHidden/>
    <w:unhideWhenUsed/>
    <w:rsid w:val="00CD0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46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A244A"/>
    <w:rPr>
      <w:b/>
      <w:bCs/>
    </w:rPr>
  </w:style>
  <w:style w:type="character" w:customStyle="1" w:styleId="CommentSubjectChar">
    <w:name w:val="Comment Subject Char"/>
    <w:basedOn w:val="CommentTextChar"/>
    <w:link w:val="CommentSubject"/>
    <w:uiPriority w:val="99"/>
    <w:semiHidden/>
    <w:rsid w:val="005A24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0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3" ma:contentTypeDescription="Create a new document." ma:contentTypeScope="" ma:versionID="24408462009794ab64fd4cfa03c67fdc">
  <xsd:schema xmlns:xsd="http://www.w3.org/2001/XMLSchema" xmlns:xs="http://www.w3.org/2001/XMLSchema" xmlns:p="http://schemas.microsoft.com/office/2006/metadata/properties" xmlns:ns3="2c0728d4-b628-46ac-beb8-1847ad0e6c02" xmlns:ns4="2c43926a-b248-4fb5-8692-7f03bd5c687b" targetNamespace="http://schemas.microsoft.com/office/2006/metadata/properties" ma:root="true" ma:fieldsID="06fdb1d6eb31539db55b9eef3da5f49a" ns3:_="" ns4:_="">
    <xsd:import namespace="2c0728d4-b628-46ac-beb8-1847ad0e6c02"/>
    <xsd:import namespace="2c43926a-b248-4fb5-8692-7f03bd5c68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7B86F-DC3B-42E9-B097-8255D49F3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728d4-b628-46ac-beb8-1847ad0e6c02"/>
    <ds:schemaRef ds:uri="2c43926a-b248-4fb5-8692-7f03bd5c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5DFF3-DD3C-4CD0-B0AE-942141F9DF79}">
  <ds:schemaRefs>
    <ds:schemaRef ds:uri="http://purl.org/dc/elements/1.1/"/>
    <ds:schemaRef ds:uri="http://schemas.microsoft.com/office/2006/documentManagement/types"/>
    <ds:schemaRef ds:uri="http://purl.org/dc/dcmitype/"/>
    <ds:schemaRef ds:uri="2c43926a-b248-4fb5-8692-7f03bd5c687b"/>
    <ds:schemaRef ds:uri="http://schemas.microsoft.com/office/2006/metadata/properties"/>
    <ds:schemaRef ds:uri="http://purl.org/dc/terms/"/>
    <ds:schemaRef ds:uri="http://www.w3.org/XML/1998/namespace"/>
    <ds:schemaRef ds:uri="http://schemas.openxmlformats.org/package/2006/metadata/core-properties"/>
    <ds:schemaRef ds:uri="http://schemas.microsoft.com/office/infopath/2007/PartnerControls"/>
    <ds:schemaRef ds:uri="2c0728d4-b628-46ac-beb8-1847ad0e6c02"/>
  </ds:schemaRefs>
</ds:datastoreItem>
</file>

<file path=customXml/itemProps3.xml><?xml version="1.0" encoding="utf-8"?>
<ds:datastoreItem xmlns:ds="http://schemas.openxmlformats.org/officeDocument/2006/customXml" ds:itemID="{13F48131-D41A-4139-8680-257A4EDAA9C2}">
  <ds:schemaRefs>
    <ds:schemaRef ds:uri="http://schemas.microsoft.com/sharepoint/v3/contenttype/forms"/>
  </ds:schemaRefs>
</ds:datastoreItem>
</file>

<file path=customXml/itemProps4.xml><?xml version="1.0" encoding="utf-8"?>
<ds:datastoreItem xmlns:ds="http://schemas.openxmlformats.org/officeDocument/2006/customXml" ds:itemID="{A42C446B-6C54-4216-AB39-C4BB5B88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Megan [smithmeg]</dc:creator>
  <cp:keywords/>
  <dc:description/>
  <cp:lastModifiedBy>Smith, Megan [smithmeg]</cp:lastModifiedBy>
  <cp:revision>2</cp:revision>
  <dcterms:created xsi:type="dcterms:W3CDTF">2022-11-22T13:58:00Z</dcterms:created>
  <dcterms:modified xsi:type="dcterms:W3CDTF">2022-11-22T13:58:00Z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0x010100196A118AE6EB7543A7EC38CAF65D6D8B</vt:lpwstr>
  </property>
</Properties>
</file>