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4C64" w14:textId="6EA04C07" w:rsidR="008A3962" w:rsidRDefault="008A3962" w:rsidP="008A3962">
      <w:pPr>
        <w:spacing w:line="360" w:lineRule="auto"/>
        <w:jc w:val="center"/>
        <w:rPr>
          <w:b/>
          <w:bCs/>
        </w:rPr>
      </w:pPr>
      <w:r w:rsidRPr="008A3962">
        <w:rPr>
          <w:b/>
          <w:bCs/>
        </w:rPr>
        <w:t>Review of the Code of Fundraising Practice 2022-24: Public Call for Information</w:t>
      </w:r>
    </w:p>
    <w:p w14:paraId="73B1E2E8" w14:textId="095B7648" w:rsidR="008A3962" w:rsidRDefault="008A3962" w:rsidP="008A3962">
      <w:pPr>
        <w:spacing w:line="360" w:lineRule="auto"/>
        <w:jc w:val="center"/>
        <w:rPr>
          <w:b/>
          <w:bCs/>
        </w:rPr>
      </w:pPr>
      <w:r>
        <w:rPr>
          <w:b/>
          <w:bCs/>
        </w:rPr>
        <w:t xml:space="preserve">Dr John </w:t>
      </w:r>
      <w:proofErr w:type="spellStart"/>
      <w:r>
        <w:rPr>
          <w:b/>
          <w:bCs/>
        </w:rPr>
        <w:t>Picton</w:t>
      </w:r>
      <w:proofErr w:type="spellEnd"/>
      <w:r>
        <w:rPr>
          <w:b/>
          <w:bCs/>
        </w:rPr>
        <w:t xml:space="preserve"> (Senior Lecturer in Law) and Dr Matthew Shillito (Lecturer in Law)</w:t>
      </w:r>
    </w:p>
    <w:p w14:paraId="14D55857" w14:textId="6DE79C3E" w:rsidR="008A3962" w:rsidRDefault="008A3962" w:rsidP="008A3962">
      <w:pPr>
        <w:spacing w:line="360" w:lineRule="auto"/>
        <w:jc w:val="center"/>
        <w:rPr>
          <w:b/>
          <w:bCs/>
        </w:rPr>
      </w:pPr>
      <w:r>
        <w:rPr>
          <w:b/>
          <w:bCs/>
        </w:rPr>
        <w:t>On Behalf of the Charity Law and Policy Unit (CLPU)</w:t>
      </w:r>
    </w:p>
    <w:p w14:paraId="6961D5C1" w14:textId="5199B287" w:rsidR="008A3962" w:rsidRDefault="008A3962" w:rsidP="008A3962">
      <w:pPr>
        <w:spacing w:line="360" w:lineRule="auto"/>
        <w:jc w:val="center"/>
        <w:rPr>
          <w:b/>
          <w:bCs/>
        </w:rPr>
      </w:pPr>
      <w:r>
        <w:rPr>
          <w:b/>
          <w:bCs/>
        </w:rPr>
        <w:t>School of Law and Social Justice, University of Liverpool</w:t>
      </w:r>
    </w:p>
    <w:p w14:paraId="1062BAB0" w14:textId="36A0BD04" w:rsidR="00F6730F" w:rsidRDefault="00F6730F" w:rsidP="008A3962">
      <w:pPr>
        <w:spacing w:line="360" w:lineRule="auto"/>
        <w:jc w:val="center"/>
        <w:rPr>
          <w:b/>
          <w:bCs/>
        </w:rPr>
      </w:pPr>
    </w:p>
    <w:p w14:paraId="4F801C71" w14:textId="31418C15" w:rsidR="00F6730F" w:rsidRPr="003B58AF" w:rsidRDefault="003B58AF" w:rsidP="003B58AF">
      <w:pPr>
        <w:spacing w:line="360" w:lineRule="auto"/>
        <w:rPr>
          <w:b/>
          <w:bCs/>
          <w:u w:val="single"/>
        </w:rPr>
      </w:pPr>
      <w:r w:rsidRPr="003B58AF">
        <w:rPr>
          <w:b/>
          <w:bCs/>
          <w:u w:val="single"/>
        </w:rPr>
        <w:t>Who are we?</w:t>
      </w:r>
    </w:p>
    <w:p w14:paraId="7B81AB4C" w14:textId="5486BBA8" w:rsidR="003B58AF" w:rsidRDefault="003B58AF" w:rsidP="00E77015">
      <w:pPr>
        <w:spacing w:line="360" w:lineRule="auto"/>
        <w:jc w:val="both"/>
        <w:rPr>
          <w:rFonts w:eastAsia="Times New Roman" w:cstheme="minorHAnsi"/>
          <w:lang w:eastAsia="en-GB"/>
        </w:rPr>
      </w:pPr>
      <w:r w:rsidRPr="003B58AF">
        <w:rPr>
          <w:rFonts w:cstheme="minorHAnsi"/>
        </w:rPr>
        <w:t xml:space="preserve">The Charity Law and Policy Unit, based at the </w:t>
      </w:r>
      <w:r w:rsidRPr="003B58AF">
        <w:rPr>
          <w:rFonts w:eastAsia="Times New Roman" w:cstheme="minorHAnsi"/>
          <w:lang w:eastAsia="en-GB"/>
        </w:rPr>
        <w:t>based at the University of Liverpool, is the UK’s leading authority on legal and policy change relating to charities; it is the only academic Unit of its kind in the common law world with over 25 years of leading research projects and output. It carries out research into the legal issues facing charities and third sector organisations, often with a strong empirical element and leading to proposals for legal and regulatory reform, which have made important contributions to policy change in this field.</w:t>
      </w:r>
    </w:p>
    <w:p w14:paraId="4FD9F2F3" w14:textId="77777777" w:rsidR="000B137F" w:rsidRDefault="000B137F" w:rsidP="00E77015">
      <w:pPr>
        <w:spacing w:line="360" w:lineRule="auto"/>
        <w:jc w:val="both"/>
        <w:rPr>
          <w:rFonts w:eastAsia="Times New Roman" w:cstheme="minorHAnsi"/>
          <w:lang w:eastAsia="en-GB"/>
        </w:rPr>
      </w:pPr>
    </w:p>
    <w:p w14:paraId="645B400C" w14:textId="774A22B9" w:rsidR="003B58AF" w:rsidRPr="000B137F" w:rsidRDefault="003B58AF" w:rsidP="000B137F">
      <w:pPr>
        <w:spacing w:line="360" w:lineRule="auto"/>
        <w:jc w:val="both"/>
        <w:rPr>
          <w:rFonts w:eastAsia="Times New Roman" w:cstheme="minorHAnsi"/>
          <w:lang w:eastAsia="en-GB"/>
        </w:rPr>
      </w:pPr>
      <w:r>
        <w:rPr>
          <w:rFonts w:eastAsia="Times New Roman" w:cstheme="minorHAnsi"/>
          <w:lang w:eastAsia="en-GB"/>
        </w:rPr>
        <w:t>We are submitting this evidence, based on our research.</w:t>
      </w:r>
    </w:p>
    <w:p w14:paraId="47B20933" w14:textId="77777777" w:rsidR="000B137F" w:rsidRDefault="000B137F" w:rsidP="00F6730F">
      <w:pPr>
        <w:spacing w:line="360" w:lineRule="auto"/>
        <w:rPr>
          <w:b/>
          <w:bCs/>
          <w:u w:val="single"/>
        </w:rPr>
      </w:pPr>
    </w:p>
    <w:p w14:paraId="6F8C9FAB" w14:textId="72231A3A" w:rsidR="00E77015" w:rsidRPr="0091378D" w:rsidRDefault="00F6730F" w:rsidP="00F6730F">
      <w:pPr>
        <w:spacing w:line="360" w:lineRule="auto"/>
        <w:rPr>
          <w:b/>
          <w:bCs/>
          <w:u w:val="single"/>
        </w:rPr>
      </w:pPr>
      <w:r w:rsidRPr="0091378D">
        <w:rPr>
          <w:b/>
          <w:bCs/>
          <w:u w:val="single"/>
        </w:rPr>
        <w:t xml:space="preserve">Which parts of the </w:t>
      </w:r>
      <w:r w:rsidR="003B58AF" w:rsidRPr="0091378D">
        <w:rPr>
          <w:b/>
          <w:bCs/>
          <w:u w:val="single"/>
        </w:rPr>
        <w:t>C</w:t>
      </w:r>
      <w:r w:rsidRPr="0091378D">
        <w:rPr>
          <w:b/>
          <w:bCs/>
          <w:u w:val="single"/>
        </w:rPr>
        <w:t>ode do you think work well, and why?</w:t>
      </w:r>
    </w:p>
    <w:p w14:paraId="1D1A0BCC" w14:textId="4A40525C" w:rsidR="000B137F" w:rsidRDefault="003B58AF" w:rsidP="000B137F">
      <w:pPr>
        <w:spacing w:line="360" w:lineRule="auto"/>
        <w:jc w:val="both"/>
      </w:pPr>
      <w:r>
        <w:t xml:space="preserve">In general, we support </w:t>
      </w:r>
      <w:r w:rsidR="00CF0CA1">
        <w:t>express overall support for the</w:t>
      </w:r>
      <w:r>
        <w:t xml:space="preserve"> Code</w:t>
      </w:r>
      <w:r w:rsidR="00CF0CA1">
        <w:t xml:space="preserve">. On our reading, it </w:t>
      </w:r>
      <w:r w:rsidR="000B137F">
        <w:t>for the most part</w:t>
      </w:r>
      <w:r w:rsidR="00E77015">
        <w:t xml:space="preserve"> offers important, clear, and up-to-date guidance </w:t>
      </w:r>
      <w:r w:rsidR="000B137F">
        <w:t>for</w:t>
      </w:r>
      <w:r w:rsidR="00E77015">
        <w:t xml:space="preserve"> charitable institutions, and third-party organisations, in their fundraising efforts. Rather than listing all the areas we deem to work well, we will </w:t>
      </w:r>
      <w:r w:rsidR="000B137F">
        <w:t xml:space="preserve">instead </w:t>
      </w:r>
      <w:r w:rsidR="00E77015">
        <w:t>focus</w:t>
      </w:r>
      <w:r w:rsidR="000B137F">
        <w:t>,</w:t>
      </w:r>
      <w:r w:rsidR="00E77015">
        <w:t xml:space="preserve"> in the next section</w:t>
      </w:r>
      <w:r w:rsidR="000B137F">
        <w:t>,</w:t>
      </w:r>
      <w:r w:rsidR="00E77015">
        <w:t xml:space="preserve"> on the areas we </w:t>
      </w:r>
      <w:r w:rsidR="000B137F">
        <w:t>believe necessitate</w:t>
      </w:r>
      <w:r w:rsidR="00E77015">
        <w:t xml:space="preserve"> </w:t>
      </w:r>
      <w:r w:rsidR="000B137F">
        <w:t>updates or further clarity</w:t>
      </w:r>
      <w:r w:rsidR="00E77015">
        <w:t>.</w:t>
      </w:r>
      <w:r w:rsidR="000B137F">
        <w:t xml:space="preserve"> </w:t>
      </w:r>
    </w:p>
    <w:p w14:paraId="2C528708" w14:textId="3FF73606" w:rsidR="000B137F" w:rsidRPr="000B137F" w:rsidRDefault="000B137F" w:rsidP="000B137F">
      <w:pPr>
        <w:spacing w:line="360" w:lineRule="auto"/>
        <w:jc w:val="both"/>
      </w:pPr>
    </w:p>
    <w:p w14:paraId="2357DCE9" w14:textId="0EA0AA49" w:rsidR="00F6730F" w:rsidRPr="0091378D" w:rsidRDefault="00F6730F" w:rsidP="00F6730F">
      <w:pPr>
        <w:spacing w:line="360" w:lineRule="auto"/>
        <w:rPr>
          <w:b/>
          <w:bCs/>
          <w:u w:val="single"/>
        </w:rPr>
      </w:pPr>
      <w:r w:rsidRPr="0091378D">
        <w:rPr>
          <w:b/>
          <w:bCs/>
          <w:u w:val="single"/>
        </w:rPr>
        <w:t xml:space="preserve">Are there any issues relating to charitable fundraising that the </w:t>
      </w:r>
      <w:r w:rsidR="003B58AF" w:rsidRPr="0091378D">
        <w:rPr>
          <w:b/>
          <w:bCs/>
          <w:u w:val="single"/>
        </w:rPr>
        <w:t>C</w:t>
      </w:r>
      <w:r w:rsidRPr="0091378D">
        <w:rPr>
          <w:b/>
          <w:bCs/>
          <w:u w:val="single"/>
        </w:rPr>
        <w:t>ode does not adequately cover?</w:t>
      </w:r>
    </w:p>
    <w:p w14:paraId="67233903" w14:textId="4D4F1183" w:rsidR="00F6730F" w:rsidRDefault="00F6730F" w:rsidP="00F6730F">
      <w:pPr>
        <w:spacing w:line="360" w:lineRule="auto"/>
        <w:rPr>
          <w:b/>
          <w:bCs/>
          <w:u w:val="single"/>
        </w:rPr>
      </w:pPr>
    </w:p>
    <w:p w14:paraId="347D6E0C" w14:textId="015FAD6C" w:rsidR="0071715A" w:rsidRPr="0071715A" w:rsidRDefault="0071715A" w:rsidP="0071715A">
      <w:pPr>
        <w:shd w:val="clear" w:color="auto" w:fill="FFFFFF"/>
        <w:spacing w:line="360" w:lineRule="auto"/>
        <w:jc w:val="both"/>
        <w:rPr>
          <w:rFonts w:eastAsia="Times New Roman" w:cstheme="minorHAnsi"/>
          <w:color w:val="000000"/>
          <w:lang w:eastAsia="en-GB"/>
        </w:rPr>
      </w:pPr>
      <w:r w:rsidRPr="0071715A">
        <w:rPr>
          <w:rFonts w:eastAsia="Times New Roman" w:cstheme="minorHAnsi"/>
          <w:b/>
          <w:bCs/>
          <w:color w:val="000000"/>
          <w:lang w:eastAsia="en-GB"/>
        </w:rPr>
        <w:t>Impact of the Charities Act 2022 on the Fundraising Code</w:t>
      </w:r>
    </w:p>
    <w:p w14:paraId="7D12B556" w14:textId="4855754A" w:rsidR="0071715A" w:rsidRDefault="0071715A" w:rsidP="0071715A">
      <w:pPr>
        <w:shd w:val="clear" w:color="auto" w:fill="FFFFFF"/>
        <w:spacing w:line="360" w:lineRule="auto"/>
        <w:jc w:val="both"/>
        <w:rPr>
          <w:rFonts w:eastAsia="Times New Roman" w:cstheme="minorHAnsi"/>
          <w:color w:val="000000"/>
          <w:lang w:eastAsia="en-GB"/>
        </w:rPr>
      </w:pPr>
      <w:r w:rsidRPr="0071715A">
        <w:rPr>
          <w:rFonts w:eastAsia="Times New Roman" w:cstheme="minorHAnsi"/>
          <w:color w:val="110A1D"/>
          <w:lang w:eastAsia="en-GB"/>
        </w:rPr>
        <w:t>The Charities Act 2022, s6(1) inserts a new Charities Act 2011, s63A(3)(b) requiring that unless donors of £120 or less have made a written statement at the point of donation, then they cannot have a return of their gift. Instead, the trustees will apply the gift to new purposes. </w:t>
      </w:r>
    </w:p>
    <w:p w14:paraId="118171CD" w14:textId="77777777" w:rsidR="0071715A" w:rsidRPr="0071715A" w:rsidRDefault="0071715A" w:rsidP="0071715A">
      <w:pPr>
        <w:shd w:val="clear" w:color="auto" w:fill="FFFFFF"/>
        <w:spacing w:line="360" w:lineRule="auto"/>
        <w:jc w:val="both"/>
        <w:rPr>
          <w:rFonts w:eastAsia="Times New Roman" w:cstheme="minorHAnsi"/>
          <w:color w:val="000000"/>
          <w:lang w:eastAsia="en-GB"/>
        </w:rPr>
      </w:pPr>
    </w:p>
    <w:p w14:paraId="51C3A019" w14:textId="77777777" w:rsidR="0071715A" w:rsidRPr="0071715A" w:rsidRDefault="0071715A" w:rsidP="0071715A">
      <w:pPr>
        <w:shd w:val="clear" w:color="auto" w:fill="FFFFFF"/>
        <w:spacing w:line="360" w:lineRule="auto"/>
        <w:jc w:val="both"/>
        <w:rPr>
          <w:rFonts w:eastAsia="Times New Roman" w:cstheme="minorHAnsi"/>
          <w:color w:val="000000"/>
          <w:lang w:eastAsia="en-GB"/>
        </w:rPr>
      </w:pPr>
      <w:r w:rsidRPr="0071715A">
        <w:rPr>
          <w:rFonts w:eastAsia="Times New Roman" w:cstheme="minorHAnsi"/>
          <w:color w:val="110A1D"/>
          <w:lang w:eastAsia="en-GB"/>
        </w:rPr>
        <w:t>This is relevant to the code in the following ways:</w:t>
      </w:r>
    </w:p>
    <w:p w14:paraId="58E1C2A9" w14:textId="77777777" w:rsidR="0071715A" w:rsidRPr="0071715A" w:rsidRDefault="0071715A" w:rsidP="0071715A">
      <w:pPr>
        <w:numPr>
          <w:ilvl w:val="0"/>
          <w:numId w:val="1"/>
        </w:numPr>
        <w:shd w:val="clear" w:color="auto" w:fill="FFFFFF"/>
        <w:spacing w:before="100" w:beforeAutospacing="1" w:after="100" w:afterAutospacing="1" w:line="360" w:lineRule="auto"/>
        <w:jc w:val="both"/>
        <w:rPr>
          <w:rFonts w:eastAsia="Times New Roman" w:cstheme="minorHAnsi"/>
          <w:color w:val="110A1D"/>
          <w:sz w:val="30"/>
          <w:szCs w:val="30"/>
          <w:lang w:eastAsia="en-GB"/>
        </w:rPr>
      </w:pPr>
      <w:r w:rsidRPr="0071715A">
        <w:rPr>
          <w:rFonts w:eastAsia="Times New Roman" w:cstheme="minorHAnsi"/>
          <w:color w:val="110A1D"/>
          <w:lang w:eastAsia="en-GB"/>
        </w:rPr>
        <w:lastRenderedPageBreak/>
        <w:t>Online fundraising platforms (currently detailed at 10.2.6), should alert donors to this requirement at the point of donation. They might also be advised to provide a proforma for the written statement.</w:t>
      </w:r>
    </w:p>
    <w:p w14:paraId="586ABFF5" w14:textId="0CF9BEC6" w:rsidR="0071715A" w:rsidRDefault="0071715A" w:rsidP="0071715A">
      <w:pPr>
        <w:numPr>
          <w:ilvl w:val="0"/>
          <w:numId w:val="1"/>
        </w:numPr>
        <w:shd w:val="clear" w:color="auto" w:fill="FFFFFF"/>
        <w:spacing w:before="100" w:beforeAutospacing="1" w:after="100" w:afterAutospacing="1" w:line="360" w:lineRule="auto"/>
        <w:jc w:val="both"/>
        <w:rPr>
          <w:rFonts w:eastAsia="Times New Roman" w:cstheme="minorHAnsi"/>
          <w:color w:val="110A1D"/>
          <w:lang w:eastAsia="en-GB"/>
        </w:rPr>
      </w:pPr>
      <w:r w:rsidRPr="0071715A">
        <w:rPr>
          <w:rFonts w:eastAsia="Times New Roman" w:cstheme="minorHAnsi"/>
          <w:color w:val="110A1D"/>
          <w:lang w:eastAsia="en-GB"/>
        </w:rPr>
        <w:t>Appeals carried out by traditional methods should also alert donors to donors of £120 or less that they have lost the right to a return. They might also wish to provide a proforma for the written statement.</w:t>
      </w:r>
    </w:p>
    <w:p w14:paraId="64186D6C" w14:textId="6B5F23E2" w:rsidR="0071715A" w:rsidRDefault="009E4682" w:rsidP="0071715A">
      <w:pPr>
        <w:shd w:val="clear" w:color="auto" w:fill="FFFFFF"/>
        <w:spacing w:before="100" w:beforeAutospacing="1" w:after="100" w:afterAutospacing="1" w:line="360" w:lineRule="auto"/>
        <w:jc w:val="both"/>
        <w:rPr>
          <w:rFonts w:eastAsia="Times New Roman" w:cstheme="minorHAnsi"/>
          <w:b/>
          <w:bCs/>
          <w:color w:val="110A1D"/>
          <w:lang w:eastAsia="en-GB"/>
        </w:rPr>
      </w:pPr>
      <w:r w:rsidRPr="009E4682">
        <w:rPr>
          <w:rFonts w:eastAsia="Times New Roman" w:cstheme="minorHAnsi"/>
          <w:b/>
          <w:bCs/>
          <w:color w:val="110A1D"/>
          <w:lang w:eastAsia="en-GB"/>
        </w:rPr>
        <w:t>Responding to tech developments</w:t>
      </w:r>
      <w:r>
        <w:rPr>
          <w:rFonts w:eastAsia="Times New Roman" w:cstheme="minorHAnsi"/>
          <w:b/>
          <w:bCs/>
          <w:color w:val="110A1D"/>
          <w:lang w:eastAsia="en-GB"/>
        </w:rPr>
        <w:t xml:space="preserve"> (generally)</w:t>
      </w:r>
    </w:p>
    <w:p w14:paraId="3BF07622" w14:textId="63D1AE91" w:rsidR="009E4682" w:rsidRDefault="009E4682" w:rsidP="0071715A">
      <w:pPr>
        <w:shd w:val="clear" w:color="auto" w:fill="FFFFFF"/>
        <w:spacing w:before="100" w:beforeAutospacing="1" w:after="100" w:afterAutospacing="1" w:line="360" w:lineRule="auto"/>
        <w:jc w:val="both"/>
        <w:rPr>
          <w:rFonts w:eastAsia="Times New Roman" w:cstheme="minorHAnsi"/>
          <w:color w:val="110A1D"/>
          <w:lang w:eastAsia="en-GB"/>
        </w:rPr>
      </w:pPr>
      <w:r>
        <w:rPr>
          <w:rFonts w:eastAsia="Times New Roman" w:cstheme="minorHAnsi"/>
          <w:color w:val="110A1D"/>
          <w:lang w:eastAsia="en-GB"/>
        </w:rPr>
        <w:t xml:space="preserve">The ‘call for information’ makes clear that the Fundraising Regulator is aware that </w:t>
      </w:r>
      <w:r w:rsidR="002A0373">
        <w:rPr>
          <w:rFonts w:eastAsia="Times New Roman" w:cstheme="minorHAnsi"/>
          <w:color w:val="110A1D"/>
          <w:lang w:eastAsia="en-GB"/>
        </w:rPr>
        <w:t xml:space="preserve">advances in technology have changed the way charities seek to raise funds since the Code’s last update. Whilst we are generally in favour of updates to reflect this development, we would urge some caution. We do not see it as essential that the code is updated to reflect every possible new tech development, for instance there are now many, varied, types of cryptoassets that have their own idiosyncrasies </w:t>
      </w:r>
      <w:r w:rsidR="00BA533F">
        <w:rPr>
          <w:rFonts w:eastAsia="Times New Roman" w:cstheme="minorHAnsi"/>
          <w:color w:val="110A1D"/>
          <w:lang w:eastAsia="en-GB"/>
        </w:rPr>
        <w:t xml:space="preserve">however there is little evidence to suggest charities are engaging with crypto beyond some core, longer established coins </w:t>
      </w:r>
      <w:proofErr w:type="gramStart"/>
      <w:r w:rsidR="00BA533F">
        <w:rPr>
          <w:rFonts w:eastAsia="Times New Roman" w:cstheme="minorHAnsi"/>
          <w:color w:val="110A1D"/>
          <w:lang w:eastAsia="en-GB"/>
        </w:rPr>
        <w:t>e.g.</w:t>
      </w:r>
      <w:proofErr w:type="gramEnd"/>
      <w:r w:rsidR="00BA533F">
        <w:rPr>
          <w:rFonts w:eastAsia="Times New Roman" w:cstheme="minorHAnsi"/>
          <w:color w:val="110A1D"/>
          <w:lang w:eastAsia="en-GB"/>
        </w:rPr>
        <w:t xml:space="preserve"> Bitcoin and Ethereum. In this sense, specificity of specific coins might be deemed appropriate as guidance would be different depending on the characteristics of each coin. Further, we would urge caution in the code being seen to support nascent cryptoassets whilst the area is largely unregulated </w:t>
      </w:r>
      <w:proofErr w:type="gramStart"/>
      <w:r w:rsidR="00BA533F">
        <w:rPr>
          <w:rFonts w:eastAsia="Times New Roman" w:cstheme="minorHAnsi"/>
          <w:color w:val="110A1D"/>
          <w:lang w:eastAsia="en-GB"/>
        </w:rPr>
        <w:t>e.g.</w:t>
      </w:r>
      <w:proofErr w:type="gramEnd"/>
      <w:r w:rsidR="00BA533F">
        <w:rPr>
          <w:rFonts w:eastAsia="Times New Roman" w:cstheme="minorHAnsi"/>
          <w:color w:val="110A1D"/>
          <w:lang w:eastAsia="en-GB"/>
        </w:rPr>
        <w:t xml:space="preserve"> up until a few months ago, the general consensus was that stablecoins were a low risk way to transfer and hold funds – but they have since been shown to be risky due to bad actors</w:t>
      </w:r>
      <w:r w:rsidR="00E81812">
        <w:rPr>
          <w:rFonts w:eastAsia="Times New Roman" w:cstheme="minorHAnsi"/>
          <w:color w:val="110A1D"/>
          <w:lang w:eastAsia="en-GB"/>
        </w:rPr>
        <w:t xml:space="preserve"> and</w:t>
      </w:r>
      <w:r w:rsidR="00BA533F">
        <w:rPr>
          <w:rFonts w:eastAsia="Times New Roman" w:cstheme="minorHAnsi"/>
          <w:color w:val="110A1D"/>
          <w:lang w:eastAsia="en-GB"/>
        </w:rPr>
        <w:t xml:space="preserve"> </w:t>
      </w:r>
      <w:r w:rsidR="00E81812">
        <w:rPr>
          <w:rFonts w:eastAsia="Times New Roman" w:cstheme="minorHAnsi"/>
          <w:color w:val="110A1D"/>
          <w:lang w:eastAsia="en-GB"/>
        </w:rPr>
        <w:t>lack of sufficient backing.</w:t>
      </w:r>
    </w:p>
    <w:p w14:paraId="21FBB022" w14:textId="13234C6C" w:rsidR="00E932B5" w:rsidRPr="00E932B5" w:rsidRDefault="00E81812" w:rsidP="0071715A">
      <w:pPr>
        <w:shd w:val="clear" w:color="auto" w:fill="FFFFFF"/>
        <w:spacing w:before="100" w:beforeAutospacing="1" w:after="100" w:afterAutospacing="1" w:line="360" w:lineRule="auto"/>
        <w:jc w:val="both"/>
        <w:rPr>
          <w:rFonts w:eastAsia="Times New Roman" w:cstheme="minorHAnsi"/>
          <w:color w:val="110A1D"/>
          <w:lang w:eastAsia="en-GB"/>
        </w:rPr>
      </w:pPr>
      <w:r>
        <w:rPr>
          <w:rFonts w:eastAsia="Times New Roman" w:cstheme="minorHAnsi"/>
          <w:color w:val="110A1D"/>
          <w:lang w:eastAsia="en-GB"/>
        </w:rPr>
        <w:t xml:space="preserve">In terms of how the law, and guidance, should develop in relation to tech developments the prevailing narrative is that changes should try to remain tech neutral </w:t>
      </w:r>
      <w:proofErr w:type="gramStart"/>
      <w:r>
        <w:rPr>
          <w:rFonts w:eastAsia="Times New Roman" w:cstheme="minorHAnsi"/>
          <w:color w:val="110A1D"/>
          <w:lang w:eastAsia="en-GB"/>
        </w:rPr>
        <w:t>so as to</w:t>
      </w:r>
      <w:proofErr w:type="gramEnd"/>
      <w:r>
        <w:rPr>
          <w:rFonts w:eastAsia="Times New Roman" w:cstheme="minorHAnsi"/>
          <w:color w:val="110A1D"/>
          <w:lang w:eastAsia="en-GB"/>
        </w:rPr>
        <w:t xml:space="preserve"> future proof against new developments. The Fundraising Regulator should consider on what basis new tech developments are implemented into the </w:t>
      </w:r>
      <w:r w:rsidR="00A9767A">
        <w:rPr>
          <w:rFonts w:eastAsia="Times New Roman" w:cstheme="minorHAnsi"/>
          <w:color w:val="110A1D"/>
          <w:lang w:eastAsia="en-GB"/>
        </w:rPr>
        <w:t>C</w:t>
      </w:r>
      <w:r>
        <w:rPr>
          <w:rFonts w:eastAsia="Times New Roman" w:cstheme="minorHAnsi"/>
          <w:color w:val="110A1D"/>
          <w:lang w:eastAsia="en-GB"/>
        </w:rPr>
        <w:t xml:space="preserve">ode, and whether the update could be achieved in a more neutral way. </w:t>
      </w:r>
      <w:r w:rsidR="00A9767A">
        <w:rPr>
          <w:rFonts w:eastAsia="Times New Roman" w:cstheme="minorHAnsi"/>
          <w:color w:val="110A1D"/>
          <w:lang w:eastAsia="en-GB"/>
        </w:rPr>
        <w:t>The document is already a lengthy one, and perhaps the Code would be better served in signposting elsewhere / or developing separate guidance where they feel a new payment technology necessitates specific guidance. Otherwise, there is the potential for the Code to be in constant flux</w:t>
      </w:r>
      <w:r w:rsidR="00E932B5">
        <w:rPr>
          <w:rFonts w:eastAsia="Times New Roman" w:cstheme="minorHAnsi"/>
          <w:color w:val="110A1D"/>
          <w:lang w:eastAsia="en-GB"/>
        </w:rPr>
        <w:t>.</w:t>
      </w:r>
    </w:p>
    <w:p w14:paraId="36C0A7AF" w14:textId="77777777" w:rsidR="00E932B5" w:rsidRPr="0071715A" w:rsidRDefault="00E932B5" w:rsidP="0071715A">
      <w:pPr>
        <w:shd w:val="clear" w:color="auto" w:fill="FFFFFF"/>
        <w:spacing w:before="100" w:beforeAutospacing="1" w:after="100" w:afterAutospacing="1" w:line="360" w:lineRule="auto"/>
        <w:jc w:val="both"/>
        <w:rPr>
          <w:rFonts w:eastAsia="Times New Roman" w:cstheme="minorHAnsi"/>
          <w:b/>
          <w:bCs/>
          <w:color w:val="110A1D"/>
          <w:lang w:eastAsia="en-GB"/>
        </w:rPr>
      </w:pPr>
    </w:p>
    <w:p w14:paraId="13309958" w14:textId="570F16B6" w:rsidR="0071715A" w:rsidRPr="0071715A" w:rsidRDefault="0071715A" w:rsidP="0071715A">
      <w:pPr>
        <w:shd w:val="clear" w:color="auto" w:fill="FFFFFF"/>
        <w:spacing w:line="360" w:lineRule="auto"/>
        <w:jc w:val="both"/>
        <w:rPr>
          <w:rFonts w:eastAsia="Times New Roman" w:cstheme="minorHAnsi"/>
          <w:color w:val="000000"/>
          <w:lang w:eastAsia="en-GB"/>
        </w:rPr>
      </w:pPr>
      <w:r w:rsidRPr="0071715A">
        <w:rPr>
          <w:rFonts w:eastAsia="Times New Roman" w:cstheme="minorHAnsi"/>
          <w:b/>
          <w:bCs/>
          <w:color w:val="000000"/>
          <w:lang w:eastAsia="en-GB"/>
        </w:rPr>
        <w:lastRenderedPageBreak/>
        <w:t>Returns of Gifts made in Crypto</w:t>
      </w:r>
      <w:r>
        <w:rPr>
          <w:rFonts w:eastAsia="Times New Roman" w:cstheme="minorHAnsi"/>
          <w:b/>
          <w:bCs/>
          <w:color w:val="000000"/>
          <w:lang w:eastAsia="en-GB"/>
        </w:rPr>
        <w:t>currency</w:t>
      </w:r>
    </w:p>
    <w:p w14:paraId="45CA11B6" w14:textId="77777777" w:rsidR="00230667" w:rsidRDefault="0071715A" w:rsidP="0071715A">
      <w:pPr>
        <w:shd w:val="clear" w:color="auto" w:fill="FFFFFF"/>
        <w:spacing w:line="360" w:lineRule="auto"/>
        <w:jc w:val="both"/>
        <w:rPr>
          <w:rFonts w:eastAsia="Times New Roman" w:cstheme="minorHAnsi"/>
          <w:color w:val="000000"/>
          <w:lang w:eastAsia="en-GB"/>
        </w:rPr>
      </w:pPr>
      <w:r w:rsidRPr="0071715A">
        <w:rPr>
          <w:rFonts w:eastAsia="Times New Roman" w:cstheme="minorHAnsi"/>
          <w:color w:val="000000"/>
          <w:lang w:eastAsia="en-GB"/>
        </w:rPr>
        <w:t>The value of</w:t>
      </w:r>
      <w:r>
        <w:rPr>
          <w:rFonts w:eastAsia="Times New Roman" w:cstheme="minorHAnsi"/>
          <w:color w:val="000000"/>
          <w:lang w:eastAsia="en-GB"/>
        </w:rPr>
        <w:t xml:space="preserve"> any</w:t>
      </w:r>
      <w:r w:rsidRPr="0071715A">
        <w:rPr>
          <w:rFonts w:eastAsia="Times New Roman" w:cstheme="minorHAnsi"/>
          <w:color w:val="000000"/>
          <w:lang w:eastAsia="en-GB"/>
        </w:rPr>
        <w:t xml:space="preserve"> crypto</w:t>
      </w:r>
      <w:r>
        <w:rPr>
          <w:rFonts w:eastAsia="Times New Roman" w:cstheme="minorHAnsi"/>
          <w:color w:val="000000"/>
          <w:lang w:eastAsia="en-GB"/>
        </w:rPr>
        <w:t>currency</w:t>
      </w:r>
      <w:r w:rsidRPr="0071715A">
        <w:rPr>
          <w:rFonts w:eastAsia="Times New Roman" w:cstheme="minorHAnsi"/>
          <w:color w:val="000000"/>
          <w:lang w:eastAsia="en-GB"/>
        </w:rPr>
        <w:t xml:space="preserve"> </w:t>
      </w:r>
      <w:r>
        <w:rPr>
          <w:rFonts w:eastAsia="Times New Roman" w:cstheme="minorHAnsi"/>
          <w:color w:val="000000"/>
          <w:lang w:eastAsia="en-GB"/>
        </w:rPr>
        <w:t>has proven over the last decade to be highly volatile</w:t>
      </w:r>
      <w:r w:rsidRPr="0071715A">
        <w:rPr>
          <w:rFonts w:eastAsia="Times New Roman" w:cstheme="minorHAnsi"/>
          <w:color w:val="000000"/>
          <w:lang w:eastAsia="en-GB"/>
        </w:rPr>
        <w:t xml:space="preserve">. Charities should be advised to specify the basis upon which they might make returns of gifts made in crypto (e.g., where an appeal </w:t>
      </w:r>
      <w:r w:rsidR="00690F83" w:rsidRPr="0071715A">
        <w:rPr>
          <w:rFonts w:eastAsia="Times New Roman" w:cstheme="minorHAnsi"/>
          <w:color w:val="000000"/>
          <w:lang w:eastAsia="en-GB"/>
        </w:rPr>
        <w:t>fails,</w:t>
      </w:r>
      <w:r w:rsidRPr="0071715A">
        <w:rPr>
          <w:rFonts w:eastAsia="Times New Roman" w:cstheme="minorHAnsi"/>
          <w:color w:val="000000"/>
          <w:lang w:eastAsia="en-GB"/>
        </w:rPr>
        <w:t xml:space="preserve"> and the individual donation is over £120 in value). For example, the charity should specify whether the value returned will be the value of the gift in sterling at the point of donation, or whether it will be the value in sterling at the point of failure of the charitable appeal</w:t>
      </w:r>
      <w:r w:rsidR="00C76ABD">
        <w:rPr>
          <w:rFonts w:eastAsia="Times New Roman" w:cstheme="minorHAnsi"/>
          <w:color w:val="000000"/>
          <w:lang w:eastAsia="en-GB"/>
        </w:rPr>
        <w:t xml:space="preserve"> (essentially just the return of exact amount of crypto donated)</w:t>
      </w:r>
      <w:r w:rsidRPr="0071715A">
        <w:rPr>
          <w:rFonts w:eastAsia="Times New Roman" w:cstheme="minorHAnsi"/>
          <w:color w:val="000000"/>
          <w:lang w:eastAsia="en-GB"/>
        </w:rPr>
        <w:t>.</w:t>
      </w:r>
      <w:r w:rsidR="00690F83">
        <w:rPr>
          <w:rFonts w:eastAsia="Times New Roman" w:cstheme="minorHAnsi"/>
          <w:color w:val="000000"/>
          <w:lang w:eastAsia="en-GB"/>
        </w:rPr>
        <w:t xml:space="preserve"> Given charities that engage in crypto tend (and should be advised) to transfer crypto donations straight to fiat currency </w:t>
      </w:r>
      <w:proofErr w:type="gramStart"/>
      <w:r w:rsidR="00690F83">
        <w:rPr>
          <w:rFonts w:eastAsia="Times New Roman" w:cstheme="minorHAnsi"/>
          <w:color w:val="000000"/>
          <w:lang w:eastAsia="en-GB"/>
        </w:rPr>
        <w:t>e.g.</w:t>
      </w:r>
      <w:proofErr w:type="gramEnd"/>
      <w:r w:rsidR="00690F83">
        <w:rPr>
          <w:rFonts w:eastAsia="Times New Roman" w:cstheme="minorHAnsi"/>
          <w:color w:val="000000"/>
          <w:lang w:eastAsia="en-GB"/>
        </w:rPr>
        <w:t xml:space="preserve"> pound sterling, then it would be logical for them to state that </w:t>
      </w:r>
      <w:r w:rsidR="00C76ABD">
        <w:rPr>
          <w:rFonts w:eastAsia="Times New Roman" w:cstheme="minorHAnsi"/>
          <w:color w:val="000000"/>
          <w:lang w:eastAsia="en-GB"/>
        </w:rPr>
        <w:t>any</w:t>
      </w:r>
      <w:r w:rsidR="00690F83">
        <w:rPr>
          <w:rFonts w:eastAsia="Times New Roman" w:cstheme="minorHAnsi"/>
          <w:color w:val="000000"/>
          <w:lang w:eastAsia="en-GB"/>
        </w:rPr>
        <w:t xml:space="preserve"> return would be the equivalent value of the crypto donation, in sterling, at the time of the donation.</w:t>
      </w:r>
      <w:r w:rsidR="00C76ABD">
        <w:rPr>
          <w:rFonts w:eastAsia="Times New Roman" w:cstheme="minorHAnsi"/>
          <w:color w:val="000000"/>
          <w:lang w:eastAsia="en-GB"/>
        </w:rPr>
        <w:t xml:space="preserve"> </w:t>
      </w:r>
    </w:p>
    <w:p w14:paraId="140F41A6" w14:textId="77777777" w:rsidR="00230667" w:rsidRDefault="00230667" w:rsidP="0071715A">
      <w:pPr>
        <w:shd w:val="clear" w:color="auto" w:fill="FFFFFF"/>
        <w:spacing w:line="360" w:lineRule="auto"/>
        <w:jc w:val="both"/>
        <w:rPr>
          <w:rFonts w:eastAsia="Times New Roman" w:cstheme="minorHAnsi"/>
          <w:color w:val="000000"/>
          <w:lang w:eastAsia="en-GB"/>
        </w:rPr>
      </w:pPr>
    </w:p>
    <w:p w14:paraId="0860D9A8" w14:textId="17B0ADFC" w:rsidR="00E932B5" w:rsidRDefault="00ED07DC" w:rsidP="0071715A">
      <w:pPr>
        <w:shd w:val="clear" w:color="auto" w:fill="FFFFFF"/>
        <w:spacing w:line="360" w:lineRule="auto"/>
        <w:jc w:val="both"/>
        <w:rPr>
          <w:rFonts w:eastAsia="Times New Roman" w:cstheme="minorHAnsi"/>
          <w:color w:val="000000"/>
          <w:lang w:eastAsia="en-GB"/>
        </w:rPr>
      </w:pPr>
      <w:r>
        <w:rPr>
          <w:rFonts w:eastAsia="Times New Roman" w:cstheme="minorHAnsi"/>
          <w:color w:val="000000"/>
          <w:lang w:eastAsia="en-GB"/>
        </w:rPr>
        <w:t xml:space="preserve">The alternate, returning exact amount of crypto, could impact the charity financially as 1) they would absorb any potential loss in value of the given crypto and 2) </w:t>
      </w:r>
      <w:r w:rsidR="00DC7CF9">
        <w:rPr>
          <w:rFonts w:eastAsia="Times New Roman" w:cstheme="minorHAnsi"/>
          <w:color w:val="000000"/>
          <w:lang w:eastAsia="en-GB"/>
        </w:rPr>
        <w:t>a negative outcome for the donor could result in legal challenge.</w:t>
      </w:r>
    </w:p>
    <w:p w14:paraId="4378E717" w14:textId="77777777" w:rsidR="00E932B5" w:rsidRDefault="00E932B5" w:rsidP="00E932B5">
      <w:pPr>
        <w:shd w:val="clear" w:color="auto" w:fill="FFFFFF"/>
        <w:spacing w:before="100" w:beforeAutospacing="1" w:after="100" w:afterAutospacing="1" w:line="360" w:lineRule="auto"/>
        <w:jc w:val="both"/>
        <w:rPr>
          <w:rFonts w:eastAsia="Times New Roman" w:cstheme="minorHAnsi"/>
          <w:b/>
          <w:bCs/>
          <w:color w:val="110A1D"/>
          <w:lang w:eastAsia="en-GB"/>
        </w:rPr>
      </w:pPr>
      <w:r>
        <w:rPr>
          <w:rFonts w:eastAsia="Times New Roman" w:cstheme="minorHAnsi"/>
          <w:b/>
          <w:bCs/>
          <w:color w:val="110A1D"/>
          <w:lang w:eastAsia="en-GB"/>
        </w:rPr>
        <w:t>Miscellaneous Crypto Suggestions</w:t>
      </w:r>
    </w:p>
    <w:p w14:paraId="35343A3F" w14:textId="77777777" w:rsidR="003E0928" w:rsidRDefault="003E0928" w:rsidP="0071715A">
      <w:pPr>
        <w:shd w:val="clear" w:color="auto" w:fill="FFFFFF"/>
        <w:spacing w:line="360" w:lineRule="auto"/>
        <w:jc w:val="both"/>
        <w:rPr>
          <w:rFonts w:eastAsia="Times New Roman" w:cstheme="minorHAnsi"/>
          <w:color w:val="000000"/>
          <w:lang w:eastAsia="en-GB"/>
        </w:rPr>
      </w:pPr>
      <w:r>
        <w:rPr>
          <w:rFonts w:eastAsia="Times New Roman" w:cstheme="minorHAnsi"/>
          <w:color w:val="000000"/>
          <w:lang w:eastAsia="en-GB"/>
        </w:rPr>
        <w:t xml:space="preserve">We would suggest that it is important that charities are guided to be clear about fees associated with ‘processing’ crypto donations, given their tendency to exchange them for fiat currency at the point of donation. However, where they are not following this practice and are instead holding cryptocurrency, they should be advised of the risks and given ‘best practice’ advice on safely storing these coins. Safe storage will incur fees whether that is through paying an insured third-party storage provider, or buying the necessary equipment to hold assets themselves </w:t>
      </w:r>
      <w:proofErr w:type="gramStart"/>
      <w:r>
        <w:rPr>
          <w:rFonts w:eastAsia="Times New Roman" w:cstheme="minorHAnsi"/>
          <w:color w:val="000000"/>
          <w:lang w:eastAsia="en-GB"/>
        </w:rPr>
        <w:t>e.g.</w:t>
      </w:r>
      <w:proofErr w:type="gramEnd"/>
      <w:r>
        <w:rPr>
          <w:rFonts w:eastAsia="Times New Roman" w:cstheme="minorHAnsi"/>
          <w:color w:val="000000"/>
          <w:lang w:eastAsia="en-GB"/>
        </w:rPr>
        <w:t xml:space="preserve"> external hard-drives with cryptography. Whatever, charities decide, they should be urged to be clear on this to reassure donors.</w:t>
      </w:r>
    </w:p>
    <w:p w14:paraId="58F20132" w14:textId="77777777" w:rsidR="003E0928" w:rsidRDefault="003E0928" w:rsidP="0071715A">
      <w:pPr>
        <w:shd w:val="clear" w:color="auto" w:fill="FFFFFF"/>
        <w:spacing w:line="360" w:lineRule="auto"/>
        <w:jc w:val="both"/>
        <w:rPr>
          <w:rFonts w:eastAsia="Times New Roman" w:cstheme="minorHAnsi"/>
          <w:color w:val="000000"/>
          <w:lang w:eastAsia="en-GB"/>
        </w:rPr>
      </w:pPr>
    </w:p>
    <w:p w14:paraId="07CD9090" w14:textId="5138DF6D" w:rsidR="003E0928" w:rsidRDefault="003E0928" w:rsidP="0071715A">
      <w:pPr>
        <w:shd w:val="clear" w:color="auto" w:fill="FFFFFF"/>
        <w:spacing w:line="360" w:lineRule="auto"/>
        <w:jc w:val="both"/>
        <w:rPr>
          <w:rFonts w:eastAsia="Times New Roman" w:cstheme="minorHAnsi"/>
          <w:color w:val="000000"/>
          <w:lang w:eastAsia="en-GB"/>
        </w:rPr>
      </w:pPr>
      <w:r>
        <w:rPr>
          <w:rFonts w:eastAsia="Times New Roman" w:cstheme="minorHAnsi"/>
          <w:color w:val="000000"/>
          <w:lang w:eastAsia="en-GB"/>
        </w:rPr>
        <w:t>There needs to be clear guidance on if crypto is eligible for Gift Aid</w:t>
      </w:r>
      <w:r w:rsidR="00827A60">
        <w:rPr>
          <w:rFonts w:eastAsia="Times New Roman" w:cstheme="minorHAnsi"/>
          <w:color w:val="000000"/>
          <w:lang w:eastAsia="en-GB"/>
        </w:rPr>
        <w:t>. At present it is unclear if it would be</w:t>
      </w:r>
      <w:r w:rsidR="00827A60">
        <w:rPr>
          <w:rStyle w:val="FootnoteReference"/>
          <w:rFonts w:eastAsia="Times New Roman" w:cstheme="minorHAnsi"/>
          <w:color w:val="000000"/>
          <w:lang w:eastAsia="en-GB"/>
        </w:rPr>
        <w:footnoteReference w:id="1"/>
      </w:r>
      <w:r w:rsidR="00827A60">
        <w:rPr>
          <w:rFonts w:eastAsia="Times New Roman" w:cstheme="minorHAnsi"/>
          <w:color w:val="000000"/>
          <w:lang w:eastAsia="en-GB"/>
        </w:rPr>
        <w:t xml:space="preserve"> – and given this, perhaps the Code’s section on Gift Aid would need to be update for crypto rather than merely signposting to HMRC website. </w:t>
      </w:r>
    </w:p>
    <w:p w14:paraId="0DE02D7F" w14:textId="14BF116D" w:rsidR="00724BD4" w:rsidRPr="00E932B5" w:rsidRDefault="00724BD4" w:rsidP="0071715A">
      <w:pPr>
        <w:shd w:val="clear" w:color="auto" w:fill="FFFFFF"/>
        <w:spacing w:line="360" w:lineRule="auto"/>
        <w:jc w:val="both"/>
        <w:rPr>
          <w:rFonts w:eastAsia="Times New Roman" w:cstheme="minorHAnsi"/>
          <w:color w:val="000000"/>
          <w:lang w:eastAsia="en-GB"/>
        </w:rPr>
      </w:pPr>
      <w:r>
        <w:rPr>
          <w:rFonts w:eastAsia="Times New Roman" w:cstheme="minorHAnsi"/>
          <w:color w:val="000000"/>
          <w:lang w:eastAsia="en-GB"/>
        </w:rPr>
        <w:lastRenderedPageBreak/>
        <w:t xml:space="preserve">As an update to section on ‘third party fundraisers’, crypto philanthropic fundraising sites should be included </w:t>
      </w:r>
      <w:proofErr w:type="gramStart"/>
      <w:r>
        <w:rPr>
          <w:rFonts w:eastAsia="Times New Roman" w:cstheme="minorHAnsi"/>
          <w:color w:val="000000"/>
          <w:lang w:eastAsia="en-GB"/>
        </w:rPr>
        <w:t>e.g.</w:t>
      </w:r>
      <w:proofErr w:type="gramEnd"/>
      <w:r>
        <w:rPr>
          <w:rFonts w:eastAsia="Times New Roman" w:cstheme="minorHAnsi"/>
          <w:color w:val="000000"/>
          <w:lang w:eastAsia="en-GB"/>
        </w:rPr>
        <w:t xml:space="preserve"> Fidelity Charitable. Again, charities utilising these services should be required to make clear how much commission is charged. These </w:t>
      </w:r>
      <w:proofErr w:type="gramStart"/>
      <w:r>
        <w:rPr>
          <w:rFonts w:eastAsia="Times New Roman" w:cstheme="minorHAnsi"/>
          <w:color w:val="000000"/>
          <w:lang w:eastAsia="en-GB"/>
        </w:rPr>
        <w:t>third party</w:t>
      </w:r>
      <w:proofErr w:type="gramEnd"/>
      <w:r>
        <w:rPr>
          <w:rFonts w:eastAsia="Times New Roman" w:cstheme="minorHAnsi"/>
          <w:color w:val="000000"/>
          <w:lang w:eastAsia="en-GB"/>
        </w:rPr>
        <w:t xml:space="preserve"> organisations should also be subject to the ‘safe storage requirements outlined above.</w:t>
      </w:r>
    </w:p>
    <w:p w14:paraId="7CA73ABE" w14:textId="44BE9D76" w:rsidR="00B642F5" w:rsidRDefault="00B642F5" w:rsidP="0071715A">
      <w:pPr>
        <w:shd w:val="clear" w:color="auto" w:fill="FFFFFF"/>
        <w:spacing w:line="360" w:lineRule="auto"/>
        <w:jc w:val="both"/>
        <w:rPr>
          <w:rFonts w:eastAsia="Times New Roman" w:cstheme="minorHAnsi"/>
          <w:color w:val="000000"/>
          <w:lang w:eastAsia="en-GB"/>
        </w:rPr>
      </w:pPr>
    </w:p>
    <w:p w14:paraId="38A32B34" w14:textId="0752A3FD" w:rsidR="00B642F5" w:rsidRDefault="00B642F5" w:rsidP="0071715A">
      <w:pPr>
        <w:shd w:val="clear" w:color="auto" w:fill="FFFFFF"/>
        <w:spacing w:line="360" w:lineRule="auto"/>
        <w:jc w:val="both"/>
        <w:rPr>
          <w:rFonts w:eastAsia="Times New Roman" w:cstheme="minorHAnsi"/>
          <w:b/>
          <w:bCs/>
          <w:color w:val="000000"/>
          <w:lang w:eastAsia="en-GB"/>
        </w:rPr>
      </w:pPr>
      <w:r>
        <w:rPr>
          <w:rFonts w:eastAsia="Times New Roman" w:cstheme="minorHAnsi"/>
          <w:b/>
          <w:bCs/>
          <w:color w:val="000000"/>
          <w:lang w:eastAsia="en-GB"/>
        </w:rPr>
        <w:t xml:space="preserve">Guidance on Charity Involvement with </w:t>
      </w:r>
      <w:r w:rsidR="008376D1">
        <w:rPr>
          <w:rFonts w:eastAsia="Times New Roman" w:cstheme="minorHAnsi"/>
          <w:b/>
          <w:bCs/>
          <w:color w:val="000000"/>
          <w:lang w:eastAsia="en-GB"/>
        </w:rPr>
        <w:t>Emerging Payment Tech</w:t>
      </w:r>
    </w:p>
    <w:p w14:paraId="0869E22D" w14:textId="485DA4F9" w:rsidR="008376D1" w:rsidRPr="0071715A" w:rsidRDefault="008376D1" w:rsidP="0071715A">
      <w:pPr>
        <w:shd w:val="clear" w:color="auto" w:fill="FFFFFF"/>
        <w:spacing w:line="360" w:lineRule="auto"/>
        <w:jc w:val="both"/>
        <w:rPr>
          <w:rFonts w:eastAsia="Times New Roman" w:cstheme="minorHAnsi"/>
          <w:color w:val="000000"/>
          <w:lang w:eastAsia="en-GB"/>
        </w:rPr>
      </w:pPr>
      <w:r>
        <w:rPr>
          <w:rFonts w:eastAsia="Times New Roman" w:cstheme="minorHAnsi"/>
          <w:color w:val="000000"/>
          <w:lang w:eastAsia="en-GB"/>
        </w:rPr>
        <w:t>The Charity Commission, and the Fundraising Regulator, in consultation should consider offering broader advice on the suitability of charities engaging with emerging payment tech, particularly in the crypto sphere. This could be linked to in the Code.</w:t>
      </w:r>
    </w:p>
    <w:p w14:paraId="63436B5F" w14:textId="77777777" w:rsidR="0071715A" w:rsidRPr="0071715A" w:rsidRDefault="0071715A" w:rsidP="0071715A">
      <w:pPr>
        <w:shd w:val="clear" w:color="auto" w:fill="FFFFFF"/>
        <w:spacing w:line="360" w:lineRule="auto"/>
        <w:jc w:val="both"/>
        <w:rPr>
          <w:rFonts w:eastAsia="Times New Roman" w:cstheme="minorHAnsi"/>
          <w:color w:val="000000"/>
          <w:lang w:eastAsia="en-GB"/>
        </w:rPr>
      </w:pPr>
    </w:p>
    <w:p w14:paraId="053FE291" w14:textId="46118CD9" w:rsidR="0071715A" w:rsidRPr="0071715A" w:rsidRDefault="0071715A" w:rsidP="0071715A">
      <w:pPr>
        <w:shd w:val="clear" w:color="auto" w:fill="FFFFFF"/>
        <w:spacing w:line="360" w:lineRule="auto"/>
        <w:jc w:val="both"/>
        <w:rPr>
          <w:rFonts w:eastAsia="Times New Roman" w:cstheme="minorHAnsi"/>
          <w:color w:val="000000"/>
          <w:lang w:eastAsia="en-GB"/>
        </w:rPr>
      </w:pPr>
      <w:r w:rsidRPr="0071715A">
        <w:rPr>
          <w:rFonts w:eastAsia="Times New Roman" w:cstheme="minorHAnsi"/>
          <w:b/>
          <w:bCs/>
          <w:color w:val="000000"/>
          <w:lang w:eastAsia="en-GB"/>
        </w:rPr>
        <w:t>Relationship between the Fundraising Regulator and the Charity Commission</w:t>
      </w:r>
    </w:p>
    <w:p w14:paraId="62967F86" w14:textId="4B8EC8B6" w:rsidR="00F6730F" w:rsidRPr="008376D1" w:rsidRDefault="0071715A" w:rsidP="008376D1">
      <w:pPr>
        <w:shd w:val="clear" w:color="auto" w:fill="FFFFFF"/>
        <w:spacing w:line="360" w:lineRule="auto"/>
        <w:jc w:val="both"/>
        <w:rPr>
          <w:rFonts w:eastAsia="Times New Roman" w:cstheme="minorHAnsi"/>
          <w:color w:val="000000"/>
          <w:lang w:eastAsia="en-GB"/>
        </w:rPr>
      </w:pPr>
      <w:r w:rsidRPr="0071715A">
        <w:rPr>
          <w:rFonts w:eastAsia="Times New Roman" w:cstheme="minorHAnsi"/>
          <w:color w:val="000000"/>
          <w:lang w:eastAsia="en-GB"/>
        </w:rPr>
        <w:t>The Code should better communicate to charities the division of regulatory responsibility with the Charity Commission. So, for example, the Code should be clear that where a charity deviates from its purposes, then the Charity Commission will step in and ensure that the trustees are properly following the charity constitution.</w:t>
      </w:r>
    </w:p>
    <w:p w14:paraId="2109CDF4" w14:textId="102EC510" w:rsidR="00F6730F" w:rsidRDefault="00F6730F" w:rsidP="00F6730F">
      <w:pPr>
        <w:spacing w:line="360" w:lineRule="auto"/>
        <w:rPr>
          <w:b/>
          <w:bCs/>
          <w:u w:val="single"/>
        </w:rPr>
      </w:pPr>
    </w:p>
    <w:p w14:paraId="6D4AABDC" w14:textId="3FB6C94E" w:rsidR="00F6730F" w:rsidRDefault="00F6730F" w:rsidP="00F6730F">
      <w:pPr>
        <w:spacing w:line="360" w:lineRule="auto"/>
        <w:rPr>
          <w:b/>
          <w:bCs/>
          <w:u w:val="single"/>
        </w:rPr>
      </w:pPr>
      <w:r>
        <w:rPr>
          <w:b/>
          <w:bCs/>
          <w:u w:val="single"/>
        </w:rPr>
        <w:t xml:space="preserve">Are there any ways in which the code could be made shorter, </w:t>
      </w:r>
      <w:proofErr w:type="gramStart"/>
      <w:r>
        <w:rPr>
          <w:b/>
          <w:bCs/>
          <w:u w:val="single"/>
        </w:rPr>
        <w:t>clearer</w:t>
      </w:r>
      <w:proofErr w:type="gramEnd"/>
      <w:r>
        <w:rPr>
          <w:b/>
          <w:bCs/>
          <w:u w:val="single"/>
        </w:rPr>
        <w:t xml:space="preserve"> or more accessible?</w:t>
      </w:r>
    </w:p>
    <w:p w14:paraId="62559159" w14:textId="46551C49" w:rsidR="008376D1" w:rsidRPr="008376D1" w:rsidRDefault="0091378D" w:rsidP="00E932B5">
      <w:pPr>
        <w:spacing w:line="360" w:lineRule="auto"/>
        <w:jc w:val="both"/>
      </w:pPr>
      <w:r>
        <w:t xml:space="preserve">There is perhaps an inevitability that the Code will grow, given the need to cover new technologies. Given the Code is already a lengthy document, perhaps the Fundraising Regulator needs to consider whether it is essential to outline </w:t>
      </w:r>
      <w:proofErr w:type="gramStart"/>
      <w:r>
        <w:t>each and every</w:t>
      </w:r>
      <w:proofErr w:type="gramEnd"/>
      <w:r>
        <w:t xml:space="preserve"> payment method, or whether the Code should have general advice with a link to specific guidance on particular payment mechanisms. Essentially, the decision is whether the Code should be comprehensive in its coverage or whether it should give a quick oversight and signpost elsewhere for </w:t>
      </w:r>
      <w:r w:rsidR="00E932B5">
        <w:t xml:space="preserve">further guidance (particularly around newly emerging payment tech). </w:t>
      </w:r>
    </w:p>
    <w:sectPr w:rsidR="008376D1" w:rsidRPr="008376D1" w:rsidSect="005C2AC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ADAC" w14:textId="77777777" w:rsidR="00F92DFD" w:rsidRDefault="00F92DFD" w:rsidP="00827A60">
      <w:r>
        <w:separator/>
      </w:r>
    </w:p>
  </w:endnote>
  <w:endnote w:type="continuationSeparator" w:id="0">
    <w:p w14:paraId="7598D371" w14:textId="77777777" w:rsidR="00F92DFD" w:rsidRDefault="00F92DFD" w:rsidP="0082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899E" w14:textId="77777777" w:rsidR="00F92DFD" w:rsidRDefault="00F92DFD" w:rsidP="00827A60">
      <w:r>
        <w:separator/>
      </w:r>
    </w:p>
  </w:footnote>
  <w:footnote w:type="continuationSeparator" w:id="0">
    <w:p w14:paraId="5FBE1CA3" w14:textId="77777777" w:rsidR="00F92DFD" w:rsidRDefault="00F92DFD" w:rsidP="00827A60">
      <w:r>
        <w:continuationSeparator/>
      </w:r>
    </w:p>
  </w:footnote>
  <w:footnote w:id="1">
    <w:p w14:paraId="72F79332" w14:textId="2BFCAE1F" w:rsidR="00827A60" w:rsidRPr="00827A60" w:rsidRDefault="00827A60">
      <w:pPr>
        <w:pStyle w:val="FootnoteText"/>
      </w:pPr>
      <w:r>
        <w:rPr>
          <w:rStyle w:val="FootnoteReference"/>
        </w:rPr>
        <w:footnoteRef/>
      </w:r>
      <w:r>
        <w:t xml:space="preserve"> For fuller discussion on this point, see: M. R. Shillito, </w:t>
      </w:r>
      <w:r w:rsidRPr="00827A60">
        <w:rPr>
          <w:i/>
          <w:iCs/>
        </w:rPr>
        <w:t>Regulating the Digital (Currency) Revolution: Unravelling the Technological Challenge Faced by Charities</w:t>
      </w:r>
      <w:r>
        <w:rPr>
          <w:i/>
          <w:iCs/>
        </w:rPr>
        <w:t xml:space="preserve"> </w:t>
      </w:r>
      <w:r>
        <w:t xml:space="preserve">in J. </w:t>
      </w:r>
      <w:proofErr w:type="spellStart"/>
      <w:r>
        <w:t>Picton</w:t>
      </w:r>
      <w:proofErr w:type="spellEnd"/>
      <w:r>
        <w:t xml:space="preserve"> &amp; J. </w:t>
      </w:r>
      <w:proofErr w:type="spellStart"/>
      <w:r>
        <w:t>Sigafoos</w:t>
      </w:r>
      <w:proofErr w:type="spellEnd"/>
      <w:r>
        <w:t>, ‘Debates in Charity Law’ (2020, Hart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7D5C"/>
    <w:multiLevelType w:val="multilevel"/>
    <w:tmpl w:val="194A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9474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62"/>
    <w:rsid w:val="00056E0F"/>
    <w:rsid w:val="000B137F"/>
    <w:rsid w:val="0020583A"/>
    <w:rsid w:val="00230667"/>
    <w:rsid w:val="002A0373"/>
    <w:rsid w:val="00356C71"/>
    <w:rsid w:val="003B58AF"/>
    <w:rsid w:val="003E0928"/>
    <w:rsid w:val="005467DF"/>
    <w:rsid w:val="005C2AC9"/>
    <w:rsid w:val="005E146E"/>
    <w:rsid w:val="00604FFD"/>
    <w:rsid w:val="00690F83"/>
    <w:rsid w:val="0071715A"/>
    <w:rsid w:val="00724BD4"/>
    <w:rsid w:val="00827A60"/>
    <w:rsid w:val="008376D1"/>
    <w:rsid w:val="008A01D9"/>
    <w:rsid w:val="008A3962"/>
    <w:rsid w:val="0091378D"/>
    <w:rsid w:val="009E4682"/>
    <w:rsid w:val="00A93723"/>
    <w:rsid w:val="00A9767A"/>
    <w:rsid w:val="00AA6D00"/>
    <w:rsid w:val="00B642F5"/>
    <w:rsid w:val="00B81FF9"/>
    <w:rsid w:val="00BA533F"/>
    <w:rsid w:val="00C76ABD"/>
    <w:rsid w:val="00CF0CA1"/>
    <w:rsid w:val="00D36817"/>
    <w:rsid w:val="00D41590"/>
    <w:rsid w:val="00DC7CF9"/>
    <w:rsid w:val="00DE341C"/>
    <w:rsid w:val="00E71282"/>
    <w:rsid w:val="00E77015"/>
    <w:rsid w:val="00E81812"/>
    <w:rsid w:val="00E932B5"/>
    <w:rsid w:val="00ED07DC"/>
    <w:rsid w:val="00F55058"/>
    <w:rsid w:val="00F6730F"/>
    <w:rsid w:val="00F92DFD"/>
    <w:rsid w:val="00FE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F9AB9A"/>
  <w14:defaultImageDpi w14:val="32767"/>
  <w15:chartTrackingRefBased/>
  <w15:docId w15:val="{DD613250-E1DF-A649-8475-3E27A2D1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71715A"/>
  </w:style>
  <w:style w:type="character" w:customStyle="1" w:styleId="apple-converted-space">
    <w:name w:val="apple-converted-space"/>
    <w:basedOn w:val="DefaultParagraphFont"/>
    <w:rsid w:val="0071715A"/>
  </w:style>
  <w:style w:type="paragraph" w:styleId="FootnoteText">
    <w:name w:val="footnote text"/>
    <w:basedOn w:val="Normal"/>
    <w:link w:val="FootnoteTextChar"/>
    <w:uiPriority w:val="99"/>
    <w:semiHidden/>
    <w:unhideWhenUsed/>
    <w:rsid w:val="00827A60"/>
    <w:rPr>
      <w:sz w:val="20"/>
      <w:szCs w:val="20"/>
    </w:rPr>
  </w:style>
  <w:style w:type="character" w:customStyle="1" w:styleId="FootnoteTextChar">
    <w:name w:val="Footnote Text Char"/>
    <w:basedOn w:val="DefaultParagraphFont"/>
    <w:link w:val="FootnoteText"/>
    <w:uiPriority w:val="99"/>
    <w:semiHidden/>
    <w:rsid w:val="00827A60"/>
    <w:rPr>
      <w:sz w:val="20"/>
      <w:szCs w:val="20"/>
    </w:rPr>
  </w:style>
  <w:style w:type="character" w:styleId="FootnoteReference">
    <w:name w:val="footnote reference"/>
    <w:basedOn w:val="DefaultParagraphFont"/>
    <w:uiPriority w:val="99"/>
    <w:semiHidden/>
    <w:unhideWhenUsed/>
    <w:rsid w:val="00827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897">
      <w:bodyDiv w:val="1"/>
      <w:marLeft w:val="0"/>
      <w:marRight w:val="0"/>
      <w:marTop w:val="0"/>
      <w:marBottom w:val="0"/>
      <w:divBdr>
        <w:top w:val="none" w:sz="0" w:space="0" w:color="auto"/>
        <w:left w:val="none" w:sz="0" w:space="0" w:color="auto"/>
        <w:bottom w:val="none" w:sz="0" w:space="0" w:color="auto"/>
        <w:right w:val="none" w:sz="0" w:space="0" w:color="auto"/>
      </w:divBdr>
    </w:div>
    <w:div w:id="1839924913">
      <w:bodyDiv w:val="1"/>
      <w:marLeft w:val="0"/>
      <w:marRight w:val="0"/>
      <w:marTop w:val="0"/>
      <w:marBottom w:val="0"/>
      <w:divBdr>
        <w:top w:val="none" w:sz="0" w:space="0" w:color="auto"/>
        <w:left w:val="none" w:sz="0" w:space="0" w:color="auto"/>
        <w:bottom w:val="none" w:sz="0" w:space="0" w:color="auto"/>
        <w:right w:val="none" w:sz="0" w:space="0" w:color="auto"/>
      </w:divBdr>
      <w:divsChild>
        <w:div w:id="636691889">
          <w:marLeft w:val="0"/>
          <w:marRight w:val="0"/>
          <w:marTop w:val="0"/>
          <w:marBottom w:val="0"/>
          <w:divBdr>
            <w:top w:val="none" w:sz="0" w:space="0" w:color="auto"/>
            <w:left w:val="none" w:sz="0" w:space="0" w:color="auto"/>
            <w:bottom w:val="none" w:sz="0" w:space="0" w:color="auto"/>
            <w:right w:val="none" w:sz="0" w:space="0" w:color="auto"/>
          </w:divBdr>
        </w:div>
        <w:div w:id="103159405">
          <w:marLeft w:val="0"/>
          <w:marRight w:val="0"/>
          <w:marTop w:val="0"/>
          <w:marBottom w:val="0"/>
          <w:divBdr>
            <w:top w:val="none" w:sz="0" w:space="0" w:color="auto"/>
            <w:left w:val="none" w:sz="0" w:space="0" w:color="auto"/>
            <w:bottom w:val="none" w:sz="0" w:space="0" w:color="auto"/>
            <w:right w:val="none" w:sz="0" w:space="0" w:color="auto"/>
          </w:divBdr>
        </w:div>
        <w:div w:id="1378118042">
          <w:marLeft w:val="0"/>
          <w:marRight w:val="0"/>
          <w:marTop w:val="0"/>
          <w:marBottom w:val="0"/>
          <w:divBdr>
            <w:top w:val="none" w:sz="0" w:space="0" w:color="auto"/>
            <w:left w:val="none" w:sz="0" w:space="0" w:color="auto"/>
            <w:bottom w:val="none" w:sz="0" w:space="0" w:color="auto"/>
            <w:right w:val="none" w:sz="0" w:space="0" w:color="auto"/>
          </w:divBdr>
        </w:div>
        <w:div w:id="1496527532">
          <w:marLeft w:val="0"/>
          <w:marRight w:val="0"/>
          <w:marTop w:val="0"/>
          <w:marBottom w:val="0"/>
          <w:divBdr>
            <w:top w:val="none" w:sz="0" w:space="0" w:color="auto"/>
            <w:left w:val="none" w:sz="0" w:space="0" w:color="auto"/>
            <w:bottom w:val="none" w:sz="0" w:space="0" w:color="auto"/>
            <w:right w:val="none" w:sz="0" w:space="0" w:color="auto"/>
          </w:divBdr>
        </w:div>
        <w:div w:id="2088769428">
          <w:marLeft w:val="0"/>
          <w:marRight w:val="0"/>
          <w:marTop w:val="0"/>
          <w:marBottom w:val="0"/>
          <w:divBdr>
            <w:top w:val="none" w:sz="0" w:space="0" w:color="auto"/>
            <w:left w:val="none" w:sz="0" w:space="0" w:color="auto"/>
            <w:bottom w:val="none" w:sz="0" w:space="0" w:color="auto"/>
            <w:right w:val="none" w:sz="0" w:space="0" w:color="auto"/>
          </w:divBdr>
        </w:div>
        <w:div w:id="740249141">
          <w:marLeft w:val="0"/>
          <w:marRight w:val="0"/>
          <w:marTop w:val="0"/>
          <w:marBottom w:val="0"/>
          <w:divBdr>
            <w:top w:val="none" w:sz="0" w:space="0" w:color="auto"/>
            <w:left w:val="none" w:sz="0" w:space="0" w:color="auto"/>
            <w:bottom w:val="none" w:sz="0" w:space="0" w:color="auto"/>
            <w:right w:val="none" w:sz="0" w:space="0" w:color="auto"/>
          </w:divBdr>
          <w:divsChild>
            <w:div w:id="978607912">
              <w:marLeft w:val="0"/>
              <w:marRight w:val="0"/>
              <w:marTop w:val="0"/>
              <w:marBottom w:val="0"/>
              <w:divBdr>
                <w:top w:val="none" w:sz="0" w:space="0" w:color="auto"/>
                <w:left w:val="none" w:sz="0" w:space="0" w:color="auto"/>
                <w:bottom w:val="none" w:sz="0" w:space="0" w:color="auto"/>
                <w:right w:val="none" w:sz="0" w:space="0" w:color="auto"/>
              </w:divBdr>
            </w:div>
            <w:div w:id="954481409">
              <w:marLeft w:val="0"/>
              <w:marRight w:val="0"/>
              <w:marTop w:val="0"/>
              <w:marBottom w:val="0"/>
              <w:divBdr>
                <w:top w:val="none" w:sz="0" w:space="0" w:color="auto"/>
                <w:left w:val="none" w:sz="0" w:space="0" w:color="auto"/>
                <w:bottom w:val="none" w:sz="0" w:space="0" w:color="auto"/>
                <w:right w:val="none" w:sz="0" w:space="0" w:color="auto"/>
              </w:divBdr>
            </w:div>
            <w:div w:id="982391654">
              <w:marLeft w:val="0"/>
              <w:marRight w:val="0"/>
              <w:marTop w:val="0"/>
              <w:marBottom w:val="0"/>
              <w:divBdr>
                <w:top w:val="none" w:sz="0" w:space="0" w:color="auto"/>
                <w:left w:val="none" w:sz="0" w:space="0" w:color="auto"/>
                <w:bottom w:val="none" w:sz="0" w:space="0" w:color="auto"/>
                <w:right w:val="none" w:sz="0" w:space="0" w:color="auto"/>
              </w:divBdr>
            </w:div>
            <w:div w:id="976492851">
              <w:marLeft w:val="0"/>
              <w:marRight w:val="0"/>
              <w:marTop w:val="0"/>
              <w:marBottom w:val="0"/>
              <w:divBdr>
                <w:top w:val="none" w:sz="0" w:space="0" w:color="auto"/>
                <w:left w:val="none" w:sz="0" w:space="0" w:color="auto"/>
                <w:bottom w:val="none" w:sz="0" w:space="0" w:color="auto"/>
                <w:right w:val="none" w:sz="0" w:space="0" w:color="auto"/>
              </w:divBdr>
            </w:div>
            <w:div w:id="1247154970">
              <w:marLeft w:val="0"/>
              <w:marRight w:val="0"/>
              <w:marTop w:val="0"/>
              <w:marBottom w:val="0"/>
              <w:divBdr>
                <w:top w:val="none" w:sz="0" w:space="0" w:color="auto"/>
                <w:left w:val="none" w:sz="0" w:space="0" w:color="auto"/>
                <w:bottom w:val="none" w:sz="0" w:space="0" w:color="auto"/>
                <w:right w:val="none" w:sz="0" w:space="0" w:color="auto"/>
              </w:divBdr>
            </w:div>
            <w:div w:id="1341658595">
              <w:marLeft w:val="0"/>
              <w:marRight w:val="0"/>
              <w:marTop w:val="0"/>
              <w:marBottom w:val="0"/>
              <w:divBdr>
                <w:top w:val="none" w:sz="0" w:space="0" w:color="auto"/>
                <w:left w:val="none" w:sz="0" w:space="0" w:color="auto"/>
                <w:bottom w:val="none" w:sz="0" w:space="0" w:color="auto"/>
                <w:right w:val="none" w:sz="0" w:space="0" w:color="auto"/>
              </w:divBdr>
            </w:div>
            <w:div w:id="564031884">
              <w:marLeft w:val="0"/>
              <w:marRight w:val="0"/>
              <w:marTop w:val="0"/>
              <w:marBottom w:val="0"/>
              <w:divBdr>
                <w:top w:val="none" w:sz="0" w:space="0" w:color="auto"/>
                <w:left w:val="none" w:sz="0" w:space="0" w:color="auto"/>
                <w:bottom w:val="none" w:sz="0" w:space="0" w:color="auto"/>
                <w:right w:val="none" w:sz="0" w:space="0" w:color="auto"/>
              </w:divBdr>
            </w:div>
            <w:div w:id="747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4CF6-4D4B-1246-989B-B2B91A1E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Shillito, Matthew</dc:creator>
  <cp:keywords/>
  <dc:description/>
  <cp:lastModifiedBy>Shillito, Matthew</cp:lastModifiedBy>
  <cp:revision>2</cp:revision>
  <dcterms:created xsi:type="dcterms:W3CDTF">2022-11-25T16:44:00Z</dcterms:created>
  <dcterms:modified xsi:type="dcterms:W3CDTF">2022-11-25T16:44:00Z</dcterms:modified>
</cp:coreProperties>
</file>