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DEB67" w14:textId="7DFE6A50" w:rsidR="00511C22" w:rsidRPr="00C538CD" w:rsidRDefault="003A29FB" w:rsidP="00AA2E53">
      <w:pPr>
        <w:rPr>
          <w:rFonts w:cs="Times New Roman"/>
          <w:b/>
          <w:szCs w:val="24"/>
        </w:rPr>
      </w:pPr>
      <w:r>
        <w:rPr>
          <w:rFonts w:cs="Times New Roman"/>
          <w:b/>
          <w:szCs w:val="24"/>
        </w:rPr>
        <w:t>Assessing fire frequency</w:t>
      </w:r>
      <w:r w:rsidR="00926777">
        <w:rPr>
          <w:rFonts w:cs="Times New Roman"/>
          <w:b/>
          <w:szCs w:val="24"/>
        </w:rPr>
        <w:t xml:space="preserve"> and structural </w:t>
      </w:r>
      <w:r>
        <w:rPr>
          <w:rFonts w:cs="Times New Roman"/>
          <w:b/>
          <w:szCs w:val="24"/>
        </w:rPr>
        <w:t>fire behaviour</w:t>
      </w:r>
      <w:r w:rsidR="00C5752C">
        <w:rPr>
          <w:rFonts w:cs="Times New Roman"/>
          <w:b/>
          <w:szCs w:val="24"/>
        </w:rPr>
        <w:t xml:space="preserve"> of England</w:t>
      </w:r>
      <w:r w:rsidR="00926777">
        <w:rPr>
          <w:rFonts w:cs="Times New Roman"/>
          <w:b/>
          <w:szCs w:val="24"/>
        </w:rPr>
        <w:t xml:space="preserve"> statistics according to BS PD 7974-7.</w:t>
      </w:r>
    </w:p>
    <w:p w14:paraId="0BACA4D0" w14:textId="64E1738F" w:rsidR="00FE5E63" w:rsidRPr="00984750" w:rsidRDefault="00926777" w:rsidP="00AA2E53">
      <w:pPr>
        <w:rPr>
          <w:rFonts w:cs="Times New Roman"/>
          <w:szCs w:val="24"/>
        </w:rPr>
      </w:pPr>
      <w:r w:rsidRPr="00907CB6">
        <w:rPr>
          <w:rFonts w:cs="Times New Roman"/>
          <w:szCs w:val="24"/>
        </w:rPr>
        <w:t xml:space="preserve">Martina </w:t>
      </w:r>
      <w:proofErr w:type="spellStart"/>
      <w:r w:rsidRPr="00907CB6">
        <w:rPr>
          <w:rFonts w:cs="Times New Roman"/>
          <w:szCs w:val="24"/>
        </w:rPr>
        <w:t>Manes</w:t>
      </w:r>
      <w:r w:rsidR="00FE5E63" w:rsidRPr="00907CB6">
        <w:rPr>
          <w:rFonts w:cs="Times New Roman"/>
          <w:szCs w:val="24"/>
          <w:vertAlign w:val="superscript"/>
        </w:rPr>
        <w:t>a</w:t>
      </w:r>
      <w:proofErr w:type="spellEnd"/>
      <w:r w:rsidR="0044263B" w:rsidRPr="00907CB6">
        <w:rPr>
          <w:rFonts w:cs="Times New Roman"/>
          <w:szCs w:val="24"/>
          <w:vertAlign w:val="superscript"/>
        </w:rPr>
        <w:t>*</w:t>
      </w:r>
      <w:r w:rsidRPr="00907CB6">
        <w:rPr>
          <w:rFonts w:cs="Times New Roman"/>
          <w:szCs w:val="24"/>
        </w:rPr>
        <w:t>, David Rush</w:t>
      </w:r>
      <w:r w:rsidRPr="00907CB6">
        <w:rPr>
          <w:rFonts w:cs="Times New Roman"/>
          <w:szCs w:val="24"/>
          <w:vertAlign w:val="superscript"/>
        </w:rPr>
        <w:t>a</w:t>
      </w:r>
      <w:r w:rsidR="006E1194" w:rsidRPr="00907CB6">
        <w:rPr>
          <w:rFonts w:cs="Times New Roman"/>
          <w:szCs w:val="24"/>
          <w:vertAlign w:val="superscript"/>
        </w:rPr>
        <w:t>*</w:t>
      </w:r>
    </w:p>
    <w:p w14:paraId="793B8398" w14:textId="7090496F" w:rsidR="00FE5E63" w:rsidRPr="00000A9C" w:rsidRDefault="00293C89" w:rsidP="00AA2E53">
      <w:pPr>
        <w:rPr>
          <w:rFonts w:cs="Times New Roman"/>
          <w:szCs w:val="24"/>
        </w:rPr>
      </w:pPr>
      <w:proofErr w:type="spellStart"/>
      <w:proofErr w:type="gramStart"/>
      <w:r w:rsidRPr="00984750">
        <w:rPr>
          <w:rFonts w:cs="Times New Roman"/>
          <w:szCs w:val="24"/>
          <w:vertAlign w:val="superscript"/>
        </w:rPr>
        <w:t>a</w:t>
      </w:r>
      <w:r w:rsidR="00926777" w:rsidRPr="00984750">
        <w:rPr>
          <w:rFonts w:cs="Times New Roman"/>
          <w:szCs w:val="24"/>
        </w:rPr>
        <w:t>School</w:t>
      </w:r>
      <w:proofErr w:type="spellEnd"/>
      <w:proofErr w:type="gramEnd"/>
      <w:r w:rsidR="00926777" w:rsidRPr="00984750">
        <w:rPr>
          <w:rFonts w:cs="Times New Roman"/>
          <w:szCs w:val="24"/>
        </w:rPr>
        <w:t xml:space="preserve"> of Engineering, University of Edinburgh, Edinburgh, UK</w:t>
      </w:r>
      <w:r w:rsidR="00E647B8" w:rsidRPr="00984750">
        <w:rPr>
          <w:rFonts w:cs="Times New Roman"/>
          <w:szCs w:val="24"/>
        </w:rPr>
        <w:t xml:space="preserve">, </w:t>
      </w:r>
      <w:hyperlink r:id="rId8" w:history="1">
        <w:r w:rsidR="00E647B8" w:rsidRPr="00907CB6">
          <w:rPr>
            <w:rStyle w:val="Hyperlink"/>
            <w:rFonts w:cs="Times New Roman"/>
            <w:szCs w:val="24"/>
          </w:rPr>
          <w:t>m.manes@ed.ac.uk</w:t>
        </w:r>
      </w:hyperlink>
      <w:r w:rsidR="00E647B8" w:rsidRPr="00907CB6">
        <w:rPr>
          <w:rFonts w:cs="Times New Roman"/>
          <w:szCs w:val="24"/>
        </w:rPr>
        <w:t xml:space="preserve">; </w:t>
      </w:r>
      <w:hyperlink r:id="rId9" w:history="1">
        <w:r w:rsidR="00E647B8" w:rsidRPr="00907CB6">
          <w:rPr>
            <w:rStyle w:val="Hyperlink"/>
            <w:rFonts w:cs="Times New Roman"/>
            <w:szCs w:val="24"/>
          </w:rPr>
          <w:t>d.rush@ed.ac.uk</w:t>
        </w:r>
      </w:hyperlink>
    </w:p>
    <w:p w14:paraId="06FCC908" w14:textId="7B4F1A79" w:rsidR="0044263B" w:rsidRPr="00F264B5" w:rsidRDefault="0044263B" w:rsidP="00F264B5">
      <w:pPr>
        <w:rPr>
          <w:rFonts w:cs="Times New Roman"/>
          <w:szCs w:val="24"/>
        </w:rPr>
      </w:pPr>
      <w:r w:rsidRPr="00000A9C">
        <w:rPr>
          <w:rFonts w:cs="Times New Roman"/>
          <w:szCs w:val="24"/>
        </w:rPr>
        <w:t>*Corresponding author</w:t>
      </w:r>
    </w:p>
    <w:p w14:paraId="2AB8DF78" w14:textId="77777777" w:rsidR="00FE5E63" w:rsidRPr="00AA2E53" w:rsidRDefault="00FE5E63" w:rsidP="00AA2E53">
      <w:pPr>
        <w:rPr>
          <w:rFonts w:cs="Times New Roman"/>
          <w:b/>
          <w:szCs w:val="24"/>
        </w:rPr>
      </w:pPr>
      <w:r w:rsidRPr="00AA2E53">
        <w:rPr>
          <w:rFonts w:cs="Times New Roman"/>
          <w:b/>
          <w:szCs w:val="24"/>
        </w:rPr>
        <w:t>Abstract:</w:t>
      </w:r>
    </w:p>
    <w:p w14:paraId="4F46C809" w14:textId="1A2F7B6F" w:rsidR="005457FF" w:rsidRDefault="00C26475" w:rsidP="00AA2E53">
      <w:pPr>
        <w:rPr>
          <w:rFonts w:cs="Times New Roman"/>
          <w:szCs w:val="24"/>
        </w:rPr>
      </w:pPr>
      <w:r>
        <w:rPr>
          <w:rFonts w:cs="Times New Roman"/>
          <w:szCs w:val="24"/>
        </w:rPr>
        <w:t xml:space="preserve">Contemporary </w:t>
      </w:r>
      <w:r w:rsidR="004B37F3">
        <w:rPr>
          <w:rFonts w:cs="Times New Roman"/>
          <w:szCs w:val="24"/>
        </w:rPr>
        <w:t xml:space="preserve">structural fire </w:t>
      </w:r>
      <w:r>
        <w:rPr>
          <w:rFonts w:cs="Times New Roman"/>
          <w:szCs w:val="24"/>
        </w:rPr>
        <w:t xml:space="preserve">statistics </w:t>
      </w:r>
      <w:r w:rsidR="004B37F3">
        <w:rPr>
          <w:rFonts w:cs="Times New Roman"/>
          <w:szCs w:val="24"/>
        </w:rPr>
        <w:t xml:space="preserve">are fundamental in </w:t>
      </w:r>
      <w:r w:rsidR="004F7967">
        <w:rPr>
          <w:rFonts w:cs="Times New Roman"/>
          <w:szCs w:val="24"/>
        </w:rPr>
        <w:t>engineering</w:t>
      </w:r>
      <w:r w:rsidR="004B37F3">
        <w:rPr>
          <w:rFonts w:cs="Times New Roman"/>
          <w:szCs w:val="24"/>
        </w:rPr>
        <w:t xml:space="preserve"> design practice to evaluate likelihood and consequence</w:t>
      </w:r>
      <w:r>
        <w:rPr>
          <w:rFonts w:cs="Times New Roman"/>
          <w:szCs w:val="24"/>
        </w:rPr>
        <w:t xml:space="preserve"> of fire</w:t>
      </w:r>
      <w:r w:rsidR="004B37F3">
        <w:rPr>
          <w:rFonts w:cs="Times New Roman"/>
          <w:szCs w:val="24"/>
        </w:rPr>
        <w:t xml:space="preserve"> </w:t>
      </w:r>
      <w:r w:rsidR="00907CB6">
        <w:rPr>
          <w:rFonts w:cs="Times New Roman"/>
          <w:szCs w:val="24"/>
        </w:rPr>
        <w:t>for</w:t>
      </w:r>
      <w:r w:rsidR="004B37F3">
        <w:rPr>
          <w:rFonts w:cs="Times New Roman"/>
          <w:szCs w:val="24"/>
        </w:rPr>
        <w:t xml:space="preserve"> different property types</w:t>
      </w:r>
      <w:r>
        <w:rPr>
          <w:rFonts w:cs="Times New Roman"/>
          <w:szCs w:val="24"/>
        </w:rPr>
        <w:t>,</w:t>
      </w:r>
      <w:r w:rsidR="004B37F3">
        <w:rPr>
          <w:rFonts w:cs="Times New Roman"/>
          <w:szCs w:val="24"/>
        </w:rPr>
        <w:t xml:space="preserve"> and </w:t>
      </w:r>
      <w:r>
        <w:rPr>
          <w:rFonts w:cs="Times New Roman"/>
          <w:szCs w:val="24"/>
        </w:rPr>
        <w:t xml:space="preserve">to </w:t>
      </w:r>
      <w:r w:rsidR="004B37F3">
        <w:rPr>
          <w:rFonts w:cs="Times New Roman"/>
          <w:szCs w:val="24"/>
        </w:rPr>
        <w:t xml:space="preserve">investigate how </w:t>
      </w:r>
      <w:r>
        <w:rPr>
          <w:rFonts w:cs="Times New Roman"/>
          <w:szCs w:val="24"/>
        </w:rPr>
        <w:t xml:space="preserve">different </w:t>
      </w:r>
      <w:r w:rsidR="004B37F3">
        <w:rPr>
          <w:rFonts w:cs="Times New Roman"/>
          <w:szCs w:val="24"/>
        </w:rPr>
        <w:t xml:space="preserve">safety measures impact </w:t>
      </w:r>
      <w:r w:rsidR="000D0774">
        <w:rPr>
          <w:rFonts w:cs="Times New Roman"/>
          <w:szCs w:val="24"/>
        </w:rPr>
        <w:t>fire spread. British S</w:t>
      </w:r>
      <w:r w:rsidR="004B37F3">
        <w:rPr>
          <w:rFonts w:cs="Times New Roman"/>
          <w:szCs w:val="24"/>
        </w:rPr>
        <w:t xml:space="preserve">tandard PD 7974-7:2003 </w:t>
      </w:r>
      <w:r>
        <w:rPr>
          <w:rFonts w:cs="Times New Roman"/>
          <w:szCs w:val="24"/>
        </w:rPr>
        <w:t xml:space="preserve">has recently </w:t>
      </w:r>
      <w:r w:rsidR="004B37F3">
        <w:rPr>
          <w:rFonts w:cs="Times New Roman"/>
          <w:szCs w:val="24"/>
        </w:rPr>
        <w:t>been updated using USA fire statistics</w:t>
      </w:r>
      <w:r>
        <w:rPr>
          <w:rFonts w:cs="Times New Roman"/>
          <w:szCs w:val="24"/>
        </w:rPr>
        <w:t xml:space="preserve">; </w:t>
      </w:r>
      <w:r w:rsidR="004B37F3">
        <w:rPr>
          <w:rFonts w:cs="Times New Roman"/>
          <w:szCs w:val="24"/>
        </w:rPr>
        <w:t xml:space="preserve">this paper </w:t>
      </w:r>
      <w:r w:rsidR="00C15D59">
        <w:rPr>
          <w:rFonts w:cs="Times New Roman"/>
          <w:szCs w:val="24"/>
        </w:rPr>
        <w:t>compares</w:t>
      </w:r>
      <w:r>
        <w:rPr>
          <w:rFonts w:cs="Times New Roman"/>
          <w:szCs w:val="24"/>
        </w:rPr>
        <w:t xml:space="preserve"> PD 7974-7:2003 to</w:t>
      </w:r>
      <w:r w:rsidR="004B37F3">
        <w:rPr>
          <w:rFonts w:cs="Times New Roman"/>
          <w:szCs w:val="24"/>
        </w:rPr>
        <w:t xml:space="preserve"> current </w:t>
      </w:r>
      <w:r w:rsidR="00C5752C">
        <w:rPr>
          <w:rFonts w:cs="Times New Roman"/>
          <w:szCs w:val="24"/>
        </w:rPr>
        <w:t>England</w:t>
      </w:r>
      <w:r w:rsidR="004B37F3">
        <w:rPr>
          <w:rFonts w:cs="Times New Roman"/>
          <w:szCs w:val="24"/>
        </w:rPr>
        <w:t xml:space="preserve"> statistics</w:t>
      </w:r>
      <w:r w:rsidR="00C5752C">
        <w:rPr>
          <w:rFonts w:cs="Times New Roman"/>
          <w:szCs w:val="24"/>
        </w:rPr>
        <w:t xml:space="preserve"> (named UK statistics) using one public and </w:t>
      </w:r>
      <w:r w:rsidR="00907CB6">
        <w:rPr>
          <w:rFonts w:cs="Times New Roman"/>
          <w:szCs w:val="24"/>
        </w:rPr>
        <w:t xml:space="preserve">one </w:t>
      </w:r>
      <w:r w:rsidR="00C5752C">
        <w:rPr>
          <w:rFonts w:cs="Times New Roman"/>
          <w:szCs w:val="24"/>
        </w:rPr>
        <w:t>Home Office</w:t>
      </w:r>
      <w:r w:rsidR="00907CB6">
        <w:rPr>
          <w:rFonts w:cs="Times New Roman"/>
          <w:szCs w:val="24"/>
        </w:rPr>
        <w:t xml:space="preserve"> dataset</w:t>
      </w:r>
      <w:r w:rsidR="004B37F3">
        <w:rPr>
          <w:rFonts w:cs="Times New Roman"/>
          <w:szCs w:val="24"/>
        </w:rPr>
        <w:t>. PD 7974-7</w:t>
      </w:r>
      <w:r w:rsidR="008D2E2B">
        <w:rPr>
          <w:rFonts w:cs="Times New Roman"/>
          <w:szCs w:val="24"/>
        </w:rPr>
        <w:t>:2003</w:t>
      </w:r>
      <w:r w:rsidR="004B37F3">
        <w:rPr>
          <w:rFonts w:cs="Times New Roman"/>
          <w:szCs w:val="24"/>
        </w:rPr>
        <w:t xml:space="preserve"> overestimates fire frequency with values up to 5 times greater than the ones found in UK and USA. When fire frequency is plotted against total floor space</w:t>
      </w:r>
      <w:r>
        <w:rPr>
          <w:rFonts w:cs="Times New Roman"/>
          <w:szCs w:val="24"/>
        </w:rPr>
        <w:t>,</w:t>
      </w:r>
      <w:r w:rsidR="00F31156">
        <w:rPr>
          <w:rFonts w:cs="Times New Roman"/>
          <w:szCs w:val="24"/>
        </w:rPr>
        <w:t xml:space="preserve"> </w:t>
      </w:r>
      <w:r>
        <w:rPr>
          <w:rFonts w:cs="Times New Roman"/>
          <w:szCs w:val="24"/>
        </w:rPr>
        <w:t>for</w:t>
      </w:r>
      <w:r w:rsidR="00F31156">
        <w:rPr>
          <w:rFonts w:cs="Times New Roman"/>
          <w:szCs w:val="24"/>
        </w:rPr>
        <w:t xml:space="preserve"> different property types</w:t>
      </w:r>
      <w:r w:rsidR="004B37F3">
        <w:rPr>
          <w:rFonts w:cs="Times New Roman"/>
          <w:szCs w:val="24"/>
        </w:rPr>
        <w:t>, power law</w:t>
      </w:r>
      <w:r w:rsidR="001677DE">
        <w:rPr>
          <w:rFonts w:cs="Times New Roman"/>
          <w:szCs w:val="24"/>
        </w:rPr>
        <w:t>s</w:t>
      </w:r>
      <w:r w:rsidR="004B37F3">
        <w:rPr>
          <w:rFonts w:cs="Times New Roman"/>
          <w:szCs w:val="24"/>
        </w:rPr>
        <w:t xml:space="preserve"> with positive or negative exponent and polynomial </w:t>
      </w:r>
      <w:r w:rsidR="00F31156">
        <w:rPr>
          <w:rFonts w:cs="Times New Roman"/>
          <w:szCs w:val="24"/>
        </w:rPr>
        <w:t>functions</w:t>
      </w:r>
      <w:r w:rsidR="004B37F3">
        <w:rPr>
          <w:rFonts w:cs="Times New Roman"/>
          <w:szCs w:val="24"/>
        </w:rPr>
        <w:t xml:space="preserve"> </w:t>
      </w:r>
      <w:r>
        <w:rPr>
          <w:rFonts w:cs="Times New Roman"/>
          <w:szCs w:val="24"/>
        </w:rPr>
        <w:t xml:space="preserve">provide </w:t>
      </w:r>
      <w:r w:rsidR="004B37F3">
        <w:rPr>
          <w:rFonts w:cs="Times New Roman"/>
          <w:szCs w:val="24"/>
        </w:rPr>
        <w:t xml:space="preserve">better </w:t>
      </w:r>
      <w:proofErr w:type="gramStart"/>
      <w:r w:rsidR="004B37F3">
        <w:rPr>
          <w:rFonts w:cs="Times New Roman"/>
          <w:szCs w:val="24"/>
        </w:rPr>
        <w:t>approximat</w:t>
      </w:r>
      <w:r>
        <w:rPr>
          <w:rFonts w:cs="Times New Roman"/>
          <w:szCs w:val="24"/>
        </w:rPr>
        <w:t>ions</w:t>
      </w:r>
      <w:proofErr w:type="gramEnd"/>
      <w:r>
        <w:rPr>
          <w:rFonts w:cs="Times New Roman"/>
          <w:szCs w:val="24"/>
        </w:rPr>
        <w:t xml:space="preserve"> of</w:t>
      </w:r>
      <w:r w:rsidR="004B37F3">
        <w:rPr>
          <w:rFonts w:cs="Times New Roman"/>
          <w:szCs w:val="24"/>
        </w:rPr>
        <w:t xml:space="preserve"> the data </w:t>
      </w:r>
      <w:r>
        <w:rPr>
          <w:rFonts w:cs="Times New Roman"/>
          <w:szCs w:val="24"/>
        </w:rPr>
        <w:t>than the current codes</w:t>
      </w:r>
      <w:r w:rsidR="004B37F3">
        <w:rPr>
          <w:rFonts w:cs="Times New Roman"/>
          <w:szCs w:val="24"/>
        </w:rPr>
        <w:t xml:space="preserve">. </w:t>
      </w:r>
      <w:r w:rsidR="00FD7EE5">
        <w:rPr>
          <w:rFonts w:cs="Times New Roman"/>
          <w:szCs w:val="24"/>
        </w:rPr>
        <w:t xml:space="preserve">Average area damage </w:t>
      </w:r>
      <w:r>
        <w:rPr>
          <w:rFonts w:cs="Times New Roman"/>
          <w:szCs w:val="24"/>
        </w:rPr>
        <w:t xml:space="preserve">from </w:t>
      </w:r>
      <w:r w:rsidR="00FD7EE5">
        <w:rPr>
          <w:rFonts w:cs="Times New Roman"/>
          <w:szCs w:val="24"/>
        </w:rPr>
        <w:t>PD 7974-7</w:t>
      </w:r>
      <w:r w:rsidR="008D2E2B">
        <w:rPr>
          <w:rFonts w:cs="Times New Roman"/>
          <w:szCs w:val="24"/>
        </w:rPr>
        <w:t>:2003</w:t>
      </w:r>
      <w:r w:rsidR="00FD7EE5">
        <w:rPr>
          <w:rFonts w:cs="Times New Roman"/>
          <w:szCs w:val="24"/>
        </w:rPr>
        <w:t xml:space="preserve"> has been compared to </w:t>
      </w:r>
      <w:r w:rsidR="00FD7EE5" w:rsidRPr="008D2E2B">
        <w:rPr>
          <w:rFonts w:cs="Times New Roman"/>
          <w:i/>
          <w:iCs/>
          <w:szCs w:val="24"/>
        </w:rPr>
        <w:t>fire</w:t>
      </w:r>
      <w:r w:rsidR="00FD7EE5">
        <w:rPr>
          <w:rFonts w:cs="Times New Roman"/>
          <w:szCs w:val="24"/>
        </w:rPr>
        <w:t xml:space="preserve"> and</w:t>
      </w:r>
      <w:r w:rsidR="00FD7EE5" w:rsidRPr="008D2E2B">
        <w:rPr>
          <w:rFonts w:cs="Times New Roman"/>
          <w:i/>
          <w:iCs/>
          <w:szCs w:val="24"/>
        </w:rPr>
        <w:t xml:space="preserve"> total</w:t>
      </w:r>
      <w:r w:rsidR="00FD7EE5">
        <w:rPr>
          <w:rFonts w:cs="Times New Roman"/>
          <w:szCs w:val="24"/>
        </w:rPr>
        <w:t xml:space="preserve"> damage </w:t>
      </w:r>
      <w:r>
        <w:rPr>
          <w:rFonts w:cs="Times New Roman"/>
          <w:szCs w:val="24"/>
        </w:rPr>
        <w:t xml:space="preserve">from </w:t>
      </w:r>
      <w:r w:rsidR="00C5752C">
        <w:rPr>
          <w:rFonts w:cs="Times New Roman"/>
          <w:szCs w:val="24"/>
        </w:rPr>
        <w:t xml:space="preserve">UK </w:t>
      </w:r>
      <w:r>
        <w:rPr>
          <w:rFonts w:cs="Times New Roman"/>
          <w:szCs w:val="24"/>
        </w:rPr>
        <w:t>datasets where</w:t>
      </w:r>
      <w:r w:rsidR="00FD7EE5">
        <w:rPr>
          <w:rFonts w:cs="Times New Roman"/>
          <w:szCs w:val="24"/>
        </w:rPr>
        <w:t xml:space="preserve"> fire </w:t>
      </w:r>
      <w:r w:rsidR="00C5752C">
        <w:rPr>
          <w:rFonts w:cs="Times New Roman"/>
          <w:szCs w:val="24"/>
        </w:rPr>
        <w:t>size</w:t>
      </w:r>
      <w:r w:rsidR="00FD7EE5">
        <w:rPr>
          <w:rFonts w:cs="Times New Roman"/>
          <w:szCs w:val="24"/>
        </w:rPr>
        <w:t xml:space="preserve"> is usually </w:t>
      </w:r>
      <w:r w:rsidR="00686133">
        <w:rPr>
          <w:rFonts w:cs="Times New Roman"/>
          <w:szCs w:val="24"/>
        </w:rPr>
        <w:t xml:space="preserve">well </w:t>
      </w:r>
      <w:r w:rsidR="00FD7EE5">
        <w:rPr>
          <w:rFonts w:cs="Times New Roman"/>
          <w:szCs w:val="24"/>
        </w:rPr>
        <w:t xml:space="preserve">confined to room of origin </w:t>
      </w:r>
      <w:r w:rsidR="004F7967">
        <w:rPr>
          <w:rFonts w:cs="Times New Roman"/>
          <w:szCs w:val="24"/>
        </w:rPr>
        <w:t>at</w:t>
      </w:r>
      <w:r>
        <w:rPr>
          <w:rFonts w:cs="Times New Roman"/>
          <w:szCs w:val="24"/>
        </w:rPr>
        <w:t xml:space="preserve"> </w:t>
      </w:r>
      <w:r w:rsidR="00EE22ED">
        <w:rPr>
          <w:rFonts w:cs="Times New Roman"/>
          <w:szCs w:val="24"/>
        </w:rPr>
        <w:t>2</w:t>
      </w:r>
      <w:r w:rsidR="00686133">
        <w:rPr>
          <w:rFonts w:cs="Times New Roman"/>
          <w:szCs w:val="24"/>
        </w:rPr>
        <w:t xml:space="preserve">0% of fires </w:t>
      </w:r>
      <w:r w:rsidR="00C5752C">
        <w:rPr>
          <w:rFonts w:cs="Times New Roman"/>
          <w:szCs w:val="24"/>
        </w:rPr>
        <w:t>based on the publicly available dataset</w:t>
      </w:r>
      <w:r w:rsidR="00686133">
        <w:rPr>
          <w:rFonts w:cs="Times New Roman"/>
          <w:szCs w:val="24"/>
        </w:rPr>
        <w:t xml:space="preserve">. </w:t>
      </w:r>
      <w:r w:rsidR="00C5752C">
        <w:rPr>
          <w:rFonts w:cs="Times New Roman"/>
          <w:szCs w:val="24"/>
        </w:rPr>
        <w:t>W</w:t>
      </w:r>
      <w:r w:rsidR="00686133">
        <w:rPr>
          <w:rFonts w:cs="Times New Roman"/>
          <w:szCs w:val="24"/>
        </w:rPr>
        <w:t>hen</w:t>
      </w:r>
      <w:r w:rsidR="001677DE">
        <w:rPr>
          <w:rFonts w:cs="Times New Roman"/>
          <w:szCs w:val="24"/>
        </w:rPr>
        <w:t xml:space="preserve"> </w:t>
      </w:r>
      <w:r w:rsidR="00686133">
        <w:rPr>
          <w:rFonts w:cs="Times New Roman"/>
          <w:szCs w:val="24"/>
        </w:rPr>
        <w:t>fire</w:t>
      </w:r>
      <w:r w:rsidR="001677DE">
        <w:rPr>
          <w:rFonts w:cs="Times New Roman"/>
          <w:szCs w:val="24"/>
        </w:rPr>
        <w:t>s</w:t>
      </w:r>
      <w:r w:rsidR="00686133">
        <w:rPr>
          <w:rFonts w:cs="Times New Roman"/>
          <w:szCs w:val="24"/>
        </w:rPr>
        <w:t xml:space="preserve"> exceed</w:t>
      </w:r>
      <w:r w:rsidR="00B33BC0">
        <w:rPr>
          <w:rFonts w:cs="Times New Roman"/>
          <w:szCs w:val="24"/>
        </w:rPr>
        <w:t>ing</w:t>
      </w:r>
      <w:r w:rsidR="00686133">
        <w:rPr>
          <w:rFonts w:cs="Times New Roman"/>
          <w:szCs w:val="24"/>
        </w:rPr>
        <w:t xml:space="preserve"> specific area</w:t>
      </w:r>
      <w:r w:rsidR="004F7967">
        <w:rPr>
          <w:rFonts w:cs="Times New Roman"/>
          <w:szCs w:val="24"/>
        </w:rPr>
        <w:t>s of</w:t>
      </w:r>
      <w:r w:rsidR="00686133">
        <w:rPr>
          <w:rFonts w:cs="Times New Roman"/>
          <w:szCs w:val="24"/>
        </w:rPr>
        <w:t xml:space="preserve"> da</w:t>
      </w:r>
      <w:r w:rsidR="00F31156">
        <w:rPr>
          <w:rFonts w:cs="Times New Roman"/>
          <w:szCs w:val="24"/>
        </w:rPr>
        <w:t>mage are considered</w:t>
      </w:r>
      <w:r w:rsidR="004F7967">
        <w:rPr>
          <w:rFonts w:cs="Times New Roman"/>
          <w:szCs w:val="24"/>
        </w:rPr>
        <w:t>,</w:t>
      </w:r>
      <w:r w:rsidR="00F31156">
        <w:rPr>
          <w:rFonts w:cs="Times New Roman"/>
          <w:szCs w:val="24"/>
        </w:rPr>
        <w:t xml:space="preserve"> PD 7974-7</w:t>
      </w:r>
      <w:r w:rsidR="008D2E2B">
        <w:rPr>
          <w:rFonts w:cs="Times New Roman"/>
          <w:szCs w:val="24"/>
        </w:rPr>
        <w:t>:2003</w:t>
      </w:r>
      <w:r w:rsidR="00F31156">
        <w:rPr>
          <w:rFonts w:cs="Times New Roman"/>
          <w:szCs w:val="24"/>
        </w:rPr>
        <w:t xml:space="preserve"> usually </w:t>
      </w:r>
      <w:r w:rsidR="00686133">
        <w:rPr>
          <w:rFonts w:cs="Times New Roman"/>
          <w:szCs w:val="24"/>
        </w:rPr>
        <w:t>overestimate</w:t>
      </w:r>
      <w:r w:rsidR="004F7967">
        <w:rPr>
          <w:rFonts w:cs="Times New Roman"/>
          <w:szCs w:val="24"/>
        </w:rPr>
        <w:t>s</w:t>
      </w:r>
      <w:r w:rsidR="001677DE">
        <w:rPr>
          <w:rFonts w:cs="Times New Roman"/>
          <w:szCs w:val="24"/>
        </w:rPr>
        <w:t xml:space="preserve"> </w:t>
      </w:r>
      <w:r w:rsidR="00686133" w:rsidRPr="008D2E2B">
        <w:rPr>
          <w:rFonts w:cs="Times New Roman"/>
          <w:i/>
          <w:iCs/>
          <w:szCs w:val="24"/>
        </w:rPr>
        <w:t>fire damage</w:t>
      </w:r>
      <w:r w:rsidR="00686133">
        <w:rPr>
          <w:rFonts w:cs="Times New Roman"/>
          <w:szCs w:val="24"/>
        </w:rPr>
        <w:t xml:space="preserve"> and underestimate</w:t>
      </w:r>
      <w:r w:rsidR="004F7967">
        <w:rPr>
          <w:rFonts w:cs="Times New Roman"/>
          <w:szCs w:val="24"/>
        </w:rPr>
        <w:t>s</w:t>
      </w:r>
      <w:r w:rsidR="00686133">
        <w:rPr>
          <w:rFonts w:cs="Times New Roman"/>
          <w:szCs w:val="24"/>
        </w:rPr>
        <w:t xml:space="preserve"> </w:t>
      </w:r>
      <w:r w:rsidR="00686133" w:rsidRPr="008D2E2B">
        <w:rPr>
          <w:rFonts w:cs="Times New Roman"/>
          <w:i/>
          <w:iCs/>
          <w:szCs w:val="24"/>
        </w:rPr>
        <w:t>total damage</w:t>
      </w:r>
      <w:r w:rsidR="004F7967">
        <w:rPr>
          <w:rFonts w:cs="Times New Roman"/>
          <w:i/>
          <w:iCs/>
          <w:szCs w:val="24"/>
        </w:rPr>
        <w:t>,</w:t>
      </w:r>
      <w:r w:rsidR="00686133">
        <w:rPr>
          <w:rFonts w:cs="Times New Roman"/>
          <w:szCs w:val="24"/>
        </w:rPr>
        <w:t xml:space="preserve"> </w:t>
      </w:r>
      <w:r w:rsidR="00F31156">
        <w:rPr>
          <w:rFonts w:cs="Times New Roman"/>
          <w:szCs w:val="24"/>
        </w:rPr>
        <w:t xml:space="preserve">with </w:t>
      </w:r>
      <w:r w:rsidR="004F7967">
        <w:rPr>
          <w:rFonts w:cs="Times New Roman"/>
          <w:szCs w:val="24"/>
        </w:rPr>
        <w:t xml:space="preserve">more damage evident when sprinklers are absent compared to when they are present. </w:t>
      </w:r>
    </w:p>
    <w:p w14:paraId="1E85287B" w14:textId="65FFD92D" w:rsidR="00293C89" w:rsidRPr="00000A9C" w:rsidRDefault="00FE5E63" w:rsidP="00AA2E53">
      <w:pPr>
        <w:rPr>
          <w:rFonts w:cs="Times New Roman"/>
          <w:szCs w:val="24"/>
        </w:rPr>
      </w:pPr>
      <w:r w:rsidRPr="00AA2E53">
        <w:rPr>
          <w:rFonts w:cs="Times New Roman"/>
          <w:b/>
          <w:szCs w:val="24"/>
        </w:rPr>
        <w:t>Keywords:</w:t>
      </w:r>
      <w:r w:rsidRPr="00000A9C">
        <w:rPr>
          <w:rFonts w:cs="Times New Roman"/>
          <w:szCs w:val="24"/>
        </w:rPr>
        <w:t xml:space="preserve"> </w:t>
      </w:r>
      <w:r w:rsidR="00926777">
        <w:rPr>
          <w:rFonts w:cs="Times New Roman"/>
          <w:szCs w:val="24"/>
        </w:rPr>
        <w:t>f</w:t>
      </w:r>
      <w:r w:rsidR="00926777" w:rsidRPr="00926777">
        <w:rPr>
          <w:rFonts w:cs="Times New Roman"/>
          <w:szCs w:val="24"/>
        </w:rPr>
        <w:t xml:space="preserve">ire statistics, fire frequency, fire damage, </w:t>
      </w:r>
      <w:r w:rsidR="000D0774">
        <w:rPr>
          <w:rFonts w:cs="Times New Roman"/>
          <w:szCs w:val="24"/>
        </w:rPr>
        <w:t xml:space="preserve">total damage, </w:t>
      </w:r>
      <w:r w:rsidR="00926777" w:rsidRPr="00926777">
        <w:rPr>
          <w:rFonts w:cs="Times New Roman"/>
          <w:szCs w:val="24"/>
        </w:rPr>
        <w:t>fire</w:t>
      </w:r>
      <w:r w:rsidR="000D0774">
        <w:rPr>
          <w:rFonts w:cs="Times New Roman"/>
          <w:szCs w:val="24"/>
        </w:rPr>
        <w:t xml:space="preserve"> safety systems</w:t>
      </w:r>
      <w:r w:rsidR="004F7967">
        <w:rPr>
          <w:rFonts w:cs="Times New Roman"/>
          <w:szCs w:val="24"/>
        </w:rPr>
        <w:t>, sprinklers, probabilistic design</w:t>
      </w:r>
    </w:p>
    <w:p w14:paraId="756EB625" w14:textId="77777777" w:rsidR="00293C89" w:rsidRPr="00AA2E53" w:rsidRDefault="00293C89" w:rsidP="00AA2E53">
      <w:pPr>
        <w:rPr>
          <w:rFonts w:cs="Times New Roman"/>
          <w:b/>
          <w:szCs w:val="24"/>
        </w:rPr>
      </w:pPr>
      <w:r w:rsidRPr="00AA2E53">
        <w:rPr>
          <w:rFonts w:cs="Times New Roman"/>
          <w:b/>
          <w:szCs w:val="24"/>
        </w:rPr>
        <w:t>1. Introduction</w:t>
      </w:r>
    </w:p>
    <w:p w14:paraId="51EA3C05" w14:textId="05B92EC3" w:rsidR="00DB3762" w:rsidRPr="00F158CD" w:rsidRDefault="00524A6C" w:rsidP="008919FB">
      <w:pPr>
        <w:rPr>
          <w:rFonts w:cs="Times New Roman"/>
          <w:szCs w:val="24"/>
        </w:rPr>
      </w:pPr>
      <w:r>
        <w:rPr>
          <w:rFonts w:cs="Times New Roman"/>
          <w:szCs w:val="24"/>
        </w:rPr>
        <w:t xml:space="preserve">The Building Regulations </w:t>
      </w:r>
      <w:r w:rsidR="00BD64A3">
        <w:rPr>
          <w:rFonts w:cs="Times New Roman"/>
          <w:szCs w:val="24"/>
        </w:rPr>
        <w:t xml:space="preserve">introduced </w:t>
      </w:r>
      <w:r>
        <w:rPr>
          <w:rFonts w:cs="Times New Roman"/>
          <w:szCs w:val="24"/>
        </w:rPr>
        <w:t>in 1985 in England and Wales established the use of performance</w:t>
      </w:r>
      <w:r w:rsidR="00BD64A3">
        <w:rPr>
          <w:rFonts w:cs="Times New Roman"/>
          <w:szCs w:val="24"/>
        </w:rPr>
        <w:t>-</w:t>
      </w:r>
      <w:r>
        <w:rPr>
          <w:rFonts w:cs="Times New Roman"/>
          <w:szCs w:val="24"/>
        </w:rPr>
        <w:t xml:space="preserve"> or functional-</w:t>
      </w:r>
      <w:r w:rsidR="00BD64A3">
        <w:rPr>
          <w:rFonts w:cs="Times New Roman"/>
          <w:szCs w:val="24"/>
        </w:rPr>
        <w:t xml:space="preserve"> </w:t>
      </w:r>
      <w:r>
        <w:rPr>
          <w:rFonts w:cs="Times New Roman"/>
          <w:szCs w:val="24"/>
        </w:rPr>
        <w:t>based building code</w:t>
      </w:r>
      <w:r w:rsidR="00BD64A3">
        <w:rPr>
          <w:rFonts w:cs="Times New Roman"/>
          <w:szCs w:val="24"/>
        </w:rPr>
        <w:t>s</w:t>
      </w:r>
      <w:r>
        <w:rPr>
          <w:rFonts w:cs="Times New Roman"/>
          <w:szCs w:val="24"/>
        </w:rPr>
        <w:t xml:space="preserve"> </w:t>
      </w:r>
      <w:r>
        <w:rPr>
          <w:rFonts w:cs="Times New Roman"/>
          <w:szCs w:val="24"/>
        </w:rPr>
        <w:fldChar w:fldCharType="begin" w:fldLock="1"/>
      </w:r>
      <w:r w:rsidR="00125627">
        <w:rPr>
          <w:rFonts w:cs="Times New Roman"/>
          <w:szCs w:val="24"/>
        </w:rPr>
        <w:instrText>ADDIN CSL_CITATION {"citationItems":[{"id":"ITEM-1","itemData":{"DOI":"10.1080/13669871003703260","ISSN":"13669877","abstract":"Performance-based building codes are being developed and promulgated around the world. Concurrently, performance-based analysis and design approaches are being used in a number of disciplines, including structural, mechanical, and fire protection engineering. The performance-based building regulatory and design environment promises great opportunities for engineers and designers to innovate and to apply analytical tools and methods to design safe, efficient, cost-effective, and aesthetically pleasing buildings. However, for regulators and enforcement officials, performance-based approaches are often met with skepticism and concern, as the desired performance is not always well defined and agreed, the perceived certainty associated with compliance with prescriptive design requirements is no longer assured, and there is concern that the data, tools, and methods - necessary to assure that performance-based designed buildings achieve the levels of performance and risk deemed tolerable to society - are lacking. To address these concerns, risk-informed performance-based approaches are being explored, with the aim to better identify and connect tolerable levels of risk, performance expectations, and design criteria for different aspects of building design. Risk-informed performance-based approaches being considered in Australia, New Zealand, and the USA are discussed. © 2010 Taylor &amp; Francis.","author":[{"dropping-particle":"","family":"Meacham","given":"Brian J.","non-dropping-particle":"","parse-names":false,"suffix":""}],"container-title":"Journal of Risk Research","id":"ITEM-1","issue":"7","issued":{"date-parts":[["2010"]]},"page":"877-893","title":"Risk-Informed Performance-Based Approach to Building Regulation 1","type":"article-journal","volume":"13"},"uris":["http://www.mendeley.com/documents/?uuid=7669da00-a2a5-4187-b859-1724bfe22298"]}],"mendeley":{"formattedCitation":"[1]","plainTextFormattedCitation":"[1]","previouslyFormattedCitation":"[1]"},"properties":{"noteIndex":0},"schema":"https://github.com/citation-style-language/schema/raw/master/csl-citation.json"}</w:instrText>
      </w:r>
      <w:r>
        <w:rPr>
          <w:rFonts w:cs="Times New Roman"/>
          <w:szCs w:val="24"/>
        </w:rPr>
        <w:fldChar w:fldCharType="separate"/>
      </w:r>
      <w:r w:rsidRPr="00524A6C">
        <w:rPr>
          <w:rFonts w:cs="Times New Roman"/>
          <w:noProof/>
          <w:szCs w:val="24"/>
        </w:rPr>
        <w:t>[1]</w:t>
      </w:r>
      <w:r>
        <w:rPr>
          <w:rFonts w:cs="Times New Roman"/>
          <w:szCs w:val="24"/>
        </w:rPr>
        <w:fldChar w:fldCharType="end"/>
      </w:r>
      <w:r>
        <w:rPr>
          <w:rFonts w:cs="Times New Roman"/>
          <w:szCs w:val="24"/>
        </w:rPr>
        <w:t xml:space="preserve">. </w:t>
      </w:r>
      <w:r w:rsidR="004F7967">
        <w:rPr>
          <w:rFonts w:cs="Times New Roman"/>
          <w:szCs w:val="24"/>
        </w:rPr>
        <w:t>T</w:t>
      </w:r>
      <w:r w:rsidR="00F158CD" w:rsidRPr="00F158CD">
        <w:rPr>
          <w:rFonts w:cs="Times New Roman"/>
          <w:szCs w:val="24"/>
        </w:rPr>
        <w:t xml:space="preserve">his </w:t>
      </w:r>
      <w:r w:rsidR="00BD64A3">
        <w:rPr>
          <w:rFonts w:cs="Times New Roman"/>
          <w:szCs w:val="24"/>
        </w:rPr>
        <w:t xml:space="preserve">allowed a </w:t>
      </w:r>
      <w:r w:rsidR="00F158CD" w:rsidRPr="00F158CD">
        <w:rPr>
          <w:rFonts w:cs="Times New Roman"/>
          <w:szCs w:val="24"/>
        </w:rPr>
        <w:t xml:space="preserve">change </w:t>
      </w:r>
      <w:r w:rsidR="004F7967">
        <w:rPr>
          <w:rFonts w:cs="Times New Roman"/>
          <w:szCs w:val="24"/>
        </w:rPr>
        <w:t xml:space="preserve">from </w:t>
      </w:r>
      <w:r w:rsidR="005741AF">
        <w:rPr>
          <w:rFonts w:cs="Times New Roman"/>
          <w:szCs w:val="24"/>
        </w:rPr>
        <w:t>prescription</w:t>
      </w:r>
      <w:r w:rsidR="004F7967">
        <w:rPr>
          <w:rFonts w:cs="Times New Roman"/>
          <w:szCs w:val="24"/>
        </w:rPr>
        <w:t xml:space="preserve"> to</w:t>
      </w:r>
      <w:r w:rsidR="007E1D6D">
        <w:rPr>
          <w:rFonts w:cs="Times New Roman"/>
          <w:szCs w:val="24"/>
        </w:rPr>
        <w:t xml:space="preserve"> </w:t>
      </w:r>
      <w:r w:rsidR="004F7967">
        <w:rPr>
          <w:rFonts w:cs="Times New Roman"/>
          <w:szCs w:val="24"/>
        </w:rPr>
        <w:t>performance-based design</w:t>
      </w:r>
      <w:r w:rsidR="00BD64A3">
        <w:rPr>
          <w:rFonts w:cs="Times New Roman"/>
          <w:szCs w:val="24"/>
        </w:rPr>
        <w:t xml:space="preserve">, and </w:t>
      </w:r>
      <w:r w:rsidR="00F158CD" w:rsidRPr="00F158CD">
        <w:rPr>
          <w:rFonts w:cs="Times New Roman"/>
          <w:szCs w:val="24"/>
        </w:rPr>
        <w:t xml:space="preserve">can be </w:t>
      </w:r>
      <w:r w:rsidR="005741AF">
        <w:rPr>
          <w:rFonts w:cs="Times New Roman"/>
          <w:szCs w:val="24"/>
        </w:rPr>
        <w:t>interpreted as a reaction to the</w:t>
      </w:r>
      <w:r w:rsidR="00F158CD" w:rsidRPr="00F158CD">
        <w:rPr>
          <w:rFonts w:cs="Times New Roman"/>
          <w:szCs w:val="24"/>
        </w:rPr>
        <w:t xml:space="preserve"> limits that a prescriptive de</w:t>
      </w:r>
      <w:r w:rsidR="00930687">
        <w:rPr>
          <w:rFonts w:cs="Times New Roman"/>
          <w:szCs w:val="24"/>
        </w:rPr>
        <w:t xml:space="preserve">sign </w:t>
      </w:r>
      <w:r w:rsidR="005741AF">
        <w:rPr>
          <w:rFonts w:cs="Times New Roman"/>
          <w:szCs w:val="24"/>
        </w:rPr>
        <w:t xml:space="preserve">framework </w:t>
      </w:r>
      <w:r w:rsidR="00930687">
        <w:rPr>
          <w:rFonts w:cs="Times New Roman"/>
          <w:szCs w:val="24"/>
        </w:rPr>
        <w:t>can provide.</w:t>
      </w:r>
      <w:r w:rsidR="00EC2F2D">
        <w:rPr>
          <w:rFonts w:cs="Times New Roman"/>
          <w:szCs w:val="24"/>
        </w:rPr>
        <w:t xml:space="preserve"> </w:t>
      </w:r>
      <w:r w:rsidR="00930687">
        <w:rPr>
          <w:rFonts w:cs="Times New Roman"/>
          <w:szCs w:val="24"/>
        </w:rPr>
        <w:t>A</w:t>
      </w:r>
      <w:r w:rsidR="00F158CD" w:rsidRPr="00F158CD">
        <w:rPr>
          <w:rFonts w:cs="Times New Roman"/>
          <w:szCs w:val="24"/>
        </w:rPr>
        <w:t>s stated in the PSA 911:2007</w:t>
      </w:r>
      <w:r w:rsidR="005741AF">
        <w:rPr>
          <w:rFonts w:cs="Times New Roman"/>
          <w:szCs w:val="24"/>
        </w:rPr>
        <w:t xml:space="preserve"> </w:t>
      </w:r>
      <w:r w:rsidR="00DF5006">
        <w:rPr>
          <w:rFonts w:cs="Times New Roman"/>
          <w:szCs w:val="24"/>
        </w:rPr>
        <w:fldChar w:fldCharType="begin" w:fldLock="1"/>
      </w:r>
      <w:r w:rsidR="002224D1">
        <w:rPr>
          <w:rFonts w:cs="Times New Roman"/>
          <w:szCs w:val="24"/>
        </w:rPr>
        <w:instrText>ADDIN CSL_CITATION {"citationItems":[{"id":"ITEM-1","itemData":{"ISBN":"978 0 580 59381 9","author":[{"dropping-particle":"","family":"The British Standards Institution","given":"","non-dropping-particle":"","parse-names":false,"suffix":""}],"id":"ITEM-1","issued":{"date-parts":[["2007"]]},"title":"PAS 911:2007 Fire strategies – Guidance and framework for their formulation","type":"report"},"uris":["http://www.mendeley.com/documents/?uuid=c0f9ccfa-9fe8-4b17-9fea-2189490bf289","http://www.mendeley.com/documents/?uuid=822b26b6-bab8-4956-8cf5-f349ba109d1f"]}],"mendeley":{"formattedCitation":"[2]","plainTextFormattedCitation":"[2]","previouslyFormattedCitation":"[2]"},"properties":{"noteIndex":0},"schema":"https://github.com/citation-style-language/schema/raw/master/csl-citation.json"}</w:instrText>
      </w:r>
      <w:r w:rsidR="00DF5006">
        <w:rPr>
          <w:rFonts w:cs="Times New Roman"/>
          <w:szCs w:val="24"/>
        </w:rPr>
        <w:fldChar w:fldCharType="separate"/>
      </w:r>
      <w:r w:rsidR="00962604" w:rsidRPr="00962604">
        <w:rPr>
          <w:rFonts w:cs="Times New Roman"/>
          <w:noProof/>
          <w:szCs w:val="24"/>
        </w:rPr>
        <w:t>[2]</w:t>
      </w:r>
      <w:r w:rsidR="00DF5006">
        <w:rPr>
          <w:rFonts w:cs="Times New Roman"/>
          <w:szCs w:val="24"/>
        </w:rPr>
        <w:fldChar w:fldCharType="end"/>
      </w:r>
      <w:r w:rsidR="00F158CD" w:rsidRPr="00F158CD">
        <w:rPr>
          <w:rFonts w:cs="Times New Roman"/>
          <w:szCs w:val="24"/>
        </w:rPr>
        <w:t>, even if prescriptive guidelines are easy to apply and provide a consistent approach and output, they appear to be inflexible, do not necessary lead to an optimum solution</w:t>
      </w:r>
      <w:r w:rsidR="00BD64A3">
        <w:rPr>
          <w:rFonts w:cs="Times New Roman"/>
          <w:szCs w:val="24"/>
        </w:rPr>
        <w:t>,</w:t>
      </w:r>
      <w:r w:rsidR="00F158CD" w:rsidRPr="00F158CD">
        <w:rPr>
          <w:rFonts w:cs="Times New Roman"/>
          <w:szCs w:val="24"/>
        </w:rPr>
        <w:t xml:space="preserve"> and are not representative of current design and practice. Instead, performance-based approaches can be created on specific property needs, allow</w:t>
      </w:r>
      <w:r w:rsidR="005741AF">
        <w:rPr>
          <w:rFonts w:cs="Times New Roman"/>
          <w:szCs w:val="24"/>
        </w:rPr>
        <w:t>ing</w:t>
      </w:r>
      <w:r w:rsidR="00F158CD" w:rsidRPr="00F158CD">
        <w:rPr>
          <w:rFonts w:cs="Times New Roman"/>
          <w:szCs w:val="24"/>
        </w:rPr>
        <w:t xml:space="preserve"> innovations and flexibility </w:t>
      </w:r>
      <w:r w:rsidR="00F158CD" w:rsidRPr="00F158CD">
        <w:rPr>
          <w:rFonts w:cs="Times New Roman"/>
          <w:szCs w:val="24"/>
        </w:rPr>
        <w:fldChar w:fldCharType="begin" w:fldLock="1"/>
      </w:r>
      <w:r w:rsidR="002224D1">
        <w:rPr>
          <w:rFonts w:cs="Times New Roman"/>
          <w:szCs w:val="24"/>
        </w:rPr>
        <w:instrText>ADDIN CSL_CITATION {"citationItems":[{"id":"ITEM-1","itemData":{"ISBN":"9780203868713","author":[{"dropping-particle":"","family":"Wang","given":"Yong","non-dropping-particle":"","parse-names":false,"suffix":""},{"dropping-particle":"","family":"Burgess","given":"Ian","non-dropping-particle":"","parse-names":false,"suffix":""},{"dropping-particle":"","family":"Wald","given":"Frantsek","non-dropping-particle":"","parse-names":false,"suffix":""},{"dropping-particle":"","family":"Gillie","given":"Martin","non-dropping-particle":"","parse-names":false,"suffix":""}],"id":"ITEM-1","issued":{"date-parts":[["2012"]]},"number-of-pages":"394","publisher":"CRC Press","title":"Performance-Based Fire Engineering of Structures","type":"book"},"uris":["http://www.mendeley.com/documents/?uuid=f63e40b1-96d2-42f0-add8-bbf9e11d6fd2"]}],"mendeley":{"formattedCitation":"[3]","plainTextFormattedCitation":"[3]","previouslyFormattedCitation":"[3]"},"properties":{"noteIndex":0},"schema":"https://github.com/citation-style-language/schema/raw/master/csl-citation.json"}</w:instrText>
      </w:r>
      <w:r w:rsidR="00F158CD" w:rsidRPr="00F158CD">
        <w:rPr>
          <w:rFonts w:cs="Times New Roman"/>
          <w:szCs w:val="24"/>
        </w:rPr>
        <w:fldChar w:fldCharType="separate"/>
      </w:r>
      <w:r w:rsidR="00962604" w:rsidRPr="00962604">
        <w:rPr>
          <w:rFonts w:cs="Times New Roman"/>
          <w:noProof/>
          <w:szCs w:val="24"/>
        </w:rPr>
        <w:t>[3]</w:t>
      </w:r>
      <w:r w:rsidR="00F158CD" w:rsidRPr="00F158CD">
        <w:rPr>
          <w:rFonts w:cs="Times New Roman"/>
          <w:szCs w:val="24"/>
        </w:rPr>
        <w:fldChar w:fldCharType="end"/>
      </w:r>
      <w:r w:rsidR="00A26C57">
        <w:rPr>
          <w:rFonts w:cs="Times New Roman"/>
          <w:szCs w:val="24"/>
        </w:rPr>
        <w:t>. Moreover, with appropriate design, holistic approaches can be developed</w:t>
      </w:r>
      <w:r w:rsidR="00DB3762">
        <w:rPr>
          <w:rFonts w:cs="Times New Roman"/>
          <w:szCs w:val="24"/>
        </w:rPr>
        <w:t xml:space="preserve"> </w:t>
      </w:r>
      <w:r w:rsidR="00BD64A3">
        <w:rPr>
          <w:rFonts w:cs="Times New Roman"/>
          <w:szCs w:val="24"/>
        </w:rPr>
        <w:t xml:space="preserve">albeit with potential </w:t>
      </w:r>
      <w:r w:rsidR="0044118F">
        <w:rPr>
          <w:rFonts w:cs="Times New Roman"/>
          <w:szCs w:val="24"/>
        </w:rPr>
        <w:t xml:space="preserve">higher </w:t>
      </w:r>
      <w:r w:rsidR="00BD64A3">
        <w:rPr>
          <w:rFonts w:cs="Times New Roman"/>
          <w:szCs w:val="24"/>
        </w:rPr>
        <w:t xml:space="preserve">initial </w:t>
      </w:r>
      <w:r w:rsidR="0044118F" w:rsidRPr="00F158CD">
        <w:rPr>
          <w:rFonts w:cs="Times New Roman"/>
          <w:szCs w:val="24"/>
        </w:rPr>
        <w:t>cost</w:t>
      </w:r>
      <w:r w:rsidR="0044118F">
        <w:rPr>
          <w:rFonts w:cs="Times New Roman"/>
          <w:szCs w:val="24"/>
        </w:rPr>
        <w:t>s</w:t>
      </w:r>
      <w:r w:rsidR="0044118F" w:rsidRPr="00F158CD">
        <w:rPr>
          <w:rFonts w:cs="Times New Roman"/>
          <w:szCs w:val="24"/>
        </w:rPr>
        <w:t xml:space="preserve"> </w:t>
      </w:r>
      <w:r w:rsidR="0044118F" w:rsidRPr="00F158CD">
        <w:rPr>
          <w:rFonts w:cs="Times New Roman"/>
          <w:szCs w:val="24"/>
        </w:rPr>
        <w:fldChar w:fldCharType="begin" w:fldLock="1"/>
      </w:r>
      <w:r w:rsidR="002224D1">
        <w:rPr>
          <w:rFonts w:cs="Times New Roman"/>
          <w:szCs w:val="24"/>
        </w:rPr>
        <w:instrText>ADDIN CSL_CITATION {"citationItems":[{"id":"ITEM-1","itemData":{"ISBN":"978 0 580 59381 9","author":[{"dropping-particle":"","family":"The British Standards Institution","given":"","non-dropping-particle":"","parse-names":false,"suffix":""}],"id":"ITEM-1","issued":{"date-parts":[["2007"]]},"title":"PAS 911:2007 Fire strategies – Guidance and framework for their formulation","type":"report"},"uris":["http://www.mendeley.com/documents/?uuid=822b26b6-bab8-4956-8cf5-f349ba109d1f","http://www.mendeley.com/documents/?uuid=c0f9ccfa-9fe8-4b17-9fea-2189490bf289"]}],"mendeley":{"formattedCitation":"[2]","plainTextFormattedCitation":"[2]","previouslyFormattedCitation":"[2]"},"properties":{"noteIndex":0},"schema":"https://github.com/citation-style-language/schema/raw/master/csl-citation.json"}</w:instrText>
      </w:r>
      <w:r w:rsidR="0044118F" w:rsidRPr="00F158CD">
        <w:rPr>
          <w:rFonts w:cs="Times New Roman"/>
          <w:szCs w:val="24"/>
        </w:rPr>
        <w:fldChar w:fldCharType="separate"/>
      </w:r>
      <w:r w:rsidR="00962604" w:rsidRPr="00962604">
        <w:rPr>
          <w:rFonts w:cs="Times New Roman"/>
          <w:noProof/>
          <w:szCs w:val="24"/>
        </w:rPr>
        <w:t>[2]</w:t>
      </w:r>
      <w:r w:rsidR="0044118F" w:rsidRPr="00F158CD">
        <w:rPr>
          <w:rFonts w:cs="Times New Roman"/>
          <w:szCs w:val="24"/>
        </w:rPr>
        <w:fldChar w:fldCharType="end"/>
      </w:r>
      <w:r w:rsidR="00A26C57">
        <w:rPr>
          <w:rFonts w:cs="Times New Roman"/>
          <w:szCs w:val="24"/>
        </w:rPr>
        <w:t>.</w:t>
      </w:r>
      <w:r w:rsidR="0044118F">
        <w:rPr>
          <w:rFonts w:cs="Times New Roman"/>
          <w:szCs w:val="24"/>
        </w:rPr>
        <w:t xml:space="preserve"> </w:t>
      </w:r>
      <w:r w:rsidR="00BD64A3">
        <w:rPr>
          <w:rFonts w:cs="Times New Roman"/>
          <w:szCs w:val="24"/>
        </w:rPr>
        <w:t xml:space="preserve">Regardless of the cost, </w:t>
      </w:r>
      <w:r w:rsidR="003D5FFB" w:rsidRPr="00F158CD">
        <w:rPr>
          <w:rFonts w:cs="Times New Roman"/>
          <w:szCs w:val="24"/>
        </w:rPr>
        <w:t>functional</w:t>
      </w:r>
      <w:r w:rsidR="003D5FFB">
        <w:rPr>
          <w:rFonts w:cs="Times New Roman"/>
          <w:szCs w:val="24"/>
        </w:rPr>
        <w:t xml:space="preserve"> objectives</w:t>
      </w:r>
      <w:r w:rsidR="003D5FFB" w:rsidRPr="00F158CD">
        <w:rPr>
          <w:rFonts w:cs="Times New Roman"/>
          <w:szCs w:val="24"/>
        </w:rPr>
        <w:t xml:space="preserve"> </w:t>
      </w:r>
      <w:r w:rsidR="006D6152">
        <w:rPr>
          <w:rFonts w:cs="Times New Roman"/>
          <w:szCs w:val="24"/>
        </w:rPr>
        <w:t xml:space="preserve">of buildings </w:t>
      </w:r>
      <w:r w:rsidR="005741AF">
        <w:rPr>
          <w:rFonts w:cs="Times New Roman"/>
          <w:szCs w:val="24"/>
        </w:rPr>
        <w:t xml:space="preserve">must </w:t>
      </w:r>
      <w:r w:rsidR="00FF40BB">
        <w:rPr>
          <w:rFonts w:cs="Times New Roman"/>
          <w:szCs w:val="24"/>
        </w:rPr>
        <w:t>consider</w:t>
      </w:r>
      <w:r w:rsidR="00F158CD" w:rsidRPr="00F158CD">
        <w:rPr>
          <w:rFonts w:cs="Times New Roman"/>
          <w:szCs w:val="24"/>
        </w:rPr>
        <w:t xml:space="preserve"> </w:t>
      </w:r>
      <w:r w:rsidR="00A26C57">
        <w:rPr>
          <w:rFonts w:cs="Times New Roman"/>
          <w:szCs w:val="24"/>
        </w:rPr>
        <w:t xml:space="preserve">life </w:t>
      </w:r>
      <w:r w:rsidR="00F158CD" w:rsidRPr="00F158CD">
        <w:rPr>
          <w:rFonts w:cs="Times New Roman"/>
          <w:szCs w:val="24"/>
        </w:rPr>
        <w:t>safety, property protection, business continuity and environmental impacts</w:t>
      </w:r>
      <w:r w:rsidR="005741AF">
        <w:rPr>
          <w:rFonts w:cs="Times New Roman"/>
          <w:szCs w:val="24"/>
        </w:rPr>
        <w:t xml:space="preserve"> </w:t>
      </w:r>
      <w:r w:rsidR="00F158CD" w:rsidRPr="00F158CD">
        <w:rPr>
          <w:rFonts w:cs="Times New Roman"/>
          <w:szCs w:val="24"/>
        </w:rPr>
        <w:fldChar w:fldCharType="begin" w:fldLock="1"/>
      </w:r>
      <w:r w:rsidR="002224D1">
        <w:rPr>
          <w:rFonts w:cs="Times New Roman"/>
          <w:szCs w:val="24"/>
        </w:rPr>
        <w:instrText>ADDIN CSL_CITATION {"citationItems":[{"id":"ITEM-1","itemData":{"author":[{"dropping-particle":"","family":"The British Standards Institution","given":"","non-dropping-particle":"","parse-names":false,"suffix":""}],"id":"ITEM-1","issued":{"date-parts":[["2019"]]},"title":"BS 7974: Application of Fire Safety Engineering Principles to the Design of Buildings - Code of Practice","type":"book"},"uris":["http://www.mendeley.com/documents/?uuid=cd1060a1-0b49-4291-b10a-bcfcb8196845","http://www.mendeley.com/documents/?uuid=e61dbba0-cc52-446e-b635-fd48e00cf6a9"]}],"mendeley":{"formattedCitation":"[4]","plainTextFormattedCitation":"[4]","previouslyFormattedCitation":"[4]"},"properties":{"noteIndex":0},"schema":"https://github.com/citation-style-language/schema/raw/master/csl-citation.json"}</w:instrText>
      </w:r>
      <w:r w:rsidR="00F158CD" w:rsidRPr="00F158CD">
        <w:rPr>
          <w:rFonts w:cs="Times New Roman"/>
          <w:szCs w:val="24"/>
        </w:rPr>
        <w:fldChar w:fldCharType="separate"/>
      </w:r>
      <w:r w:rsidR="00962604" w:rsidRPr="00962604">
        <w:rPr>
          <w:rFonts w:cs="Times New Roman"/>
          <w:noProof/>
          <w:szCs w:val="24"/>
        </w:rPr>
        <w:t>[4]</w:t>
      </w:r>
      <w:r w:rsidR="00F158CD" w:rsidRPr="00F158CD">
        <w:rPr>
          <w:rFonts w:cs="Times New Roman"/>
          <w:szCs w:val="24"/>
        </w:rPr>
        <w:fldChar w:fldCharType="end"/>
      </w:r>
      <w:r w:rsidR="00F158CD" w:rsidRPr="00F158CD">
        <w:rPr>
          <w:rFonts w:cs="Times New Roman"/>
          <w:szCs w:val="24"/>
        </w:rPr>
        <w:t xml:space="preserve">. </w:t>
      </w:r>
    </w:p>
    <w:p w14:paraId="6188B31B" w14:textId="6ACD9E68" w:rsidR="00F158CD" w:rsidRPr="00F158CD" w:rsidRDefault="00F158CD" w:rsidP="008919FB">
      <w:pPr>
        <w:rPr>
          <w:rFonts w:cs="Times New Roman"/>
          <w:szCs w:val="24"/>
        </w:rPr>
      </w:pPr>
      <w:r w:rsidRPr="00F158CD">
        <w:rPr>
          <w:rFonts w:cs="Times New Roman"/>
          <w:szCs w:val="24"/>
        </w:rPr>
        <w:t xml:space="preserve">The criteria against which the functional objectives </w:t>
      </w:r>
      <w:r w:rsidR="004063BE">
        <w:rPr>
          <w:rFonts w:cs="Times New Roman"/>
          <w:szCs w:val="24"/>
        </w:rPr>
        <w:t>must be</w:t>
      </w:r>
      <w:r w:rsidRPr="00F158CD">
        <w:rPr>
          <w:rFonts w:cs="Times New Roman"/>
          <w:szCs w:val="24"/>
        </w:rPr>
        <w:t xml:space="preserve"> met could be set as deterministic or probabilistic. Deterministic criteria are generally validated using</w:t>
      </w:r>
      <w:r w:rsidR="003338D0">
        <w:rPr>
          <w:rFonts w:cs="Times New Roman"/>
          <w:szCs w:val="24"/>
        </w:rPr>
        <w:t xml:space="preserve"> experiments involving the</w:t>
      </w:r>
      <w:r w:rsidRPr="00F158CD">
        <w:rPr>
          <w:rFonts w:cs="Times New Roman"/>
          <w:szCs w:val="24"/>
        </w:rPr>
        <w:t xml:space="preserve"> response of single elements </w:t>
      </w:r>
      <w:r w:rsidRPr="00F158CD">
        <w:rPr>
          <w:rFonts w:cs="Times New Roman"/>
          <w:szCs w:val="24"/>
        </w:rPr>
        <w:fldChar w:fldCharType="begin" w:fldLock="1"/>
      </w:r>
      <w:r w:rsidR="002224D1">
        <w:rPr>
          <w:rFonts w:cs="Times New Roman"/>
          <w:szCs w:val="24"/>
        </w:rPr>
        <w:instrText>ADDIN CSL_CITATION {"citationItems":[{"id":"ITEM-1","itemData":{"author":[{"dropping-particle":"","family":"Rush","given":"David","non-dropping-particle":"","parse-names":false,"suffix":""},{"dropping-particle":"","family":"Bisby","given":"Luke","non-dropping-particle":"","parse-names":false,"suffix":""},{"dropping-particle":"","family":"Ioannou","given":"Ioanna","non-dropping-particle":"","parse-names":false,"suffix":""},{"dropping-particle":"","family":"Rossetto","given":"Tiziana","non-dropping-particle":"","parse-names":false,"suffix":""}],"container-title":"8th SiF","id":"ITEM-1","issued":{"date-parts":[["2014"]]},"page":"467 - 474","publisher-place":"Shanghai","title":"Towards fragility analysis for concrete buildings in fire: residual capacity of concrete columns","type":"paper-conference"},"uris":["http://www.mendeley.com/documents/?uuid=37329351-548b-4fc2-b76e-4a5d9b3e005b"]}],"mendeley":{"formattedCitation":"[5]","plainTextFormattedCitation":"[5]","previouslyFormattedCitation":"[5]"},"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[5]</w:t>
      </w:r>
      <w:r w:rsidRPr="00F158CD">
        <w:rPr>
          <w:rFonts w:cs="Times New Roman"/>
          <w:szCs w:val="24"/>
        </w:rPr>
        <w:fldChar w:fldCharType="end"/>
      </w:r>
      <w:r w:rsidRPr="00F158CD">
        <w:rPr>
          <w:rFonts w:cs="Times New Roman"/>
          <w:szCs w:val="24"/>
        </w:rPr>
        <w:t xml:space="preserve"> or using full-scale</w:t>
      </w:r>
      <w:r w:rsidR="00611E97">
        <w:rPr>
          <w:rFonts w:cs="Times New Roman"/>
          <w:szCs w:val="24"/>
        </w:rPr>
        <w:t xml:space="preserve"> </w:t>
      </w:r>
      <w:r w:rsidRPr="00F158CD">
        <w:rPr>
          <w:rFonts w:cs="Times New Roman"/>
          <w:szCs w:val="24"/>
        </w:rPr>
        <w:t xml:space="preserve">test </w:t>
      </w:r>
      <w:r w:rsidRPr="00F158CD">
        <w:rPr>
          <w:rFonts w:cs="Times New Roman"/>
          <w:szCs w:val="24"/>
        </w:rPr>
        <w:fldChar w:fldCharType="begin" w:fldLock="1"/>
      </w:r>
      <w:r w:rsidR="002224D1">
        <w:rPr>
          <w:rFonts w:cs="Times New Roman"/>
          <w:szCs w:val="24"/>
        </w:rPr>
        <w:instrText>ADDIN CSL_CITATION {"citationItems":[{"id":"ITEM-1","itemData":{"DOI":"10.1186/2193-0414-2-1","ISSN":"2193-0414","abstract":"In recent years, large-scale structural fire testing has experienced something of a renaissance. After about a century with the standard fire resistance test being the predominant means to characterize the response of structural elements in fires, both research and regulatory communities are confronting the many inherent problems associated with using simplified single element tests, on isolated structural members subjected to unrealistic temperature-time curves, to demonstrate adequate structural performance in fires. As a consequence, a shift in testing philosophy to large-scale non-standard fire testing, using real rather than standard fires, is growing in momentum. A number of custom made, non-standard testing facilities have recently been constructed or are nearing completion. Non-standard fire tests performed around the world during the past three decades have identified numerous shortcomings in our understanding of real building behavior during real fires; in most cases these shortcomings could not have been observed through standard furnace tests. Supported by a grant from the Fire Protection Research Foundation, this paper presents a review of relevant non-standard structural fire engineering research done at the large-scale around the world during the past few decades. It identifies gaps and research needs based both on the conclusions of previous researchers and also on the authors’ own assessment of the information presented. A review of similar research needs assessments carried out or presented during the past ten years is included. The overarching objective is to highlight gaps in knowledge and to help steer future research in structural fire engineering, particularly experimental research at the large-scale.","author":[{"dropping-particle":"","family":"Bisby","given":"Luke","non-dropping-particle":"","parse-names":false,"suffix":""},{"dropping-particle":"","family":"Gales","given":"John","non-dropping-particle":"","parse-names":false,"suffix":""},{"dropping-particle":"","family":"Maluk","given":"Cristián","non-dropping-particle":"","parse-names":false,"suffix":""}],"container-title":"Fire Science Reviews","id":"ITEM-1","issue":"1","issued":{"date-parts":[["2013"]]},"title":"A contemporary review of large-scale non-standard structural fire testing","type":"article-journal","volume":"2"},"uris":["http://www.mendeley.com/documents/?uuid=98459b6f-6802-4c67-bb22-bf124fe1463f"]}],"mendeley":{"formattedCitation":"[6]","plainTextFormattedCitation":"[6]","previouslyFormattedCitation":"[6]"},"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[6]</w:t>
      </w:r>
      <w:r w:rsidRPr="00F158CD">
        <w:rPr>
          <w:rFonts w:cs="Times New Roman"/>
          <w:szCs w:val="24"/>
        </w:rPr>
        <w:fldChar w:fldCharType="end"/>
      </w:r>
      <w:r w:rsidRPr="00F158CD">
        <w:rPr>
          <w:rFonts w:cs="Times New Roman"/>
          <w:szCs w:val="24"/>
        </w:rPr>
        <w:t xml:space="preserve"> which </w:t>
      </w:r>
      <w:r w:rsidR="00A26C57">
        <w:rPr>
          <w:rFonts w:cs="Times New Roman"/>
          <w:szCs w:val="24"/>
        </w:rPr>
        <w:t>could be</w:t>
      </w:r>
      <w:r w:rsidR="00A26C57" w:rsidRPr="00F158CD">
        <w:rPr>
          <w:rFonts w:cs="Times New Roman"/>
          <w:szCs w:val="24"/>
        </w:rPr>
        <w:t xml:space="preserve"> </w:t>
      </w:r>
      <w:r w:rsidRPr="00F158CD">
        <w:rPr>
          <w:rFonts w:cs="Times New Roman"/>
          <w:szCs w:val="24"/>
        </w:rPr>
        <w:t>expensive, time consuming and not always able to recreate all the possible fire scenarios</w:t>
      </w:r>
      <w:r w:rsidRPr="00513D10">
        <w:rPr>
          <w:rFonts w:cs="Times New Roman"/>
          <w:szCs w:val="24"/>
        </w:rPr>
        <w:t xml:space="preserve">. </w:t>
      </w:r>
      <w:r w:rsidR="004063BE" w:rsidRPr="00907CB6">
        <w:rPr>
          <w:rFonts w:cs="Times New Roman"/>
          <w:szCs w:val="24"/>
        </w:rPr>
        <w:t xml:space="preserve">Probabilistic </w:t>
      </w:r>
      <w:r w:rsidR="00513D10" w:rsidRPr="00907CB6">
        <w:rPr>
          <w:rFonts w:cs="Times New Roman"/>
          <w:szCs w:val="24"/>
        </w:rPr>
        <w:t xml:space="preserve">risk </w:t>
      </w:r>
      <w:r w:rsidR="004063BE" w:rsidRPr="00907CB6">
        <w:rPr>
          <w:rFonts w:cs="Times New Roman"/>
          <w:szCs w:val="24"/>
        </w:rPr>
        <w:t>criteria are generally</w:t>
      </w:r>
      <w:r w:rsidR="004063BE" w:rsidRPr="00513D10">
        <w:rPr>
          <w:rFonts w:cs="Times New Roman"/>
          <w:szCs w:val="24"/>
        </w:rPr>
        <w:t xml:space="preserve"> based</w:t>
      </w:r>
      <w:r w:rsidR="004063BE">
        <w:rPr>
          <w:rFonts w:cs="Times New Roman"/>
          <w:szCs w:val="24"/>
        </w:rPr>
        <w:t xml:space="preserve"> on </w:t>
      </w:r>
      <w:r w:rsidR="00513D10">
        <w:rPr>
          <w:rFonts w:cs="Times New Roman"/>
          <w:szCs w:val="24"/>
        </w:rPr>
        <w:t xml:space="preserve">statistical data </w:t>
      </w:r>
      <w:r w:rsidR="00513D10">
        <w:rPr>
          <w:rFonts w:cs="Times New Roman"/>
          <w:szCs w:val="24"/>
        </w:rPr>
        <w:fldChar w:fldCharType="begin" w:fldLock="1"/>
      </w:r>
      <w:r w:rsidR="002224D1">
        <w:rPr>
          <w:rFonts w:cs="Times New Roman"/>
          <w:szCs w:val="24"/>
        </w:rPr>
        <w:instrText>ADDIN CSL_CITATION {"citationItems":[{"id":"ITEM-1","itemData":{"DOI":"10.1016/S0926-5805(98)00096-X","ISSN":"09265805","abstract":"In many countries around the world, building codes are shifting from prescriptive- to performance-based for technical, economic, and social reasons. This move is made possible by progress in fire safety technologies, including the development of engineering tools that are required to implement performance codes. The development of performance-based codes follows a transparent, hierarchical structure in which there are usually three levels of objectives. The top level objectives usually state the functional requirements and the lowest level the performance criteria. Usually, one middle level exists, however, more levels can be used in this hierarchical structure depending on the complexity of the requirements. The success of performance-based codes depends on the ability to establish performance criteria that will be verifiable and enforceable. The performance criteria should be such that designers can easily demonstrate, using engineering tools, that their designs meet them and that the code authority can enforce them. This paper presents the performance criteria that are currently used by fire protection engineers in designing fire safety systems in buildings. These include deterministic and probabilistic design criteria as well as safety factors. The deterministic criteria relate mainly to life safety levels, fire growth and spread levels, fire exposure and structural performance. The probabilistic criteria focus on the incident severity and incident likelihood. Finally, the inclusion of safety factors permits a conservative design and allows for a smaller margin of error due to uncertainty in the models and the input data.","author":[{"dropping-particle":"V.","family":"Hadjisophocleous","given":"George","non-dropping-particle":"","parse-names":false,"suffix":""},{"dropping-particle":"","family":"Benichou","given":"Noureddine","non-dropping-particle":"","parse-names":false,"suffix":""}],"container-title":"Automation in construction","id":"ITEM-1","issue":"4","issued":{"date-parts":[["1999"]]},"page":"489-501","title":"Performance criteria used in fire safety design","type":"article-journal","volume":"8"},"uris":["http://www.mendeley.com/documents/?uuid=32a5c0df-24d3-432a-bcff-253a9da969c8"]}],"mendeley":{"formattedCitation":"[7]","plainTextFormattedCitation":"[7]","previouslyFormattedCitation":"[7]"},"properties":{"noteIndex":0},"schema":"https://github.com/citation-style-language/schema/raw/master/csl-citation.json"}</w:instrText>
      </w:r>
      <w:r w:rsidR="00513D10">
        <w:rPr>
          <w:rFonts w:cs="Times New Roman"/>
          <w:szCs w:val="24"/>
        </w:rPr>
        <w:fldChar w:fldCharType="separate"/>
      </w:r>
      <w:r w:rsidR="00962604" w:rsidRPr="00962604">
        <w:rPr>
          <w:rFonts w:cs="Times New Roman"/>
          <w:noProof/>
          <w:szCs w:val="24"/>
        </w:rPr>
        <w:t>[7]</w:t>
      </w:r>
      <w:r w:rsidR="00513D10">
        <w:rPr>
          <w:rFonts w:cs="Times New Roman"/>
          <w:szCs w:val="24"/>
        </w:rPr>
        <w:fldChar w:fldCharType="end"/>
      </w:r>
      <w:r w:rsidR="004063BE">
        <w:rPr>
          <w:rFonts w:cs="Times New Roman"/>
          <w:szCs w:val="24"/>
        </w:rPr>
        <w:t xml:space="preserve">. </w:t>
      </w:r>
      <w:r w:rsidRPr="00F158CD">
        <w:rPr>
          <w:rFonts w:cs="Times New Roman"/>
          <w:szCs w:val="24"/>
        </w:rPr>
        <w:t xml:space="preserve">In order to have a </w:t>
      </w:r>
      <w:r w:rsidR="004063BE" w:rsidRPr="00F158CD">
        <w:rPr>
          <w:rFonts w:cs="Times New Roman"/>
          <w:szCs w:val="24"/>
        </w:rPr>
        <w:t xml:space="preserve">representative </w:t>
      </w:r>
      <w:r w:rsidRPr="00F158CD">
        <w:rPr>
          <w:rFonts w:cs="Times New Roman"/>
          <w:szCs w:val="24"/>
        </w:rPr>
        <w:t>data</w:t>
      </w:r>
      <w:r w:rsidR="004063BE">
        <w:rPr>
          <w:rFonts w:cs="Times New Roman"/>
          <w:szCs w:val="24"/>
        </w:rPr>
        <w:t xml:space="preserve">set, statistical analyses of </w:t>
      </w:r>
      <w:r w:rsidR="009C2DBE">
        <w:rPr>
          <w:rFonts w:cs="Times New Roman"/>
          <w:szCs w:val="24"/>
        </w:rPr>
        <w:t>real building fires</w:t>
      </w:r>
      <w:r w:rsidRPr="00F158CD">
        <w:rPr>
          <w:rFonts w:cs="Times New Roman"/>
          <w:szCs w:val="24"/>
        </w:rPr>
        <w:t xml:space="preserve"> are usually </w:t>
      </w:r>
      <w:r w:rsidR="004063BE">
        <w:rPr>
          <w:rFonts w:cs="Times New Roman"/>
          <w:szCs w:val="24"/>
        </w:rPr>
        <w:t>produced</w:t>
      </w:r>
      <w:r w:rsidRPr="00F158CD">
        <w:rPr>
          <w:rFonts w:cs="Times New Roman"/>
          <w:szCs w:val="24"/>
        </w:rPr>
        <w:t xml:space="preserve">. Previous studies have considered national fire statistics of UK, USA and New Zealand which have common mandatory fields investigating pre and post-fire conditions </w:t>
      </w:r>
      <w:r w:rsidRPr="00F158CD">
        <w:rPr>
          <w:rFonts w:cs="Times New Roman"/>
          <w:szCs w:val="24"/>
        </w:rPr>
        <w:fldChar w:fldCharType="begin" w:fldLock="1"/>
      </w:r>
      <w:r w:rsidR="002224D1">
        <w:rPr>
          <w:rFonts w:cs="Times New Roman"/>
          <w:szCs w:val="24"/>
        </w:rPr>
        <w:instrText>ADDIN CSL_CITATION {"citationItems":[{"id":"ITEM-1","itemData":{"author":[{"dropping-particle":"","family":"Manes","given":"M","non-dropping-particle":"","parse-names":false,"suffix":""},{"dropping-particle":"","family":"Rush","given":"D","non-dropping-particle":"","parse-names":false,"suffix":""}],"container-title":"2nd International Conference on Structural Safety under Fire and Blast Loading (CONFAB 17)","id":"ITEM-1","issued":{"date-parts":[["2017"]]},"page":"108-117","title":"Meta-analysis of response times and safety systems to the fire size, growth and damage, based on UK, USA and New Zealand fire statistics databases.","type":"article-journal"},"uris":["http://www.mendeley.com/documents/?uuid=15029e51-0379-49ce-851e-f08891d2a824"]}],"mendeley":{"formattedCitation":"[8]","plainTextFormattedCitation":"[8]","previouslyFormattedCitation":"[8]"},"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[8]</w:t>
      </w:r>
      <w:r w:rsidRPr="00F158CD">
        <w:rPr>
          <w:rFonts w:cs="Times New Roman"/>
          <w:szCs w:val="24"/>
        </w:rPr>
        <w:fldChar w:fldCharType="end"/>
      </w:r>
      <w:r w:rsidRPr="00F158CD">
        <w:rPr>
          <w:rFonts w:cs="Times New Roman"/>
          <w:szCs w:val="24"/>
        </w:rPr>
        <w:t xml:space="preserve"> as well as direct financial losses </w:t>
      </w:r>
      <w:r w:rsidRPr="00F158CD">
        <w:rPr>
          <w:rFonts w:cs="Times New Roman"/>
          <w:szCs w:val="24"/>
        </w:rPr>
        <w:fldChar w:fldCharType="begin" w:fldLock="1"/>
      </w:r>
      <w:r w:rsidR="002224D1">
        <w:rPr>
          <w:rFonts w:cs="Times New Roman"/>
          <w:szCs w:val="24"/>
        </w:rPr>
        <w:instrText>ADDIN CSL_CITATION {"citationItems":[{"id":"ITEM-1","itemData":{"author":[{"dropping-particle":"","family":"Manes","given":"M","non-dropping-particle":"","parse-names":false,"suffix":""},{"dropping-particle":"","family":"Rush","given":"D","non-dropping-particle":"","parse-names":false,"suffix":""}],"container-title":"Applications of Fire Engineering: Proceedings of the International Conference of Applications of Structural Fire Engineering (ASFE 2017)","id":"ITEM-1","issued":{"date-parts":[["2017"]]},"page":"179-188","publisher":"CRC Press","title":"Meta-analysis of UK , USA and New Zealand fire statistics databases with respect to damage and financial loss.","type":"paper-conference"},"uris":["http://www.mendeley.com/documents/?uuid=4256900c-5d58-49ee-ab75-0c532ece96eb"]}],"mendeley":{"formattedCitation":"[9]","plainTextFormattedCitation":"[9]","previouslyFormattedCitation":"[9]"},"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[9]</w:t>
      </w:r>
      <w:r w:rsidRPr="00F158CD">
        <w:rPr>
          <w:rFonts w:cs="Times New Roman"/>
          <w:szCs w:val="24"/>
        </w:rPr>
        <w:fldChar w:fldCharType="end"/>
      </w:r>
      <w:r w:rsidRPr="00F158CD">
        <w:rPr>
          <w:rFonts w:cs="Times New Roman"/>
          <w:szCs w:val="24"/>
        </w:rPr>
        <w:t xml:space="preserve">. Statistical analyses convert </w:t>
      </w:r>
      <w:r w:rsidR="009C2DBE">
        <w:rPr>
          <w:rFonts w:cs="Times New Roman"/>
          <w:szCs w:val="24"/>
        </w:rPr>
        <w:t>fire data</w:t>
      </w:r>
      <w:r w:rsidRPr="00F158CD">
        <w:rPr>
          <w:rFonts w:cs="Times New Roman"/>
          <w:szCs w:val="24"/>
        </w:rPr>
        <w:t xml:space="preserve"> into information useful to predict the likelihood of occurrence and consequences </w:t>
      </w:r>
      <w:r w:rsidRPr="00F158CD">
        <w:rPr>
          <w:rFonts w:cs="Times New Roman"/>
          <w:szCs w:val="24"/>
        </w:rPr>
        <w:fldChar w:fldCharType="begin" w:fldLock="1"/>
      </w:r>
      <w:r w:rsidR="002224D1">
        <w:rPr>
          <w:rFonts w:cs="Times New Roman"/>
          <w:szCs w:val="24"/>
        </w:rPr>
        <w:instrText>ADDIN CSL_CITATION {"citationItems":[{"id":"ITEM-1","itemData":{"DOI":"10.4324/9780203937693","ISBN":"9780203937693","PMID":"15777808","abstract":"Fire safety regulations in many countries require Fire Risk Assessment to be carried out for buildings such as workplaces and houses in multiple occupation. This duty is imposed on a \"Responsible Person\" and also on any other persons having control of buildings in compliance with the requirements specified in the regulations. Although regulations only require a qualitative assessment of fire risk, a quantitative assessment is an essential first step for performing cost-benefit analysis of alternative fire strategies to comply with the regulations and selecting the most cost-effective strategy. To facilitate this assessment, various qualitative, semi-quantitative and quantitative techniques of fire risk assessment, already developed, are critically reviewed in this book and some improvements are suggested. This book is intended to be an expanded version of Part 7: Probabilistic risk assessment, 2003, a Published Document (PD) to British Standard BS 7974: 2001 on the Application of Fire Safety Engineering Principles to the Design of Buildings. Ganapathy Ramachandran and David Charters were co-authors of PD 7974 Part 7. Quantitative Risk Assessment in Fire Safety is essential reading for consultants, academics, fire safety engineers, fire officers, building control officers and students in fire safety engineering. It also provides useful tools for fire protection economists and risk management professionals, including those involved in fire insurance underwriting.","author":[{"dropping-particle":"","family":"Ramachandran","given":"Ganapathy","non-dropping-particle":"","parse-names":false,"suffix":""},{"dropping-particle":"","family":"Charters","given":"David","non-dropping-particle":"","parse-names":false,"suffix":""}],"id":"ITEM-1","issued":{"date-parts":[["2011"]]},"number-of-pages":"1-369","publisher":"Routledge","title":"Quantitative risk assessment in fire safety","type":"book"},"uris":["http://www.mendeley.com/documents/?uuid=44717352-975e-4b23-8c89-4734b9df0f2d"]}],"mendeley":{"formattedCitation":"[10]","plainTextFormattedCitation":"[10]","previouslyFormattedCitation":"[10]"},"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[10]</w:t>
      </w:r>
      <w:r w:rsidRPr="00F158CD">
        <w:rPr>
          <w:rFonts w:cs="Times New Roman"/>
          <w:szCs w:val="24"/>
        </w:rPr>
        <w:fldChar w:fldCharType="end"/>
      </w:r>
      <w:r w:rsidR="00FF40BB">
        <w:rPr>
          <w:rFonts w:cs="Times New Roman"/>
          <w:szCs w:val="24"/>
        </w:rPr>
        <w:t xml:space="preserve"> </w:t>
      </w:r>
      <w:r w:rsidRPr="00F158CD">
        <w:rPr>
          <w:rFonts w:cs="Times New Roman"/>
          <w:szCs w:val="24"/>
        </w:rPr>
        <w:t xml:space="preserve">where quantitative risk assessments are adopted to recreate </w:t>
      </w:r>
      <w:r w:rsidR="008919FB">
        <w:rPr>
          <w:rFonts w:cs="Times New Roman"/>
          <w:szCs w:val="24"/>
        </w:rPr>
        <w:t xml:space="preserve">fire scenarios, </w:t>
      </w:r>
      <w:r w:rsidRPr="00F158CD">
        <w:rPr>
          <w:rFonts w:cs="Times New Roman"/>
          <w:szCs w:val="24"/>
        </w:rPr>
        <w:lastRenderedPageBreak/>
        <w:t>system failure modes</w:t>
      </w:r>
      <w:r w:rsidR="009C2DBE">
        <w:rPr>
          <w:rFonts w:cs="Times New Roman"/>
          <w:szCs w:val="24"/>
        </w:rPr>
        <w:t xml:space="preserve"> and</w:t>
      </w:r>
      <w:r w:rsidR="008919FB">
        <w:rPr>
          <w:rFonts w:cs="Times New Roman"/>
          <w:szCs w:val="24"/>
        </w:rPr>
        <w:t xml:space="preserve"> provide</w:t>
      </w:r>
      <w:r w:rsidRPr="00F158CD">
        <w:rPr>
          <w:rFonts w:cs="Times New Roman"/>
          <w:szCs w:val="24"/>
        </w:rPr>
        <w:t xml:space="preserve"> insights about physical ph</w:t>
      </w:r>
      <w:r w:rsidR="009C2DBE">
        <w:rPr>
          <w:rFonts w:cs="Times New Roman"/>
          <w:szCs w:val="24"/>
        </w:rPr>
        <w:t>enomena and human behaviour facilitating</w:t>
      </w:r>
      <w:r w:rsidRPr="00F158CD">
        <w:rPr>
          <w:rFonts w:cs="Times New Roman"/>
          <w:szCs w:val="24"/>
        </w:rPr>
        <w:t xml:space="preserve"> risk treatment and management </w:t>
      </w:r>
      <w:r w:rsidRPr="00F158CD">
        <w:rPr>
          <w:rFonts w:cs="Times New Roman"/>
          <w:szCs w:val="24"/>
        </w:rPr>
        <w:fldChar w:fldCharType="begin" w:fldLock="1"/>
      </w:r>
      <w:r w:rsidR="002224D1">
        <w:rPr>
          <w:rFonts w:cs="Times New Roman"/>
          <w:szCs w:val="24"/>
        </w:rPr>
        <w:instrText>ADDIN CSL_CITATION {"citationItems":[{"id":"ITEM-1","itemData":{"DOI":"10.1111/j.0272-4332.2004.00455.x","abstract":"This article discusses the use of quantitative risk assessment (QRA) in decision making regarding the safety of complex technological systems. The insights gained by QRA are compared with those from traditional safety methods and it is argued that the two approaches complement each other. It is argued that peer review is an essential part of the QRA process. The importance of risk-informed rather than risk-based decision making is emphasized. Engineering insights derived from QRAs are always used in combination with traditional safety requirements and it is in this context that they should be reviewed and critiqued. Examples from applications in nuclear power, space systems, and an incinerator of chemical agents are given to demonstrate the practical benefits of QRA. Finally, several common criticisms raised against QRA are addressed.","author":[{"dropping-particle":"","family":"Apostolakis G.E.","given":"","non-dropping-particle":"","parse-names":false,"suffix":""}],"container-title":"Risk Analysis","id":"ITEM-1","issue":"3","issued":{"date-parts":[["2004"]]},"page":"515-520","title":"How Useful Is Quantitative Risk Assessment?","type":"article-journal","volume":"24"},"uris":["http://www.mendeley.com/documents/?uuid=3acde2ca-c581-416a-95ec-183845cd0dc2"]}],"mendeley":{"formattedCitation":"[11]","plainTextFormattedCitation":"[11]","previouslyFormattedCitation":"[11]"},"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[11]</w:t>
      </w:r>
      <w:r w:rsidRPr="00F158CD">
        <w:rPr>
          <w:rFonts w:cs="Times New Roman"/>
          <w:szCs w:val="24"/>
        </w:rPr>
        <w:fldChar w:fldCharType="end"/>
      </w:r>
      <w:r w:rsidRPr="00F158CD">
        <w:rPr>
          <w:rFonts w:cs="Times New Roman"/>
          <w:szCs w:val="24"/>
        </w:rPr>
        <w:t xml:space="preserve">. </w:t>
      </w:r>
    </w:p>
    <w:p w14:paraId="5EF3BE37" w14:textId="7A350652" w:rsidR="006675FE" w:rsidRDefault="00F158CD" w:rsidP="00962604">
      <w:pPr>
        <w:rPr>
          <w:rFonts w:cs="Times New Roman"/>
          <w:szCs w:val="24"/>
        </w:rPr>
      </w:pPr>
      <w:r w:rsidRPr="00F158CD">
        <w:rPr>
          <w:rFonts w:cs="Times New Roman"/>
          <w:szCs w:val="24"/>
        </w:rPr>
        <w:t xml:space="preserve">The </w:t>
      </w:r>
      <w:r w:rsidR="00EC4252">
        <w:rPr>
          <w:rFonts w:cs="Times New Roman"/>
          <w:szCs w:val="24"/>
        </w:rPr>
        <w:t xml:space="preserve">British Standards </w:t>
      </w:r>
      <w:r w:rsidRPr="00F158CD">
        <w:rPr>
          <w:rFonts w:cs="Times New Roman"/>
          <w:szCs w:val="24"/>
        </w:rPr>
        <w:t xml:space="preserve">PD 7974-7:2003 </w:t>
      </w:r>
      <w:r w:rsidRPr="00F158CD">
        <w:rPr>
          <w:rFonts w:cs="Times New Roman"/>
          <w:szCs w:val="24"/>
        </w:rPr>
        <w:fldChar w:fldCharType="begin" w:fldLock="1"/>
      </w:r>
      <w:r w:rsidR="002224D1">
        <w:rPr>
          <w:rFonts w:cs="Times New Roman"/>
          <w:szCs w:val="24"/>
        </w:rPr>
        <w:instrText>ADDIN CSL_CITATION {"citationItems":[{"id":"ITEM-1","itemData":{"ISBN":"0-508-41515-5","author":[{"dropping-particle":"","family":"The British Standards Institution","given":"","non-dropping-particle":"","parse-names":false,"suffix":""}],"id":"ITEM-1","issued":{"date-parts":[["2003"]]},"title":"PD 7974-7 Application of fire safety engineering principles to the design of buildings — Part 7: Probabilistic risk assessment","type":"book"},"uris":["http://www.mendeley.com/documents/?uuid=939ef726-1b50-4e5c-b39d-a90e50ef2a69","http://www.mendeley.com/documents/?uuid=f93a8231-37b1-490a-b667-d2d6c2d792ec"]}],"mendeley":{"formattedCitation":"[12]","plainTextFormattedCitation":"[12]","previouslyFormattedCitation":"[12]"},"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[12]</w:t>
      </w:r>
      <w:r w:rsidRPr="00F158CD">
        <w:rPr>
          <w:rFonts w:cs="Times New Roman"/>
          <w:szCs w:val="24"/>
        </w:rPr>
        <w:fldChar w:fldCharType="end"/>
      </w:r>
      <w:r w:rsidRPr="00F158CD">
        <w:rPr>
          <w:rFonts w:cs="Times New Roman"/>
          <w:szCs w:val="24"/>
        </w:rPr>
        <w:t xml:space="preserve"> provides </w:t>
      </w:r>
      <w:r w:rsidR="00E96831">
        <w:rPr>
          <w:rFonts w:cs="Times New Roman"/>
          <w:szCs w:val="24"/>
        </w:rPr>
        <w:t xml:space="preserve">a </w:t>
      </w:r>
      <w:r w:rsidRPr="00F158CD">
        <w:rPr>
          <w:rFonts w:cs="Times New Roman"/>
          <w:szCs w:val="24"/>
        </w:rPr>
        <w:t>useful methodology and techniques to develop probabilistic ris</w:t>
      </w:r>
      <w:r w:rsidR="008919FB">
        <w:rPr>
          <w:rFonts w:cs="Times New Roman"/>
          <w:szCs w:val="24"/>
        </w:rPr>
        <w:t>k assessment</w:t>
      </w:r>
      <w:r w:rsidR="007D0690">
        <w:rPr>
          <w:rFonts w:cs="Times New Roman"/>
          <w:szCs w:val="24"/>
        </w:rPr>
        <w:t xml:space="preserve"> (PRA)</w:t>
      </w:r>
      <w:r w:rsidR="008919FB">
        <w:rPr>
          <w:rFonts w:cs="Times New Roman"/>
          <w:szCs w:val="24"/>
        </w:rPr>
        <w:t>. This document</w:t>
      </w:r>
      <w:r w:rsidR="004063BE">
        <w:rPr>
          <w:rFonts w:cs="Times New Roman"/>
          <w:szCs w:val="24"/>
        </w:rPr>
        <w:t>,</w:t>
      </w:r>
      <w:r w:rsidR="008919FB">
        <w:rPr>
          <w:rFonts w:cs="Times New Roman"/>
          <w:szCs w:val="24"/>
        </w:rPr>
        <w:t xml:space="preserve"> updated in 2019, </w:t>
      </w:r>
      <w:r w:rsidRPr="00F158CD">
        <w:rPr>
          <w:rFonts w:cs="Times New Roman"/>
          <w:szCs w:val="24"/>
        </w:rPr>
        <w:t>presents flowcharts to evaluate risk assessment and reasons for acceptable criteria</w:t>
      </w:r>
      <w:r w:rsidR="00FE50FD">
        <w:rPr>
          <w:rFonts w:cs="Times New Roman"/>
          <w:szCs w:val="24"/>
        </w:rPr>
        <w:t xml:space="preserve">. However, no absolute risk criteria are included where the evaluation of risk does not affect risk management </w:t>
      </w:r>
      <w:r w:rsidRPr="00F158CD">
        <w:rPr>
          <w:rFonts w:cs="Times New Roman"/>
          <w:szCs w:val="24"/>
        </w:rPr>
        <w:fldChar w:fldCharType="begin" w:fldLock="1"/>
      </w:r>
      <w:r w:rsidR="002224D1">
        <w:rPr>
          <w:rFonts w:cs="Times New Roman"/>
          <w:szCs w:val="24"/>
        </w:rPr>
        <w:instrText>ADDIN CSL_CITATION {"citationItems":[{"id":"ITEM-1","itemData":{"author":[{"dropping-particle":"","family":"The British Standards Institution","given":"","non-dropping-particle":"","parse-names":false,"suffix":""}],"id":"ITEM-1","issued":{"date-parts":[["2019"]]},"title":"PD 7974-7 Application of Fire Safety Engineering Principles to the Design of Buildings - Part 7: Probabilistic risk assessment","type":"book"},"uris":["http://www.mendeley.com/documents/?uuid=e000cb6c-baa6-438d-91a9-b2c3ba2e01b8","http://www.mendeley.com/documents/?uuid=79f9d1f7-612c-464e-b987-9a162d4e0a7e"]}],"mendeley":{"formattedCitation":"[13]","plainTextFormattedCitation":"[13]","previouslyFormattedCitation":"[13]"},"properties":{"noteIndex":0},"schema":"https://github.com/citation-style-language/schema/raw/master/csl-citation.json"}</w:instrText>
      </w:r>
      <w:r w:rsidRPr="00F158CD">
        <w:rPr>
          <w:rFonts w:cs="Times New Roman"/>
          <w:szCs w:val="24"/>
        </w:rPr>
        <w:fldChar w:fldCharType="separate"/>
      </w:r>
      <w:r w:rsidR="00962604" w:rsidRPr="00962604">
        <w:rPr>
          <w:rFonts w:cs="Times New Roman"/>
          <w:noProof/>
          <w:szCs w:val="24"/>
        </w:rPr>
        <w:t>[13]</w:t>
      </w:r>
      <w:r w:rsidRPr="00F158CD">
        <w:rPr>
          <w:rFonts w:cs="Times New Roman"/>
          <w:szCs w:val="24"/>
        </w:rPr>
        <w:fldChar w:fldCharType="end"/>
      </w:r>
      <w:r w:rsidRPr="00F158CD">
        <w:rPr>
          <w:rFonts w:cs="Times New Roman"/>
          <w:szCs w:val="24"/>
        </w:rPr>
        <w:t>.</w:t>
      </w:r>
      <w:r w:rsidR="00FE50FD">
        <w:rPr>
          <w:rFonts w:cs="Times New Roman"/>
          <w:szCs w:val="24"/>
        </w:rPr>
        <w:t xml:space="preserve"> </w:t>
      </w:r>
      <w:r w:rsidR="00962604" w:rsidRPr="00962604">
        <w:rPr>
          <w:rFonts w:cs="Times New Roman"/>
          <w:szCs w:val="24"/>
        </w:rPr>
        <w:t xml:space="preserve">The tolerability limit is </w:t>
      </w:r>
      <w:r w:rsidR="00B31434">
        <w:rPr>
          <w:rFonts w:cs="Times New Roman"/>
          <w:szCs w:val="24"/>
        </w:rPr>
        <w:t>the</w:t>
      </w:r>
      <w:r w:rsidR="00962604">
        <w:rPr>
          <w:rFonts w:cs="Times New Roman"/>
          <w:szCs w:val="24"/>
        </w:rPr>
        <w:t xml:space="preserve"> combination</w:t>
      </w:r>
      <w:r w:rsidR="00B31434">
        <w:rPr>
          <w:rFonts w:cs="Times New Roman"/>
          <w:szCs w:val="24"/>
        </w:rPr>
        <w:t>s</w:t>
      </w:r>
      <w:r w:rsidR="00962604" w:rsidRPr="00962604">
        <w:rPr>
          <w:rFonts w:cs="Times New Roman"/>
          <w:szCs w:val="24"/>
        </w:rPr>
        <w:t xml:space="preserve"> of possible consequenc</w:t>
      </w:r>
      <w:r w:rsidR="00962604">
        <w:rPr>
          <w:rFonts w:cs="Times New Roman"/>
          <w:szCs w:val="24"/>
        </w:rPr>
        <w:t xml:space="preserve">es and associated </w:t>
      </w:r>
      <w:r w:rsidR="00962604" w:rsidRPr="00962604">
        <w:rPr>
          <w:rFonts w:cs="Times New Roman"/>
          <w:szCs w:val="24"/>
        </w:rPr>
        <w:t xml:space="preserve">occurrence frequencies </w:t>
      </w:r>
      <w:r w:rsidR="00962604">
        <w:rPr>
          <w:rFonts w:cs="Times New Roman"/>
          <w:szCs w:val="24"/>
        </w:rPr>
        <w:t xml:space="preserve">and it refers to societal and individual tolerability </w:t>
      </w:r>
      <w:r w:rsidR="00962604">
        <w:rPr>
          <w:rFonts w:cs="Times New Roman"/>
          <w:szCs w:val="24"/>
        </w:rPr>
        <w:fldChar w:fldCharType="begin" w:fldLock="1"/>
      </w:r>
      <w:r w:rsidR="002224D1">
        <w:rPr>
          <w:rFonts w:cs="Times New Roman"/>
          <w:szCs w:val="24"/>
        </w:rPr>
        <w:instrText>ADDIN CSL_CITATION {"citationItems":[{"id":"ITEM-1","itemData":{"DOI":"10.1007/s10694-018-0746-7","ISSN":"15728099","abstract":"A probabilistic risk assessment (PRA) is commonly accepted as a tool for performance based design in fire safety engineering, but the position of PRA in the design process, the relationship between different acceptance concepts (absolute, comparative, ALARP), and the responsibilities of the designer remain unclear. Aiming to clarify these aspects, the safety foundation of fire safety solutions is investigated, indicating that PRA is necessary for demonstrating adequate safety when no appeal can be made to the collective experience of the profession. It is suggested that PRA is not a methodology for ‘future fire safety engineering’, but rather a necessary methodology to provide an objective safety foundation for uncommon fire safety designs. Acknowledging that what constitutes ‘acceptable safety’ is subjective and may change over time, an objective proxy of ‘adequate safety’ is defined and proposed as a benchmark against which to assess the adequacy of fire safety designs. In order to clarify the PRA process, a hierarchy of different acceptance concepts is presented. Finally, it is shown how, depending on the applied acceptance concepts, the designer takes responsibility for different implicit assumptions regarding the safety performance of the final design.","author":[{"dropping-particle":"","family":"Coile","given":"Ruben","non-dropping-particle":"Van","parse-names":false,"suffix":""},{"dropping-particle":"","family":"Hopkin","given":"Danny","non-dropping-particle":"","parse-names":false,"suffix":""},{"dropping-particle":"","family":"Lange","given":"David","non-dropping-particle":"","parse-names":false,"suffix":""},{"dropping-particle":"","family":"Jomaas","given":"Grunde","non-dropping-particle":"","parse-names":false,"suffix":""},{"dropping-particle":"","family":"Bisby","given":"Luke","non-dropping-particle":"","parse-names":false,"suffix":""}],"container-title":"Fire Technology","id":"ITEM-1","issue":"4","issued":{"date-parts":[["2019"]]},"page":"1111-1146","publisher":"Springer US","title":"The Need for Hierarchies of Acceptance Criteria for Probabilistic Risk Assessments in Fire Engineering","type":"article-journal","volume":"55"},"uris":["http://www.mendeley.com/documents/?uuid=4db0d1a6-d69b-4542-9d80-3c51b44d83a6"]}],"mendeley":{"formattedCitation":"[14]","plainTextFormattedCitation":"[14]","previouslyFormattedCitation":"[14]"},"properties":{"noteIndex":0},"schema":"https://github.com/citation-style-language/schema/raw/master/csl-citation.json"}</w:instrText>
      </w:r>
      <w:r w:rsidR="00962604">
        <w:rPr>
          <w:rFonts w:cs="Times New Roman"/>
          <w:szCs w:val="24"/>
        </w:rPr>
        <w:fldChar w:fldCharType="separate"/>
      </w:r>
      <w:r w:rsidR="00962604" w:rsidRPr="00962604">
        <w:rPr>
          <w:rFonts w:cs="Times New Roman"/>
          <w:noProof/>
          <w:szCs w:val="24"/>
        </w:rPr>
        <w:t>[14]</w:t>
      </w:r>
      <w:r w:rsidR="00962604">
        <w:rPr>
          <w:rFonts w:cs="Times New Roman"/>
          <w:szCs w:val="24"/>
        </w:rPr>
        <w:fldChar w:fldCharType="end"/>
      </w:r>
      <w:r w:rsidR="00E96831">
        <w:rPr>
          <w:rFonts w:cs="Times New Roman"/>
          <w:szCs w:val="24"/>
        </w:rPr>
        <w:t>. I</w:t>
      </w:r>
      <w:r w:rsidR="008919FB">
        <w:rPr>
          <w:rFonts w:cs="Times New Roman"/>
          <w:szCs w:val="24"/>
        </w:rPr>
        <w:t xml:space="preserve">f </w:t>
      </w:r>
      <w:r w:rsidRPr="00F158CD">
        <w:rPr>
          <w:rFonts w:cs="Times New Roman"/>
          <w:szCs w:val="24"/>
        </w:rPr>
        <w:t>statistical analys</w:t>
      </w:r>
      <w:r w:rsidR="00E96831">
        <w:rPr>
          <w:rFonts w:cs="Times New Roman"/>
          <w:szCs w:val="24"/>
        </w:rPr>
        <w:t>e</w:t>
      </w:r>
      <w:r w:rsidRPr="00F158CD">
        <w:rPr>
          <w:rFonts w:cs="Times New Roman"/>
          <w:szCs w:val="24"/>
        </w:rPr>
        <w:t xml:space="preserve">s </w:t>
      </w:r>
      <w:r w:rsidR="00E96831">
        <w:rPr>
          <w:rFonts w:cs="Times New Roman"/>
          <w:szCs w:val="24"/>
        </w:rPr>
        <w:t>are</w:t>
      </w:r>
      <w:r w:rsidRPr="00F158CD">
        <w:rPr>
          <w:rFonts w:cs="Times New Roman"/>
          <w:szCs w:val="24"/>
        </w:rPr>
        <w:t xml:space="preserve"> assumed, data of real fire incidents in buildings</w:t>
      </w:r>
      <w:r w:rsidR="00E96831">
        <w:rPr>
          <w:rFonts w:cs="Times New Roman"/>
          <w:szCs w:val="24"/>
        </w:rPr>
        <w:t xml:space="preserve"> are required</w:t>
      </w:r>
      <w:r w:rsidRPr="00F158CD">
        <w:rPr>
          <w:rFonts w:cs="Times New Roman"/>
          <w:szCs w:val="24"/>
        </w:rPr>
        <w:t xml:space="preserve"> and elaborate</w:t>
      </w:r>
      <w:r w:rsidR="00E96831">
        <w:rPr>
          <w:rFonts w:cs="Times New Roman"/>
          <w:szCs w:val="24"/>
        </w:rPr>
        <w:t>d</w:t>
      </w:r>
      <w:r w:rsidRPr="00F158CD">
        <w:rPr>
          <w:rFonts w:cs="Times New Roman"/>
          <w:szCs w:val="24"/>
        </w:rPr>
        <w:t xml:space="preserve"> </w:t>
      </w:r>
      <w:r w:rsidR="00E96831">
        <w:rPr>
          <w:rFonts w:cs="Times New Roman"/>
          <w:szCs w:val="24"/>
        </w:rPr>
        <w:t>to</w:t>
      </w:r>
      <w:r w:rsidRPr="00F158CD">
        <w:rPr>
          <w:rFonts w:cs="Times New Roman"/>
          <w:szCs w:val="24"/>
        </w:rPr>
        <w:t xml:space="preserve"> evaluate likelihood and consequences</w:t>
      </w:r>
      <w:r w:rsidR="007D0690">
        <w:rPr>
          <w:rFonts w:cs="Times New Roman"/>
          <w:szCs w:val="24"/>
        </w:rPr>
        <w:t xml:space="preserve"> as specified in the data collection section of the PD 7974-7:2019</w:t>
      </w:r>
      <w:r w:rsidRPr="00F158CD">
        <w:rPr>
          <w:rFonts w:cs="Times New Roman"/>
          <w:szCs w:val="24"/>
        </w:rPr>
        <w:t>.</w:t>
      </w:r>
      <w:r w:rsidR="007D0690">
        <w:rPr>
          <w:rFonts w:cs="Times New Roman"/>
          <w:szCs w:val="24"/>
        </w:rPr>
        <w:t xml:space="preserve"> In Annex B of the PD 7974-7:2019, some informative indicative probabilities are presented related to</w:t>
      </w:r>
      <w:r w:rsidR="00FA2B27">
        <w:rPr>
          <w:rFonts w:cs="Times New Roman"/>
          <w:szCs w:val="24"/>
        </w:rPr>
        <w:t>:</w:t>
      </w:r>
      <w:r w:rsidR="007D0690">
        <w:rPr>
          <w:rFonts w:cs="Times New Roman"/>
          <w:szCs w:val="24"/>
        </w:rPr>
        <w:t xml:space="preserve"> the reliability </w:t>
      </w:r>
      <w:r w:rsidR="006675FE">
        <w:rPr>
          <w:rFonts w:cs="Times New Roman"/>
          <w:szCs w:val="24"/>
        </w:rPr>
        <w:t xml:space="preserve">and effectiveness </w:t>
      </w:r>
      <w:r w:rsidR="007D0690">
        <w:rPr>
          <w:rFonts w:cs="Times New Roman"/>
          <w:szCs w:val="24"/>
        </w:rPr>
        <w:t xml:space="preserve">of sprinklers </w:t>
      </w:r>
      <w:r w:rsidR="00E647B8">
        <w:rPr>
          <w:rFonts w:cs="Times New Roman"/>
          <w:szCs w:val="24"/>
        </w:rPr>
        <w:t>in the</w:t>
      </w:r>
      <w:r w:rsidR="006675FE">
        <w:rPr>
          <w:rFonts w:cs="Times New Roman"/>
          <w:szCs w:val="24"/>
        </w:rPr>
        <w:t xml:space="preserve"> USA and New Zealand, respectively</w:t>
      </w:r>
      <w:r w:rsidR="00E96831">
        <w:rPr>
          <w:rFonts w:cs="Times New Roman"/>
          <w:szCs w:val="24"/>
        </w:rPr>
        <w:t>;</w:t>
      </w:r>
      <w:r w:rsidR="007D0690">
        <w:rPr>
          <w:rFonts w:cs="Times New Roman"/>
          <w:szCs w:val="24"/>
        </w:rPr>
        <w:t xml:space="preserve"> fi</w:t>
      </w:r>
      <w:r w:rsidR="006675FE">
        <w:rPr>
          <w:rFonts w:cs="Times New Roman"/>
          <w:szCs w:val="24"/>
        </w:rPr>
        <w:t>re growth rate distributions</w:t>
      </w:r>
      <w:r w:rsidR="00E96831">
        <w:rPr>
          <w:rFonts w:cs="Times New Roman"/>
          <w:szCs w:val="24"/>
        </w:rPr>
        <w:t>;</w:t>
      </w:r>
      <w:r w:rsidR="007D0690">
        <w:rPr>
          <w:rFonts w:cs="Times New Roman"/>
          <w:szCs w:val="24"/>
        </w:rPr>
        <w:t xml:space="preserve"> </w:t>
      </w:r>
      <w:r w:rsidR="00E96831">
        <w:rPr>
          <w:rFonts w:cs="Times New Roman"/>
          <w:szCs w:val="24"/>
        </w:rPr>
        <w:t xml:space="preserve">occupancy dependant </w:t>
      </w:r>
      <w:r w:rsidR="007D0690">
        <w:rPr>
          <w:rFonts w:cs="Times New Roman"/>
          <w:szCs w:val="24"/>
        </w:rPr>
        <w:t>fire load energy densit</w:t>
      </w:r>
      <w:r w:rsidR="00E96831">
        <w:rPr>
          <w:rFonts w:cs="Times New Roman"/>
          <w:szCs w:val="24"/>
        </w:rPr>
        <w:t>ies;</w:t>
      </w:r>
      <w:r w:rsidR="007D0690">
        <w:rPr>
          <w:rFonts w:cs="Times New Roman"/>
          <w:szCs w:val="24"/>
        </w:rPr>
        <w:t xml:space="preserve"> and exten</w:t>
      </w:r>
      <w:r w:rsidR="00E647B8">
        <w:rPr>
          <w:rFonts w:cs="Times New Roman"/>
          <w:szCs w:val="24"/>
        </w:rPr>
        <w:t>t</w:t>
      </w:r>
      <w:r w:rsidR="007D0690">
        <w:rPr>
          <w:rFonts w:cs="Times New Roman"/>
          <w:szCs w:val="24"/>
        </w:rPr>
        <w:t xml:space="preserve"> of damage in</w:t>
      </w:r>
      <w:r w:rsidR="006675FE">
        <w:rPr>
          <w:rFonts w:cs="Times New Roman"/>
          <w:szCs w:val="24"/>
        </w:rPr>
        <w:t xml:space="preserve"> USA fire incidents from </w:t>
      </w:r>
      <w:r w:rsidR="00A02BB4">
        <w:rPr>
          <w:rFonts w:cs="Times New Roman"/>
          <w:szCs w:val="24"/>
        </w:rPr>
        <w:t>1</w:t>
      </w:r>
      <w:r w:rsidR="006675FE">
        <w:rPr>
          <w:rFonts w:cs="Times New Roman"/>
          <w:szCs w:val="24"/>
        </w:rPr>
        <w:t xml:space="preserve">989-1994. Table B.3 of PD 7974-7:2019 presents the overall probability of fire starting in various types of occupancy </w:t>
      </w:r>
      <w:r w:rsidR="008827D8">
        <w:rPr>
          <w:rFonts w:cs="Times New Roman"/>
          <w:szCs w:val="24"/>
        </w:rPr>
        <w:t>and it has</w:t>
      </w:r>
      <w:r w:rsidR="006675FE">
        <w:rPr>
          <w:rFonts w:cs="Times New Roman"/>
          <w:szCs w:val="24"/>
        </w:rPr>
        <w:t xml:space="preserve"> been created by </w:t>
      </w:r>
      <w:r w:rsidR="00E05794" w:rsidRPr="00F158CD">
        <w:rPr>
          <w:rFonts w:cs="Times New Roman"/>
          <w:szCs w:val="24"/>
        </w:rPr>
        <w:t xml:space="preserve">a study of 2018 in which the PD 7974-7:2003 was compared to USA fire statistics </w:t>
      </w:r>
      <w:r w:rsidR="00E05794" w:rsidRPr="00F158CD">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E05794" w:rsidRPr="00F158CD">
        <w:rPr>
          <w:rFonts w:cs="Times New Roman"/>
          <w:szCs w:val="24"/>
        </w:rPr>
        <w:fldChar w:fldCharType="separate"/>
      </w:r>
      <w:r w:rsidR="00524A6C" w:rsidRPr="00524A6C">
        <w:rPr>
          <w:rFonts w:cs="Times New Roman"/>
          <w:noProof/>
          <w:szCs w:val="24"/>
        </w:rPr>
        <w:t>[15]</w:t>
      </w:r>
      <w:r w:rsidR="00E05794" w:rsidRPr="00F158CD">
        <w:rPr>
          <w:rFonts w:cs="Times New Roman"/>
          <w:szCs w:val="24"/>
        </w:rPr>
        <w:fldChar w:fldCharType="end"/>
      </w:r>
      <w:r w:rsidR="006675FE">
        <w:rPr>
          <w:rFonts w:cs="Times New Roman"/>
          <w:szCs w:val="24"/>
        </w:rPr>
        <w:t>. Therefore, Annex B presents some examples for PRA</w:t>
      </w:r>
      <w:r w:rsidR="008827D8">
        <w:rPr>
          <w:rFonts w:cs="Times New Roman"/>
          <w:szCs w:val="24"/>
        </w:rPr>
        <w:t xml:space="preserve"> but </w:t>
      </w:r>
      <w:r w:rsidR="007B16A6">
        <w:rPr>
          <w:rFonts w:cs="Times New Roman"/>
          <w:szCs w:val="24"/>
        </w:rPr>
        <w:t>the PD 7974-7</w:t>
      </w:r>
      <w:r w:rsidR="007F5CA3">
        <w:rPr>
          <w:rFonts w:cs="Times New Roman"/>
          <w:szCs w:val="24"/>
        </w:rPr>
        <w:t>:2019</w:t>
      </w:r>
      <w:r w:rsidR="007B16A6">
        <w:rPr>
          <w:rFonts w:cs="Times New Roman"/>
          <w:szCs w:val="24"/>
        </w:rPr>
        <w:t xml:space="preserve"> document </w:t>
      </w:r>
      <w:r w:rsidR="00080718">
        <w:rPr>
          <w:rFonts w:cs="Times New Roman"/>
          <w:szCs w:val="24"/>
        </w:rPr>
        <w:t xml:space="preserve">is entirely informative and it is not imposed </w:t>
      </w:r>
      <w:r w:rsidR="00BD64A3">
        <w:rPr>
          <w:rFonts w:cs="Times New Roman"/>
          <w:szCs w:val="24"/>
        </w:rPr>
        <w:t>o</w:t>
      </w:r>
      <w:r w:rsidR="00080718">
        <w:rPr>
          <w:rFonts w:cs="Times New Roman"/>
          <w:szCs w:val="24"/>
        </w:rPr>
        <w:t>n engineering practice.</w:t>
      </w:r>
      <w:r w:rsidR="008827D8">
        <w:rPr>
          <w:rFonts w:cs="Times New Roman"/>
          <w:szCs w:val="24"/>
        </w:rPr>
        <w:t xml:space="preserve"> P</w:t>
      </w:r>
      <w:r w:rsidRPr="00F158CD">
        <w:rPr>
          <w:rFonts w:cs="Times New Roman"/>
          <w:szCs w:val="24"/>
        </w:rPr>
        <w:t xml:space="preserve">revious </w:t>
      </w:r>
      <w:r w:rsidR="006675FE">
        <w:rPr>
          <w:rFonts w:cs="Times New Roman"/>
          <w:szCs w:val="24"/>
        </w:rPr>
        <w:t>fire</w:t>
      </w:r>
      <w:r w:rsidR="00774881">
        <w:rPr>
          <w:rFonts w:cs="Times New Roman"/>
          <w:szCs w:val="24"/>
        </w:rPr>
        <w:t xml:space="preserve"> safety</w:t>
      </w:r>
      <w:r w:rsidR="006675FE">
        <w:rPr>
          <w:rFonts w:cs="Times New Roman"/>
          <w:szCs w:val="24"/>
        </w:rPr>
        <w:t xml:space="preserve"> </w:t>
      </w:r>
      <w:r w:rsidR="00E05794">
        <w:rPr>
          <w:rFonts w:cs="Times New Roman"/>
          <w:szCs w:val="24"/>
        </w:rPr>
        <w:t xml:space="preserve">data </w:t>
      </w:r>
      <w:r w:rsidR="006675FE">
        <w:rPr>
          <w:rFonts w:cs="Times New Roman"/>
          <w:szCs w:val="24"/>
        </w:rPr>
        <w:t xml:space="preserve">of </w:t>
      </w:r>
      <w:r w:rsidR="00E05794">
        <w:rPr>
          <w:rFonts w:cs="Times New Roman"/>
          <w:szCs w:val="24"/>
        </w:rPr>
        <w:t>PD 7974-7:2003 taken</w:t>
      </w:r>
      <w:r w:rsidRPr="00F158CD">
        <w:rPr>
          <w:rFonts w:cs="Times New Roman"/>
          <w:szCs w:val="24"/>
        </w:rPr>
        <w:t xml:space="preserve"> between 1968 and 1987</w:t>
      </w:r>
      <w:r w:rsidR="006675FE">
        <w:rPr>
          <w:rFonts w:cs="Times New Roman"/>
          <w:szCs w:val="24"/>
        </w:rPr>
        <w:t xml:space="preserve"> </w:t>
      </w:r>
      <w:r w:rsidR="008827D8">
        <w:rPr>
          <w:rFonts w:cs="Times New Roman"/>
          <w:szCs w:val="24"/>
        </w:rPr>
        <w:t xml:space="preserve">provide </w:t>
      </w:r>
      <w:r w:rsidR="006675FE">
        <w:rPr>
          <w:rFonts w:cs="Times New Roman"/>
          <w:szCs w:val="24"/>
        </w:rPr>
        <w:t xml:space="preserve">more detailed fields covering probability of fire starting, fire frequency, </w:t>
      </w:r>
      <w:r w:rsidR="005C6D79">
        <w:rPr>
          <w:rFonts w:cs="Times New Roman"/>
          <w:szCs w:val="24"/>
        </w:rPr>
        <w:t>fire spread,</w:t>
      </w:r>
      <w:r w:rsidR="006675FE">
        <w:rPr>
          <w:rFonts w:cs="Times New Roman"/>
          <w:szCs w:val="24"/>
        </w:rPr>
        <w:t xml:space="preserve"> frequency distribution of area</w:t>
      </w:r>
      <w:r w:rsidR="00FA2B27">
        <w:rPr>
          <w:rFonts w:cs="Times New Roman"/>
          <w:szCs w:val="24"/>
        </w:rPr>
        <w:t xml:space="preserve"> damage according to presence or</w:t>
      </w:r>
      <w:r w:rsidR="006675FE">
        <w:rPr>
          <w:rFonts w:cs="Times New Roman"/>
          <w:szCs w:val="24"/>
        </w:rPr>
        <w:t xml:space="preserve"> absence of safety systems, average loss per fire and discovery time and fatal casualties in various occupancy types. </w:t>
      </w:r>
      <w:r w:rsidR="005C6D79">
        <w:rPr>
          <w:rFonts w:cs="Times New Roman"/>
          <w:szCs w:val="24"/>
        </w:rPr>
        <w:t>T</w:t>
      </w:r>
      <w:r w:rsidR="00A02BB4">
        <w:rPr>
          <w:rFonts w:cs="Times New Roman"/>
          <w:szCs w:val="24"/>
        </w:rPr>
        <w:t>h</w:t>
      </w:r>
      <w:r w:rsidR="00E647B8">
        <w:rPr>
          <w:rFonts w:cs="Times New Roman"/>
          <w:szCs w:val="24"/>
        </w:rPr>
        <w:t>is</w:t>
      </w:r>
      <w:r w:rsidR="00A02BB4">
        <w:rPr>
          <w:rFonts w:cs="Times New Roman"/>
          <w:szCs w:val="24"/>
        </w:rPr>
        <w:t xml:space="preserve"> data </w:t>
      </w:r>
      <w:r w:rsidR="00E647B8">
        <w:rPr>
          <w:rFonts w:cs="Times New Roman"/>
          <w:szCs w:val="24"/>
        </w:rPr>
        <w:t>from</w:t>
      </w:r>
      <w:r w:rsidR="00A02BB4">
        <w:rPr>
          <w:rFonts w:cs="Times New Roman"/>
          <w:szCs w:val="24"/>
        </w:rPr>
        <w:t xml:space="preserve"> PD 7974-7:200</w:t>
      </w:r>
      <w:r w:rsidR="005C6D79">
        <w:rPr>
          <w:rFonts w:cs="Times New Roman"/>
          <w:szCs w:val="24"/>
        </w:rPr>
        <w:t xml:space="preserve">3 could be used as </w:t>
      </w:r>
      <w:r w:rsidR="008827D8">
        <w:rPr>
          <w:rFonts w:cs="Times New Roman"/>
          <w:szCs w:val="24"/>
        </w:rPr>
        <w:t>inputs data for PRA</w:t>
      </w:r>
      <w:r w:rsidR="00E647B8">
        <w:rPr>
          <w:rFonts w:cs="Times New Roman"/>
          <w:szCs w:val="24"/>
        </w:rPr>
        <w:t>, however it is outdated</w:t>
      </w:r>
      <w:r w:rsidR="008827D8">
        <w:rPr>
          <w:rFonts w:cs="Times New Roman"/>
          <w:szCs w:val="24"/>
        </w:rPr>
        <w:t xml:space="preserve">. </w:t>
      </w:r>
      <w:r w:rsidR="00E647B8">
        <w:rPr>
          <w:rFonts w:cs="Times New Roman"/>
          <w:szCs w:val="24"/>
        </w:rPr>
        <w:t xml:space="preserve">Therefore, </w:t>
      </w:r>
      <w:r w:rsidR="008827D8">
        <w:rPr>
          <w:rFonts w:cs="Times New Roman"/>
          <w:szCs w:val="24"/>
        </w:rPr>
        <w:t>this study redevelop</w:t>
      </w:r>
      <w:r w:rsidR="004F0A51">
        <w:rPr>
          <w:rFonts w:cs="Times New Roman"/>
          <w:szCs w:val="24"/>
        </w:rPr>
        <w:t>s</w:t>
      </w:r>
      <w:r w:rsidR="008827D8">
        <w:rPr>
          <w:rFonts w:cs="Times New Roman"/>
          <w:szCs w:val="24"/>
        </w:rPr>
        <w:t xml:space="preserve"> the PD 7974-7:2003 tables using contemporary fire statistics</w:t>
      </w:r>
      <w:r w:rsidR="00E647B8">
        <w:rPr>
          <w:rFonts w:cs="Times New Roman"/>
          <w:szCs w:val="24"/>
        </w:rPr>
        <w:t>, for potential use in PRA</w:t>
      </w:r>
      <w:r w:rsidR="00C15D59">
        <w:rPr>
          <w:rFonts w:cs="Times New Roman"/>
          <w:szCs w:val="24"/>
        </w:rPr>
        <w:t xml:space="preserve"> </w:t>
      </w:r>
      <w:r w:rsidR="007C1626">
        <w:rPr>
          <w:rFonts w:cs="Times New Roman"/>
          <w:szCs w:val="24"/>
        </w:rPr>
        <w:t>presented in</w:t>
      </w:r>
      <w:r w:rsidR="00C15D59">
        <w:rPr>
          <w:rFonts w:cs="Times New Roman"/>
          <w:szCs w:val="24"/>
        </w:rPr>
        <w:t xml:space="preserve"> PD 7974-7:2019</w:t>
      </w:r>
      <w:r w:rsidR="008827D8">
        <w:rPr>
          <w:rFonts w:cs="Times New Roman"/>
          <w:szCs w:val="24"/>
        </w:rPr>
        <w:t xml:space="preserve">.  </w:t>
      </w:r>
    </w:p>
    <w:p w14:paraId="544BFEDB" w14:textId="0C5FE24D" w:rsidR="00F158CD" w:rsidRPr="00F158CD" w:rsidRDefault="003D36FD" w:rsidP="008919FB">
      <w:pPr>
        <w:rPr>
          <w:rFonts w:cs="Times New Roman"/>
          <w:szCs w:val="24"/>
        </w:rPr>
      </w:pPr>
      <w:r>
        <w:rPr>
          <w:rFonts w:cs="Times New Roman"/>
          <w:szCs w:val="24"/>
        </w:rPr>
        <w:t>The Home Office’s</w:t>
      </w:r>
      <w:r w:rsidR="00F158CD" w:rsidRPr="00F158CD">
        <w:rPr>
          <w:rFonts w:cs="Times New Roman"/>
          <w:szCs w:val="24"/>
        </w:rPr>
        <w:t xml:space="preserve"> fire statistics report </w:t>
      </w:r>
      <w:r>
        <w:rPr>
          <w:rFonts w:cs="Times New Roman"/>
          <w:szCs w:val="24"/>
        </w:rPr>
        <w:t>for</w:t>
      </w:r>
      <w:r w:rsidR="00F158CD" w:rsidRPr="00F158CD">
        <w:rPr>
          <w:rFonts w:cs="Times New Roman"/>
          <w:szCs w:val="24"/>
        </w:rPr>
        <w:t xml:space="preserve"> England from April 2017 to March 2018 </w:t>
      </w:r>
      <w:r>
        <w:rPr>
          <w:rFonts w:cs="Times New Roman"/>
          <w:szCs w:val="24"/>
        </w:rPr>
        <w:t xml:space="preserve">showed </w:t>
      </w:r>
      <w:r w:rsidR="00F158CD" w:rsidRPr="00F158CD">
        <w:rPr>
          <w:rFonts w:cs="Times New Roman"/>
          <w:szCs w:val="24"/>
        </w:rPr>
        <w:t>that the total number of fires attended by fire and rescue services decreased from around 474,000 in 2003/04 to 154,000 in 2012/13. Since then, the total number of fires has increased from approximately 162,000 in 2016/17 to 167,000 in 2017/18</w:t>
      </w:r>
      <w:r w:rsidR="009E4F31">
        <w:rPr>
          <w:rFonts w:cs="Times New Roman"/>
          <w:szCs w:val="24"/>
        </w:rPr>
        <w:t xml:space="preserve"> </w:t>
      </w:r>
      <w:r w:rsidR="009E4F31">
        <w:rPr>
          <w:rFonts w:cs="Times New Roman"/>
          <w:szCs w:val="24"/>
        </w:rPr>
        <w:fldChar w:fldCharType="begin" w:fldLock="1"/>
      </w:r>
      <w:r w:rsidR="00125627">
        <w:rPr>
          <w:rFonts w:cs="Times New Roman"/>
          <w:szCs w:val="24"/>
        </w:rPr>
        <w:instrText>ADDIN CSL_CITATION {"citationItems":[{"id":"ITEM-1","itemData":{"author":[{"dropping-particle":"","family":"Home Office","given":"","non-dropping-particle":"","parse-names":false,"suffix":""}],"id":"ITEM-1","issued":{"date-parts":[["2018"]]},"title":"Fire and rescue incident statistics: England, year ending March 2018. FIRE 0102","type":"report"},"uris":["http://www.mendeley.com/documents/?uuid=024861e3-fc4f-48dc-8369-20911193a8a8","http://www.mendeley.com/documents/?uuid=075c38dc-09f1-4c2d-9c0c-81d5715ba2e7"]}],"mendeley":{"formattedCitation":"[16]","plainTextFormattedCitation":"[16]","previouslyFormattedCitation":"[16]"},"properties":{"noteIndex":0},"schema":"https://github.com/citation-style-language/schema/raw/master/csl-citation.json"}</w:instrText>
      </w:r>
      <w:r w:rsidR="009E4F31">
        <w:rPr>
          <w:rFonts w:cs="Times New Roman"/>
          <w:szCs w:val="24"/>
        </w:rPr>
        <w:fldChar w:fldCharType="separate"/>
      </w:r>
      <w:r w:rsidR="00524A6C" w:rsidRPr="00524A6C">
        <w:rPr>
          <w:rFonts w:cs="Times New Roman"/>
          <w:noProof/>
          <w:szCs w:val="24"/>
        </w:rPr>
        <w:t>[16]</w:t>
      </w:r>
      <w:r w:rsidR="009E4F31">
        <w:rPr>
          <w:rFonts w:cs="Times New Roman"/>
          <w:szCs w:val="24"/>
        </w:rPr>
        <w:fldChar w:fldCharType="end"/>
      </w:r>
      <w:r w:rsidR="00F158CD" w:rsidRPr="00F158CD">
        <w:rPr>
          <w:rFonts w:cs="Times New Roman"/>
          <w:szCs w:val="24"/>
        </w:rPr>
        <w:t>. At the same time, the average area of damage of dwellings (excluding those over 5,000 m</w:t>
      </w:r>
      <w:r w:rsidR="00F158CD" w:rsidRPr="00EC4252">
        <w:rPr>
          <w:rFonts w:cs="Times New Roman"/>
          <w:szCs w:val="24"/>
          <w:vertAlign w:val="superscript"/>
        </w:rPr>
        <w:t>2</w:t>
      </w:r>
      <w:r w:rsidR="00F158CD" w:rsidRPr="00F158CD">
        <w:rPr>
          <w:rFonts w:cs="Times New Roman"/>
          <w:szCs w:val="24"/>
        </w:rPr>
        <w:t>) in England decreased by 5% from 17.1 m</w:t>
      </w:r>
      <w:r w:rsidR="00F158CD" w:rsidRPr="00EC4252">
        <w:rPr>
          <w:rFonts w:cs="Times New Roman"/>
          <w:szCs w:val="24"/>
          <w:vertAlign w:val="superscript"/>
        </w:rPr>
        <w:t>2</w:t>
      </w:r>
      <w:r w:rsidR="00F158CD" w:rsidRPr="00F158CD">
        <w:rPr>
          <w:rFonts w:cs="Times New Roman"/>
          <w:szCs w:val="24"/>
        </w:rPr>
        <w:t xml:space="preserve"> in the previous year to 16.2 m</w:t>
      </w:r>
      <w:r w:rsidR="00F158CD" w:rsidRPr="00EC4252">
        <w:rPr>
          <w:rFonts w:cs="Times New Roman"/>
          <w:szCs w:val="24"/>
          <w:vertAlign w:val="superscript"/>
        </w:rPr>
        <w:t>2</w:t>
      </w:r>
      <w:r w:rsidR="009E4F31">
        <w:rPr>
          <w:rFonts w:cs="Times New Roman"/>
          <w:szCs w:val="24"/>
          <w:vertAlign w:val="superscript"/>
        </w:rPr>
        <w:t xml:space="preserve"> </w:t>
      </w:r>
      <w:r w:rsidR="009E4F31">
        <w:rPr>
          <w:rFonts w:cs="Times New Roman"/>
          <w:szCs w:val="24"/>
          <w:vertAlign w:val="superscript"/>
        </w:rPr>
        <w:fldChar w:fldCharType="begin" w:fldLock="1"/>
      </w:r>
      <w:r w:rsidR="00125627">
        <w:rPr>
          <w:rFonts w:cs="Times New Roman"/>
          <w:szCs w:val="24"/>
          <w:vertAlign w:val="superscript"/>
        </w:rPr>
        <w:instrText>ADDIN CSL_CITATION {"citationItems":[{"id":"ITEM-1","itemData":{"author":[{"dropping-particle":"","family":"Home Office","given":"","non-dropping-particle":"","parse-names":false,"suffix":""}],"id":"ITEM-1","issued":{"date-parts":[["2018"]]},"title":"Fire and rescue incident statistics: England, year ending March 2018. FIRE 0204","type":"report"},"uris":["http://www.mendeley.com/documents/?uuid=31de685c-8d58-48fc-a729-cecc27a35e1d","http://www.mendeley.com/documents/?uuid=f523043b-92af-4743-a404-4b455842afeb"]}],"mendeley":{"formattedCitation":"[17]","plainTextFormattedCitation":"[17]","previouslyFormattedCitation":"[17]"},"properties":{"noteIndex":0},"schema":"https://github.com/citation-style-language/schema/raw/master/csl-citation.json"}</w:instrText>
      </w:r>
      <w:r w:rsidR="009E4F31">
        <w:rPr>
          <w:rFonts w:cs="Times New Roman"/>
          <w:szCs w:val="24"/>
          <w:vertAlign w:val="superscript"/>
        </w:rPr>
        <w:fldChar w:fldCharType="separate"/>
      </w:r>
      <w:r w:rsidR="00524A6C" w:rsidRPr="00524A6C">
        <w:rPr>
          <w:rFonts w:cs="Times New Roman"/>
          <w:noProof/>
          <w:szCs w:val="24"/>
        </w:rPr>
        <w:t>[17]</w:t>
      </w:r>
      <w:r w:rsidR="009E4F31">
        <w:rPr>
          <w:rFonts w:cs="Times New Roman"/>
          <w:szCs w:val="24"/>
          <w:vertAlign w:val="superscript"/>
        </w:rPr>
        <w:fldChar w:fldCharType="end"/>
      </w:r>
      <w:r w:rsidR="00F158CD" w:rsidRPr="00F158CD">
        <w:rPr>
          <w:rFonts w:cs="Times New Roman"/>
          <w:szCs w:val="24"/>
        </w:rPr>
        <w:t xml:space="preserve">. In </w:t>
      </w:r>
      <w:r w:rsidR="00E05794">
        <w:rPr>
          <w:rFonts w:cs="Times New Roman"/>
          <w:szCs w:val="24"/>
        </w:rPr>
        <w:t xml:space="preserve">the </w:t>
      </w:r>
      <w:r w:rsidR="00F158CD" w:rsidRPr="00F158CD">
        <w:rPr>
          <w:rFonts w:cs="Times New Roman"/>
          <w:szCs w:val="24"/>
        </w:rPr>
        <w:t>USA, in 2017</w:t>
      </w:r>
      <w:r w:rsidR="00E05794">
        <w:rPr>
          <w:rFonts w:cs="Times New Roman"/>
          <w:szCs w:val="24"/>
        </w:rPr>
        <w:t>,</w:t>
      </w:r>
      <w:r w:rsidR="00F158CD" w:rsidRPr="00F158CD">
        <w:rPr>
          <w:rFonts w:cs="Times New Roman"/>
          <w:szCs w:val="24"/>
        </w:rPr>
        <w:t xml:space="preserve"> fires in structures are estimated </w:t>
      </w:r>
      <w:r w:rsidR="00E05794">
        <w:rPr>
          <w:rFonts w:cs="Times New Roman"/>
          <w:szCs w:val="24"/>
        </w:rPr>
        <w:t>to have increased by 5% to</w:t>
      </w:r>
      <w:r w:rsidR="00E05794" w:rsidRPr="00F158CD">
        <w:rPr>
          <w:rFonts w:cs="Times New Roman"/>
          <w:szCs w:val="24"/>
        </w:rPr>
        <w:t xml:space="preserve"> </w:t>
      </w:r>
      <w:r w:rsidR="00F158CD" w:rsidRPr="00F158CD">
        <w:rPr>
          <w:rFonts w:cs="Times New Roman"/>
          <w:szCs w:val="24"/>
        </w:rPr>
        <w:t xml:space="preserve">499,000 </w:t>
      </w:r>
      <w:r w:rsidR="00E05794">
        <w:rPr>
          <w:rFonts w:cs="Times New Roman"/>
          <w:szCs w:val="24"/>
        </w:rPr>
        <w:t xml:space="preserve">compared to </w:t>
      </w:r>
      <w:r w:rsidR="00F158CD" w:rsidRPr="00F158CD">
        <w:rPr>
          <w:rFonts w:cs="Times New Roman"/>
          <w:szCs w:val="24"/>
        </w:rPr>
        <w:t xml:space="preserve">2016 and an </w:t>
      </w:r>
      <w:r w:rsidR="00E05794">
        <w:rPr>
          <w:rFonts w:cs="Times New Roman"/>
          <w:szCs w:val="24"/>
        </w:rPr>
        <w:t xml:space="preserve">increase in </w:t>
      </w:r>
      <w:r w:rsidR="00F158CD" w:rsidRPr="00F158CD">
        <w:rPr>
          <w:rFonts w:cs="Times New Roman"/>
          <w:szCs w:val="24"/>
        </w:rPr>
        <w:t xml:space="preserve">estimated property loss </w:t>
      </w:r>
      <w:r w:rsidR="00E05794">
        <w:rPr>
          <w:rFonts w:cs="Times New Roman"/>
          <w:szCs w:val="24"/>
        </w:rPr>
        <w:t>of</w:t>
      </w:r>
      <w:r w:rsidR="00F158CD" w:rsidRPr="00F158CD">
        <w:rPr>
          <w:rFonts w:cs="Times New Roman"/>
          <w:szCs w:val="24"/>
        </w:rPr>
        <w:t xml:space="preserve"> 35% </w:t>
      </w:r>
      <w:r w:rsidR="00F158CD" w:rsidRPr="00F158CD">
        <w:rPr>
          <w:rFonts w:cs="Times New Roman"/>
          <w:szCs w:val="24"/>
        </w:rPr>
        <w:fldChar w:fldCharType="begin" w:fldLock="1"/>
      </w:r>
      <w:r w:rsidR="00125627">
        <w:rPr>
          <w:rFonts w:cs="Times New Roman"/>
          <w:szCs w:val="24"/>
        </w:rPr>
        <w:instrText>ADDIN CSL_CITATION {"citationItems":[{"id":"ITEM-1","itemData":{"abstract":"United States fire departments responded to an estimated 1,319,500 fires in 2017. These fires resulted in 3,400 civilian fire fatalities, 14,670 civilian fire injuries and an estimated $23 billion in direct property loss (this figure includes a $10 billion loss in Northern California wildfires). There was a civilian fire death every 2 hours and 34 minutes and a civilian fire injury every 36 minutes 2017. Home fires caused 2,630, or 77%, of the civilian fire deaths. Fires accounted for four percent of the 34,683,500 total calls. Seven percent of the calls were false alarms; 64% of the calls were for medical aid such as emergency medical services (EMS) or rescues.","author":[{"dropping-particle":"","family":"Evart","given":"","non-dropping-particle":"Ben","parse-names":false,"suffix":""}],"container-title":"National Fire Protection Association","id":"ITEM-1","issued":{"date-parts":[["2018"]]},"title":"Fire Loss In The United State During 2017","type":"article-journal"},"uris":["http://www.mendeley.com/documents/?uuid=80bcd80e-5b7d-49ca-8647-23b0baa18fa4","http://www.mendeley.com/documents/?uuid=3252c082-a59b-4a44-9e7d-1848c999aca4"]}],"mendeley":{"formattedCitation":"[18]","plainTextFormattedCitation":"[18]","previouslyFormattedCitation":"[18]"},"properties":{"noteIndex":0},"schema":"https://github.com/citation-style-language/schema/raw/master/csl-citation.json"}</w:instrText>
      </w:r>
      <w:r w:rsidR="00F158CD" w:rsidRPr="00F158CD">
        <w:rPr>
          <w:rFonts w:cs="Times New Roman"/>
          <w:szCs w:val="24"/>
        </w:rPr>
        <w:fldChar w:fldCharType="separate"/>
      </w:r>
      <w:r w:rsidR="00524A6C" w:rsidRPr="00524A6C">
        <w:rPr>
          <w:rFonts w:cs="Times New Roman"/>
          <w:noProof/>
          <w:szCs w:val="24"/>
        </w:rPr>
        <w:t>[18]</w:t>
      </w:r>
      <w:r w:rsidR="00F158CD" w:rsidRPr="00F158CD">
        <w:rPr>
          <w:rFonts w:cs="Times New Roman"/>
          <w:szCs w:val="24"/>
        </w:rPr>
        <w:fldChar w:fldCharType="end"/>
      </w:r>
      <w:r w:rsidR="00EC4252">
        <w:rPr>
          <w:rFonts w:cs="Times New Roman"/>
          <w:szCs w:val="24"/>
        </w:rPr>
        <w:t>. I</w:t>
      </w:r>
      <w:r w:rsidR="00F158CD" w:rsidRPr="00F158CD">
        <w:rPr>
          <w:rFonts w:cs="Times New Roman"/>
          <w:szCs w:val="24"/>
        </w:rPr>
        <w:t>ndividuals, organizations a</w:t>
      </w:r>
      <w:r w:rsidR="00EC4252">
        <w:rPr>
          <w:rFonts w:cs="Times New Roman"/>
          <w:szCs w:val="24"/>
        </w:rPr>
        <w:t>nd Government have clear responsibilities</w:t>
      </w:r>
      <w:r w:rsidR="00F158CD" w:rsidRPr="00F158CD">
        <w:rPr>
          <w:rFonts w:cs="Times New Roman"/>
          <w:szCs w:val="24"/>
        </w:rPr>
        <w:t xml:space="preserve"> to manage and control fire risks where safety i</w:t>
      </w:r>
      <w:r w:rsidR="00EC4252">
        <w:rPr>
          <w:rFonts w:cs="Times New Roman"/>
          <w:szCs w:val="24"/>
        </w:rPr>
        <w:t>ncreases if the risk is reduced</w:t>
      </w:r>
      <w:r w:rsidR="00F158CD" w:rsidRPr="00F158CD">
        <w:rPr>
          <w:rFonts w:cs="Times New Roman"/>
          <w:szCs w:val="24"/>
        </w:rPr>
        <w:t xml:space="preserve"> </w:t>
      </w:r>
      <w:r w:rsidR="00F158CD" w:rsidRPr="00F158CD">
        <w:rPr>
          <w:rFonts w:cs="Times New Roman"/>
          <w:szCs w:val="24"/>
        </w:rPr>
        <w:fldChar w:fldCharType="begin" w:fldLock="1"/>
      </w:r>
      <w:r w:rsidR="00125627">
        <w:rPr>
          <w:rFonts w:cs="Times New Roman"/>
          <w:szCs w:val="24"/>
        </w:rPr>
        <w:instrText>ADDIN CSL_CITATION {"citationItems":[{"id":"ITEM-1","itemData":{"DOI":"10.1108/02632779910278782","ISSN":"02632772","abstract":"The paper discusses the problems encountered in the management and quantitative evaluation of fire risk and safety in a building. Rational methods for obtaining solutions to these problems are provided by non-deterministic mathematical models rather than deterministic models. This is due to the fact that the occurrence and spread of an accidental (not arson) fire are random phenomena affected by uncertainties caused by several factors. Non-deterministic models discussed briefly in the paper include simple statistical and probabilistic models, regression methods, probability distributions, fault and event trees and stochastic models. The paper only provides a framework for applying these models to any type of facility. For any type, it may be necessary to modify these techniques, collect all the relevant data and perform the analyses to derive results and conclusions applicable to that type.","author":[{"dropping-particle":"","family":"Ramachandran","given":"G.","non-dropping-particle":"","parse-names":false,"suffix":""}],"container-title":"Facilities","id":"ITEM-1","issue":"9/10","issued":{"date-parts":[["1999"]]},"page":"363-377","title":"Fire safety management and risk assessment","type":"article-journal","volume":"17"},"uris":["http://www.mendeley.com/documents/?uuid=a4523fdc-9c37-40ab-8268-0b2ad787fb12","http://www.mendeley.com/documents/?uuid=b26db664-5761-49cf-a3ca-d6468d66a87d"]}],"mendeley":{"formattedCitation":"[19]","plainTextFormattedCitation":"[19]","previouslyFormattedCitation":"[19]"},"properties":{"noteIndex":0},"schema":"https://github.com/citation-style-language/schema/raw/master/csl-citation.json"}</w:instrText>
      </w:r>
      <w:r w:rsidR="00F158CD" w:rsidRPr="00F158CD">
        <w:rPr>
          <w:rFonts w:cs="Times New Roman"/>
          <w:szCs w:val="24"/>
        </w:rPr>
        <w:fldChar w:fldCharType="separate"/>
      </w:r>
      <w:r w:rsidR="00524A6C" w:rsidRPr="00524A6C">
        <w:rPr>
          <w:rFonts w:cs="Times New Roman"/>
          <w:noProof/>
          <w:szCs w:val="24"/>
        </w:rPr>
        <w:t>[19]</w:t>
      </w:r>
      <w:r w:rsidR="00F158CD" w:rsidRPr="00F158CD">
        <w:rPr>
          <w:rFonts w:cs="Times New Roman"/>
          <w:szCs w:val="24"/>
        </w:rPr>
        <w:fldChar w:fldCharType="end"/>
      </w:r>
      <w:r w:rsidR="00F158CD" w:rsidRPr="00F158CD">
        <w:rPr>
          <w:rFonts w:cs="Times New Roman"/>
          <w:szCs w:val="24"/>
        </w:rPr>
        <w:t>.</w:t>
      </w:r>
    </w:p>
    <w:p w14:paraId="1D1A4F8D" w14:textId="6689A6D3" w:rsidR="003B3914" w:rsidRPr="003B3914" w:rsidRDefault="003B3914" w:rsidP="003B3914">
      <w:r>
        <w:t xml:space="preserve">This paper </w:t>
      </w:r>
      <w:r w:rsidR="00E05794">
        <w:t>compare</w:t>
      </w:r>
      <w:r w:rsidR="00893872">
        <w:t>s</w:t>
      </w:r>
      <w:r w:rsidR="00E05794">
        <w:t xml:space="preserve"> trends found in the</w:t>
      </w:r>
      <w:r w:rsidR="003D36FD">
        <w:t xml:space="preserve"> England</w:t>
      </w:r>
      <w:r>
        <w:t xml:space="preserve"> fire statistics </w:t>
      </w:r>
      <w:r w:rsidR="00E96831">
        <w:t>to those</w:t>
      </w:r>
      <w:r>
        <w:t xml:space="preserve"> of PD 7974-7:2003 (</w:t>
      </w:r>
      <w:r w:rsidR="00E96831">
        <w:t xml:space="preserve">hereafter </w:t>
      </w:r>
      <w:r>
        <w:t xml:space="preserve">called </w:t>
      </w:r>
      <w:r w:rsidR="00E96831">
        <w:t xml:space="preserve">UK statistics and </w:t>
      </w:r>
      <w:r>
        <w:t>PD 7974-7</w:t>
      </w:r>
      <w:r w:rsidR="00E96831">
        <w:t>, respectively</w:t>
      </w:r>
      <w:r>
        <w:t>) and th</w:t>
      </w:r>
      <w:r w:rsidR="00E05794">
        <w:t>ose</w:t>
      </w:r>
      <w:r>
        <w:t xml:space="preserve"> </w:t>
      </w:r>
      <w:r w:rsidR="00E05794">
        <w:t>from the</w:t>
      </w:r>
      <w:r>
        <w:t xml:space="preserve"> USA </w:t>
      </w:r>
      <w:r w:rsidR="00E05794">
        <w:t xml:space="preserve">fire </w:t>
      </w:r>
      <w:r>
        <w:t xml:space="preserve">statistics with clear references to the research developed by Manes and Rush in 2018 </w:t>
      </w:r>
      <w:r>
        <w:fldChar w:fldCharType="begin" w:fldLock="1"/>
      </w:r>
      <w:r w:rsidR="00125627">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fldChar w:fldCharType="separate"/>
      </w:r>
      <w:r w:rsidR="00524A6C" w:rsidRPr="00524A6C">
        <w:rPr>
          <w:noProof/>
        </w:rPr>
        <w:t>[15]</w:t>
      </w:r>
      <w:r>
        <w:fldChar w:fldCharType="end"/>
      </w:r>
      <w:r>
        <w:t>.</w:t>
      </w:r>
      <w:r w:rsidR="00310216">
        <w:t xml:space="preserve"> </w:t>
      </w:r>
      <w:r w:rsidR="00310216">
        <w:rPr>
          <w:rFonts w:cs="Times New Roman"/>
        </w:rPr>
        <w:t xml:space="preserve">The data of PD 7974-7:2019 are only used for comparison for the </w:t>
      </w:r>
      <w:r w:rsidR="00C72644">
        <w:rPr>
          <w:rFonts w:cs="Times New Roman"/>
        </w:rPr>
        <w:t xml:space="preserve">overall </w:t>
      </w:r>
      <w:r w:rsidR="00310216">
        <w:rPr>
          <w:rFonts w:cs="Times New Roman"/>
        </w:rPr>
        <w:t xml:space="preserve">probability of fire starting. </w:t>
      </w:r>
      <w:r w:rsidR="009722B9">
        <w:t>Several</w:t>
      </w:r>
      <w:r w:rsidR="002D01A8">
        <w:t xml:space="preserve"> countries have different fire safety policies and mitigation systems and the analysis </w:t>
      </w:r>
      <w:r w:rsidR="00893872">
        <w:t xml:space="preserve">presented herein </w:t>
      </w:r>
      <w:r w:rsidR="002D01A8">
        <w:t>evaluate</w:t>
      </w:r>
      <w:r w:rsidR="00893872">
        <w:t xml:space="preserve">s </w:t>
      </w:r>
      <w:r w:rsidR="002D01A8">
        <w:t>analogies and differences</w:t>
      </w:r>
      <w:r w:rsidR="00893872">
        <w:t xml:space="preserve"> seen</w:t>
      </w:r>
      <w:r w:rsidR="002D01A8">
        <w:t xml:space="preserve">. </w:t>
      </w:r>
      <w:r>
        <w:t xml:space="preserve">Moreover, the fire </w:t>
      </w:r>
      <w:r w:rsidR="00774881">
        <w:t xml:space="preserve">safety </w:t>
      </w:r>
      <w:r>
        <w:t xml:space="preserve">data described in PD 7974-7 will be compared to current fire statistics to evaluate if </w:t>
      </w:r>
      <w:r w:rsidR="00520EC0">
        <w:t>their</w:t>
      </w:r>
      <w:r>
        <w:t xml:space="preserve"> </w:t>
      </w:r>
      <w:r w:rsidR="00727B05">
        <w:t xml:space="preserve">predictions </w:t>
      </w:r>
      <w:r>
        <w:t xml:space="preserve">are applicable to the current building stock </w:t>
      </w:r>
      <w:r w:rsidR="00727B05">
        <w:t>affected by fire incidents</w:t>
      </w:r>
      <w:r>
        <w:t xml:space="preserve">. In current fire design practice, it is fundamental to have fire </w:t>
      </w:r>
      <w:r w:rsidR="00774881">
        <w:t xml:space="preserve">safety </w:t>
      </w:r>
      <w:r>
        <w:t xml:space="preserve">data able to represent the current behaviour of buildings subjected to fires considering the effect of </w:t>
      </w:r>
      <w:r w:rsidR="000F2462">
        <w:t>safety</w:t>
      </w:r>
      <w:r>
        <w:t xml:space="preserve"> systems and quantifying structural consequences. All the updated data could be used in the evaluation of fire frequency in different property types, effectiveness of active safety systems, compartmentation in fire spread reduction and business impact analysis or continuity plans to determine possible strategies to </w:t>
      </w:r>
      <w:r>
        <w:lastRenderedPageBreak/>
        <w:t xml:space="preserve">improve prevention, absorption and recovery after a fire incident </w:t>
      </w:r>
      <w:r w:rsidR="00073680">
        <w:fldChar w:fldCharType="begin" w:fldLock="1"/>
      </w:r>
      <w:r w:rsidR="00125627">
        <w:instrText>ADDIN CSL_CITATION {"citationItems":[{"id":"ITEM-1","itemData":{"author":[{"dropping-particle":"","family":"The British Standards Institution","given":"","non-dropping-particle":"","parse-names":false,"suffix":""}],"id":"ITEM-1","issued":{"date-parts":[["2014"]]},"title":"BS EN ISO 22313 Societal security – Business continuity management systems – Guidance","type":"book"},"uris":["http://www.mendeley.com/documents/?uuid=1f79d044-e505-45ea-8375-e32ad9a127d7","http://www.mendeley.com/documents/?uuid=c7df42ed-10c1-4552-b09a-1ed9cce35f8d","http://www.mendeley.com/documents/?uuid=590545cf-fbe0-4769-b500-c94b0695b095"]},{"id":"ITEM-2","itemData":{"author":[{"dropping-particle":"","family":"The British Standards Institution","given":"","non-dropping-particle":"","parse-names":false,"suffix":""}],"id":"ITEM-2","issued":{"date-parts":[["2014"]]},"title":"BS EN ISO 22301 Societal security – Business continuity management systems – Requirements","type":"book"},"uris":["http://www.mendeley.com/documents/?uuid=dd6d34ae-5417-420c-87f9-45afbaa308fd","http://www.mendeley.com/documents/?uuid=eef4d3ab-fd94-430f-a398-91055866d618","http://www.mendeley.com/documents/?uuid=0444dc18-aa69-424e-bb8e-d429bd9b09a4"]}],"mendeley":{"formattedCitation":"[20], [21]","plainTextFormattedCitation":"[20], [21]","previouslyFormattedCitation":"[20], [21]"},"properties":{"noteIndex":0},"schema":"https://github.com/citation-style-language/schema/raw/master/csl-citation.json"}</w:instrText>
      </w:r>
      <w:r w:rsidR="00073680">
        <w:fldChar w:fldCharType="separate"/>
      </w:r>
      <w:r w:rsidR="00524A6C" w:rsidRPr="00524A6C">
        <w:rPr>
          <w:noProof/>
        </w:rPr>
        <w:t>[20], [21]</w:t>
      </w:r>
      <w:r w:rsidR="00073680">
        <w:fldChar w:fldCharType="end"/>
      </w:r>
      <w:r>
        <w:t xml:space="preserve">. </w:t>
      </w:r>
      <w:r w:rsidR="000828FB">
        <w:t>Furthermore, this paper provides contemporary fire statistical data that could be adopted within the updated framework and data collection methods for PRA described in PD 7974-</w:t>
      </w:r>
      <w:r w:rsidR="00EC1FC0">
        <w:t>7</w:t>
      </w:r>
      <w:r w:rsidR="000828FB">
        <w:t xml:space="preserve">:2019. </w:t>
      </w:r>
    </w:p>
    <w:p w14:paraId="06DA23F7" w14:textId="53674E09" w:rsidR="00F158CD" w:rsidRDefault="00F158CD" w:rsidP="00AA2E53">
      <w:pPr>
        <w:rPr>
          <w:rFonts w:cs="Times New Roman"/>
          <w:b/>
          <w:szCs w:val="24"/>
        </w:rPr>
      </w:pPr>
      <w:r>
        <w:rPr>
          <w:rFonts w:cs="Times New Roman"/>
          <w:b/>
          <w:szCs w:val="24"/>
        </w:rPr>
        <w:t xml:space="preserve">2. </w:t>
      </w:r>
      <w:r w:rsidR="009E4F31">
        <w:rPr>
          <w:rFonts w:cs="Times New Roman"/>
          <w:b/>
          <w:szCs w:val="24"/>
        </w:rPr>
        <w:t>F</w:t>
      </w:r>
      <w:r>
        <w:rPr>
          <w:rFonts w:cs="Times New Roman"/>
          <w:b/>
          <w:szCs w:val="24"/>
        </w:rPr>
        <w:t>ire statistics and building stock</w:t>
      </w:r>
    </w:p>
    <w:p w14:paraId="160E875F" w14:textId="327EA1CC" w:rsidR="00F158CD" w:rsidRPr="00F158CD" w:rsidRDefault="00F158CD" w:rsidP="00F158CD">
      <w:pPr>
        <w:rPr>
          <w:rFonts w:cs="Times New Roman"/>
          <w:szCs w:val="24"/>
        </w:rPr>
      </w:pPr>
      <w:r w:rsidRPr="00F158CD">
        <w:rPr>
          <w:rFonts w:cs="Times New Roman"/>
          <w:szCs w:val="24"/>
        </w:rPr>
        <w:t xml:space="preserve">The </w:t>
      </w:r>
      <w:r w:rsidR="009E4F31">
        <w:rPr>
          <w:rFonts w:cs="Times New Roman"/>
          <w:szCs w:val="24"/>
        </w:rPr>
        <w:t xml:space="preserve">Home Office </w:t>
      </w:r>
      <w:r w:rsidRPr="00F158CD">
        <w:rPr>
          <w:rFonts w:cs="Times New Roman"/>
          <w:szCs w:val="24"/>
        </w:rPr>
        <w:t>Incident Recording System (IRS)</w:t>
      </w:r>
      <w:r w:rsidR="004C7EEF">
        <w:rPr>
          <w:rFonts w:cs="Times New Roman"/>
          <w:szCs w:val="24"/>
        </w:rPr>
        <w:t xml:space="preserve"> by the Home Office</w:t>
      </w:r>
      <w:r w:rsidRPr="00F158CD">
        <w:rPr>
          <w:rFonts w:cs="Times New Roman"/>
          <w:szCs w:val="24"/>
        </w:rPr>
        <w:t xml:space="preserve"> in UK collects information on every incident attended by the </w:t>
      </w:r>
      <w:r w:rsidR="004C7EEF">
        <w:rPr>
          <w:rFonts w:cs="Times New Roman"/>
          <w:szCs w:val="24"/>
        </w:rPr>
        <w:t>fire and rescue services (FRS</w:t>
      </w:r>
      <w:r w:rsidR="009E4F31">
        <w:rPr>
          <w:rFonts w:cs="Times New Roman"/>
          <w:szCs w:val="24"/>
        </w:rPr>
        <w:t>s</w:t>
      </w:r>
      <w:r w:rsidR="004C7EEF">
        <w:rPr>
          <w:rFonts w:cs="Times New Roman"/>
          <w:szCs w:val="24"/>
        </w:rPr>
        <w:t xml:space="preserve">) </w:t>
      </w:r>
      <w:r w:rsidR="003D36FD">
        <w:rPr>
          <w:rFonts w:cs="Times New Roman"/>
          <w:szCs w:val="24"/>
        </w:rPr>
        <w:t>in England</w:t>
      </w:r>
      <w:r w:rsidR="009E4F31">
        <w:rPr>
          <w:rFonts w:cs="Times New Roman"/>
          <w:szCs w:val="24"/>
        </w:rPr>
        <w:t xml:space="preserve">, Wales and Scotland. </w:t>
      </w:r>
      <w:r w:rsidR="003158F4">
        <w:rPr>
          <w:rFonts w:cs="Times New Roman"/>
          <w:szCs w:val="24"/>
        </w:rPr>
        <w:t xml:space="preserve">The web-based forms are pre-populated with information from the Command and Control systems, and are then completed and </w:t>
      </w:r>
      <w:r w:rsidRPr="00F158CD">
        <w:rPr>
          <w:rFonts w:cs="Times New Roman"/>
          <w:szCs w:val="24"/>
        </w:rPr>
        <w:t>submitted by those present at the time of</w:t>
      </w:r>
      <w:r w:rsidR="004C7EEF">
        <w:rPr>
          <w:rFonts w:cs="Times New Roman"/>
          <w:szCs w:val="24"/>
        </w:rPr>
        <w:t xml:space="preserve"> the incident</w:t>
      </w:r>
      <w:r w:rsidR="003158F4">
        <w:rPr>
          <w:rFonts w:cs="Times New Roman"/>
          <w:szCs w:val="24"/>
        </w:rPr>
        <w:t xml:space="preserve"> </w:t>
      </w:r>
      <w:r w:rsidRPr="00F158CD">
        <w:rPr>
          <w:rFonts w:cs="Times New Roman"/>
          <w:szCs w:val="24"/>
        </w:rPr>
        <w:fldChar w:fldCharType="begin" w:fldLock="1"/>
      </w:r>
      <w:r w:rsidR="00125627">
        <w:rPr>
          <w:rFonts w:cs="Times New Roman"/>
          <w:szCs w:val="24"/>
        </w:rPr>
        <w:instrText>ADDIN CSL_CITATION {"citationItems":[{"id":"ITEM-1","itemData":{"author":[{"dropping-particle":"","family":"Home Office","given":"","non-dropping-particle":"","parse-names":false,"suffix":""}],"id":"ITEM-1","issue":"April","issued":{"date-parts":[["2017"]]},"title":"Publishing Incident Recording System data on the fire and rescue service at an incident level: Project overview","type":"report"},"uris":["http://www.mendeley.com/documents/?uuid=34e3c9fa-2bb2-480d-9ab0-af28ebecb287","http://www.mendeley.com/documents/?uuid=4e708714-f837-47c9-9407-721727ab1b8e"]}],"mendeley":{"formattedCitation":"[22]","plainTextFormattedCitation":"[22]","previouslyFormattedCitation":"[22]"},"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[22]</w:t>
      </w:r>
      <w:r w:rsidRPr="00F158CD">
        <w:rPr>
          <w:rFonts w:cs="Times New Roman"/>
          <w:szCs w:val="24"/>
        </w:rPr>
        <w:fldChar w:fldCharType="end"/>
      </w:r>
      <w:r w:rsidRPr="00F158CD">
        <w:rPr>
          <w:rFonts w:cs="Times New Roman"/>
          <w:szCs w:val="24"/>
        </w:rPr>
        <w:t xml:space="preserve">. The Home Office publishes </w:t>
      </w:r>
      <w:r w:rsidR="003158F4">
        <w:rPr>
          <w:rFonts w:cs="Times New Roman"/>
          <w:szCs w:val="24"/>
        </w:rPr>
        <w:t>a quarterly release</w:t>
      </w:r>
      <w:r w:rsidRPr="00F158CD">
        <w:rPr>
          <w:rFonts w:cs="Times New Roman"/>
          <w:szCs w:val="24"/>
        </w:rPr>
        <w:t xml:space="preserve"> on Fire and rescue service statistics which is a collection of national statistics on fires, casualties, false alarms and non-fire incidents attended by the fire and rescue service in England </w:t>
      </w:r>
      <w:r w:rsidR="003158F4">
        <w:rPr>
          <w:rFonts w:cs="Times New Roman"/>
          <w:szCs w:val="24"/>
        </w:rPr>
        <w:t xml:space="preserve">and annual releases with more-detailed analyses and non-fire incidents </w:t>
      </w:r>
      <w:r w:rsidR="003158F4">
        <w:rPr>
          <w:rFonts w:cs="Times New Roman"/>
          <w:szCs w:val="24"/>
        </w:rPr>
        <w:fldChar w:fldCharType="begin" w:fldLock="1"/>
      </w:r>
      <w:r w:rsidR="00125627">
        <w:rPr>
          <w:rFonts w:cs="Times New Roman"/>
          <w:szCs w:val="24"/>
        </w:rPr>
        <w:instrText>ADDIN CSL_CITATION {"citationItems":[{"id":"ITEM-1","itemData":{"URL":"https://www.gov.uk/government/collections/fire-statistics","accessed":{"date-parts":[["2019","8","11"]]},"author":[{"dropping-particle":"","family":"Home Office","given":"","non-dropping-particle":"","parse-names":false,"suffix":""}],"id":"ITEM-1","issued":{"date-parts":[["2019"]]},"title":"Fire statistics collection","type":"webpage"},"uris":["http://www.mendeley.com/documents/?uuid=1bc81973-7ae9-441a-9592-f43bb40306f4","http://www.mendeley.com/documents/?uuid=0a3852e5-1f11-42d6-a88c-82ee2196d821"]}],"mendeley":{"formattedCitation":"[23]","plainTextFormattedCitation":"[23]","previouslyFormattedCitation":"[23]"},"properties":{"noteIndex":0},"schema":"https://github.com/citation-style-language/schema/raw/master/csl-citation.json"}</w:instrText>
      </w:r>
      <w:r w:rsidR="003158F4">
        <w:rPr>
          <w:rFonts w:cs="Times New Roman"/>
          <w:szCs w:val="24"/>
        </w:rPr>
        <w:fldChar w:fldCharType="separate"/>
      </w:r>
      <w:r w:rsidR="00524A6C" w:rsidRPr="00524A6C">
        <w:rPr>
          <w:rFonts w:cs="Times New Roman"/>
          <w:noProof/>
          <w:szCs w:val="24"/>
        </w:rPr>
        <w:t>[23]</w:t>
      </w:r>
      <w:r w:rsidR="003158F4">
        <w:rPr>
          <w:rFonts w:cs="Times New Roman"/>
          <w:szCs w:val="24"/>
        </w:rPr>
        <w:fldChar w:fldCharType="end"/>
      </w:r>
      <w:r w:rsidR="003158F4">
        <w:rPr>
          <w:rFonts w:cs="Times New Roman"/>
          <w:szCs w:val="24"/>
        </w:rPr>
        <w:t xml:space="preserve">. </w:t>
      </w:r>
      <w:r w:rsidRPr="00F158CD">
        <w:rPr>
          <w:rFonts w:cs="Times New Roman"/>
          <w:szCs w:val="24"/>
        </w:rPr>
        <w:t>The Home Office work</w:t>
      </w:r>
      <w:r w:rsidR="00DA2A98">
        <w:rPr>
          <w:rFonts w:cs="Times New Roman"/>
          <w:szCs w:val="24"/>
        </w:rPr>
        <w:t>s</w:t>
      </w:r>
      <w:r w:rsidRPr="00F158CD">
        <w:rPr>
          <w:rFonts w:cs="Times New Roman"/>
          <w:szCs w:val="24"/>
        </w:rPr>
        <w:t xml:space="preserve"> with the FRSs to ensure the quality of data but the datasets may present a small number of unidentified inconsistenc</w:t>
      </w:r>
      <w:r w:rsidR="003158F4">
        <w:rPr>
          <w:rFonts w:cs="Times New Roman"/>
          <w:szCs w:val="24"/>
        </w:rPr>
        <w:t>ies</w:t>
      </w:r>
      <w:r w:rsidRPr="00F158CD">
        <w:rPr>
          <w:rFonts w:cs="Times New Roman"/>
          <w:szCs w:val="24"/>
        </w:rPr>
        <w:t xml:space="preserve"> </w:t>
      </w:r>
      <w:r w:rsidRPr="00F158CD">
        <w:rPr>
          <w:rFonts w:cs="Times New Roman"/>
          <w:szCs w:val="24"/>
        </w:rPr>
        <w:fldChar w:fldCharType="begin" w:fldLock="1"/>
      </w:r>
      <w:r w:rsidR="00125627">
        <w:rPr>
          <w:rFonts w:cs="Times New Roman"/>
          <w:szCs w:val="24"/>
        </w:rPr>
        <w:instrText>ADDIN CSL_CITATION {"citationItems":[{"id":"ITEM-1","itemData":{"author":[{"dropping-particle":"","family":"Home Office","given":"","non-dropping-particle":"","parse-names":false,"suffix":""}],"id":"ITEM-1","issue":"April","issued":{"date-parts":[["2017"]]},"title":"Publishing Incident Recording System data on the fire and rescue service at an incident level: Project overview","type":"report"},"uris":["http://www.mendeley.com/documents/?uuid=4e708714-f837-47c9-9407-721727ab1b8e","http://www.mendeley.com/documents/?uuid=34e3c9fa-2bb2-480d-9ab0-af28ebecb287"]}],"mendeley":{"formattedCitation":"[22]","plainTextFormattedCitation":"[22]","previouslyFormattedCitation":"[22]"},"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[22]</w:t>
      </w:r>
      <w:r w:rsidRPr="00F158CD">
        <w:rPr>
          <w:rFonts w:cs="Times New Roman"/>
          <w:szCs w:val="24"/>
        </w:rPr>
        <w:fldChar w:fldCharType="end"/>
      </w:r>
      <w:r w:rsidRPr="00F158CD">
        <w:rPr>
          <w:rFonts w:cs="Times New Roman"/>
          <w:szCs w:val="24"/>
        </w:rPr>
        <w:t xml:space="preserve">. </w:t>
      </w:r>
    </w:p>
    <w:p w14:paraId="466BF66B" w14:textId="4D38863B" w:rsidR="00F158CD" w:rsidRPr="00F158CD" w:rsidRDefault="00F158CD" w:rsidP="00F158CD">
      <w:pPr>
        <w:rPr>
          <w:rFonts w:cs="Times New Roman"/>
          <w:szCs w:val="24"/>
        </w:rPr>
      </w:pPr>
      <w:r w:rsidRPr="00F158CD">
        <w:rPr>
          <w:rFonts w:cs="Times New Roman"/>
          <w:szCs w:val="24"/>
        </w:rPr>
        <w:t xml:space="preserve">In this research, the </w:t>
      </w:r>
      <w:r w:rsidRPr="000C2769">
        <w:rPr>
          <w:rFonts w:cs="Times New Roman"/>
          <w:i/>
          <w:iCs/>
          <w:szCs w:val="24"/>
        </w:rPr>
        <w:t>Other building</w:t>
      </w:r>
      <w:r w:rsidRPr="00F158CD">
        <w:rPr>
          <w:rFonts w:cs="Times New Roman"/>
          <w:szCs w:val="24"/>
        </w:rPr>
        <w:t xml:space="preserve"> fires dataset has been adopted for the study and data are collected from 2010</w:t>
      </w:r>
      <w:r w:rsidR="003158F4">
        <w:rPr>
          <w:rFonts w:cs="Times New Roman"/>
          <w:szCs w:val="24"/>
        </w:rPr>
        <w:t>/11</w:t>
      </w:r>
      <w:r w:rsidRPr="00F158CD">
        <w:rPr>
          <w:rFonts w:cs="Times New Roman"/>
          <w:szCs w:val="24"/>
        </w:rPr>
        <w:t xml:space="preserve"> to 20</w:t>
      </w:r>
      <w:r w:rsidR="003158F4">
        <w:rPr>
          <w:rFonts w:cs="Times New Roman"/>
          <w:szCs w:val="24"/>
        </w:rPr>
        <w:t>16/</w:t>
      </w:r>
      <w:r w:rsidRPr="00F158CD">
        <w:rPr>
          <w:rFonts w:cs="Times New Roman"/>
          <w:szCs w:val="24"/>
        </w:rPr>
        <w:t xml:space="preserve">17 including 121,558 fire incidents </w:t>
      </w:r>
      <w:r w:rsidRPr="00F158CD">
        <w:rPr>
          <w:rFonts w:cs="Times New Roman"/>
          <w:szCs w:val="24"/>
        </w:rPr>
        <w:fldChar w:fldCharType="begin" w:fldLock="1"/>
      </w:r>
      <w:r w:rsidR="00125627">
        <w:rPr>
          <w:rFonts w:cs="Times New Roman"/>
          <w:szCs w:val="24"/>
        </w:rPr>
        <w:instrText>ADDIN CSL_CITATION {"citationItems":[{"id":"ITEM-1","itemData":{"author":[{"dropping-particle":"","family":"Home Office","given":"","non-dropping-particle":"","parse-names":false,"suffix":""}],"id":"ITEM-1","issue":"September","issued":{"date-parts":[["2017"]]},"title":"Publishing Incident Recording System data on the fire and rescue service at an incident level: ‘Other building’ fires dataset guidance","type":"report"},"uris":["http://www.mendeley.com/documents/?uuid=a46daf1d-f8c2-4f31-bcf9-f45dcc795f8f"]}],"mendeley":{"formattedCitation":"[24]","plainTextFormattedCitation":"[24]","previouslyFormattedCitation":"[24]"},"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[24]</w:t>
      </w:r>
      <w:r w:rsidRPr="00F158CD">
        <w:rPr>
          <w:rFonts w:cs="Times New Roman"/>
          <w:szCs w:val="24"/>
        </w:rPr>
        <w:fldChar w:fldCharType="end"/>
      </w:r>
      <w:r w:rsidRPr="00F158CD">
        <w:rPr>
          <w:rFonts w:cs="Times New Roman"/>
          <w:szCs w:val="24"/>
        </w:rPr>
        <w:t>. This dataset has been used for all the analyses present in this paper except for the evaluation of fire frequency in relation to the total floor space of the building</w:t>
      </w:r>
      <w:r w:rsidR="008B4F12">
        <w:rPr>
          <w:rFonts w:cs="Times New Roman"/>
          <w:szCs w:val="24"/>
        </w:rPr>
        <w:t>. This is due to</w:t>
      </w:r>
      <w:r w:rsidRPr="00F158CD">
        <w:rPr>
          <w:rFonts w:cs="Times New Roman"/>
          <w:szCs w:val="24"/>
        </w:rPr>
        <w:t xml:space="preserve"> </w:t>
      </w:r>
      <w:r w:rsidR="00487900">
        <w:rPr>
          <w:rFonts w:cs="Times New Roman"/>
          <w:szCs w:val="24"/>
        </w:rPr>
        <w:t>the published dataset</w:t>
      </w:r>
      <w:r w:rsidRPr="00F158CD">
        <w:rPr>
          <w:rFonts w:cs="Times New Roman"/>
          <w:szCs w:val="24"/>
        </w:rPr>
        <w:t xml:space="preserve"> not </w:t>
      </w:r>
      <w:r w:rsidR="008B4F12" w:rsidRPr="00F158CD">
        <w:rPr>
          <w:rFonts w:cs="Times New Roman"/>
          <w:szCs w:val="24"/>
        </w:rPr>
        <w:t>includ</w:t>
      </w:r>
      <w:r w:rsidR="008B4F12">
        <w:rPr>
          <w:rFonts w:cs="Times New Roman"/>
          <w:szCs w:val="24"/>
        </w:rPr>
        <w:t>ing</w:t>
      </w:r>
      <w:r w:rsidR="008B4F12" w:rsidRPr="00F158CD">
        <w:rPr>
          <w:rFonts w:cs="Times New Roman"/>
          <w:szCs w:val="24"/>
        </w:rPr>
        <w:t xml:space="preserve"> </w:t>
      </w:r>
      <w:r w:rsidRPr="00F158CD">
        <w:rPr>
          <w:rFonts w:cs="Times New Roman"/>
          <w:szCs w:val="24"/>
        </w:rPr>
        <w:t xml:space="preserve">the total floor </w:t>
      </w:r>
      <w:r w:rsidR="00276A16">
        <w:rPr>
          <w:rFonts w:cs="Times New Roman"/>
          <w:szCs w:val="24"/>
        </w:rPr>
        <w:t>area</w:t>
      </w:r>
      <w:r w:rsidRPr="00F158CD">
        <w:rPr>
          <w:rFonts w:cs="Times New Roman"/>
          <w:szCs w:val="24"/>
        </w:rPr>
        <w:t xml:space="preserve"> of th</w:t>
      </w:r>
      <w:r w:rsidR="004C7EEF">
        <w:rPr>
          <w:rFonts w:cs="Times New Roman"/>
          <w:szCs w:val="24"/>
        </w:rPr>
        <w:t xml:space="preserve">e building. For this </w:t>
      </w:r>
      <w:r w:rsidRPr="00F158CD">
        <w:rPr>
          <w:rFonts w:cs="Times New Roman"/>
          <w:szCs w:val="24"/>
        </w:rPr>
        <w:t xml:space="preserve">reason, the Home Office provided the authors </w:t>
      </w:r>
      <w:r w:rsidR="008B4F12">
        <w:rPr>
          <w:rFonts w:cs="Times New Roman"/>
          <w:szCs w:val="24"/>
        </w:rPr>
        <w:t>with an additional</w:t>
      </w:r>
      <w:r w:rsidRPr="00F158CD">
        <w:rPr>
          <w:rFonts w:cs="Times New Roman"/>
          <w:szCs w:val="24"/>
        </w:rPr>
        <w:t xml:space="preserve"> dataset which includes information about the building dimension. In this database, only the data </w:t>
      </w:r>
      <w:r w:rsidR="004C7EEF">
        <w:rPr>
          <w:rFonts w:cs="Times New Roman"/>
          <w:szCs w:val="24"/>
        </w:rPr>
        <w:t xml:space="preserve">of </w:t>
      </w:r>
      <w:r w:rsidRPr="00F158CD">
        <w:rPr>
          <w:rFonts w:cs="Times New Roman"/>
          <w:szCs w:val="24"/>
        </w:rPr>
        <w:t xml:space="preserve">2014/15 have been investigated to recreate a direct comparison with the previous research developed for PD 7974-7 and USA statistics </w:t>
      </w:r>
      <w:r w:rsidRPr="00F158CD">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[15]</w:t>
      </w:r>
      <w:r w:rsidRPr="00F158CD">
        <w:rPr>
          <w:rFonts w:cs="Times New Roman"/>
          <w:szCs w:val="24"/>
        </w:rPr>
        <w:fldChar w:fldCharType="end"/>
      </w:r>
      <w:r w:rsidRPr="00F158CD">
        <w:rPr>
          <w:rFonts w:cs="Times New Roman"/>
          <w:szCs w:val="24"/>
        </w:rPr>
        <w:t>. In order to guarantee a data quality</w:t>
      </w:r>
      <w:r w:rsidR="006C3BD8">
        <w:rPr>
          <w:rFonts w:cs="Times New Roman"/>
          <w:szCs w:val="24"/>
        </w:rPr>
        <w:t>,</w:t>
      </w:r>
      <w:r w:rsidRPr="00F158CD">
        <w:rPr>
          <w:rFonts w:cs="Times New Roman"/>
          <w:szCs w:val="24"/>
        </w:rPr>
        <w:t xml:space="preserve"> the authors have removed </w:t>
      </w:r>
      <w:r w:rsidR="008B4F12">
        <w:rPr>
          <w:rFonts w:cs="Times New Roman"/>
          <w:szCs w:val="24"/>
        </w:rPr>
        <w:t>entries</w:t>
      </w:r>
      <w:r w:rsidRPr="00F158CD">
        <w:rPr>
          <w:rFonts w:cs="Times New Roman"/>
          <w:szCs w:val="24"/>
        </w:rPr>
        <w:t xml:space="preserve"> in which the buil</w:t>
      </w:r>
      <w:r w:rsidR="004C7EEF">
        <w:rPr>
          <w:rFonts w:cs="Times New Roman"/>
          <w:szCs w:val="24"/>
        </w:rPr>
        <w:t>ding room or floor of origin are</w:t>
      </w:r>
      <w:r w:rsidRPr="00F158CD">
        <w:rPr>
          <w:rFonts w:cs="Times New Roman"/>
          <w:szCs w:val="24"/>
        </w:rPr>
        <w:t xml:space="preserve"> equal to 0 m</w:t>
      </w:r>
      <w:r w:rsidRPr="004C7EEF">
        <w:rPr>
          <w:rFonts w:cs="Times New Roman"/>
          <w:szCs w:val="24"/>
          <w:vertAlign w:val="superscript"/>
        </w:rPr>
        <w:t>2</w:t>
      </w:r>
      <w:r w:rsidRPr="00F158CD">
        <w:rPr>
          <w:rFonts w:cs="Times New Roman"/>
          <w:szCs w:val="24"/>
        </w:rPr>
        <w:t>, the number of floors above or below ground/main level are recorded as 99 or 999</w:t>
      </w:r>
      <w:r w:rsidR="008B4F12">
        <w:rPr>
          <w:rFonts w:cs="Times New Roman"/>
          <w:szCs w:val="24"/>
        </w:rPr>
        <w:t>,</w:t>
      </w:r>
      <w:r w:rsidRPr="00F158CD">
        <w:rPr>
          <w:rFonts w:cs="Times New Roman"/>
          <w:szCs w:val="24"/>
        </w:rPr>
        <w:t xml:space="preserve"> and </w:t>
      </w:r>
      <w:r w:rsidR="008B4F12">
        <w:rPr>
          <w:rFonts w:cs="Times New Roman"/>
          <w:szCs w:val="24"/>
        </w:rPr>
        <w:t>fires</w:t>
      </w:r>
      <w:r w:rsidRPr="00F158CD">
        <w:rPr>
          <w:rFonts w:cs="Times New Roman"/>
          <w:szCs w:val="24"/>
        </w:rPr>
        <w:t xml:space="preserve"> </w:t>
      </w:r>
      <w:r w:rsidR="008B4F12">
        <w:rPr>
          <w:rFonts w:cs="Times New Roman"/>
          <w:szCs w:val="24"/>
        </w:rPr>
        <w:t>where</w:t>
      </w:r>
      <w:r w:rsidRPr="00F158CD">
        <w:rPr>
          <w:rFonts w:cs="Times New Roman"/>
          <w:szCs w:val="24"/>
        </w:rPr>
        <w:t xml:space="preserve"> the fire damage is greater than the total damage. Therefore, the </w:t>
      </w:r>
      <w:proofErr w:type="gramStart"/>
      <w:r w:rsidR="008B4F12" w:rsidRPr="000C2769">
        <w:rPr>
          <w:rFonts w:cs="Times New Roman"/>
          <w:i/>
          <w:iCs/>
          <w:szCs w:val="24"/>
        </w:rPr>
        <w:t>O</w:t>
      </w:r>
      <w:r w:rsidR="000F2462" w:rsidRPr="000C2769">
        <w:rPr>
          <w:rFonts w:cs="Times New Roman"/>
          <w:i/>
          <w:iCs/>
          <w:szCs w:val="24"/>
        </w:rPr>
        <w:t>ther</w:t>
      </w:r>
      <w:proofErr w:type="gramEnd"/>
      <w:r w:rsidR="000F2462" w:rsidRPr="000C2769">
        <w:rPr>
          <w:rFonts w:cs="Times New Roman"/>
          <w:i/>
          <w:iCs/>
          <w:szCs w:val="24"/>
        </w:rPr>
        <w:t xml:space="preserve"> building</w:t>
      </w:r>
      <w:r w:rsidR="000F2462">
        <w:rPr>
          <w:rFonts w:cs="Times New Roman"/>
          <w:szCs w:val="24"/>
        </w:rPr>
        <w:t xml:space="preserve"> fires </w:t>
      </w:r>
      <w:r w:rsidRPr="00F158CD">
        <w:rPr>
          <w:rFonts w:cs="Times New Roman"/>
          <w:szCs w:val="24"/>
        </w:rPr>
        <w:t xml:space="preserve">dataset has been reduced </w:t>
      </w:r>
      <w:r w:rsidR="000F2462">
        <w:rPr>
          <w:rFonts w:cs="Times New Roman"/>
          <w:szCs w:val="24"/>
        </w:rPr>
        <w:t xml:space="preserve">by around a quarter </w:t>
      </w:r>
      <w:r w:rsidRPr="00F158CD">
        <w:rPr>
          <w:rFonts w:cs="Times New Roman"/>
          <w:szCs w:val="24"/>
        </w:rPr>
        <w:t xml:space="preserve">from 15,561 to 11,168 fire incidents. The National Fire Incident Reporting System has been considered for the USA fire statistics for the 2014/15 provided by the US Fire Administration which collects approximately 600,000 fire incident data each year from all 50 States and more than 40 major metropolitan areas </w:t>
      </w:r>
      <w:r w:rsidRPr="00F158CD">
        <w:rPr>
          <w:rFonts w:cs="Times New Roman"/>
          <w:szCs w:val="24"/>
        </w:rPr>
        <w:fldChar w:fldCharType="begin" w:fldLock="1"/>
      </w:r>
      <w:r w:rsidR="00125627">
        <w:rPr>
          <w:rFonts w:cs="Times New Roman"/>
          <w:szCs w:val="24"/>
        </w:rPr>
        <w:instrText>ADDIN CSL_CITATION {"citationItems":[{"id":"ITEM-1","itemData":{"author":[{"dropping-particle":"","family":"USFA","given":"","non-dropping-particle":"","parse-names":false,"suffix":""}],"id":"ITEM-1","issue":"12/31","issued":{"date-parts":[["2014"]]},"title":"National Fire Incident Reporting System","type":"article-journal","volume":"2014"},"uris":["http://www.mendeley.com/documents/?uuid=6f230c7b-c235-4d06-86cd-975398980aea"]}],"mendeley":{"formattedCitation":"[25]","plainTextFormattedCitation":"[25]","previouslyFormattedCitation":"[25]"},"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[25]</w:t>
      </w:r>
      <w:r w:rsidRPr="00F158CD">
        <w:rPr>
          <w:rFonts w:cs="Times New Roman"/>
          <w:szCs w:val="24"/>
        </w:rPr>
        <w:fldChar w:fldCharType="end"/>
      </w:r>
      <w:r w:rsidRPr="00F158CD">
        <w:rPr>
          <w:rFonts w:cs="Times New Roman"/>
          <w:szCs w:val="24"/>
        </w:rPr>
        <w:t>.</w:t>
      </w:r>
    </w:p>
    <w:p w14:paraId="36D93579" w14:textId="2869EE03" w:rsidR="00F158CD" w:rsidRPr="00F158CD" w:rsidRDefault="00F158CD" w:rsidP="00F158CD">
      <w:pPr>
        <w:rPr>
          <w:rFonts w:cs="Times New Roman"/>
          <w:szCs w:val="24"/>
        </w:rPr>
      </w:pPr>
      <w:r w:rsidRPr="00F158CD">
        <w:rPr>
          <w:rFonts w:cs="Times New Roman"/>
          <w:szCs w:val="24"/>
        </w:rPr>
        <w:t>For the building stock classified according to the total</w:t>
      </w:r>
      <w:r w:rsidR="00031539">
        <w:rPr>
          <w:rFonts w:cs="Times New Roman"/>
          <w:szCs w:val="24"/>
        </w:rPr>
        <w:t xml:space="preserve"> floor space</w:t>
      </w:r>
      <w:r w:rsidR="004C7EEF">
        <w:rPr>
          <w:rFonts w:cs="Times New Roman"/>
          <w:szCs w:val="24"/>
        </w:rPr>
        <w:t xml:space="preserve"> of the building,</w:t>
      </w:r>
      <w:r w:rsidRPr="00F158CD">
        <w:rPr>
          <w:rFonts w:cs="Times New Roman"/>
          <w:szCs w:val="24"/>
        </w:rPr>
        <w:t xml:space="preserve"> UK Valuation Office Agency (VOA) of the 2017 rating list compiled on April 2017 for England and Wales has been investigated. Every entry in the rating list includes a rateable value where 80% are supported by regular site and building survey while 20% by specialised surveys or based on construction costs or annual accounts. Bulk class properties are collected as particular use of the property at the time of </w:t>
      </w:r>
      <w:r w:rsidRPr="00AC1336">
        <w:rPr>
          <w:rFonts w:cs="Times New Roman"/>
          <w:szCs w:val="24"/>
        </w:rPr>
        <w:t>the valuation</w:t>
      </w:r>
      <w:r w:rsidR="00AC1336">
        <w:rPr>
          <w:rFonts w:cs="Times New Roman"/>
          <w:szCs w:val="24"/>
        </w:rPr>
        <w:t xml:space="preserve"> </w:t>
      </w:r>
      <w:r w:rsidR="00AC1336">
        <w:rPr>
          <w:rFonts w:cs="Times New Roman"/>
          <w:szCs w:val="24"/>
        </w:rPr>
        <w:fldChar w:fldCharType="begin" w:fldLock="1"/>
      </w:r>
      <w:r w:rsidR="00125627">
        <w:rPr>
          <w:rFonts w:cs="Times New Roman"/>
          <w:szCs w:val="24"/>
        </w:rPr>
        <w:instrText>ADDIN CSL_CITATION {"citationItems":[{"id":"ITEM-1","itemData":{"author":[{"dropping-particle":"","family":"Valuation Office Agency","given":"","non-dropping-particle":"","parse-names":false,"suffix":""}],"id":"ITEM-1","issued":{"date-parts":[["2016"]]},"title":"Non-domestic rating: Stock of Properties England and Wales, 2010 Rating List","type":"report"},"uris":["http://www.mendeley.com/documents/?uuid=f2f9d8be-cffc-4482-b95e-280b7e6cd8d2","http://www.mendeley.com/documents/?uuid=8c1bc71d-4c72-4bb1-8ac7-daa66eade7ed"]}],"mendeley":{"formattedCitation":"[26]","plainTextFormattedCitation":"[26]","previouslyFormattedCitation":"[26]"},"properties":{"noteIndex":0},"schema":"https://github.com/citation-style-language/schema/raw/master/csl-citation.json"}</w:instrText>
      </w:r>
      <w:r w:rsidR="00AC1336">
        <w:rPr>
          <w:rFonts w:cs="Times New Roman"/>
          <w:szCs w:val="24"/>
        </w:rPr>
        <w:fldChar w:fldCharType="separate"/>
      </w:r>
      <w:r w:rsidR="00524A6C" w:rsidRPr="00524A6C">
        <w:rPr>
          <w:rFonts w:cs="Times New Roman"/>
          <w:noProof/>
          <w:szCs w:val="24"/>
        </w:rPr>
        <w:t>[26]</w:t>
      </w:r>
      <w:r w:rsidR="00AC1336">
        <w:rPr>
          <w:rFonts w:cs="Times New Roman"/>
          <w:szCs w:val="24"/>
        </w:rPr>
        <w:fldChar w:fldCharType="end"/>
      </w:r>
      <w:r w:rsidRPr="00F158CD">
        <w:rPr>
          <w:rFonts w:cs="Times New Roman"/>
          <w:szCs w:val="24"/>
        </w:rPr>
        <w:t xml:space="preserve">. </w:t>
      </w:r>
      <w:r w:rsidR="00194D62">
        <w:rPr>
          <w:rFonts w:cs="Times New Roman"/>
          <w:szCs w:val="24"/>
        </w:rPr>
        <w:t>O</w:t>
      </w:r>
      <w:r w:rsidRPr="00F158CD">
        <w:rPr>
          <w:rFonts w:cs="Times New Roman"/>
          <w:szCs w:val="24"/>
        </w:rPr>
        <w:t>nly records still valid and with a rateable value greater t</w:t>
      </w:r>
      <w:r w:rsidR="004C7EEF">
        <w:rPr>
          <w:rFonts w:cs="Times New Roman"/>
          <w:szCs w:val="24"/>
        </w:rPr>
        <w:t>han zero have been considered and</w:t>
      </w:r>
      <w:r w:rsidRPr="00F158CD">
        <w:rPr>
          <w:rFonts w:cs="Times New Roman"/>
          <w:szCs w:val="24"/>
        </w:rPr>
        <w:t xml:space="preserve"> bulk class</w:t>
      </w:r>
      <w:r w:rsidR="004C7EEF">
        <w:rPr>
          <w:rFonts w:cs="Times New Roman"/>
          <w:szCs w:val="24"/>
        </w:rPr>
        <w:t xml:space="preserve"> buildings distributed</w:t>
      </w:r>
      <w:r w:rsidRPr="00F158CD">
        <w:rPr>
          <w:rFonts w:cs="Times New Roman"/>
          <w:szCs w:val="24"/>
        </w:rPr>
        <w:t xml:space="preserve"> according to specific total</w:t>
      </w:r>
      <w:r w:rsidR="00031539">
        <w:rPr>
          <w:rFonts w:cs="Times New Roman"/>
          <w:szCs w:val="24"/>
        </w:rPr>
        <w:t xml:space="preserve"> space</w:t>
      </w:r>
      <w:r w:rsidR="004C7EEF">
        <w:rPr>
          <w:rFonts w:cs="Times New Roman"/>
          <w:szCs w:val="24"/>
        </w:rPr>
        <w:t xml:space="preserve">. For </w:t>
      </w:r>
      <w:r w:rsidRPr="00F158CD">
        <w:rPr>
          <w:rFonts w:cs="Times New Roman"/>
          <w:szCs w:val="24"/>
        </w:rPr>
        <w:t xml:space="preserve">USA building stock, US Energy Information Administration (EIA) </w:t>
      </w:r>
      <w:r w:rsidRPr="00F158CD">
        <w:rPr>
          <w:rFonts w:cs="Times New Roman"/>
          <w:szCs w:val="24"/>
        </w:rPr>
        <w:fldChar w:fldCharType="begin" w:fldLock="1"/>
      </w:r>
      <w:r w:rsidR="00125627">
        <w:rPr>
          <w:rFonts w:cs="Times New Roman"/>
          <w:szCs w:val="24"/>
        </w:rPr>
        <w:instrText>ADDIN CSL_CITATION {"citationItems":[{"id":"ITEM-1","itemData":{"URL":"https://www.eia.gov","accessed":{"date-parts":[["2019","7","15"]]},"author":[{"dropping-particle":"","family":"U.S. Energy Information Administration","given":"","non-dropping-particle":"","parse-names":false,"suffix":""}],"id":"ITEM-1","issued":{"date-parts":[["0"]]},"title":"Independent statistics &amp; analysis","type":"webpage"},"uris":["http://www.mendeley.com/documents/?uuid=10657a5e-4999-4882-8298-a2dc7f1ba099","http://www.mendeley.com/documents/?uuid=36a80bba-d704-4a43-8866-80eb0ecd4618"]}],"mendeley":{"formattedCitation":"[27]","plainTextFormattedCitation":"[27]","previouslyFormattedCitation":"[27]"},"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[27]</w:t>
      </w:r>
      <w:r w:rsidRPr="00F158CD">
        <w:rPr>
          <w:rFonts w:cs="Times New Roman"/>
          <w:szCs w:val="24"/>
        </w:rPr>
        <w:fldChar w:fldCharType="end"/>
      </w:r>
      <w:r w:rsidRPr="00F158CD">
        <w:rPr>
          <w:rFonts w:cs="Times New Roman"/>
          <w:szCs w:val="24"/>
        </w:rPr>
        <w:t xml:space="preserve"> have been </w:t>
      </w:r>
      <w:r w:rsidR="004C7EEF">
        <w:rPr>
          <w:rFonts w:cs="Times New Roman"/>
          <w:szCs w:val="24"/>
        </w:rPr>
        <w:t xml:space="preserve">adopted </w:t>
      </w:r>
      <w:r w:rsidRPr="00F158CD">
        <w:rPr>
          <w:rFonts w:cs="Times New Roman"/>
          <w:szCs w:val="24"/>
        </w:rPr>
        <w:t xml:space="preserve">according to the Commercial buildings energy consumption survey (CBECS) </w:t>
      </w:r>
      <w:r w:rsidRPr="00F158CD">
        <w:rPr>
          <w:rFonts w:cs="Times New Roman"/>
          <w:szCs w:val="24"/>
        </w:rPr>
        <w:fldChar w:fldCharType="begin" w:fldLock="1"/>
      </w:r>
      <w:r w:rsidR="00125627">
        <w:rPr>
          <w:rFonts w:cs="Times New Roman"/>
          <w:szCs w:val="24"/>
        </w:rPr>
        <w:instrText>ADDIN CSL_CITATION {"citationItems":[{"id":"ITEM-1","itemData":{"URL":"https://www.eia.gov/consumption/commercial/","accessed":{"date-parts":[["2019","7","15"]]},"author":[{"dropping-particle":"","family":"U.S. Energy Information Administration","given":"","non-dropping-particle":"","parse-names":false,"suffix":""}],"id":"ITEM-1","issued":{"date-parts":[["0"]]},"title":"Commercial Buildings Energy Consumption Survey","type":"webpage"},"uris":["http://www.mendeley.com/documents/?uuid=db00952a-b02e-4ba3-ba33-ab01298decf9","http://www.mendeley.com/documents/?uuid=9e0374d2-1fe1-4d4e-8075-8ef5b4e9ea17"]}],"mendeley":{"formattedCitation":"[28]","plainTextFormattedCitation":"[28]","previouslyFormattedCitation":"[28]"},"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[28]</w:t>
      </w:r>
      <w:r w:rsidRPr="00F158CD">
        <w:rPr>
          <w:rFonts w:cs="Times New Roman"/>
          <w:szCs w:val="24"/>
        </w:rPr>
        <w:fldChar w:fldCharType="end"/>
      </w:r>
      <w:r w:rsidRPr="00F158CD">
        <w:rPr>
          <w:rFonts w:cs="Times New Roman"/>
          <w:szCs w:val="24"/>
        </w:rPr>
        <w:t xml:space="preserve"> and the Manufacturing energy consumption survey (MECS) </w:t>
      </w:r>
      <w:r w:rsidRPr="00F158CD">
        <w:rPr>
          <w:rFonts w:cs="Times New Roman"/>
          <w:szCs w:val="24"/>
        </w:rPr>
        <w:fldChar w:fldCharType="begin" w:fldLock="1"/>
      </w:r>
      <w:r w:rsidR="00125627">
        <w:rPr>
          <w:rFonts w:cs="Times New Roman"/>
          <w:szCs w:val="24"/>
        </w:rPr>
        <w:instrText>ADDIN CSL_CITATION {"citationItems":[{"id":"ITEM-1","itemData":{"URL":"https://www.eia.gov/consumption/manufacturing/","accessed":{"date-parts":[["2019","7","15"]]},"author":[{"dropping-particle":"","family":"U.S. Energy Information Administration","given":"","non-dropping-particle":"","parse-names":false,"suffix":""}],"id":"ITEM-1","issued":{"date-parts":[["0"]]},"title":"Manufacturing Energy Consumption Survey","type":"webpage"},"uris":["http://www.mendeley.com/documents/?uuid=a4124273-b6ff-4150-80d6-ea1ec32fac44","http://www.mendeley.com/documents/?uuid=a6cf89ec-5a6d-4678-b588-daa17b5925ab"]}],"mendeley":{"formattedCitation":"[29]","plainTextFormattedCitation":"[29]","previouslyFormattedCitation":"[29]"},"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[29]</w:t>
      </w:r>
      <w:r w:rsidRPr="00F158CD">
        <w:rPr>
          <w:rFonts w:cs="Times New Roman"/>
          <w:szCs w:val="24"/>
        </w:rPr>
        <w:fldChar w:fldCharType="end"/>
      </w:r>
      <w:r w:rsidRPr="00F158CD">
        <w:rPr>
          <w:rFonts w:cs="Times New Roman"/>
          <w:szCs w:val="24"/>
        </w:rPr>
        <w:t xml:space="preserve">. </w:t>
      </w:r>
    </w:p>
    <w:p w14:paraId="166E01BD" w14:textId="2971F0D3" w:rsidR="00F158CD" w:rsidRDefault="00F158CD" w:rsidP="00E62DE4">
      <w:pPr>
        <w:keepNext/>
        <w:rPr>
          <w:rFonts w:cs="Times New Roman"/>
          <w:b/>
          <w:szCs w:val="24"/>
        </w:rPr>
      </w:pPr>
      <w:r>
        <w:rPr>
          <w:rFonts w:cs="Times New Roman"/>
          <w:b/>
          <w:szCs w:val="24"/>
        </w:rPr>
        <w:t>3. Methodology</w:t>
      </w:r>
    </w:p>
    <w:p w14:paraId="064B547D" w14:textId="4E81D5A0" w:rsidR="00F158CD" w:rsidRPr="00F158CD" w:rsidRDefault="00F158CD" w:rsidP="000C2769">
      <w:pPr>
        <w:ind w:right="4"/>
        <w:rPr>
          <w:rFonts w:cs="Times New Roman"/>
          <w:szCs w:val="24"/>
        </w:rPr>
      </w:pPr>
      <w:r w:rsidRPr="00F158CD">
        <w:rPr>
          <w:rFonts w:cs="Times New Roman"/>
          <w:szCs w:val="24"/>
        </w:rPr>
        <w:t>This paper recreate</w:t>
      </w:r>
      <w:r w:rsidR="001C024D">
        <w:rPr>
          <w:rFonts w:cs="Times New Roman"/>
          <w:szCs w:val="24"/>
        </w:rPr>
        <w:t>s</w:t>
      </w:r>
      <w:r w:rsidRPr="00F158CD">
        <w:rPr>
          <w:rFonts w:cs="Times New Roman"/>
          <w:szCs w:val="24"/>
        </w:rPr>
        <w:t xml:space="preserve"> the tables present in </w:t>
      </w:r>
      <w:r w:rsidR="00E4410B">
        <w:rPr>
          <w:rFonts w:cs="Times New Roman"/>
          <w:szCs w:val="24"/>
        </w:rPr>
        <w:t>Annex A of the PD 7974-7</w:t>
      </w:r>
      <w:r w:rsidR="00ED74AF">
        <w:rPr>
          <w:rFonts w:cs="Times New Roman"/>
          <w:szCs w:val="24"/>
        </w:rPr>
        <w:t>:2003</w:t>
      </w:r>
      <w:r w:rsidR="00E4410B">
        <w:rPr>
          <w:rFonts w:cs="Times New Roman"/>
          <w:szCs w:val="24"/>
        </w:rPr>
        <w:t xml:space="preserve"> (</w:t>
      </w:r>
      <w:r w:rsidRPr="00F158CD">
        <w:rPr>
          <w:rFonts w:cs="Times New Roman"/>
          <w:szCs w:val="24"/>
        </w:rPr>
        <w:t>Tables A.1, A.2, A.4, A.5, A.6</w:t>
      </w:r>
      <w:r w:rsidR="00E4410B">
        <w:rPr>
          <w:rFonts w:cs="Times New Roman"/>
          <w:szCs w:val="24"/>
        </w:rPr>
        <w:t xml:space="preserve">, A.7, </w:t>
      </w:r>
      <w:proofErr w:type="gramStart"/>
      <w:r w:rsidR="00E4410B">
        <w:rPr>
          <w:rFonts w:cs="Times New Roman"/>
          <w:szCs w:val="24"/>
        </w:rPr>
        <w:t>A.8</w:t>
      </w:r>
      <w:proofErr w:type="gramEnd"/>
      <w:r w:rsidR="00E4410B">
        <w:rPr>
          <w:rFonts w:cs="Times New Roman"/>
          <w:szCs w:val="24"/>
        </w:rPr>
        <w:t xml:space="preserve">), </w:t>
      </w:r>
      <w:r w:rsidRPr="00F158CD">
        <w:rPr>
          <w:rFonts w:cs="Times New Roman"/>
          <w:szCs w:val="24"/>
        </w:rPr>
        <w:t>adop</w:t>
      </w:r>
      <w:r w:rsidR="00E4410B">
        <w:rPr>
          <w:rFonts w:cs="Times New Roman"/>
          <w:szCs w:val="24"/>
        </w:rPr>
        <w:t xml:space="preserve">ting UK fire statistics. </w:t>
      </w:r>
      <w:r w:rsidRPr="00F158CD">
        <w:rPr>
          <w:rFonts w:cs="Times New Roman"/>
          <w:szCs w:val="24"/>
        </w:rPr>
        <w:t xml:space="preserve">In PD 7974-7, the methodology with which the fire </w:t>
      </w:r>
      <w:r w:rsidR="00774881">
        <w:rPr>
          <w:rFonts w:cs="Times New Roman"/>
          <w:szCs w:val="24"/>
        </w:rPr>
        <w:t xml:space="preserve">safety </w:t>
      </w:r>
      <w:r w:rsidRPr="00F158CD">
        <w:rPr>
          <w:rFonts w:cs="Times New Roman"/>
          <w:szCs w:val="24"/>
        </w:rPr>
        <w:t xml:space="preserve">data have been obtained is not explicitly described. However, research of </w:t>
      </w:r>
      <w:proofErr w:type="spellStart"/>
      <w:r w:rsidRPr="00F158CD">
        <w:rPr>
          <w:rFonts w:cs="Times New Roman"/>
          <w:szCs w:val="24"/>
        </w:rPr>
        <w:t>D’Addario</w:t>
      </w:r>
      <w:proofErr w:type="spellEnd"/>
      <w:r w:rsidRPr="00F158CD">
        <w:rPr>
          <w:rFonts w:cs="Times New Roman"/>
          <w:szCs w:val="24"/>
        </w:rPr>
        <w:t xml:space="preserve"> in 1940 about the claims in frequency as a function of the sum insured </w:t>
      </w:r>
      <w:r w:rsidRPr="00F158CD">
        <w:rPr>
          <w:rFonts w:cs="Times New Roman"/>
          <w:szCs w:val="24"/>
        </w:rPr>
        <w:fldChar w:fldCharType="begin" w:fldLock="1"/>
      </w:r>
      <w:r w:rsidR="00125627">
        <w:rPr>
          <w:rFonts w:cs="Times New Roman"/>
          <w:szCs w:val="24"/>
        </w:rPr>
        <w:instrText>ADDIN CSL_CITATION {"citationItems":[{"id":"ITEM-1","itemData":{"author":[{"dropping-particle":"","family":"D'Addario","given":"R.","non-dropping-particle":"","parse-names":false,"suffix":""}],"id":"ITEM-1","issued":{"date-parts":[["1940"]]},"number-of-pages":"XVI","publisher-place":"Bari","title":"Considerazioni sul tasso di premio delle assicurazioni incendi","type":"book"},"uris":["http://www.mendeley.com/documents/?uuid=5271d553-8059-4951-8873-8a39b8b703a3"]}],"mendeley":{"formattedCitation":"[30]","plainTextFormattedCitation":"[30]","previouslyFormattedCitation":"[30]"},"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[30]</w:t>
      </w:r>
      <w:r w:rsidRPr="00F158CD">
        <w:rPr>
          <w:rFonts w:cs="Times New Roman"/>
          <w:szCs w:val="24"/>
        </w:rPr>
        <w:fldChar w:fldCharType="end"/>
      </w:r>
      <w:r w:rsidRPr="00F158CD">
        <w:rPr>
          <w:rFonts w:cs="Times New Roman"/>
          <w:szCs w:val="24"/>
        </w:rPr>
        <w:t>, Ramachandran in 1970 with the analysis of large fires for different occupancy types</w:t>
      </w:r>
      <w:r w:rsidR="002224D1">
        <w:rPr>
          <w:rFonts w:cs="Times New Roman"/>
          <w:szCs w:val="24"/>
        </w:rPr>
        <w:t xml:space="preserve"> </w:t>
      </w:r>
      <w:r w:rsidR="002224D1">
        <w:rPr>
          <w:rFonts w:cs="Times New Roman"/>
          <w:szCs w:val="24"/>
        </w:rPr>
        <w:fldChar w:fldCharType="begin" w:fldLock="1"/>
      </w:r>
      <w:r w:rsidR="007C5457">
        <w:rPr>
          <w:rFonts w:cs="Times New Roman"/>
          <w:szCs w:val="24"/>
        </w:rPr>
        <w:instrText>ADDIN CSL_CITATION {"citationItems":[{"id":"ITEM-1","itemData":{"author":[{"dropping-particle":"","family":"Ramachandran","given":"G","non-dropping-particle":"","parse-names":false,"suffix":""}],"container-title":"Fire Reserach Note No 839","id":"ITEM-1","issued":{"date-parts":[["1970"]]},"title":"Fire loss indexes","type":"article-journal"},"uris":["http://www.mendeley.com/documents/?uuid=b26a2822-4084-4886-a4ff-0b4ae50accce"]}],"mendeley":{"formattedCitation":"[31]","plainTextFormattedCitation":"[31]","previouslyFormattedCitation":"[31]"},"properties":{"noteIndex":0},"schema":"https://github.com/citation-style-language/schema/raw/master/csl-citation.json"}</w:instrText>
      </w:r>
      <w:r w:rsidR="002224D1">
        <w:rPr>
          <w:rFonts w:cs="Times New Roman"/>
          <w:szCs w:val="24"/>
        </w:rPr>
        <w:fldChar w:fldCharType="separate"/>
      </w:r>
      <w:r w:rsidR="002224D1" w:rsidRPr="002224D1">
        <w:rPr>
          <w:rFonts w:cs="Times New Roman"/>
          <w:noProof/>
          <w:szCs w:val="24"/>
        </w:rPr>
        <w:t>[31]</w:t>
      </w:r>
      <w:r w:rsidR="002224D1">
        <w:rPr>
          <w:rFonts w:cs="Times New Roman"/>
          <w:szCs w:val="24"/>
        </w:rPr>
        <w:fldChar w:fldCharType="end"/>
      </w:r>
      <w:r w:rsidRPr="00F158CD">
        <w:rPr>
          <w:rFonts w:cs="Times New Roman"/>
          <w:szCs w:val="24"/>
        </w:rPr>
        <w:t xml:space="preserve">, </w:t>
      </w:r>
      <w:proofErr w:type="spellStart"/>
      <w:r w:rsidRPr="00F158CD">
        <w:rPr>
          <w:rFonts w:cs="Times New Roman"/>
          <w:szCs w:val="24"/>
        </w:rPr>
        <w:t>Rutstein</w:t>
      </w:r>
      <w:proofErr w:type="spellEnd"/>
      <w:r w:rsidRPr="00F158CD">
        <w:rPr>
          <w:rFonts w:cs="Times New Roman"/>
          <w:szCs w:val="24"/>
        </w:rPr>
        <w:t xml:space="preserve"> in 1979 using fires reported by fire brigade </w:t>
      </w:r>
      <w:r w:rsidRPr="00F158CD">
        <w:rPr>
          <w:rFonts w:cs="Times New Roman"/>
          <w:szCs w:val="24"/>
        </w:rPr>
        <w:fldChar w:fldCharType="begin" w:fldLock="1"/>
      </w:r>
      <w:r w:rsidR="00125627">
        <w:rPr>
          <w:rFonts w:cs="Times New Roman"/>
          <w:szCs w:val="24"/>
        </w:rPr>
        <w:instrText>ADDIN CSL_CITATION {"citationItems":[{"id":"ITEM-1","itemData":{"author":[{"dropping-particle":"","family":"Rutstein","given":"R","non-dropping-particle":"","parse-names":false,"suffix":""}],"container-title":"Fire Surveyor","id":"ITEM-1","issue":"1","issued":{"date-parts":[["1979"]]},"page":"20-23","title":"The probability of fire in different sectors of industry","type":"article-journal","volume":"8"},"uris":["http://www.mendeley.com/documents/?uuid=83b1fa0c-4573-4170-a695-568ae3708031"]}],"mendeley":{"formattedCitation":"[32]","plainTextFormattedCitation":"[32]","previouslyFormattedCitation":"[32]"},"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[32]</w:t>
      </w:r>
      <w:r w:rsidRPr="00F158CD">
        <w:rPr>
          <w:rFonts w:cs="Times New Roman"/>
          <w:szCs w:val="24"/>
        </w:rPr>
        <w:fldChar w:fldCharType="end"/>
      </w:r>
      <w:r w:rsidR="00E4410B">
        <w:rPr>
          <w:rFonts w:cs="Times New Roman"/>
          <w:szCs w:val="24"/>
        </w:rPr>
        <w:t xml:space="preserve"> and</w:t>
      </w:r>
      <w:r w:rsidRPr="00F158CD">
        <w:rPr>
          <w:rFonts w:cs="Times New Roman"/>
          <w:szCs w:val="24"/>
        </w:rPr>
        <w:t xml:space="preserve"> others converged into </w:t>
      </w:r>
      <w:r w:rsidR="00E4410B">
        <w:rPr>
          <w:rFonts w:cs="Times New Roman"/>
          <w:szCs w:val="24"/>
        </w:rPr>
        <w:t xml:space="preserve">the PD </w:t>
      </w:r>
      <w:r w:rsidR="00E4410B">
        <w:rPr>
          <w:rFonts w:cs="Times New Roman"/>
          <w:szCs w:val="24"/>
        </w:rPr>
        <w:lastRenderedPageBreak/>
        <w:t xml:space="preserve">7974-7 defining the principles and methodology </w:t>
      </w:r>
      <w:r w:rsidR="00DA2A98">
        <w:rPr>
          <w:rFonts w:cs="Times New Roman"/>
          <w:szCs w:val="24"/>
        </w:rPr>
        <w:t xml:space="preserve">able </w:t>
      </w:r>
      <w:r w:rsidR="00E4410B">
        <w:rPr>
          <w:rFonts w:cs="Times New Roman"/>
          <w:szCs w:val="24"/>
        </w:rPr>
        <w:t xml:space="preserve">to create </w:t>
      </w:r>
      <w:r w:rsidRPr="00F158CD">
        <w:rPr>
          <w:rFonts w:cs="Times New Roman"/>
          <w:szCs w:val="24"/>
        </w:rPr>
        <w:t xml:space="preserve">direct comparisons with current fire statistics. </w:t>
      </w:r>
    </w:p>
    <w:p w14:paraId="12F4E387" w14:textId="7F690C70" w:rsidR="00F158CD" w:rsidRPr="00F158CD" w:rsidRDefault="00F158CD" w:rsidP="00F158CD">
      <w:pPr>
        <w:rPr>
          <w:rFonts w:cs="Times New Roman"/>
          <w:szCs w:val="24"/>
        </w:rPr>
      </w:pPr>
      <w:proofErr w:type="spellStart"/>
      <w:r w:rsidRPr="00F158CD">
        <w:rPr>
          <w:rFonts w:cs="Times New Roman"/>
          <w:szCs w:val="24"/>
        </w:rPr>
        <w:t>Rutstein</w:t>
      </w:r>
      <w:proofErr w:type="spellEnd"/>
      <w:r w:rsidRPr="00F158CD">
        <w:rPr>
          <w:rFonts w:cs="Times New Roman"/>
          <w:szCs w:val="24"/>
        </w:rPr>
        <w:t xml:space="preserve"> affirms that the fire probability is described by a power l</w:t>
      </w:r>
      <w:r w:rsidR="00031539">
        <w:rPr>
          <w:rFonts w:cs="Times New Roman"/>
          <w:szCs w:val="24"/>
        </w:rPr>
        <w:t>aw according to the total space</w:t>
      </w:r>
      <w:r w:rsidRPr="00F158CD">
        <w:rPr>
          <w:rFonts w:cs="Times New Roman"/>
          <w:szCs w:val="24"/>
        </w:rPr>
        <w:t xml:space="preserve"> of the building with two empirical coefficients </w:t>
      </w:r>
      <w:r w:rsidRPr="00073680">
        <w:rPr>
          <w:rFonts w:cs="Times New Roman"/>
          <w:i/>
          <w:iCs/>
          <w:szCs w:val="24"/>
        </w:rPr>
        <w:t>a</w:t>
      </w:r>
      <w:r w:rsidRPr="00F158CD">
        <w:rPr>
          <w:rFonts w:cs="Times New Roman"/>
          <w:szCs w:val="24"/>
        </w:rPr>
        <w:t xml:space="preserve"> and </w:t>
      </w:r>
      <w:r w:rsidRPr="00073680">
        <w:rPr>
          <w:rFonts w:cs="Times New Roman"/>
          <w:i/>
          <w:iCs/>
          <w:szCs w:val="24"/>
        </w:rPr>
        <w:t>b</w:t>
      </w:r>
      <w:r w:rsidR="00073680">
        <w:rPr>
          <w:rFonts w:cs="Times New Roman"/>
          <w:szCs w:val="24"/>
        </w:rPr>
        <w:t>,</w:t>
      </w:r>
      <w:r w:rsidRPr="00F158CD">
        <w:rPr>
          <w:rFonts w:cs="Times New Roman"/>
          <w:szCs w:val="24"/>
        </w:rPr>
        <w:t xml:space="preserve"> where </w:t>
      </w:r>
      <w:r w:rsidRPr="00073680">
        <w:rPr>
          <w:rFonts w:cs="Times New Roman"/>
          <w:i/>
          <w:iCs/>
          <w:szCs w:val="24"/>
        </w:rPr>
        <w:t>a</w:t>
      </w:r>
      <w:r w:rsidRPr="00F158CD">
        <w:rPr>
          <w:rFonts w:cs="Times New Roman"/>
          <w:szCs w:val="24"/>
        </w:rPr>
        <w:t xml:space="preserve"> is defined as the ratio between the total number of fires and total number of building at risks</w:t>
      </w:r>
      <w:r w:rsidR="00073680">
        <w:rPr>
          <w:rFonts w:cs="Times New Roman"/>
          <w:szCs w:val="24"/>
        </w:rPr>
        <w:t>,</w:t>
      </w:r>
      <w:r w:rsidRPr="00F158CD">
        <w:rPr>
          <w:rFonts w:cs="Times New Roman"/>
          <w:szCs w:val="24"/>
        </w:rPr>
        <w:t xml:space="preserve"> while </w:t>
      </w:r>
      <w:r w:rsidRPr="00073680">
        <w:rPr>
          <w:rFonts w:cs="Times New Roman"/>
          <w:i/>
          <w:iCs/>
          <w:szCs w:val="24"/>
        </w:rPr>
        <w:t>b</w:t>
      </w:r>
      <w:r w:rsidRPr="00F158CD">
        <w:rPr>
          <w:rFonts w:cs="Times New Roman"/>
          <w:szCs w:val="24"/>
        </w:rPr>
        <w:t xml:space="preserve"> as the total number of fires divided by the building maxi</w:t>
      </w:r>
      <w:r w:rsidR="00031539">
        <w:rPr>
          <w:rFonts w:cs="Times New Roman"/>
          <w:szCs w:val="24"/>
        </w:rPr>
        <w:t>mum floor space</w:t>
      </w:r>
      <w:r w:rsidRPr="00F158CD">
        <w:rPr>
          <w:rFonts w:cs="Times New Roman"/>
          <w:szCs w:val="24"/>
        </w:rPr>
        <w:t xml:space="preserve"> </w:t>
      </w:r>
      <w:r w:rsidRPr="00F158CD">
        <w:rPr>
          <w:rFonts w:cs="Times New Roman"/>
          <w:szCs w:val="24"/>
        </w:rPr>
        <w:fldChar w:fldCharType="begin" w:fldLock="1"/>
      </w:r>
      <w:r w:rsidR="00125627">
        <w:rPr>
          <w:rFonts w:cs="Times New Roman"/>
          <w:szCs w:val="24"/>
        </w:rPr>
        <w:instrText>ADDIN CSL_CITATION {"citationItems":[{"id":"ITEM-1","itemData":{"author":[{"dropping-particle":"","family":"Rutstein","given":"R","non-dropping-particle":"","parse-names":false,"suffix":""}],"container-title":"Fire Surveyor","id":"ITEM-1","issue":"1","issued":{"date-parts":[["1979"]]},"page":"20-23","title":"The probability of fire in different sectors of industry","type":"article-journal","volume":"8"},"uris":["http://www.mendeley.com/documents/?uuid=83b1fa0c-4573-4170-a695-568ae3708031"]}],"mendeley":{"formattedCitation":"[32]","plainTextFormattedCitation":"[32]","previouslyFormattedCitation":"[32]"},"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[32]</w:t>
      </w:r>
      <w:r w:rsidRPr="00F158CD">
        <w:rPr>
          <w:rFonts w:cs="Times New Roman"/>
          <w:szCs w:val="24"/>
        </w:rPr>
        <w:fldChar w:fldCharType="end"/>
      </w:r>
      <w:r w:rsidRPr="00F158CD">
        <w:rPr>
          <w:rFonts w:cs="Times New Roman"/>
          <w:szCs w:val="24"/>
        </w:rPr>
        <w:t>:</w:t>
      </w:r>
    </w:p>
    <w:p w14:paraId="57C97AA6" w14:textId="4EBE703E" w:rsidR="00F158CD" w:rsidRPr="00F158CD" w:rsidRDefault="00CF2487" w:rsidP="000C2769">
      <w:pPr>
        <w:pStyle w:val="Caption"/>
        <w:tabs>
          <w:tab w:val="center" w:pos="4678"/>
          <w:tab w:val="right" w:pos="9356"/>
        </w:tabs>
        <w:jc w:val="left"/>
        <w:rPr>
          <w:szCs w:val="24"/>
        </w:rPr>
      </w:pPr>
      <m:oMath>
        <m:r>
          <w:rPr>
            <w:rFonts w:ascii="Cambria Math" w:hAnsi="Cambria Math"/>
            <w:szCs w:val="24"/>
          </w:rPr>
          <m:t>F</m:t>
        </m:r>
        <m:r>
          <m:rPr>
            <m:sty m:val="p"/>
          </m:rPr>
          <w:rPr>
            <w:rFonts w:ascii="Cambria Math" w:hAnsi="Cambria Math"/>
            <w:szCs w:val="24"/>
          </w:rPr>
          <m:t>=</m:t>
        </m:r>
        <m:r>
          <w:rPr>
            <w:rFonts w:ascii="Cambria Math" w:hAnsi="Cambria Math"/>
            <w:szCs w:val="24"/>
          </w:rPr>
          <m:t>a</m:t>
        </m:r>
        <m:sSup>
          <m:sSupPr>
            <m:ctrlPr>
              <w:rPr>
                <w:rFonts w:ascii="Cambria Math" w:hAnsi="Cambria Math"/>
                <w:szCs w:val="24"/>
              </w:rPr>
            </m:ctrlPr>
          </m:sSupPr>
          <m:e>
            <m:r>
              <w:rPr>
                <w:rFonts w:ascii="Cambria Math" w:hAnsi="Cambria Math"/>
                <w:szCs w:val="24"/>
              </w:rPr>
              <m:t>A</m:t>
            </m:r>
          </m:e>
          <m:sup>
            <m:r>
              <w:rPr>
                <w:rFonts w:ascii="Cambria Math" w:hAnsi="Cambria Math"/>
                <w:szCs w:val="24"/>
              </w:rPr>
              <m:t>b</m:t>
            </m:r>
          </m:sup>
        </m:sSup>
      </m:oMath>
      <w:r w:rsidR="00F158CD" w:rsidRPr="00E4410B">
        <w:rPr>
          <w:szCs w:val="24"/>
        </w:rPr>
        <w:t xml:space="preserve"> </w:t>
      </w:r>
      <w:r w:rsidR="00E4410B">
        <w:rPr>
          <w:szCs w:val="24"/>
        </w:rPr>
        <w:tab/>
      </w:r>
      <w:r w:rsidR="00E4410B" w:rsidRPr="00907CB6">
        <w:rPr>
          <w:szCs w:val="24"/>
        </w:rPr>
        <w:t>(1)</w:t>
      </w:r>
    </w:p>
    <w:p w14:paraId="7F0D9FFA" w14:textId="2F3B8AA2" w:rsidR="00E00023" w:rsidRDefault="00F158CD" w:rsidP="00F158CD">
      <w:pPr>
        <w:rPr>
          <w:rFonts w:cs="Times New Roman"/>
          <w:szCs w:val="24"/>
        </w:rPr>
      </w:pPr>
      <w:r w:rsidRPr="00F158CD">
        <w:rPr>
          <w:rFonts w:cs="Times New Roman"/>
          <w:szCs w:val="24"/>
        </w:rPr>
        <w:t>This law is adopted for Table A.1 of the PD 7974-7 and has been recreated considering the UK IRS for the number of fires and the VOA building stock for the number of building</w:t>
      </w:r>
      <w:r w:rsidR="00276A16">
        <w:rPr>
          <w:rFonts w:cs="Times New Roman"/>
          <w:szCs w:val="24"/>
        </w:rPr>
        <w:t>s</w:t>
      </w:r>
      <w:r w:rsidRPr="00F158CD">
        <w:rPr>
          <w:rFonts w:cs="Times New Roman"/>
          <w:szCs w:val="24"/>
        </w:rPr>
        <w:t xml:space="preserve"> according </w:t>
      </w:r>
      <w:r w:rsidR="00031539">
        <w:rPr>
          <w:rFonts w:cs="Times New Roman"/>
          <w:szCs w:val="24"/>
        </w:rPr>
        <w:t>to specific ranges of floor space</w:t>
      </w:r>
      <w:r w:rsidRPr="00F158CD">
        <w:rPr>
          <w:rFonts w:cs="Times New Roman"/>
          <w:szCs w:val="24"/>
        </w:rPr>
        <w:t>.</w:t>
      </w:r>
      <w:r w:rsidR="00205A7F">
        <w:rPr>
          <w:rFonts w:cs="Times New Roman"/>
          <w:szCs w:val="24"/>
        </w:rPr>
        <w:t xml:space="preserve"> </w:t>
      </w:r>
      <w:r w:rsidR="00205A7F">
        <w:t>In</w:t>
      </w:r>
      <w:r w:rsidR="00AA24DB">
        <w:t xml:space="preserve"> the USA statistics, the areas</w:t>
      </w:r>
      <w:r w:rsidR="00205A7F">
        <w:t xml:space="preserve"> of total floor space are limited to the ones that are present in the NF</w:t>
      </w:r>
      <w:r w:rsidR="00781473">
        <w:t>IR</w:t>
      </w:r>
      <w:r w:rsidR="00205A7F">
        <w:t>S, whereas the IRS does not have this reported publicly, therefore,</w:t>
      </w:r>
      <w:r w:rsidR="00774881">
        <w:t xml:space="preserve"> the authors</w:t>
      </w:r>
      <w:r w:rsidR="00205A7F">
        <w:t xml:space="preserve"> have obtained data from the Home Office for the year 2014/15 to develop the necessary relationships with more classes of building area </w:t>
      </w:r>
      <w:r w:rsidR="0085753F">
        <w:t>(</w:t>
      </w:r>
      <w:r w:rsidR="00E4410B">
        <w:rPr>
          <w:rFonts w:cs="Times New Roman"/>
          <w:szCs w:val="24"/>
        </w:rPr>
        <w:t>from up to 50 m</w:t>
      </w:r>
      <w:r w:rsidR="00E4410B" w:rsidRPr="00E4410B">
        <w:rPr>
          <w:rFonts w:cs="Times New Roman"/>
          <w:szCs w:val="24"/>
          <w:vertAlign w:val="superscript"/>
        </w:rPr>
        <w:t>2</w:t>
      </w:r>
      <w:r w:rsidR="00E4410B">
        <w:rPr>
          <w:rFonts w:cs="Times New Roman"/>
          <w:szCs w:val="24"/>
        </w:rPr>
        <w:t xml:space="preserve"> to over 50,000 m</w:t>
      </w:r>
      <w:r w:rsidR="00E4410B" w:rsidRPr="00E4410B">
        <w:rPr>
          <w:rFonts w:cs="Times New Roman"/>
          <w:szCs w:val="24"/>
          <w:vertAlign w:val="superscript"/>
        </w:rPr>
        <w:t>2</w:t>
      </w:r>
      <w:r w:rsidR="0085753F">
        <w:rPr>
          <w:rFonts w:cs="Times New Roman"/>
          <w:szCs w:val="24"/>
        </w:rPr>
        <w:t>)</w:t>
      </w:r>
      <w:r w:rsidR="00205A7F">
        <w:rPr>
          <w:rFonts w:cs="Times New Roman"/>
          <w:szCs w:val="24"/>
        </w:rPr>
        <w:t xml:space="preserve"> than th</w:t>
      </w:r>
      <w:r w:rsidR="0085753F">
        <w:rPr>
          <w:rFonts w:cs="Times New Roman"/>
          <w:szCs w:val="24"/>
        </w:rPr>
        <w:t xml:space="preserve">ose found in the </w:t>
      </w:r>
      <w:r w:rsidR="00205A7F">
        <w:rPr>
          <w:rFonts w:cs="Times New Roman"/>
          <w:szCs w:val="24"/>
        </w:rPr>
        <w:t>USA</w:t>
      </w:r>
      <w:r w:rsidR="0085753F">
        <w:rPr>
          <w:rFonts w:cs="Times New Roman"/>
          <w:szCs w:val="24"/>
        </w:rPr>
        <w:t xml:space="preserve"> statistics</w:t>
      </w:r>
      <w:r w:rsidR="00E4410B">
        <w:rPr>
          <w:rFonts w:cs="Times New Roman"/>
          <w:szCs w:val="24"/>
        </w:rPr>
        <w:t>.</w:t>
      </w:r>
      <w:r w:rsidRPr="00F158CD">
        <w:rPr>
          <w:rFonts w:cs="Times New Roman"/>
          <w:szCs w:val="24"/>
        </w:rPr>
        <w:t xml:space="preserve"> This is the only analysis developed with the </w:t>
      </w:r>
      <w:r w:rsidR="000F2462">
        <w:rPr>
          <w:rFonts w:cs="Times New Roman"/>
          <w:szCs w:val="24"/>
        </w:rPr>
        <w:t>bespoke</w:t>
      </w:r>
      <w:r w:rsidR="000F2462" w:rsidRPr="00F158CD">
        <w:rPr>
          <w:rFonts w:cs="Times New Roman"/>
          <w:szCs w:val="24"/>
        </w:rPr>
        <w:t xml:space="preserve"> </w:t>
      </w:r>
      <w:r w:rsidRPr="00F158CD">
        <w:rPr>
          <w:rFonts w:cs="Times New Roman"/>
          <w:szCs w:val="24"/>
        </w:rPr>
        <w:t xml:space="preserve">fire statistics dataset </w:t>
      </w:r>
      <w:r w:rsidR="000F2462">
        <w:rPr>
          <w:rFonts w:cs="Times New Roman"/>
          <w:szCs w:val="24"/>
        </w:rPr>
        <w:t xml:space="preserve">for </w:t>
      </w:r>
      <w:r w:rsidRPr="00F158CD">
        <w:rPr>
          <w:rFonts w:cs="Times New Roman"/>
          <w:szCs w:val="24"/>
        </w:rPr>
        <w:t>2014/15</w:t>
      </w:r>
      <w:r w:rsidR="000F2462">
        <w:rPr>
          <w:rFonts w:cs="Times New Roman"/>
          <w:szCs w:val="24"/>
        </w:rPr>
        <w:t xml:space="preserve"> </w:t>
      </w:r>
      <w:r w:rsidR="00E00023">
        <w:rPr>
          <w:rFonts w:cs="Times New Roman"/>
          <w:szCs w:val="24"/>
        </w:rPr>
        <w:t>while a</w:t>
      </w:r>
      <w:r w:rsidRPr="00F158CD">
        <w:rPr>
          <w:rFonts w:cs="Times New Roman"/>
          <w:szCs w:val="24"/>
        </w:rPr>
        <w:t xml:space="preserve">ll the other PD 7974-7 Tables </w:t>
      </w:r>
      <w:r w:rsidR="00194D62">
        <w:rPr>
          <w:rFonts w:cs="Times New Roman"/>
          <w:szCs w:val="24"/>
        </w:rPr>
        <w:t xml:space="preserve">are </w:t>
      </w:r>
      <w:r w:rsidRPr="00F158CD">
        <w:rPr>
          <w:rFonts w:cs="Times New Roman"/>
          <w:szCs w:val="24"/>
        </w:rPr>
        <w:t xml:space="preserve">generated </w:t>
      </w:r>
      <w:r w:rsidR="000F2462">
        <w:rPr>
          <w:rFonts w:cs="Times New Roman"/>
          <w:szCs w:val="24"/>
        </w:rPr>
        <w:t>using</w:t>
      </w:r>
      <w:r w:rsidRPr="00F158CD">
        <w:rPr>
          <w:rFonts w:cs="Times New Roman"/>
          <w:szCs w:val="24"/>
        </w:rPr>
        <w:t xml:space="preserve"> the </w:t>
      </w:r>
      <w:r w:rsidR="00853886" w:rsidRPr="00C92F29">
        <w:rPr>
          <w:rFonts w:cs="Times New Roman"/>
          <w:i/>
          <w:iCs/>
          <w:szCs w:val="24"/>
        </w:rPr>
        <w:t>O</w:t>
      </w:r>
      <w:r w:rsidRPr="00C92F29">
        <w:rPr>
          <w:rFonts w:cs="Times New Roman"/>
          <w:i/>
          <w:iCs/>
          <w:szCs w:val="24"/>
        </w:rPr>
        <w:t xml:space="preserve">ther building </w:t>
      </w:r>
      <w:r w:rsidR="00B33DFB">
        <w:rPr>
          <w:rFonts w:cs="Times New Roman"/>
          <w:szCs w:val="24"/>
        </w:rPr>
        <w:t>fires</w:t>
      </w:r>
      <w:r w:rsidR="000F2462">
        <w:rPr>
          <w:rFonts w:cs="Times New Roman"/>
          <w:szCs w:val="24"/>
        </w:rPr>
        <w:t xml:space="preserve"> </w:t>
      </w:r>
      <w:r w:rsidRPr="00F158CD">
        <w:rPr>
          <w:rFonts w:cs="Times New Roman"/>
          <w:szCs w:val="24"/>
        </w:rPr>
        <w:t>dataset published in 2017 with data from 2010</w:t>
      </w:r>
      <w:r w:rsidR="000F2462">
        <w:rPr>
          <w:rFonts w:cs="Times New Roman"/>
          <w:szCs w:val="24"/>
        </w:rPr>
        <w:t>/11</w:t>
      </w:r>
      <w:r w:rsidRPr="00F158CD">
        <w:rPr>
          <w:rFonts w:cs="Times New Roman"/>
          <w:szCs w:val="24"/>
        </w:rPr>
        <w:t xml:space="preserve"> to 20</w:t>
      </w:r>
      <w:r w:rsidR="000F2462">
        <w:rPr>
          <w:rFonts w:cs="Times New Roman"/>
          <w:szCs w:val="24"/>
        </w:rPr>
        <w:t>16/</w:t>
      </w:r>
      <w:r w:rsidRPr="00F158CD">
        <w:rPr>
          <w:rFonts w:cs="Times New Roman"/>
          <w:szCs w:val="24"/>
        </w:rPr>
        <w:t xml:space="preserve">17 </w:t>
      </w:r>
      <w:r w:rsidRPr="00F158CD">
        <w:rPr>
          <w:rFonts w:cs="Times New Roman"/>
          <w:szCs w:val="24"/>
        </w:rPr>
        <w:fldChar w:fldCharType="begin" w:fldLock="1"/>
      </w:r>
      <w:r w:rsidR="00125627">
        <w:rPr>
          <w:rFonts w:cs="Times New Roman"/>
          <w:szCs w:val="24"/>
        </w:rPr>
        <w:instrText>ADDIN CSL_CITATION {"citationItems":[{"id":"ITEM-1","itemData":{"author":[{"dropping-particle":"","family":"Home Office","given":"","non-dropping-particle":"","parse-names":false,"suffix":""}],"id":"ITEM-1","issue":"September","issued":{"date-parts":[["2017"]]},"title":"Publishing Incident Recording System data on the fire and rescue service at an incident level: ‘Other building’ fires dataset guidance","type":"report"},"uris":["http://www.mendeley.com/documents/?uuid=a46daf1d-f8c2-4f31-bcf9-f45dcc795f8f"]}],"mendeley":{"formattedCitation":"[24]","plainTextFormattedCitation":"[24]","previouslyFormattedCitation":"[24]"},"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[24]</w:t>
      </w:r>
      <w:r w:rsidRPr="00F158CD">
        <w:rPr>
          <w:rFonts w:cs="Times New Roman"/>
          <w:szCs w:val="24"/>
        </w:rPr>
        <w:fldChar w:fldCharType="end"/>
      </w:r>
      <w:r w:rsidRPr="00F158CD">
        <w:rPr>
          <w:rFonts w:cs="Times New Roman"/>
          <w:szCs w:val="24"/>
        </w:rPr>
        <w:t xml:space="preserve">. </w:t>
      </w:r>
    </w:p>
    <w:p w14:paraId="1CB2F2C8" w14:textId="1A42385A" w:rsidR="00F158CD" w:rsidRPr="00F158CD" w:rsidRDefault="00F158CD" w:rsidP="00F158CD">
      <w:pPr>
        <w:rPr>
          <w:rFonts w:cs="Times New Roman"/>
          <w:szCs w:val="24"/>
        </w:rPr>
      </w:pPr>
      <w:r w:rsidRPr="00F158CD">
        <w:rPr>
          <w:rFonts w:cs="Times New Roman"/>
          <w:szCs w:val="24"/>
        </w:rPr>
        <w:t xml:space="preserve">The power law in </w:t>
      </w:r>
      <w:r w:rsidR="00E00023">
        <w:rPr>
          <w:rFonts w:cs="Times New Roman"/>
          <w:szCs w:val="24"/>
        </w:rPr>
        <w:t xml:space="preserve">Table A.1 of </w:t>
      </w:r>
      <w:r w:rsidRPr="00F158CD">
        <w:rPr>
          <w:rFonts w:cs="Times New Roman"/>
          <w:szCs w:val="24"/>
        </w:rPr>
        <w:t>PD 7974-7 has always positive exponent</w:t>
      </w:r>
      <w:r w:rsidR="001B6205">
        <w:rPr>
          <w:rFonts w:cs="Times New Roman"/>
          <w:szCs w:val="24"/>
        </w:rPr>
        <w:t>, however analysis of</w:t>
      </w:r>
      <w:r w:rsidRPr="00F158CD">
        <w:rPr>
          <w:rFonts w:cs="Times New Roman"/>
          <w:szCs w:val="24"/>
        </w:rPr>
        <w:t xml:space="preserve"> USA statistics </w:t>
      </w:r>
      <w:r w:rsidR="001B6205" w:rsidRPr="00F158CD">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1B6205" w:rsidRPr="00F158CD">
        <w:rPr>
          <w:rFonts w:cs="Times New Roman"/>
          <w:szCs w:val="24"/>
        </w:rPr>
        <w:fldChar w:fldCharType="separate"/>
      </w:r>
      <w:r w:rsidR="00524A6C" w:rsidRPr="00524A6C">
        <w:rPr>
          <w:rFonts w:cs="Times New Roman"/>
          <w:noProof/>
          <w:szCs w:val="24"/>
        </w:rPr>
        <w:t>[15]</w:t>
      </w:r>
      <w:r w:rsidR="001B6205" w:rsidRPr="00F158CD">
        <w:rPr>
          <w:rFonts w:cs="Times New Roman"/>
          <w:szCs w:val="24"/>
        </w:rPr>
        <w:fldChar w:fldCharType="end"/>
      </w:r>
      <w:r w:rsidR="001B6205">
        <w:rPr>
          <w:rFonts w:cs="Times New Roman"/>
          <w:szCs w:val="24"/>
        </w:rPr>
        <w:t xml:space="preserve"> showed that these trends </w:t>
      </w:r>
      <w:r w:rsidRPr="00F158CD">
        <w:rPr>
          <w:rFonts w:cs="Times New Roman"/>
          <w:szCs w:val="24"/>
        </w:rPr>
        <w:t xml:space="preserve">could assume also a negative </w:t>
      </w:r>
      <w:r w:rsidR="001B6205">
        <w:rPr>
          <w:rFonts w:cs="Times New Roman"/>
          <w:szCs w:val="24"/>
        </w:rPr>
        <w:t>exponent</w:t>
      </w:r>
      <w:r w:rsidR="001B6205" w:rsidRPr="00F158CD">
        <w:rPr>
          <w:rFonts w:cs="Times New Roman"/>
          <w:szCs w:val="24"/>
        </w:rPr>
        <w:t xml:space="preserve"> </w:t>
      </w:r>
      <w:r w:rsidRPr="00F158CD">
        <w:rPr>
          <w:rFonts w:cs="Times New Roman"/>
          <w:szCs w:val="24"/>
        </w:rPr>
        <w:t xml:space="preserve">and that a polynomial </w:t>
      </w:r>
      <w:r w:rsidR="001B6205">
        <w:rPr>
          <w:rFonts w:cs="Times New Roman"/>
          <w:szCs w:val="24"/>
        </w:rPr>
        <w:t>relationship</w:t>
      </w:r>
      <w:r w:rsidR="001B6205" w:rsidRPr="00F158CD">
        <w:rPr>
          <w:rFonts w:cs="Times New Roman"/>
          <w:szCs w:val="24"/>
        </w:rPr>
        <w:t xml:space="preserve"> </w:t>
      </w:r>
      <w:r w:rsidRPr="00F158CD">
        <w:rPr>
          <w:rFonts w:cs="Times New Roman"/>
          <w:szCs w:val="24"/>
        </w:rPr>
        <w:t>better approximate the</w:t>
      </w:r>
      <w:r w:rsidR="001B6205">
        <w:rPr>
          <w:rFonts w:cs="Times New Roman"/>
          <w:szCs w:val="24"/>
        </w:rPr>
        <w:t xml:space="preserve"> observed</w:t>
      </w:r>
      <w:r w:rsidRPr="00F158CD">
        <w:rPr>
          <w:rFonts w:cs="Times New Roman"/>
          <w:szCs w:val="24"/>
        </w:rPr>
        <w:t xml:space="preserve"> trend</w:t>
      </w:r>
      <w:r w:rsidR="001B6205">
        <w:rPr>
          <w:rFonts w:cs="Times New Roman"/>
          <w:szCs w:val="24"/>
        </w:rPr>
        <w:t>s</w:t>
      </w:r>
      <w:r w:rsidRPr="00F158CD">
        <w:rPr>
          <w:rFonts w:cs="Times New Roman"/>
          <w:szCs w:val="24"/>
        </w:rPr>
        <w:t xml:space="preserve">. </w:t>
      </w:r>
      <w:proofErr w:type="spellStart"/>
      <w:r w:rsidR="00160908" w:rsidRPr="00160908">
        <w:rPr>
          <w:rFonts w:cs="Times New Roman"/>
          <w:szCs w:val="24"/>
        </w:rPr>
        <w:t>Rutstein</w:t>
      </w:r>
      <w:proofErr w:type="spellEnd"/>
      <w:r w:rsidR="00160908" w:rsidRPr="00160908">
        <w:rPr>
          <w:rFonts w:cs="Times New Roman"/>
          <w:szCs w:val="24"/>
        </w:rPr>
        <w:t xml:space="preserve"> defined a power law with positive exponent to calculate the frequency of ignition only based on the total number of fires, floor area and building</w:t>
      </w:r>
      <w:r w:rsidR="00F117B5">
        <w:rPr>
          <w:rFonts w:cs="Times New Roman"/>
          <w:szCs w:val="24"/>
        </w:rPr>
        <w:t>s</w:t>
      </w:r>
      <w:r w:rsidR="00160908" w:rsidRPr="00160908">
        <w:rPr>
          <w:rFonts w:cs="Times New Roman"/>
          <w:szCs w:val="24"/>
        </w:rPr>
        <w:t xml:space="preserve"> at risk. However, other potential factors could cause ignition</w:t>
      </w:r>
      <w:r w:rsidR="00160908">
        <w:rPr>
          <w:rFonts w:cs="Times New Roman"/>
          <w:szCs w:val="24"/>
        </w:rPr>
        <w:t xml:space="preserve"> as </w:t>
      </w:r>
      <w:r w:rsidR="00E032ED">
        <w:rPr>
          <w:rFonts w:cs="Times New Roman"/>
          <w:szCs w:val="24"/>
        </w:rPr>
        <w:t>activities</w:t>
      </w:r>
      <w:r w:rsidR="00F117B5" w:rsidRPr="00160908">
        <w:rPr>
          <w:rFonts w:cs="Times New Roman"/>
          <w:szCs w:val="24"/>
        </w:rPr>
        <w:t xml:space="preserve">, </w:t>
      </w:r>
      <w:r w:rsidR="00160908" w:rsidRPr="00160908">
        <w:rPr>
          <w:rFonts w:cs="Times New Roman"/>
          <w:szCs w:val="24"/>
        </w:rPr>
        <w:t>amount and distribution of fuel loads, number of occupants, area of the building and others. This could be the reason why other functions are nowadays able to better describe the fire statistical distributions</w:t>
      </w:r>
      <w:r w:rsidR="00160908">
        <w:rPr>
          <w:rFonts w:cs="Times New Roman"/>
          <w:szCs w:val="24"/>
        </w:rPr>
        <w:t>.</w:t>
      </w:r>
      <w:r w:rsidR="00F117B5">
        <w:rPr>
          <w:rFonts w:cs="Times New Roman"/>
          <w:szCs w:val="24"/>
        </w:rPr>
        <w:t xml:space="preserve"> </w:t>
      </w:r>
      <w:r w:rsidR="001C024D">
        <w:rPr>
          <w:rFonts w:cs="Times New Roman"/>
          <w:szCs w:val="24"/>
        </w:rPr>
        <w:t>Therefore, the</w:t>
      </w:r>
      <w:r w:rsidRPr="00F158CD">
        <w:rPr>
          <w:rFonts w:cs="Times New Roman"/>
          <w:szCs w:val="24"/>
        </w:rPr>
        <w:t xml:space="preserve"> UK fire data are plo</w:t>
      </w:r>
      <w:r w:rsidR="00E00023">
        <w:rPr>
          <w:rFonts w:cs="Times New Roman"/>
          <w:szCs w:val="24"/>
        </w:rPr>
        <w:t>tted considering three trends: p</w:t>
      </w:r>
      <w:r w:rsidRPr="00F158CD">
        <w:rPr>
          <w:rFonts w:cs="Times New Roman"/>
          <w:szCs w:val="24"/>
        </w:rPr>
        <w:t xml:space="preserve">ower law with </w:t>
      </w:r>
      <w:r w:rsidR="00CF21CE">
        <w:rPr>
          <w:rFonts w:cs="Times New Roman"/>
          <w:szCs w:val="24"/>
        </w:rPr>
        <w:t>positive exponent called [</w:t>
      </w:r>
      <w:proofErr w:type="gramStart"/>
      <w:r w:rsidR="00CF21CE">
        <w:rPr>
          <w:rFonts w:cs="Times New Roman"/>
          <w:szCs w:val="24"/>
        </w:rPr>
        <w:t>Power</w:t>
      </w:r>
      <w:r w:rsidRPr="00F158CD">
        <w:rPr>
          <w:rFonts w:cs="Times New Roman"/>
          <w:szCs w:val="24"/>
        </w:rPr>
        <w:t>(</w:t>
      </w:r>
      <w:proofErr w:type="gramEnd"/>
      <w:r w:rsidRPr="00F158CD">
        <w:rPr>
          <w:rFonts w:cs="Times New Roman"/>
          <w:szCs w:val="24"/>
        </w:rPr>
        <w:t>UK-</w:t>
      </w:r>
      <w:proofErr w:type="spellStart"/>
      <w:r w:rsidRPr="00F158CD">
        <w:rPr>
          <w:rFonts w:cs="Times New Roman"/>
          <w:szCs w:val="24"/>
        </w:rPr>
        <w:t>Rutstein</w:t>
      </w:r>
      <w:proofErr w:type="spellEnd"/>
      <w:r w:rsidRPr="00F158CD">
        <w:rPr>
          <w:rFonts w:cs="Times New Roman"/>
          <w:szCs w:val="24"/>
        </w:rPr>
        <w:t xml:space="preserve">)] </w:t>
      </w:r>
      <w:r w:rsidR="006B3975">
        <w:rPr>
          <w:rFonts w:cs="Times New Roman"/>
          <w:szCs w:val="24"/>
        </w:rPr>
        <w:t xml:space="preserve">based </w:t>
      </w:r>
      <w:r w:rsidR="006B3975" w:rsidRPr="005E71CB">
        <w:rPr>
          <w:rFonts w:cs="Times New Roman"/>
          <w:szCs w:val="24"/>
        </w:rPr>
        <w:t xml:space="preserve">on </w:t>
      </w:r>
      <w:r w:rsidR="006B3975" w:rsidRPr="00907CB6">
        <w:rPr>
          <w:rFonts w:cs="Times New Roman"/>
          <w:szCs w:val="24"/>
        </w:rPr>
        <w:t>Eq. 1</w:t>
      </w:r>
      <w:r w:rsidR="006B3975" w:rsidRPr="005E71CB">
        <w:rPr>
          <w:rFonts w:cs="Times New Roman"/>
          <w:szCs w:val="24"/>
        </w:rPr>
        <w:t xml:space="preserve"> </w:t>
      </w:r>
      <w:r w:rsidRPr="005E71CB">
        <w:rPr>
          <w:rFonts w:cs="Times New Roman"/>
          <w:szCs w:val="24"/>
        </w:rPr>
        <w:t>and</w:t>
      </w:r>
      <w:r w:rsidRPr="00F158CD">
        <w:rPr>
          <w:rFonts w:cs="Times New Roman"/>
          <w:szCs w:val="24"/>
        </w:rPr>
        <w:t xml:space="preserve"> two other laws </w:t>
      </w:r>
      <w:r w:rsidR="001B6205">
        <w:rPr>
          <w:rFonts w:cs="Times New Roman"/>
          <w:szCs w:val="24"/>
        </w:rPr>
        <w:t>(</w:t>
      </w:r>
      <w:r w:rsidR="00CF21CE">
        <w:rPr>
          <w:rFonts w:cs="Times New Roman"/>
          <w:szCs w:val="24"/>
        </w:rPr>
        <w:t xml:space="preserve">with the related </w:t>
      </w:r>
      <w:r w:rsidR="00CF21CE" w:rsidRPr="00CF21CE">
        <w:rPr>
          <w:rFonts w:cs="Times New Roman"/>
          <w:szCs w:val="24"/>
        </w:rPr>
        <w:t>R</w:t>
      </w:r>
      <w:r w:rsidR="00CF21CE" w:rsidRPr="00CF21CE">
        <w:rPr>
          <w:rFonts w:cs="Times New Roman"/>
          <w:szCs w:val="24"/>
          <w:vertAlign w:val="superscript"/>
        </w:rPr>
        <w:t>2</w:t>
      </w:r>
      <w:r w:rsidR="001B6205">
        <w:rPr>
          <w:rFonts w:cs="Times New Roman"/>
          <w:szCs w:val="24"/>
        </w:rPr>
        <w:t>)</w:t>
      </w:r>
      <w:r w:rsidR="00CF21CE">
        <w:rPr>
          <w:rFonts w:cs="Times New Roman"/>
          <w:szCs w:val="24"/>
        </w:rPr>
        <w:t xml:space="preserve"> named [Power</w:t>
      </w:r>
      <w:r w:rsidRPr="00F158CD">
        <w:rPr>
          <w:rFonts w:cs="Times New Roman"/>
          <w:szCs w:val="24"/>
        </w:rPr>
        <w:t xml:space="preserve">(UK-Improved)] for the power law with positive </w:t>
      </w:r>
      <w:r w:rsidR="00CF21CE">
        <w:rPr>
          <w:rFonts w:cs="Times New Roman"/>
          <w:szCs w:val="24"/>
        </w:rPr>
        <w:t>or negative exponent and [Poly.</w:t>
      </w:r>
      <w:r w:rsidRPr="00F158CD">
        <w:rPr>
          <w:rFonts w:cs="Times New Roman"/>
          <w:szCs w:val="24"/>
        </w:rPr>
        <w:t xml:space="preserve">(UK-Improved)] for the polynomial </w:t>
      </w:r>
      <w:r w:rsidR="001B6205">
        <w:rPr>
          <w:rFonts w:cs="Times New Roman"/>
          <w:szCs w:val="24"/>
        </w:rPr>
        <w:t>relationship</w:t>
      </w:r>
      <w:r w:rsidRPr="00F158CD">
        <w:rPr>
          <w:rFonts w:cs="Times New Roman"/>
          <w:szCs w:val="24"/>
        </w:rPr>
        <w:t xml:space="preserve">. The same analysis in USA have been previously developed considering the total number of fires </w:t>
      </w:r>
      <w:r w:rsidR="009C64C8">
        <w:rPr>
          <w:rFonts w:cs="Times New Roman"/>
          <w:szCs w:val="24"/>
        </w:rPr>
        <w:t>in</w:t>
      </w:r>
      <w:r w:rsidRPr="00F158CD">
        <w:rPr>
          <w:rFonts w:cs="Times New Roman"/>
          <w:szCs w:val="24"/>
        </w:rPr>
        <w:t xml:space="preserve"> NFIRS and the bu</w:t>
      </w:r>
      <w:r w:rsidR="006B3975">
        <w:rPr>
          <w:rFonts w:cs="Times New Roman"/>
          <w:szCs w:val="24"/>
        </w:rPr>
        <w:t>ilding stock provided by the US</w:t>
      </w:r>
      <w:r w:rsidRPr="00F158CD">
        <w:rPr>
          <w:rFonts w:cs="Times New Roman"/>
          <w:szCs w:val="24"/>
        </w:rPr>
        <w:t xml:space="preserve"> Census Bureau </w:t>
      </w:r>
      <w:r w:rsidRPr="00F158CD">
        <w:rPr>
          <w:rFonts w:cs="Times New Roman"/>
          <w:szCs w:val="24"/>
        </w:rPr>
        <w:fldChar w:fldCharType="begin" w:fldLock="1"/>
      </w:r>
      <w:r w:rsidR="00125627">
        <w:rPr>
          <w:rFonts w:cs="Times New Roman"/>
          <w:szCs w:val="24"/>
        </w:rPr>
        <w:instrText>ADDIN CSL_CITATION {"citationItems":[{"id":"ITEM-1","itemData":{"author":[{"dropping-particle":"","family":"United States Census Bureau","given":"","non-dropping-particle":"","parse-names":false,"suffix":""}],"id":"ITEM-1","issued":{"date-parts":[["2012"]]},"number-of-pages":"1-940","title":"Statistical Abstract of The United States 2012","type":"report"},"uris":["http://www.mendeley.com/documents/?uuid=36465f5c-1368-4117-82fc-7d12b71e9c13"]}],"mendeley":{"formattedCitation":"[33]","plainTextFormattedCitation":"[33]","previouslyFormattedCitation":"[33]"},"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[33]</w:t>
      </w:r>
      <w:r w:rsidRPr="00F158CD">
        <w:rPr>
          <w:rFonts w:cs="Times New Roman"/>
          <w:szCs w:val="24"/>
        </w:rPr>
        <w:fldChar w:fldCharType="end"/>
      </w:r>
      <w:r w:rsidRPr="00F158CD">
        <w:rPr>
          <w:rFonts w:cs="Times New Roman"/>
          <w:szCs w:val="24"/>
        </w:rPr>
        <w:t>.</w:t>
      </w:r>
    </w:p>
    <w:p w14:paraId="4AA36701" w14:textId="33D611FE" w:rsidR="00F158CD" w:rsidRPr="00D92FA3" w:rsidRDefault="00F158CD" w:rsidP="00524A6C">
      <w:pPr>
        <w:pStyle w:val="Caption"/>
      </w:pPr>
      <w:bookmarkStart w:id="0" w:name="_Ref14168294"/>
      <w:bookmarkStart w:id="1" w:name="_Ref14168274"/>
      <w:r w:rsidRPr="00D92FA3">
        <w:t xml:space="preserve">Table </w:t>
      </w:r>
      <w:r w:rsidR="00EA15CB" w:rsidRPr="00D92FA3">
        <w:fldChar w:fldCharType="begin"/>
      </w:r>
      <w:r w:rsidR="00EA15CB" w:rsidRPr="00D92FA3">
        <w:instrText xml:space="preserve"> SEQ Table \* ARABIC </w:instrText>
      </w:r>
      <w:r w:rsidR="00EA15CB" w:rsidRPr="00D92FA3">
        <w:fldChar w:fldCharType="separate"/>
      </w:r>
      <w:r w:rsidR="00250859">
        <w:rPr>
          <w:noProof/>
        </w:rPr>
        <w:t>1</w:t>
      </w:r>
      <w:r w:rsidR="00EA15CB" w:rsidRPr="00D92FA3">
        <w:fldChar w:fldCharType="end"/>
      </w:r>
      <w:bookmarkEnd w:id="0"/>
      <w:r w:rsidRPr="00D92FA3">
        <w:t xml:space="preserve">: </w:t>
      </w:r>
      <w:r w:rsidR="00853886">
        <w:t>UK</w:t>
      </w:r>
      <w:r w:rsidRPr="00D92FA3">
        <w:t xml:space="preserve"> fire statistics fields investigated</w:t>
      </w:r>
      <w:bookmarkEnd w:id="1"/>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303"/>
        <w:gridCol w:w="3136"/>
        <w:gridCol w:w="2412"/>
      </w:tblGrid>
      <w:tr w:rsidR="0029059E" w:rsidRPr="00F158CD" w14:paraId="4E719069" w14:textId="0C3A037B" w:rsidTr="00336CF6">
        <w:trPr>
          <w:trHeight w:val="20"/>
        </w:trPr>
        <w:tc>
          <w:tcPr>
            <w:tcW w:w="3303" w:type="dxa"/>
            <w:tcBorders>
              <w:top w:val="single" w:sz="4" w:space="0" w:color="auto"/>
              <w:bottom w:val="single" w:sz="4" w:space="0" w:color="auto"/>
              <w:right w:val="nil"/>
            </w:tcBorders>
            <w:vAlign w:val="center"/>
          </w:tcPr>
          <w:p w14:paraId="79B36C79" w14:textId="77777777" w:rsidR="0029059E" w:rsidRPr="00F158CD" w:rsidRDefault="0029059E" w:rsidP="00524A6C">
            <w:pPr>
              <w:jc w:val="center"/>
              <w:rPr>
                <w:rFonts w:cs="Times New Roman"/>
                <w:b/>
                <w:sz w:val="20"/>
              </w:rPr>
            </w:pPr>
            <w:r w:rsidRPr="00F158CD">
              <w:rPr>
                <w:rFonts w:cs="Times New Roman"/>
                <w:b/>
                <w:sz w:val="20"/>
              </w:rPr>
              <w:t>Spread of fire</w:t>
            </w:r>
          </w:p>
        </w:tc>
        <w:tc>
          <w:tcPr>
            <w:tcW w:w="3136" w:type="dxa"/>
            <w:tcBorders>
              <w:top w:val="single" w:sz="4" w:space="0" w:color="auto"/>
              <w:left w:val="nil"/>
              <w:bottom w:val="single" w:sz="4" w:space="0" w:color="auto"/>
              <w:right w:val="nil"/>
            </w:tcBorders>
            <w:vAlign w:val="center"/>
          </w:tcPr>
          <w:p w14:paraId="2E09F10F" w14:textId="1E6D25FE" w:rsidR="0029059E" w:rsidRPr="00F158CD" w:rsidRDefault="0029059E">
            <w:pPr>
              <w:jc w:val="center"/>
              <w:rPr>
                <w:rFonts w:cs="Times New Roman"/>
                <w:b/>
                <w:sz w:val="20"/>
              </w:rPr>
            </w:pPr>
            <w:r>
              <w:rPr>
                <w:rFonts w:cs="Times New Roman"/>
                <w:b/>
                <w:sz w:val="20"/>
              </w:rPr>
              <w:t>Safety</w:t>
            </w:r>
            <w:r w:rsidRPr="00F158CD">
              <w:rPr>
                <w:rFonts w:cs="Times New Roman"/>
                <w:b/>
                <w:sz w:val="20"/>
              </w:rPr>
              <w:t xml:space="preserve"> systems</w:t>
            </w:r>
          </w:p>
        </w:tc>
        <w:tc>
          <w:tcPr>
            <w:tcW w:w="2412" w:type="dxa"/>
            <w:tcBorders>
              <w:top w:val="single" w:sz="4" w:space="0" w:color="auto"/>
              <w:left w:val="nil"/>
              <w:bottom w:val="single" w:sz="4" w:space="0" w:color="auto"/>
            </w:tcBorders>
            <w:vAlign w:val="center"/>
          </w:tcPr>
          <w:p w14:paraId="2DEBCFF0" w14:textId="77777777" w:rsidR="0029059E" w:rsidRPr="00F158CD" w:rsidRDefault="0029059E">
            <w:pPr>
              <w:jc w:val="center"/>
              <w:rPr>
                <w:rFonts w:cs="Times New Roman"/>
                <w:b/>
                <w:sz w:val="20"/>
              </w:rPr>
            </w:pPr>
            <w:r w:rsidRPr="00F158CD">
              <w:rPr>
                <w:rFonts w:cs="Times New Roman"/>
                <w:b/>
                <w:sz w:val="20"/>
              </w:rPr>
              <w:t>Fire and total damage [m</w:t>
            </w:r>
            <w:r w:rsidRPr="00F158CD">
              <w:rPr>
                <w:rFonts w:cs="Times New Roman"/>
                <w:b/>
                <w:sz w:val="20"/>
                <w:vertAlign w:val="superscript"/>
              </w:rPr>
              <w:t>2</w:t>
            </w:r>
            <w:r w:rsidRPr="00F158CD">
              <w:rPr>
                <w:rFonts w:cs="Times New Roman"/>
                <w:b/>
                <w:sz w:val="20"/>
              </w:rPr>
              <w:t>]</w:t>
            </w:r>
          </w:p>
        </w:tc>
      </w:tr>
      <w:tr w:rsidR="0029059E" w:rsidRPr="00F158CD" w14:paraId="33D20F3D" w14:textId="40D558AF" w:rsidTr="00336CF6">
        <w:trPr>
          <w:trHeight w:val="20"/>
        </w:trPr>
        <w:tc>
          <w:tcPr>
            <w:tcW w:w="3303" w:type="dxa"/>
            <w:tcBorders>
              <w:top w:val="single" w:sz="4" w:space="0" w:color="auto"/>
              <w:bottom w:val="nil"/>
              <w:right w:val="nil"/>
            </w:tcBorders>
            <w:vAlign w:val="center"/>
          </w:tcPr>
          <w:p w14:paraId="75BDDC51" w14:textId="77777777" w:rsidR="0029059E" w:rsidRPr="00F158CD" w:rsidRDefault="0029059E" w:rsidP="00194D62">
            <w:pPr>
              <w:jc w:val="left"/>
              <w:rPr>
                <w:rFonts w:cs="Times New Roman"/>
                <w:sz w:val="20"/>
              </w:rPr>
            </w:pPr>
            <w:r w:rsidRPr="00F158CD">
              <w:rPr>
                <w:rFonts w:cs="Times New Roman"/>
                <w:sz w:val="20"/>
              </w:rPr>
              <w:t>No fire damage</w:t>
            </w:r>
          </w:p>
        </w:tc>
        <w:tc>
          <w:tcPr>
            <w:tcW w:w="3136" w:type="dxa"/>
            <w:tcBorders>
              <w:top w:val="single" w:sz="4" w:space="0" w:color="auto"/>
              <w:left w:val="nil"/>
              <w:bottom w:val="nil"/>
              <w:right w:val="nil"/>
            </w:tcBorders>
            <w:vAlign w:val="center"/>
          </w:tcPr>
          <w:p w14:paraId="6C41CFE9" w14:textId="77777777" w:rsidR="0029059E" w:rsidRPr="00F158CD" w:rsidRDefault="0029059E" w:rsidP="00194D62">
            <w:pPr>
              <w:jc w:val="left"/>
              <w:rPr>
                <w:rFonts w:cs="Times New Roman"/>
                <w:sz w:val="20"/>
              </w:rPr>
            </w:pPr>
            <w:r w:rsidRPr="00F158CD">
              <w:rPr>
                <w:rFonts w:cs="Times New Roman"/>
                <w:sz w:val="20"/>
              </w:rPr>
              <w:t>Sprinklers presented, raised alarm</w:t>
            </w:r>
          </w:p>
        </w:tc>
        <w:tc>
          <w:tcPr>
            <w:tcW w:w="2412" w:type="dxa"/>
            <w:tcBorders>
              <w:top w:val="single" w:sz="4" w:space="0" w:color="auto"/>
              <w:left w:val="nil"/>
              <w:bottom w:val="nil"/>
            </w:tcBorders>
            <w:vAlign w:val="center"/>
          </w:tcPr>
          <w:p w14:paraId="49F2A58B" w14:textId="2F3DAFCE" w:rsidR="0029059E" w:rsidRPr="00F158CD" w:rsidRDefault="0029059E">
            <w:pPr>
              <w:jc w:val="left"/>
              <w:rPr>
                <w:rFonts w:cs="Times New Roman"/>
                <w:sz w:val="20"/>
              </w:rPr>
            </w:pPr>
            <w:r w:rsidRPr="00F158CD">
              <w:rPr>
                <w:rFonts w:cs="Times New Roman"/>
                <w:sz w:val="20"/>
              </w:rPr>
              <w:t>0</w:t>
            </w:r>
          </w:p>
        </w:tc>
      </w:tr>
      <w:tr w:rsidR="0029059E" w:rsidRPr="00F158CD" w14:paraId="6BFCEEE7" w14:textId="585B1F01" w:rsidTr="00336CF6">
        <w:trPr>
          <w:trHeight w:val="20"/>
        </w:trPr>
        <w:tc>
          <w:tcPr>
            <w:tcW w:w="3303" w:type="dxa"/>
            <w:tcBorders>
              <w:top w:val="nil"/>
              <w:bottom w:val="nil"/>
              <w:right w:val="nil"/>
            </w:tcBorders>
            <w:vAlign w:val="center"/>
          </w:tcPr>
          <w:p w14:paraId="1C9F58BA" w14:textId="77777777" w:rsidR="0029059E" w:rsidRPr="00F158CD" w:rsidRDefault="0029059E" w:rsidP="00194D62">
            <w:pPr>
              <w:jc w:val="left"/>
              <w:rPr>
                <w:rFonts w:cs="Times New Roman"/>
                <w:sz w:val="20"/>
              </w:rPr>
            </w:pPr>
            <w:r w:rsidRPr="00F158CD">
              <w:rPr>
                <w:rFonts w:cs="Times New Roman"/>
                <w:sz w:val="20"/>
              </w:rPr>
              <w:t>Limited to item 1</w:t>
            </w:r>
            <w:r w:rsidRPr="00F158CD">
              <w:rPr>
                <w:rFonts w:cs="Times New Roman"/>
                <w:sz w:val="20"/>
                <w:vertAlign w:val="superscript"/>
              </w:rPr>
              <w:t>st</w:t>
            </w:r>
            <w:r w:rsidRPr="00F158CD">
              <w:rPr>
                <w:rFonts w:cs="Times New Roman"/>
                <w:sz w:val="20"/>
              </w:rPr>
              <w:t xml:space="preserve"> ignited</w:t>
            </w:r>
          </w:p>
        </w:tc>
        <w:tc>
          <w:tcPr>
            <w:tcW w:w="3136" w:type="dxa"/>
            <w:tcBorders>
              <w:top w:val="nil"/>
              <w:left w:val="nil"/>
              <w:bottom w:val="nil"/>
              <w:right w:val="nil"/>
            </w:tcBorders>
            <w:vAlign w:val="center"/>
          </w:tcPr>
          <w:p w14:paraId="4353414D" w14:textId="77777777" w:rsidR="0029059E" w:rsidRPr="00F158CD" w:rsidRDefault="0029059E" w:rsidP="00194D62">
            <w:pPr>
              <w:jc w:val="left"/>
              <w:rPr>
                <w:rFonts w:cs="Times New Roman"/>
                <w:sz w:val="20"/>
              </w:rPr>
            </w:pPr>
            <w:r w:rsidRPr="00F158CD">
              <w:rPr>
                <w:rFonts w:cs="Times New Roman"/>
                <w:sz w:val="20"/>
              </w:rPr>
              <w:t>Sprinklers operated, no alarm</w:t>
            </w:r>
          </w:p>
        </w:tc>
        <w:tc>
          <w:tcPr>
            <w:tcW w:w="2412" w:type="dxa"/>
            <w:tcBorders>
              <w:top w:val="nil"/>
              <w:left w:val="nil"/>
              <w:bottom w:val="nil"/>
            </w:tcBorders>
            <w:vAlign w:val="center"/>
          </w:tcPr>
          <w:p w14:paraId="478C54BD" w14:textId="6C8E441B" w:rsidR="0029059E" w:rsidRPr="00F158CD" w:rsidRDefault="0029059E">
            <w:pPr>
              <w:jc w:val="left"/>
              <w:rPr>
                <w:rFonts w:cs="Times New Roman"/>
                <w:sz w:val="20"/>
              </w:rPr>
            </w:pPr>
            <w:r w:rsidRPr="00F158CD">
              <w:rPr>
                <w:rFonts w:cs="Times New Roman"/>
                <w:sz w:val="20"/>
              </w:rPr>
              <w:t>Up to 5</w:t>
            </w:r>
          </w:p>
        </w:tc>
      </w:tr>
      <w:tr w:rsidR="0029059E" w:rsidRPr="00F158CD" w14:paraId="55530136" w14:textId="248F244E" w:rsidTr="00336CF6">
        <w:trPr>
          <w:trHeight w:val="20"/>
        </w:trPr>
        <w:tc>
          <w:tcPr>
            <w:tcW w:w="3303" w:type="dxa"/>
            <w:tcBorders>
              <w:top w:val="nil"/>
              <w:bottom w:val="nil"/>
              <w:right w:val="nil"/>
            </w:tcBorders>
            <w:vAlign w:val="center"/>
          </w:tcPr>
          <w:p w14:paraId="6165FC24" w14:textId="77777777" w:rsidR="0029059E" w:rsidRPr="00F158CD" w:rsidRDefault="0029059E" w:rsidP="00194D62">
            <w:pPr>
              <w:jc w:val="left"/>
              <w:rPr>
                <w:rFonts w:cs="Times New Roman"/>
                <w:sz w:val="20"/>
              </w:rPr>
            </w:pPr>
            <w:r w:rsidRPr="00F158CD">
              <w:rPr>
                <w:rFonts w:cs="Times New Roman"/>
                <w:sz w:val="20"/>
              </w:rPr>
              <w:t>Limited to room of origin</w:t>
            </w:r>
          </w:p>
        </w:tc>
        <w:tc>
          <w:tcPr>
            <w:tcW w:w="3136" w:type="dxa"/>
            <w:tcBorders>
              <w:top w:val="nil"/>
              <w:left w:val="nil"/>
              <w:bottom w:val="nil"/>
              <w:right w:val="nil"/>
            </w:tcBorders>
            <w:vAlign w:val="center"/>
          </w:tcPr>
          <w:p w14:paraId="71F4BF12" w14:textId="77777777" w:rsidR="0029059E" w:rsidRPr="00F158CD" w:rsidRDefault="0029059E" w:rsidP="00194D62">
            <w:pPr>
              <w:jc w:val="left"/>
              <w:rPr>
                <w:rFonts w:cs="Times New Roman"/>
                <w:sz w:val="20"/>
              </w:rPr>
            </w:pPr>
            <w:r w:rsidRPr="00F158CD">
              <w:rPr>
                <w:rFonts w:cs="Times New Roman"/>
                <w:sz w:val="20"/>
              </w:rPr>
              <w:t>Sprinklers present, did not operate</w:t>
            </w:r>
          </w:p>
        </w:tc>
        <w:tc>
          <w:tcPr>
            <w:tcW w:w="2412" w:type="dxa"/>
            <w:tcBorders>
              <w:top w:val="nil"/>
              <w:left w:val="nil"/>
              <w:bottom w:val="nil"/>
            </w:tcBorders>
            <w:vAlign w:val="center"/>
          </w:tcPr>
          <w:p w14:paraId="07817F2D" w14:textId="28D7AA95" w:rsidR="0029059E" w:rsidRPr="00F158CD" w:rsidRDefault="0029059E">
            <w:pPr>
              <w:jc w:val="left"/>
              <w:rPr>
                <w:rFonts w:cs="Times New Roman"/>
                <w:sz w:val="20"/>
              </w:rPr>
            </w:pPr>
            <w:r w:rsidRPr="00F158CD">
              <w:rPr>
                <w:rFonts w:cs="Times New Roman"/>
                <w:sz w:val="20"/>
              </w:rPr>
              <w:t>6 to 10</w:t>
            </w:r>
          </w:p>
        </w:tc>
      </w:tr>
      <w:tr w:rsidR="0029059E" w:rsidRPr="00F158CD" w14:paraId="08CE4DEB" w14:textId="517D238B" w:rsidTr="00336CF6">
        <w:trPr>
          <w:trHeight w:val="20"/>
        </w:trPr>
        <w:tc>
          <w:tcPr>
            <w:tcW w:w="3303" w:type="dxa"/>
            <w:tcBorders>
              <w:top w:val="nil"/>
              <w:bottom w:val="nil"/>
              <w:right w:val="nil"/>
            </w:tcBorders>
            <w:vAlign w:val="center"/>
          </w:tcPr>
          <w:p w14:paraId="6C624F34" w14:textId="77777777" w:rsidR="0029059E" w:rsidRPr="00F158CD" w:rsidRDefault="0029059E" w:rsidP="00194D62">
            <w:pPr>
              <w:jc w:val="left"/>
              <w:rPr>
                <w:rFonts w:cs="Times New Roman"/>
                <w:sz w:val="20"/>
              </w:rPr>
            </w:pPr>
            <w:r w:rsidRPr="00F158CD">
              <w:rPr>
                <w:rFonts w:cs="Times New Roman"/>
                <w:sz w:val="20"/>
              </w:rPr>
              <w:t xml:space="preserve">Limited to floor of origin </w:t>
            </w:r>
          </w:p>
        </w:tc>
        <w:tc>
          <w:tcPr>
            <w:tcW w:w="3136" w:type="dxa"/>
            <w:tcBorders>
              <w:top w:val="nil"/>
              <w:left w:val="nil"/>
              <w:bottom w:val="nil"/>
              <w:right w:val="nil"/>
            </w:tcBorders>
            <w:vAlign w:val="center"/>
          </w:tcPr>
          <w:p w14:paraId="23FBAAA5" w14:textId="77777777" w:rsidR="0029059E" w:rsidRPr="00F158CD" w:rsidRDefault="0029059E" w:rsidP="00194D62">
            <w:pPr>
              <w:jc w:val="left"/>
              <w:rPr>
                <w:rFonts w:cs="Times New Roman"/>
                <w:sz w:val="20"/>
              </w:rPr>
            </w:pPr>
            <w:r w:rsidRPr="00F158CD">
              <w:rPr>
                <w:rFonts w:cs="Times New Roman"/>
                <w:sz w:val="20"/>
              </w:rPr>
              <w:t>Other System presented, raised alarm</w:t>
            </w:r>
          </w:p>
        </w:tc>
        <w:tc>
          <w:tcPr>
            <w:tcW w:w="2412" w:type="dxa"/>
            <w:tcBorders>
              <w:top w:val="nil"/>
              <w:left w:val="nil"/>
              <w:bottom w:val="nil"/>
            </w:tcBorders>
            <w:vAlign w:val="center"/>
          </w:tcPr>
          <w:p w14:paraId="170D1653" w14:textId="74B7E9D2" w:rsidR="0029059E" w:rsidRPr="00F158CD" w:rsidRDefault="0029059E">
            <w:pPr>
              <w:jc w:val="left"/>
              <w:rPr>
                <w:rFonts w:cs="Times New Roman"/>
                <w:sz w:val="20"/>
              </w:rPr>
            </w:pPr>
            <w:r w:rsidRPr="00F158CD">
              <w:rPr>
                <w:rFonts w:cs="Times New Roman"/>
                <w:sz w:val="20"/>
              </w:rPr>
              <w:t>11 to 20</w:t>
            </w:r>
          </w:p>
        </w:tc>
      </w:tr>
      <w:tr w:rsidR="0029059E" w:rsidRPr="00F158CD" w14:paraId="7A53793B" w14:textId="701C331A" w:rsidTr="00336CF6">
        <w:trPr>
          <w:trHeight w:val="20"/>
        </w:trPr>
        <w:tc>
          <w:tcPr>
            <w:tcW w:w="3303" w:type="dxa"/>
            <w:tcBorders>
              <w:top w:val="nil"/>
              <w:bottom w:val="nil"/>
              <w:right w:val="nil"/>
            </w:tcBorders>
            <w:vAlign w:val="center"/>
          </w:tcPr>
          <w:p w14:paraId="6D8FD8E8" w14:textId="77777777" w:rsidR="0029059E" w:rsidRPr="00F158CD" w:rsidRDefault="0029059E" w:rsidP="00194D62">
            <w:pPr>
              <w:jc w:val="left"/>
              <w:rPr>
                <w:rFonts w:cs="Times New Roman"/>
                <w:sz w:val="20"/>
              </w:rPr>
            </w:pPr>
            <w:r w:rsidRPr="00F158CD">
              <w:rPr>
                <w:rFonts w:cs="Times New Roman"/>
                <w:sz w:val="20"/>
              </w:rPr>
              <w:t>Limited to two floors</w:t>
            </w:r>
          </w:p>
        </w:tc>
        <w:tc>
          <w:tcPr>
            <w:tcW w:w="3136" w:type="dxa"/>
            <w:tcBorders>
              <w:top w:val="nil"/>
              <w:left w:val="nil"/>
              <w:bottom w:val="nil"/>
              <w:right w:val="nil"/>
            </w:tcBorders>
            <w:vAlign w:val="center"/>
          </w:tcPr>
          <w:p w14:paraId="6EC44337" w14:textId="77777777" w:rsidR="0029059E" w:rsidRPr="00F158CD" w:rsidRDefault="0029059E" w:rsidP="00194D62">
            <w:pPr>
              <w:jc w:val="left"/>
              <w:rPr>
                <w:rFonts w:cs="Times New Roman"/>
                <w:sz w:val="20"/>
              </w:rPr>
            </w:pPr>
            <w:r w:rsidRPr="00F158CD">
              <w:rPr>
                <w:rFonts w:cs="Times New Roman"/>
                <w:sz w:val="20"/>
              </w:rPr>
              <w:t>Other System operated, no alarm</w:t>
            </w:r>
          </w:p>
        </w:tc>
        <w:tc>
          <w:tcPr>
            <w:tcW w:w="2412" w:type="dxa"/>
            <w:tcBorders>
              <w:top w:val="nil"/>
              <w:left w:val="nil"/>
              <w:bottom w:val="nil"/>
            </w:tcBorders>
            <w:vAlign w:val="center"/>
          </w:tcPr>
          <w:p w14:paraId="5B5EAAC3" w14:textId="4E92195F" w:rsidR="0029059E" w:rsidRPr="00F158CD" w:rsidRDefault="0029059E">
            <w:pPr>
              <w:jc w:val="left"/>
              <w:rPr>
                <w:rFonts w:cs="Times New Roman"/>
                <w:sz w:val="20"/>
              </w:rPr>
            </w:pPr>
            <w:r w:rsidRPr="00F158CD">
              <w:rPr>
                <w:rFonts w:cs="Times New Roman"/>
                <w:sz w:val="20"/>
              </w:rPr>
              <w:t>21 to 50</w:t>
            </w:r>
          </w:p>
        </w:tc>
      </w:tr>
      <w:tr w:rsidR="0029059E" w:rsidRPr="00F158CD" w14:paraId="117F209B" w14:textId="56C171AC" w:rsidTr="00336CF6">
        <w:trPr>
          <w:trHeight w:val="20"/>
        </w:trPr>
        <w:tc>
          <w:tcPr>
            <w:tcW w:w="3303" w:type="dxa"/>
            <w:tcBorders>
              <w:top w:val="nil"/>
              <w:bottom w:val="nil"/>
              <w:right w:val="nil"/>
            </w:tcBorders>
            <w:vAlign w:val="center"/>
          </w:tcPr>
          <w:p w14:paraId="6F5ECE22" w14:textId="77777777" w:rsidR="0029059E" w:rsidRPr="00F158CD" w:rsidRDefault="0029059E" w:rsidP="00194D62">
            <w:pPr>
              <w:jc w:val="left"/>
              <w:rPr>
                <w:rFonts w:cs="Times New Roman"/>
                <w:sz w:val="20"/>
              </w:rPr>
            </w:pPr>
            <w:r w:rsidRPr="00F158CD">
              <w:rPr>
                <w:rFonts w:cs="Times New Roman"/>
                <w:sz w:val="20"/>
              </w:rPr>
              <w:t>Whole building or more than two floors</w:t>
            </w:r>
          </w:p>
        </w:tc>
        <w:tc>
          <w:tcPr>
            <w:tcW w:w="3136" w:type="dxa"/>
            <w:tcBorders>
              <w:top w:val="nil"/>
              <w:left w:val="nil"/>
              <w:bottom w:val="nil"/>
              <w:right w:val="nil"/>
            </w:tcBorders>
            <w:vAlign w:val="center"/>
          </w:tcPr>
          <w:p w14:paraId="3E77B59D" w14:textId="77777777" w:rsidR="0029059E" w:rsidRPr="00F158CD" w:rsidRDefault="0029059E" w:rsidP="00194D62">
            <w:pPr>
              <w:jc w:val="left"/>
              <w:rPr>
                <w:rFonts w:cs="Times New Roman"/>
                <w:sz w:val="20"/>
              </w:rPr>
            </w:pPr>
            <w:r w:rsidRPr="00F158CD">
              <w:rPr>
                <w:rFonts w:cs="Times New Roman"/>
                <w:sz w:val="20"/>
              </w:rPr>
              <w:t>Other System present, did not operate</w:t>
            </w:r>
          </w:p>
        </w:tc>
        <w:tc>
          <w:tcPr>
            <w:tcW w:w="2412" w:type="dxa"/>
            <w:tcBorders>
              <w:top w:val="nil"/>
              <w:left w:val="nil"/>
              <w:bottom w:val="nil"/>
            </w:tcBorders>
            <w:vAlign w:val="center"/>
          </w:tcPr>
          <w:p w14:paraId="30DF52A4" w14:textId="55E4238F" w:rsidR="0029059E" w:rsidRPr="00F158CD" w:rsidRDefault="0029059E">
            <w:pPr>
              <w:jc w:val="left"/>
              <w:rPr>
                <w:rFonts w:cs="Times New Roman"/>
                <w:sz w:val="20"/>
              </w:rPr>
            </w:pPr>
            <w:r w:rsidRPr="00F158CD">
              <w:rPr>
                <w:rFonts w:cs="Times New Roman"/>
                <w:sz w:val="20"/>
              </w:rPr>
              <w:t>51 to 100</w:t>
            </w:r>
          </w:p>
        </w:tc>
      </w:tr>
      <w:tr w:rsidR="0029059E" w:rsidRPr="00F158CD" w14:paraId="4B11C94D" w14:textId="7235AF0E" w:rsidTr="00336CF6">
        <w:trPr>
          <w:trHeight w:val="20"/>
        </w:trPr>
        <w:tc>
          <w:tcPr>
            <w:tcW w:w="3303" w:type="dxa"/>
            <w:tcBorders>
              <w:top w:val="nil"/>
              <w:bottom w:val="nil"/>
              <w:right w:val="nil"/>
            </w:tcBorders>
            <w:vAlign w:val="center"/>
          </w:tcPr>
          <w:p w14:paraId="5512823F" w14:textId="77777777" w:rsidR="0029059E" w:rsidRPr="00F158CD" w:rsidRDefault="0029059E" w:rsidP="00194D62">
            <w:pPr>
              <w:jc w:val="left"/>
              <w:rPr>
                <w:rFonts w:cs="Times New Roman"/>
                <w:sz w:val="20"/>
              </w:rPr>
            </w:pPr>
            <w:r w:rsidRPr="00F158CD">
              <w:rPr>
                <w:rFonts w:cs="Times New Roman"/>
                <w:sz w:val="20"/>
              </w:rPr>
              <w:t>Roofs/Roof spaces</w:t>
            </w:r>
          </w:p>
        </w:tc>
        <w:tc>
          <w:tcPr>
            <w:tcW w:w="3136" w:type="dxa"/>
            <w:tcBorders>
              <w:top w:val="nil"/>
              <w:left w:val="nil"/>
              <w:bottom w:val="nil"/>
              <w:right w:val="nil"/>
            </w:tcBorders>
            <w:vAlign w:val="center"/>
          </w:tcPr>
          <w:p w14:paraId="33AE9187" w14:textId="77777777" w:rsidR="0029059E" w:rsidRPr="00F158CD" w:rsidRDefault="0029059E" w:rsidP="00194D62">
            <w:pPr>
              <w:jc w:val="left"/>
              <w:rPr>
                <w:rFonts w:cs="Times New Roman"/>
                <w:sz w:val="20"/>
              </w:rPr>
            </w:pPr>
            <w:r w:rsidRPr="00F158CD">
              <w:rPr>
                <w:rFonts w:cs="Times New Roman"/>
                <w:sz w:val="20"/>
              </w:rPr>
              <w:t>No Safety System</w:t>
            </w:r>
          </w:p>
        </w:tc>
        <w:tc>
          <w:tcPr>
            <w:tcW w:w="2412" w:type="dxa"/>
            <w:tcBorders>
              <w:top w:val="nil"/>
              <w:left w:val="nil"/>
              <w:bottom w:val="nil"/>
            </w:tcBorders>
            <w:vAlign w:val="center"/>
          </w:tcPr>
          <w:p w14:paraId="6FF635DF" w14:textId="2C34FAD2" w:rsidR="0029059E" w:rsidRPr="00F158CD" w:rsidRDefault="0029059E">
            <w:pPr>
              <w:jc w:val="left"/>
              <w:rPr>
                <w:rFonts w:cs="Times New Roman"/>
                <w:sz w:val="20"/>
              </w:rPr>
            </w:pPr>
            <w:r w:rsidRPr="00F158CD">
              <w:rPr>
                <w:rFonts w:cs="Times New Roman"/>
                <w:sz w:val="20"/>
              </w:rPr>
              <w:t>101 to 200</w:t>
            </w:r>
          </w:p>
        </w:tc>
      </w:tr>
      <w:tr w:rsidR="0029059E" w:rsidRPr="00F158CD" w14:paraId="3E46EAED" w14:textId="77777777" w:rsidTr="00336CF6">
        <w:trPr>
          <w:trHeight w:val="20"/>
        </w:trPr>
        <w:tc>
          <w:tcPr>
            <w:tcW w:w="3303" w:type="dxa"/>
            <w:tcBorders>
              <w:top w:val="nil"/>
              <w:bottom w:val="nil"/>
              <w:right w:val="nil"/>
            </w:tcBorders>
            <w:vAlign w:val="center"/>
          </w:tcPr>
          <w:p w14:paraId="72AB3F00" w14:textId="77777777" w:rsidR="0029059E" w:rsidRPr="00F158CD" w:rsidRDefault="0029059E" w:rsidP="0029059E">
            <w:pPr>
              <w:jc w:val="left"/>
              <w:rPr>
                <w:rFonts w:cs="Times New Roman"/>
                <w:sz w:val="20"/>
              </w:rPr>
            </w:pPr>
          </w:p>
        </w:tc>
        <w:tc>
          <w:tcPr>
            <w:tcW w:w="3136" w:type="dxa"/>
            <w:tcBorders>
              <w:top w:val="nil"/>
              <w:left w:val="nil"/>
              <w:bottom w:val="nil"/>
              <w:right w:val="nil"/>
            </w:tcBorders>
            <w:vAlign w:val="center"/>
          </w:tcPr>
          <w:p w14:paraId="2E9CD378" w14:textId="77777777" w:rsidR="0029059E" w:rsidRPr="00F158CD" w:rsidRDefault="0029059E" w:rsidP="0029059E">
            <w:pPr>
              <w:jc w:val="left"/>
              <w:rPr>
                <w:rFonts w:cs="Times New Roman"/>
                <w:sz w:val="20"/>
              </w:rPr>
            </w:pPr>
          </w:p>
        </w:tc>
        <w:tc>
          <w:tcPr>
            <w:tcW w:w="2412" w:type="dxa"/>
            <w:tcBorders>
              <w:top w:val="nil"/>
              <w:left w:val="nil"/>
              <w:bottom w:val="nil"/>
            </w:tcBorders>
            <w:vAlign w:val="center"/>
          </w:tcPr>
          <w:p w14:paraId="51696ECC" w14:textId="07FD42FD" w:rsidR="0029059E" w:rsidRPr="00F158CD" w:rsidRDefault="0029059E" w:rsidP="00336CF6">
            <w:pPr>
              <w:jc w:val="left"/>
              <w:rPr>
                <w:rFonts w:cs="Times New Roman"/>
                <w:sz w:val="20"/>
              </w:rPr>
            </w:pPr>
            <w:r>
              <w:rPr>
                <w:rFonts w:cs="Times New Roman"/>
                <w:sz w:val="20"/>
              </w:rPr>
              <w:t>201 to 500</w:t>
            </w:r>
          </w:p>
        </w:tc>
      </w:tr>
      <w:tr w:rsidR="0029059E" w:rsidRPr="00F158CD" w14:paraId="55B1A202" w14:textId="77777777" w:rsidTr="00336CF6">
        <w:trPr>
          <w:trHeight w:val="20"/>
        </w:trPr>
        <w:tc>
          <w:tcPr>
            <w:tcW w:w="3303" w:type="dxa"/>
            <w:tcBorders>
              <w:top w:val="nil"/>
              <w:bottom w:val="nil"/>
              <w:right w:val="nil"/>
            </w:tcBorders>
            <w:vAlign w:val="center"/>
          </w:tcPr>
          <w:p w14:paraId="186CFCF2" w14:textId="77777777" w:rsidR="0029059E" w:rsidRPr="00F158CD" w:rsidRDefault="0029059E" w:rsidP="0029059E">
            <w:pPr>
              <w:jc w:val="left"/>
              <w:rPr>
                <w:rFonts w:cs="Times New Roman"/>
                <w:sz w:val="20"/>
              </w:rPr>
            </w:pPr>
          </w:p>
        </w:tc>
        <w:tc>
          <w:tcPr>
            <w:tcW w:w="3136" w:type="dxa"/>
            <w:tcBorders>
              <w:top w:val="nil"/>
              <w:left w:val="nil"/>
              <w:bottom w:val="nil"/>
              <w:right w:val="nil"/>
            </w:tcBorders>
            <w:vAlign w:val="center"/>
          </w:tcPr>
          <w:p w14:paraId="28307F7F" w14:textId="77777777" w:rsidR="0029059E" w:rsidRPr="00F158CD" w:rsidRDefault="0029059E" w:rsidP="0029059E">
            <w:pPr>
              <w:jc w:val="left"/>
              <w:rPr>
                <w:rFonts w:cs="Times New Roman"/>
                <w:sz w:val="20"/>
              </w:rPr>
            </w:pPr>
          </w:p>
        </w:tc>
        <w:tc>
          <w:tcPr>
            <w:tcW w:w="2412" w:type="dxa"/>
            <w:tcBorders>
              <w:top w:val="nil"/>
              <w:left w:val="nil"/>
              <w:bottom w:val="nil"/>
            </w:tcBorders>
            <w:vAlign w:val="center"/>
          </w:tcPr>
          <w:p w14:paraId="6797EBB9" w14:textId="19FFA6F9" w:rsidR="0029059E" w:rsidRPr="00F158CD" w:rsidRDefault="0029059E" w:rsidP="00336CF6">
            <w:pPr>
              <w:jc w:val="left"/>
              <w:rPr>
                <w:rFonts w:cs="Times New Roman"/>
                <w:sz w:val="20"/>
              </w:rPr>
            </w:pPr>
            <w:r>
              <w:rPr>
                <w:rFonts w:cs="Times New Roman"/>
                <w:sz w:val="20"/>
              </w:rPr>
              <w:t>501 to 1,000</w:t>
            </w:r>
          </w:p>
        </w:tc>
      </w:tr>
      <w:tr w:rsidR="0029059E" w:rsidRPr="00F158CD" w14:paraId="0CA69802" w14:textId="77777777" w:rsidTr="00336CF6">
        <w:trPr>
          <w:trHeight w:val="20"/>
        </w:trPr>
        <w:tc>
          <w:tcPr>
            <w:tcW w:w="3303" w:type="dxa"/>
            <w:tcBorders>
              <w:top w:val="nil"/>
              <w:bottom w:val="single" w:sz="4" w:space="0" w:color="auto"/>
              <w:right w:val="nil"/>
            </w:tcBorders>
            <w:vAlign w:val="center"/>
          </w:tcPr>
          <w:p w14:paraId="6BD175F5" w14:textId="77777777" w:rsidR="0029059E" w:rsidRPr="00F158CD" w:rsidRDefault="0029059E" w:rsidP="0029059E">
            <w:pPr>
              <w:jc w:val="left"/>
              <w:rPr>
                <w:rFonts w:cs="Times New Roman"/>
                <w:sz w:val="20"/>
              </w:rPr>
            </w:pPr>
          </w:p>
        </w:tc>
        <w:tc>
          <w:tcPr>
            <w:tcW w:w="3136" w:type="dxa"/>
            <w:tcBorders>
              <w:top w:val="nil"/>
              <w:left w:val="nil"/>
              <w:bottom w:val="single" w:sz="4" w:space="0" w:color="auto"/>
              <w:right w:val="nil"/>
            </w:tcBorders>
            <w:vAlign w:val="center"/>
          </w:tcPr>
          <w:p w14:paraId="5DA71B22" w14:textId="77777777" w:rsidR="0029059E" w:rsidRPr="00F158CD" w:rsidRDefault="0029059E" w:rsidP="0029059E">
            <w:pPr>
              <w:jc w:val="left"/>
              <w:rPr>
                <w:rFonts w:cs="Times New Roman"/>
                <w:sz w:val="20"/>
              </w:rPr>
            </w:pPr>
          </w:p>
        </w:tc>
        <w:tc>
          <w:tcPr>
            <w:tcW w:w="2412" w:type="dxa"/>
            <w:tcBorders>
              <w:top w:val="nil"/>
              <w:left w:val="nil"/>
              <w:bottom w:val="single" w:sz="4" w:space="0" w:color="auto"/>
            </w:tcBorders>
            <w:vAlign w:val="center"/>
          </w:tcPr>
          <w:p w14:paraId="6EC8CD2D" w14:textId="6E2229BD" w:rsidR="0029059E" w:rsidRDefault="0029059E" w:rsidP="00336CF6">
            <w:pPr>
              <w:jc w:val="left"/>
              <w:rPr>
                <w:rFonts w:cs="Times New Roman"/>
                <w:sz w:val="20"/>
              </w:rPr>
            </w:pPr>
            <w:r>
              <w:rPr>
                <w:rFonts w:cs="Times New Roman"/>
                <w:sz w:val="20"/>
              </w:rPr>
              <w:t>Over 1,000</w:t>
            </w:r>
          </w:p>
        </w:tc>
      </w:tr>
    </w:tbl>
    <w:p w14:paraId="5CA49D7B" w14:textId="77777777" w:rsidR="00FD15BD" w:rsidRDefault="00FD15BD" w:rsidP="00336CF6">
      <w:pPr>
        <w:rPr>
          <w:rFonts w:cs="Times New Roman"/>
          <w:szCs w:val="24"/>
        </w:rPr>
      </w:pPr>
    </w:p>
    <w:p w14:paraId="11100C3E" w14:textId="0D1DF185" w:rsidR="00A405E5" w:rsidRDefault="00A405E5" w:rsidP="00336CF6">
      <w:pPr>
        <w:rPr>
          <w:rFonts w:cs="Times New Roman"/>
          <w:szCs w:val="24"/>
        </w:rPr>
      </w:pPr>
      <w:r w:rsidRPr="00F158CD">
        <w:rPr>
          <w:rFonts w:cs="Times New Roman"/>
          <w:szCs w:val="24"/>
        </w:rPr>
        <w:t xml:space="preserve">Furthermore, </w:t>
      </w:r>
      <w:proofErr w:type="spellStart"/>
      <w:r w:rsidRPr="00F158CD">
        <w:rPr>
          <w:rFonts w:cs="Times New Roman"/>
          <w:szCs w:val="24"/>
        </w:rPr>
        <w:t>Rutstein</w:t>
      </w:r>
      <w:proofErr w:type="spellEnd"/>
      <w:r w:rsidRPr="00F158CD">
        <w:rPr>
          <w:rFonts w:cs="Times New Roman"/>
          <w:szCs w:val="24"/>
        </w:rPr>
        <w:t xml:space="preserve"> defines the probability of fire as the number of fire incidents </w:t>
      </w:r>
      <w:r>
        <w:rPr>
          <w:rFonts w:cs="Times New Roman"/>
          <w:szCs w:val="24"/>
        </w:rPr>
        <w:t>attended</w:t>
      </w:r>
      <w:r w:rsidRPr="00F158CD">
        <w:rPr>
          <w:rFonts w:cs="Times New Roman"/>
          <w:szCs w:val="24"/>
        </w:rPr>
        <w:t xml:space="preserve"> by the fire brigade divided by the total number of building</w:t>
      </w:r>
      <w:r>
        <w:rPr>
          <w:rFonts w:cs="Times New Roman"/>
          <w:szCs w:val="24"/>
        </w:rPr>
        <w:t>s</w:t>
      </w:r>
      <w:r w:rsidRPr="00F158CD">
        <w:rPr>
          <w:rFonts w:cs="Times New Roman"/>
          <w:szCs w:val="24"/>
        </w:rPr>
        <w:t xml:space="preserve"> at risk </w:t>
      </w:r>
      <w:r w:rsidRPr="00F158CD">
        <w:rPr>
          <w:rFonts w:cs="Times New Roman"/>
          <w:szCs w:val="24"/>
        </w:rPr>
        <w:fldChar w:fldCharType="begin" w:fldLock="1"/>
      </w:r>
      <w:r w:rsidR="00125627">
        <w:rPr>
          <w:rFonts w:cs="Times New Roman"/>
          <w:szCs w:val="24"/>
        </w:rPr>
        <w:instrText>ADDIN CSL_CITATION {"citationItems":[{"id":"ITEM-1","itemData":{"author":[{"dropping-particle":"","family":"Rutstein","given":"R","non-dropping-particle":"","parse-names":false,"suffix":""}],"container-title":"Fire Surveyor","id":"ITEM-1","issue":"1","issued":{"date-parts":[["1979"]]},"page":"20-23","title":"The probability of fire in different sectors of industry","type":"article-journal","volume":"8"},"uris":["http://www.mendeley.com/documents/?uuid=83b1fa0c-4573-4170-a695-568ae3708031"]}],"mendeley":{"formattedCitation":"[32]","plainTextFormattedCitation":"[32]","previouslyFormattedCitation":"[32]"},"properties":{"noteIndex":0},"schema":"https://github.com/citation-style-language/schema/raw/master/csl-citation.json"}</w:instrText>
      </w:r>
      <w:r w:rsidRPr="00F158CD">
        <w:rPr>
          <w:rFonts w:cs="Times New Roman"/>
          <w:szCs w:val="24"/>
        </w:rPr>
        <w:fldChar w:fldCharType="separate"/>
      </w:r>
      <w:r w:rsidR="00524A6C" w:rsidRPr="00524A6C">
        <w:rPr>
          <w:rFonts w:cs="Times New Roman"/>
          <w:noProof/>
          <w:szCs w:val="24"/>
        </w:rPr>
        <w:t>[32]</w:t>
      </w:r>
      <w:r w:rsidRPr="00F158CD">
        <w:rPr>
          <w:rFonts w:cs="Times New Roman"/>
          <w:szCs w:val="24"/>
        </w:rPr>
        <w:fldChar w:fldCharType="end"/>
      </w:r>
      <w:r>
        <w:rPr>
          <w:rFonts w:cs="Times New Roman"/>
          <w:szCs w:val="24"/>
        </w:rPr>
        <w:t>. T</w:t>
      </w:r>
      <w:r w:rsidRPr="00F158CD">
        <w:rPr>
          <w:rFonts w:cs="Times New Roman"/>
          <w:szCs w:val="24"/>
        </w:rPr>
        <w:t>his consideration is at the base of the recreate</w:t>
      </w:r>
      <w:r w:rsidR="00194D62">
        <w:rPr>
          <w:rFonts w:cs="Times New Roman"/>
          <w:szCs w:val="24"/>
        </w:rPr>
        <w:t>d</w:t>
      </w:r>
      <w:r w:rsidRPr="00F158CD">
        <w:rPr>
          <w:rFonts w:cs="Times New Roman"/>
          <w:szCs w:val="24"/>
        </w:rPr>
        <w:t xml:space="preserve"> yearly frequency of Table A.2 where the total number of fires is obtained by the</w:t>
      </w:r>
      <w:r>
        <w:rPr>
          <w:rFonts w:cs="Times New Roman"/>
          <w:szCs w:val="24"/>
        </w:rPr>
        <w:t xml:space="preserve"> </w:t>
      </w:r>
      <w:r w:rsidRPr="00F158CD">
        <w:rPr>
          <w:rFonts w:cs="Times New Roman"/>
          <w:szCs w:val="24"/>
        </w:rPr>
        <w:t xml:space="preserve">IRS for the year 2014/15, </w:t>
      </w:r>
      <w:r>
        <w:rPr>
          <w:rFonts w:cs="Times New Roman"/>
          <w:szCs w:val="24"/>
        </w:rPr>
        <w:t xml:space="preserve">where the year is </w:t>
      </w:r>
      <w:r w:rsidRPr="00F158CD">
        <w:rPr>
          <w:rFonts w:cs="Times New Roman"/>
          <w:szCs w:val="24"/>
        </w:rPr>
        <w:t xml:space="preserve">chosen to compare the results with the USA ones, </w:t>
      </w:r>
      <w:r w:rsidRPr="00AE3D84">
        <w:rPr>
          <w:rFonts w:cs="Times New Roman"/>
          <w:szCs w:val="24"/>
        </w:rPr>
        <w:t>and the total number of building at risk by the number of rateable properties as at 31</w:t>
      </w:r>
      <w:r w:rsidRPr="00AE3D84">
        <w:rPr>
          <w:rFonts w:cs="Times New Roman"/>
          <w:szCs w:val="24"/>
          <w:vertAlign w:val="superscript"/>
        </w:rPr>
        <w:t>st</w:t>
      </w:r>
      <w:r w:rsidRPr="00AE3D84">
        <w:rPr>
          <w:rFonts w:cs="Times New Roman"/>
          <w:szCs w:val="24"/>
        </w:rPr>
        <w:t xml:space="preserve"> March 2016 of the 2010 Local rating List </w:t>
      </w:r>
      <w:r w:rsidRPr="004638DB">
        <w:rPr>
          <w:rFonts w:cs="Times New Roman"/>
          <w:szCs w:val="24"/>
        </w:rPr>
        <w:fldChar w:fldCharType="begin" w:fldLock="1"/>
      </w:r>
      <w:r w:rsidR="00125627">
        <w:rPr>
          <w:rFonts w:cs="Times New Roman"/>
          <w:szCs w:val="24"/>
        </w:rPr>
        <w:instrText>ADDIN CSL_CITATION {"citationItems":[{"id":"ITEM-1","itemData":{"author":[{"dropping-particle":"","family":"Valuation Office Agency","given":"","non-dropping-particle":"","parse-names":false,"suffix":""}],"id":"ITEM-1","issued":{"date-parts":[["2016"]]},"title":"Non-domestic rating: Stock of Properties England and Wales, 2010 Rating List","type":"report"},"uris":["http://www.mendeley.com/documents/?uuid=8c1bc71d-4c72-4bb1-8ac7-daa66eade7ed","http://www.mendeley.com/documents/?uuid=f2f9d8be-cffc-4482-b95e-280b7e6cd8d2"]}],"mendeley":{"formattedCitation":"[26]","plainTextFormattedCitation":"[26]","previouslyFormattedCitation":"[26]"},"properties":{"noteIndex":0},"schema":"https://github.com/citation-style-language/schema/raw/master/csl-citation.json"}</w:instrText>
      </w:r>
      <w:r w:rsidRPr="004638DB">
        <w:rPr>
          <w:rFonts w:cs="Times New Roman"/>
          <w:szCs w:val="24"/>
        </w:rPr>
        <w:fldChar w:fldCharType="separate"/>
      </w:r>
      <w:r w:rsidR="00524A6C" w:rsidRPr="00524A6C">
        <w:rPr>
          <w:rFonts w:cs="Times New Roman"/>
          <w:noProof/>
          <w:szCs w:val="24"/>
        </w:rPr>
        <w:t>[26]</w:t>
      </w:r>
      <w:r w:rsidRPr="004638DB">
        <w:rPr>
          <w:rFonts w:cs="Times New Roman"/>
          <w:szCs w:val="24"/>
        </w:rPr>
        <w:fldChar w:fldCharType="end"/>
      </w:r>
      <w:r>
        <w:rPr>
          <w:rFonts w:cs="Times New Roman"/>
          <w:szCs w:val="24"/>
        </w:rPr>
        <w:t xml:space="preserve"> </w:t>
      </w:r>
      <w:r w:rsidRPr="00F158CD">
        <w:rPr>
          <w:rFonts w:cs="Times New Roman"/>
          <w:szCs w:val="24"/>
        </w:rPr>
        <w:t xml:space="preserve">in England and Wales. </w:t>
      </w:r>
    </w:p>
    <w:p w14:paraId="69C54201" w14:textId="00F3AAE8" w:rsidR="00E6442D" w:rsidRPr="00C92F29" w:rsidRDefault="002934B7" w:rsidP="00907CB6">
      <w:pPr>
        <w:spacing w:before="160"/>
        <w:rPr>
          <w:rFonts w:cs="Times New Roman"/>
          <w:szCs w:val="24"/>
        </w:rPr>
      </w:pPr>
      <w:r w:rsidRPr="00F158CD">
        <w:rPr>
          <w:rFonts w:cs="Times New Roman"/>
          <w:szCs w:val="24"/>
        </w:rPr>
        <w:lastRenderedPageBreak/>
        <w:t>All</w:t>
      </w:r>
      <w:r w:rsidR="00AE2B4B">
        <w:rPr>
          <w:rFonts w:cs="Times New Roman"/>
          <w:szCs w:val="24"/>
        </w:rPr>
        <w:t xml:space="preserve"> the other</w:t>
      </w:r>
      <w:r w:rsidRPr="00F158CD">
        <w:rPr>
          <w:rFonts w:cs="Times New Roman"/>
          <w:szCs w:val="24"/>
        </w:rPr>
        <w:t xml:space="preserve"> PD 7974-7 tables have been produced </w:t>
      </w:r>
      <w:r>
        <w:rPr>
          <w:rFonts w:cs="Times New Roman"/>
          <w:szCs w:val="24"/>
        </w:rPr>
        <w:t>using</w:t>
      </w:r>
      <w:r w:rsidRPr="00F158CD">
        <w:rPr>
          <w:rFonts w:cs="Times New Roman"/>
          <w:szCs w:val="24"/>
        </w:rPr>
        <w:t xml:space="preserve"> the public</w:t>
      </w:r>
      <w:r>
        <w:rPr>
          <w:rFonts w:cs="Times New Roman"/>
          <w:szCs w:val="24"/>
        </w:rPr>
        <w:t>ly available</w:t>
      </w:r>
      <w:r w:rsidR="00853886">
        <w:rPr>
          <w:rFonts w:cs="Times New Roman"/>
          <w:szCs w:val="24"/>
        </w:rPr>
        <w:t xml:space="preserve"> </w:t>
      </w:r>
      <w:proofErr w:type="gramStart"/>
      <w:r w:rsidR="00853886" w:rsidRPr="00C92F29">
        <w:rPr>
          <w:rFonts w:cs="Times New Roman"/>
          <w:i/>
          <w:iCs/>
          <w:szCs w:val="24"/>
        </w:rPr>
        <w:t>O</w:t>
      </w:r>
      <w:r w:rsidRPr="00C92F29">
        <w:rPr>
          <w:rFonts w:cs="Times New Roman"/>
          <w:i/>
          <w:iCs/>
          <w:szCs w:val="24"/>
        </w:rPr>
        <w:t>ther</w:t>
      </w:r>
      <w:proofErr w:type="gramEnd"/>
      <w:r w:rsidRPr="00C92F29">
        <w:rPr>
          <w:rFonts w:cs="Times New Roman"/>
          <w:i/>
          <w:iCs/>
          <w:szCs w:val="24"/>
        </w:rPr>
        <w:t xml:space="preserve"> building</w:t>
      </w:r>
      <w:r w:rsidRPr="00F158CD">
        <w:rPr>
          <w:rFonts w:cs="Times New Roman"/>
          <w:szCs w:val="24"/>
        </w:rPr>
        <w:t xml:space="preserve"> </w:t>
      </w:r>
      <w:r>
        <w:rPr>
          <w:rFonts w:cs="Times New Roman"/>
          <w:szCs w:val="24"/>
        </w:rPr>
        <w:t xml:space="preserve">fires </w:t>
      </w:r>
      <w:r w:rsidRPr="00F158CD">
        <w:rPr>
          <w:rFonts w:cs="Times New Roman"/>
          <w:szCs w:val="24"/>
        </w:rPr>
        <w:t>datasets</w:t>
      </w:r>
      <w:r>
        <w:rPr>
          <w:rFonts w:cs="Times New Roman"/>
          <w:szCs w:val="24"/>
        </w:rPr>
        <w:t xml:space="preserve"> from 2010/11 to 2016/17. </w:t>
      </w:r>
      <w:r w:rsidRPr="00F158CD">
        <w:rPr>
          <w:rFonts w:cs="Times New Roman"/>
          <w:szCs w:val="24"/>
        </w:rPr>
        <w:t xml:space="preserve">The fields considered are presented in </w:t>
      </w:r>
      <w:r w:rsidRPr="00F158CD">
        <w:rPr>
          <w:rFonts w:cs="Times New Roman"/>
          <w:szCs w:val="24"/>
        </w:rPr>
        <w:fldChar w:fldCharType="begin"/>
      </w:r>
      <w:r w:rsidRPr="00F158CD">
        <w:rPr>
          <w:rFonts w:cs="Times New Roman"/>
          <w:szCs w:val="24"/>
        </w:rPr>
        <w:instrText xml:space="preserve"> REF _Ref14168294 \h  \* MERGEFORMAT </w:instrText>
      </w:r>
      <w:r w:rsidRPr="00F158CD">
        <w:rPr>
          <w:rFonts w:cs="Times New Roman"/>
          <w:szCs w:val="24"/>
        </w:rPr>
      </w:r>
      <w:r w:rsidRPr="00F158CD">
        <w:rPr>
          <w:rFonts w:cs="Times New Roman"/>
          <w:szCs w:val="24"/>
        </w:rPr>
        <w:fldChar w:fldCharType="separate"/>
      </w:r>
      <w:r w:rsidR="00250859" w:rsidRPr="00250859">
        <w:rPr>
          <w:rFonts w:cs="Times New Roman"/>
          <w:szCs w:val="24"/>
        </w:rPr>
        <w:t xml:space="preserve">Table </w:t>
      </w:r>
      <w:r w:rsidR="00250859" w:rsidRPr="00336CF6">
        <w:rPr>
          <w:rFonts w:cs="Times New Roman"/>
          <w:szCs w:val="24"/>
        </w:rPr>
        <w:t>1</w:t>
      </w:r>
      <w:r w:rsidRPr="00F158CD">
        <w:rPr>
          <w:rFonts w:cs="Times New Roman"/>
          <w:szCs w:val="24"/>
        </w:rPr>
        <w:fldChar w:fldCharType="end"/>
      </w:r>
      <w:r w:rsidRPr="00F158CD">
        <w:rPr>
          <w:rFonts w:cs="Times New Roman"/>
          <w:szCs w:val="24"/>
        </w:rPr>
        <w:t xml:space="preserve"> and involved fire spread, </w:t>
      </w:r>
      <w:r w:rsidR="00AF1162">
        <w:rPr>
          <w:rFonts w:cs="Times New Roman"/>
          <w:szCs w:val="24"/>
        </w:rPr>
        <w:t xml:space="preserve">safety systems and </w:t>
      </w:r>
      <w:r w:rsidRPr="00F158CD">
        <w:rPr>
          <w:rFonts w:cs="Times New Roman"/>
          <w:szCs w:val="24"/>
        </w:rPr>
        <w:t>fire and total damag</w:t>
      </w:r>
      <w:r>
        <w:rPr>
          <w:rFonts w:cs="Times New Roman"/>
          <w:szCs w:val="24"/>
        </w:rPr>
        <w:t xml:space="preserve">e. </w:t>
      </w:r>
    </w:p>
    <w:p w14:paraId="00128C3F" w14:textId="564D2D07" w:rsidR="00F158CD" w:rsidRPr="00F158CD" w:rsidRDefault="00F158CD" w:rsidP="00F158CD">
      <w:pPr>
        <w:rPr>
          <w:b/>
        </w:rPr>
      </w:pPr>
      <w:r>
        <w:rPr>
          <w:b/>
        </w:rPr>
        <w:t xml:space="preserve">4. </w:t>
      </w:r>
      <w:r w:rsidRPr="00F158CD">
        <w:rPr>
          <w:b/>
        </w:rPr>
        <w:t xml:space="preserve">Overall probability of fire starting in various type of occupancy </w:t>
      </w:r>
    </w:p>
    <w:p w14:paraId="629B01B6" w14:textId="02AA331B" w:rsidR="00F158CD" w:rsidRPr="00F158CD" w:rsidRDefault="00CF21CE" w:rsidP="00F158CD">
      <w:pPr>
        <w:rPr>
          <w:rFonts w:cs="Times New Roman"/>
        </w:rPr>
      </w:pPr>
      <w:r>
        <w:rPr>
          <w:rFonts w:cs="Times New Roman"/>
        </w:rPr>
        <w:t>The overall probability</w:t>
      </w:r>
      <w:r w:rsidR="00F158CD" w:rsidRPr="00F158CD">
        <w:rPr>
          <w:rFonts w:cs="Times New Roman"/>
        </w:rPr>
        <w:t xml:space="preserve"> of fire starting in various occupancy types present in Table A.2 of the PD 7974-7</w:t>
      </w:r>
      <w:r w:rsidR="001C024D">
        <w:rPr>
          <w:rFonts w:cs="Times New Roman"/>
        </w:rPr>
        <w:t>:2003</w:t>
      </w:r>
      <w:r w:rsidR="00F158CD" w:rsidRPr="00F158CD">
        <w:rPr>
          <w:rFonts w:cs="Times New Roman"/>
        </w:rPr>
        <w:t xml:space="preserve"> have been </w:t>
      </w:r>
      <w:r w:rsidR="001C024D">
        <w:rPr>
          <w:rFonts w:cs="Times New Roman"/>
        </w:rPr>
        <w:t>compared to</w:t>
      </w:r>
      <w:r w:rsidR="00F158CD" w:rsidRPr="00F158CD">
        <w:rPr>
          <w:rFonts w:cs="Times New Roman"/>
        </w:rPr>
        <w:t xml:space="preserve"> 2014/15 UK and USA statistics evaluating the percentages as the total number of fires divided by the total number of buildings at risk where the values for the denominators have been found in the VOA for UK and in the US Census Bureau for the USA. The updated values are shown in </w:t>
      </w:r>
      <w:r w:rsidR="00F158CD" w:rsidRPr="00F158CD">
        <w:rPr>
          <w:rFonts w:cs="Times New Roman"/>
        </w:rPr>
        <w:fldChar w:fldCharType="begin"/>
      </w:r>
      <w:r w:rsidR="00F158CD" w:rsidRPr="00F158CD">
        <w:rPr>
          <w:rFonts w:cs="Times New Roman"/>
        </w:rPr>
        <w:instrText xml:space="preserve"> REF _Ref14171558 \h </w:instrText>
      </w:r>
      <w:r w:rsidR="00F158CD">
        <w:rPr>
          <w:rFonts w:cs="Times New Roman"/>
        </w:rPr>
        <w:instrText xml:space="preserve"> \* MERGEFORMAT </w:instrText>
      </w:r>
      <w:r w:rsidR="00F158CD" w:rsidRPr="00F158CD">
        <w:rPr>
          <w:rFonts w:cs="Times New Roman"/>
        </w:rPr>
      </w:r>
      <w:r w:rsidR="00F158CD" w:rsidRPr="00F158CD">
        <w:rPr>
          <w:rFonts w:cs="Times New Roman"/>
        </w:rPr>
        <w:fldChar w:fldCharType="separate"/>
      </w:r>
      <w:r w:rsidR="00250859" w:rsidRPr="00250859">
        <w:rPr>
          <w:rFonts w:cs="Times New Roman"/>
        </w:rPr>
        <w:t xml:space="preserve">Table </w:t>
      </w:r>
      <w:r w:rsidR="00250859" w:rsidRPr="002224D1">
        <w:rPr>
          <w:rFonts w:cs="Times New Roman"/>
          <w:noProof/>
        </w:rPr>
        <w:t>2</w:t>
      </w:r>
      <w:r w:rsidR="00F158CD" w:rsidRPr="00F158CD">
        <w:rPr>
          <w:rFonts w:cs="Times New Roman"/>
        </w:rPr>
        <w:fldChar w:fldCharType="end"/>
      </w:r>
      <w:r w:rsidR="00F158CD" w:rsidRPr="00F158CD">
        <w:rPr>
          <w:rFonts w:cs="Times New Roman"/>
        </w:rPr>
        <w:t xml:space="preserve"> for non-residential buildings and the classes investigated are the ones presented in the PD 7974-7 but for </w:t>
      </w:r>
      <w:r w:rsidR="00F158CD" w:rsidRPr="00F158CD">
        <w:rPr>
          <w:rFonts w:cs="Times New Roman"/>
          <w:i/>
        </w:rPr>
        <w:t>Storage</w:t>
      </w:r>
      <w:r w:rsidR="00F158CD" w:rsidRPr="00F158CD">
        <w:rPr>
          <w:rFonts w:cs="Times New Roman"/>
        </w:rPr>
        <w:t xml:space="preserve"> in UK and </w:t>
      </w:r>
      <w:r w:rsidR="00F158CD" w:rsidRPr="00F158CD">
        <w:rPr>
          <w:rFonts w:cs="Times New Roman"/>
          <w:i/>
        </w:rPr>
        <w:t>Assembly non-residential</w:t>
      </w:r>
      <w:r w:rsidR="00F158CD" w:rsidRPr="00F158CD">
        <w:rPr>
          <w:rFonts w:cs="Times New Roman"/>
        </w:rPr>
        <w:t xml:space="preserve"> in UK and USA a direct comparison has not been possible.</w:t>
      </w:r>
    </w:p>
    <w:p w14:paraId="6F9D7F21" w14:textId="02827F3F" w:rsidR="00F158CD" w:rsidRPr="00C92F29" w:rsidRDefault="00F158CD" w:rsidP="00C92F29">
      <w:pPr>
        <w:pStyle w:val="Caption"/>
      </w:pPr>
      <w:bookmarkStart w:id="2" w:name="_Ref14171558"/>
      <w:r w:rsidRPr="00C92F29">
        <w:t xml:space="preserve">Table </w:t>
      </w:r>
      <w:r w:rsidR="00EA15CB" w:rsidRPr="00C92F29">
        <w:fldChar w:fldCharType="begin"/>
      </w:r>
      <w:r w:rsidR="00EA15CB" w:rsidRPr="00C92F29">
        <w:instrText xml:space="preserve"> SEQ Table \* ARABIC </w:instrText>
      </w:r>
      <w:r w:rsidR="00EA15CB" w:rsidRPr="00C92F29">
        <w:fldChar w:fldCharType="separate"/>
      </w:r>
      <w:r w:rsidR="00250859">
        <w:rPr>
          <w:noProof/>
        </w:rPr>
        <w:t>2</w:t>
      </w:r>
      <w:r w:rsidR="00EA15CB" w:rsidRPr="00C92F29">
        <w:fldChar w:fldCharType="end"/>
      </w:r>
      <w:bookmarkEnd w:id="2"/>
      <w:r w:rsidRPr="00C92F29">
        <w:t>: Table A.2 in PD 7974-7, USA and UK statistics</w:t>
      </w:r>
    </w:p>
    <w:tbl>
      <w:tblPr>
        <w:tblW w:w="5000" w:type="pct"/>
        <w:jc w:val="center"/>
        <w:tblCellMar>
          <w:left w:w="57" w:type="dxa"/>
          <w:right w:w="57" w:type="dxa"/>
        </w:tblCellMar>
        <w:tblLook w:val="04A0" w:firstRow="1" w:lastRow="0" w:firstColumn="1" w:lastColumn="0" w:noHBand="0" w:noVBand="1"/>
      </w:tblPr>
      <w:tblGrid>
        <w:gridCol w:w="3130"/>
        <w:gridCol w:w="1464"/>
        <w:gridCol w:w="1476"/>
        <w:gridCol w:w="1479"/>
        <w:gridCol w:w="1477"/>
      </w:tblGrid>
      <w:tr w:rsidR="00E77E14" w:rsidRPr="00F158CD" w14:paraId="6AAD9177" w14:textId="77777777" w:rsidTr="00751CDB">
        <w:trPr>
          <w:trHeight w:val="20"/>
          <w:jc w:val="center"/>
        </w:trPr>
        <w:tc>
          <w:tcPr>
            <w:tcW w:w="1741" w:type="pct"/>
            <w:tcBorders>
              <w:top w:val="single" w:sz="4" w:space="0" w:color="auto"/>
              <w:bottom w:val="single" w:sz="4" w:space="0" w:color="auto"/>
            </w:tcBorders>
            <w:shd w:val="clear" w:color="auto" w:fill="auto"/>
            <w:noWrap/>
            <w:vAlign w:val="center"/>
            <w:hideMark/>
          </w:tcPr>
          <w:p w14:paraId="0822FE91" w14:textId="77777777" w:rsidR="00E77E14" w:rsidRPr="00F158CD" w:rsidRDefault="00E77E14" w:rsidP="00C92F29">
            <w:pPr>
              <w:spacing w:after="0"/>
              <w:jc w:val="center"/>
              <w:rPr>
                <w:rFonts w:eastAsia="Times New Roman" w:cs="Times New Roman"/>
                <w:b/>
                <w:color w:val="000000"/>
                <w:sz w:val="20"/>
                <w:lang w:eastAsia="en-GB"/>
              </w:rPr>
            </w:pPr>
            <w:r w:rsidRPr="00F158CD">
              <w:rPr>
                <w:rFonts w:eastAsia="Times New Roman" w:cs="Times New Roman"/>
                <w:b/>
                <w:color w:val="000000"/>
                <w:sz w:val="20"/>
                <w:lang w:eastAsia="en-GB"/>
              </w:rPr>
              <w:t>Occupancy types</w:t>
            </w:r>
          </w:p>
        </w:tc>
        <w:tc>
          <w:tcPr>
            <w:tcW w:w="782" w:type="pct"/>
            <w:tcBorders>
              <w:top w:val="single" w:sz="4" w:space="0" w:color="auto"/>
              <w:bottom w:val="single" w:sz="4" w:space="0" w:color="auto"/>
            </w:tcBorders>
            <w:shd w:val="clear" w:color="auto" w:fill="auto"/>
            <w:noWrap/>
            <w:vAlign w:val="center"/>
            <w:hideMark/>
          </w:tcPr>
          <w:p w14:paraId="418CB19B" w14:textId="2DAFD8B3" w:rsidR="00E77E14" w:rsidRPr="00F158CD" w:rsidRDefault="00E77E14" w:rsidP="00C92F29">
            <w:pPr>
              <w:spacing w:after="0"/>
              <w:jc w:val="center"/>
              <w:rPr>
                <w:rFonts w:eastAsia="Times New Roman" w:cs="Times New Roman"/>
                <w:b/>
                <w:color w:val="000000"/>
                <w:sz w:val="20"/>
                <w:lang w:eastAsia="en-GB"/>
              </w:rPr>
            </w:pPr>
            <w:r w:rsidRPr="00F158CD">
              <w:rPr>
                <w:rFonts w:eastAsia="Times New Roman" w:cs="Times New Roman"/>
                <w:b/>
                <w:color w:val="000000"/>
                <w:sz w:val="20"/>
                <w:lang w:eastAsia="en-GB"/>
              </w:rPr>
              <w:t>PD 7974-7</w:t>
            </w:r>
            <w:r>
              <w:rPr>
                <w:rFonts w:eastAsia="Times New Roman" w:cs="Times New Roman"/>
                <w:b/>
                <w:color w:val="000000"/>
                <w:sz w:val="20"/>
                <w:lang w:eastAsia="en-GB"/>
              </w:rPr>
              <w:t>:2003</w:t>
            </w:r>
          </w:p>
        </w:tc>
        <w:tc>
          <w:tcPr>
            <w:tcW w:w="825" w:type="pct"/>
            <w:tcBorders>
              <w:top w:val="single" w:sz="4" w:space="0" w:color="auto"/>
              <w:bottom w:val="single" w:sz="4" w:space="0" w:color="auto"/>
            </w:tcBorders>
          </w:tcPr>
          <w:p w14:paraId="0D7F4B41" w14:textId="2E35A050" w:rsidR="00E77E14" w:rsidRPr="00F158CD" w:rsidRDefault="00E77E14" w:rsidP="00C92F29">
            <w:pPr>
              <w:spacing w:after="0"/>
              <w:jc w:val="center"/>
              <w:rPr>
                <w:rFonts w:eastAsia="Times New Roman" w:cs="Times New Roman"/>
                <w:b/>
                <w:color w:val="000000"/>
                <w:sz w:val="20"/>
                <w:lang w:eastAsia="en-GB"/>
              </w:rPr>
            </w:pPr>
            <w:r>
              <w:rPr>
                <w:rFonts w:eastAsia="Times New Roman" w:cs="Times New Roman"/>
                <w:b/>
                <w:color w:val="000000"/>
                <w:sz w:val="20"/>
                <w:lang w:eastAsia="en-GB"/>
              </w:rPr>
              <w:t>PD 7974-9:2019</w:t>
            </w:r>
          </w:p>
        </w:tc>
        <w:tc>
          <w:tcPr>
            <w:tcW w:w="826" w:type="pct"/>
            <w:tcBorders>
              <w:top w:val="single" w:sz="4" w:space="0" w:color="auto"/>
              <w:bottom w:val="single" w:sz="4" w:space="0" w:color="auto"/>
            </w:tcBorders>
            <w:shd w:val="clear" w:color="auto" w:fill="auto"/>
            <w:noWrap/>
            <w:vAlign w:val="center"/>
            <w:hideMark/>
          </w:tcPr>
          <w:p w14:paraId="4D86523D" w14:textId="3DF8D139" w:rsidR="00E77E14" w:rsidRPr="00F158CD" w:rsidRDefault="00E77E14" w:rsidP="00C92F29">
            <w:pPr>
              <w:spacing w:after="0"/>
              <w:jc w:val="center"/>
              <w:rPr>
                <w:rFonts w:eastAsia="Times New Roman" w:cs="Times New Roman"/>
                <w:b/>
                <w:color w:val="000000"/>
                <w:sz w:val="20"/>
                <w:lang w:eastAsia="en-GB"/>
              </w:rPr>
            </w:pPr>
            <w:r w:rsidRPr="00F158CD">
              <w:rPr>
                <w:rFonts w:eastAsia="Times New Roman" w:cs="Times New Roman"/>
                <w:b/>
                <w:color w:val="000000"/>
                <w:sz w:val="20"/>
                <w:lang w:eastAsia="en-GB"/>
              </w:rPr>
              <w:t>USA</w:t>
            </w:r>
          </w:p>
        </w:tc>
        <w:tc>
          <w:tcPr>
            <w:tcW w:w="825" w:type="pct"/>
            <w:tcBorders>
              <w:top w:val="single" w:sz="4" w:space="0" w:color="auto"/>
              <w:bottom w:val="single" w:sz="4" w:space="0" w:color="auto"/>
            </w:tcBorders>
            <w:shd w:val="clear" w:color="auto" w:fill="auto"/>
            <w:noWrap/>
            <w:vAlign w:val="center"/>
            <w:hideMark/>
          </w:tcPr>
          <w:p w14:paraId="350DBA37" w14:textId="77777777" w:rsidR="00E77E14" w:rsidRPr="00F158CD" w:rsidRDefault="00E77E14" w:rsidP="00C92F29">
            <w:pPr>
              <w:spacing w:after="0"/>
              <w:jc w:val="center"/>
              <w:rPr>
                <w:rFonts w:eastAsia="Times New Roman" w:cs="Times New Roman"/>
                <w:b/>
                <w:color w:val="000000"/>
                <w:sz w:val="20"/>
                <w:lang w:eastAsia="en-GB"/>
              </w:rPr>
            </w:pPr>
            <w:r w:rsidRPr="00F158CD">
              <w:rPr>
                <w:rFonts w:eastAsia="Times New Roman" w:cs="Times New Roman"/>
                <w:b/>
                <w:color w:val="000000"/>
                <w:sz w:val="20"/>
                <w:lang w:eastAsia="en-GB"/>
              </w:rPr>
              <w:t>UK</w:t>
            </w:r>
          </w:p>
        </w:tc>
      </w:tr>
      <w:tr w:rsidR="00E77E14" w:rsidRPr="00F158CD" w14:paraId="7DC173D2" w14:textId="77777777" w:rsidTr="00751CDB">
        <w:trPr>
          <w:trHeight w:val="20"/>
          <w:jc w:val="center"/>
        </w:trPr>
        <w:tc>
          <w:tcPr>
            <w:tcW w:w="1741" w:type="pct"/>
            <w:tcBorders>
              <w:top w:val="single" w:sz="4" w:space="0" w:color="auto"/>
            </w:tcBorders>
            <w:shd w:val="clear" w:color="auto" w:fill="auto"/>
            <w:noWrap/>
            <w:vAlign w:val="center"/>
            <w:hideMark/>
          </w:tcPr>
          <w:p w14:paraId="1FB278FE" w14:textId="77777777" w:rsidR="00E77E14" w:rsidRPr="00F158CD" w:rsidRDefault="00E77E14" w:rsidP="00C92F29">
            <w:pPr>
              <w:spacing w:after="0"/>
              <w:jc w:val="center"/>
              <w:rPr>
                <w:rFonts w:eastAsia="Times New Roman" w:cs="Times New Roman"/>
                <w:color w:val="000000"/>
                <w:sz w:val="20"/>
                <w:lang w:eastAsia="en-GB"/>
              </w:rPr>
            </w:pPr>
            <w:r w:rsidRPr="00F158CD">
              <w:rPr>
                <w:rFonts w:eastAsia="Times New Roman" w:cs="Times New Roman"/>
                <w:color w:val="000000"/>
                <w:sz w:val="20"/>
                <w:lang w:eastAsia="en-GB"/>
              </w:rPr>
              <w:t>Industrial</w:t>
            </w:r>
          </w:p>
        </w:tc>
        <w:tc>
          <w:tcPr>
            <w:tcW w:w="782" w:type="pct"/>
            <w:tcBorders>
              <w:top w:val="single" w:sz="4" w:space="0" w:color="auto"/>
            </w:tcBorders>
            <w:shd w:val="clear" w:color="auto" w:fill="auto"/>
            <w:noWrap/>
            <w:vAlign w:val="center"/>
            <w:hideMark/>
          </w:tcPr>
          <w:p w14:paraId="1CD87E4B" w14:textId="0338E188"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4.4</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Borders>
              <w:top w:val="single" w:sz="4" w:space="0" w:color="auto"/>
            </w:tcBorders>
          </w:tcPr>
          <w:p w14:paraId="525930FB" w14:textId="2BEDD776" w:rsidR="00E77E14" w:rsidRPr="00F158CD" w:rsidRDefault="00E77E14" w:rsidP="00751CDB">
            <w:pPr>
              <w:spacing w:after="0"/>
              <w:jc w:val="right"/>
              <w:rPr>
                <w:rFonts w:eastAsia="Times New Roman" w:cs="Times New Roman"/>
                <w:color w:val="000000"/>
                <w:sz w:val="20"/>
                <w:lang w:eastAsia="en-GB"/>
              </w:rPr>
            </w:pPr>
            <w:r>
              <w:rPr>
                <w:rFonts w:eastAsia="Times New Roman" w:cs="Times New Roman"/>
                <w:color w:val="000000"/>
                <w:sz w:val="20"/>
                <w:lang w:eastAsia="en-GB"/>
              </w:rPr>
              <w:t>0.9</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6" w:type="pct"/>
            <w:tcBorders>
              <w:top w:val="single" w:sz="4" w:space="0" w:color="auto"/>
            </w:tcBorders>
            <w:shd w:val="clear" w:color="auto" w:fill="auto"/>
            <w:noWrap/>
            <w:vAlign w:val="center"/>
            <w:hideMark/>
          </w:tcPr>
          <w:p w14:paraId="3871CACE" w14:textId="77E8D676"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1.121</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Borders>
              <w:top w:val="single" w:sz="4" w:space="0" w:color="auto"/>
            </w:tcBorders>
            <w:shd w:val="clear" w:color="auto" w:fill="auto"/>
            <w:noWrap/>
            <w:vAlign w:val="center"/>
            <w:hideMark/>
          </w:tcPr>
          <w:p w14:paraId="007E0639" w14:textId="3A504E07" w:rsidR="00E77E14" w:rsidRPr="00F158CD" w:rsidRDefault="00E77E14" w:rsidP="00751CDB">
            <w:pPr>
              <w:spacing w:after="0"/>
              <w:jc w:val="right"/>
              <w:rPr>
                <w:rFonts w:eastAsia="Times New Roman" w:cs="Times New Roman"/>
                <w:sz w:val="20"/>
                <w:lang w:eastAsia="en-GB"/>
              </w:rPr>
            </w:pPr>
            <w:r w:rsidRPr="00F158CD">
              <w:rPr>
                <w:rFonts w:eastAsia="Times New Roman" w:cs="Times New Roman"/>
                <w:sz w:val="20"/>
                <w:lang w:eastAsia="en-GB"/>
              </w:rPr>
              <w:t>0.953</w:t>
            </w:r>
            <w:r w:rsidR="00907CB6">
              <w:rPr>
                <w:rFonts w:eastAsia="Times New Roman" w:cs="Times New Roman"/>
                <w:sz w:val="20"/>
                <w:lang w:eastAsia="en-GB"/>
              </w:rPr>
              <w:t>×</w:t>
            </w:r>
            <w:r w:rsidRPr="00F158CD">
              <w:rPr>
                <w:rFonts w:eastAsia="Times New Roman" w:cs="Times New Roman"/>
                <w:sz w:val="20"/>
                <w:lang w:eastAsia="en-GB"/>
              </w:rPr>
              <w:t>10</w:t>
            </w:r>
            <w:r w:rsidRPr="00F158CD">
              <w:rPr>
                <w:rFonts w:eastAsia="Times New Roman" w:cs="Times New Roman"/>
                <w:sz w:val="20"/>
                <w:vertAlign w:val="superscript"/>
                <w:lang w:eastAsia="en-GB"/>
              </w:rPr>
              <w:t>-2</w:t>
            </w:r>
          </w:p>
        </w:tc>
      </w:tr>
      <w:tr w:rsidR="00E77E14" w:rsidRPr="00F158CD" w14:paraId="22333449" w14:textId="77777777" w:rsidTr="00751CDB">
        <w:trPr>
          <w:trHeight w:val="20"/>
          <w:jc w:val="center"/>
        </w:trPr>
        <w:tc>
          <w:tcPr>
            <w:tcW w:w="1741" w:type="pct"/>
            <w:shd w:val="clear" w:color="auto" w:fill="auto"/>
            <w:noWrap/>
            <w:vAlign w:val="center"/>
            <w:hideMark/>
          </w:tcPr>
          <w:p w14:paraId="01854B8F" w14:textId="77777777" w:rsidR="00E77E14" w:rsidRPr="00F158CD" w:rsidRDefault="00E77E14" w:rsidP="00C92F29">
            <w:pPr>
              <w:spacing w:after="0"/>
              <w:jc w:val="center"/>
              <w:rPr>
                <w:rFonts w:eastAsia="Times New Roman" w:cs="Times New Roman"/>
                <w:color w:val="000000"/>
                <w:sz w:val="20"/>
                <w:lang w:eastAsia="en-GB"/>
              </w:rPr>
            </w:pPr>
            <w:r w:rsidRPr="00F158CD">
              <w:rPr>
                <w:rFonts w:eastAsia="Times New Roman" w:cs="Times New Roman"/>
                <w:color w:val="000000"/>
                <w:sz w:val="20"/>
                <w:lang w:eastAsia="en-GB"/>
              </w:rPr>
              <w:t>Storage</w:t>
            </w:r>
          </w:p>
        </w:tc>
        <w:tc>
          <w:tcPr>
            <w:tcW w:w="782" w:type="pct"/>
            <w:shd w:val="clear" w:color="auto" w:fill="auto"/>
            <w:noWrap/>
            <w:vAlign w:val="center"/>
            <w:hideMark/>
          </w:tcPr>
          <w:p w14:paraId="71B06D29" w14:textId="4106CEC5"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1.3</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Pr>
          <w:p w14:paraId="49CE8B00" w14:textId="549EA4EB" w:rsidR="00E77E14" w:rsidRPr="00F158CD" w:rsidRDefault="00E77E14" w:rsidP="00751CDB">
            <w:pPr>
              <w:spacing w:after="0"/>
              <w:jc w:val="right"/>
              <w:rPr>
                <w:rFonts w:eastAsia="Times New Roman" w:cs="Times New Roman"/>
                <w:color w:val="000000"/>
                <w:sz w:val="20"/>
                <w:lang w:eastAsia="en-GB"/>
              </w:rPr>
            </w:pPr>
            <w:r>
              <w:rPr>
                <w:rFonts w:eastAsia="Times New Roman" w:cs="Times New Roman"/>
                <w:color w:val="000000"/>
                <w:sz w:val="20"/>
                <w:lang w:eastAsia="en-GB"/>
              </w:rPr>
              <w:t>N/A</w:t>
            </w:r>
          </w:p>
        </w:tc>
        <w:tc>
          <w:tcPr>
            <w:tcW w:w="826" w:type="pct"/>
            <w:shd w:val="clear" w:color="auto" w:fill="auto"/>
            <w:noWrap/>
            <w:vAlign w:val="center"/>
            <w:hideMark/>
          </w:tcPr>
          <w:p w14:paraId="1858B14A" w14:textId="42B8E24D"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N/A</w:t>
            </w:r>
          </w:p>
        </w:tc>
        <w:tc>
          <w:tcPr>
            <w:tcW w:w="825" w:type="pct"/>
            <w:shd w:val="clear" w:color="auto" w:fill="auto"/>
            <w:noWrap/>
            <w:vAlign w:val="center"/>
            <w:hideMark/>
          </w:tcPr>
          <w:p w14:paraId="1D961869" w14:textId="08F1D500"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0.132</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r>
      <w:tr w:rsidR="00E77E14" w:rsidRPr="00F158CD" w14:paraId="30677244" w14:textId="77777777" w:rsidTr="00751CDB">
        <w:trPr>
          <w:trHeight w:val="20"/>
          <w:jc w:val="center"/>
        </w:trPr>
        <w:tc>
          <w:tcPr>
            <w:tcW w:w="1741" w:type="pct"/>
            <w:shd w:val="clear" w:color="auto" w:fill="auto"/>
            <w:noWrap/>
            <w:vAlign w:val="center"/>
            <w:hideMark/>
          </w:tcPr>
          <w:p w14:paraId="21699A94" w14:textId="77777777" w:rsidR="00E77E14" w:rsidRPr="00F158CD" w:rsidRDefault="00E77E14" w:rsidP="00C92F29">
            <w:pPr>
              <w:spacing w:after="0"/>
              <w:jc w:val="center"/>
              <w:rPr>
                <w:rFonts w:eastAsia="Times New Roman" w:cs="Times New Roman"/>
                <w:color w:val="000000"/>
                <w:sz w:val="20"/>
                <w:lang w:eastAsia="en-GB"/>
              </w:rPr>
            </w:pPr>
            <w:r w:rsidRPr="00F158CD">
              <w:rPr>
                <w:rFonts w:eastAsia="Times New Roman" w:cs="Times New Roman"/>
                <w:color w:val="000000"/>
                <w:sz w:val="20"/>
                <w:lang w:eastAsia="en-GB"/>
              </w:rPr>
              <w:t>Offices</w:t>
            </w:r>
          </w:p>
        </w:tc>
        <w:tc>
          <w:tcPr>
            <w:tcW w:w="782" w:type="pct"/>
            <w:shd w:val="clear" w:color="auto" w:fill="auto"/>
            <w:noWrap/>
            <w:vAlign w:val="center"/>
            <w:hideMark/>
          </w:tcPr>
          <w:p w14:paraId="6B5BF33C" w14:textId="4EC822F6"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0.62</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Pr>
          <w:p w14:paraId="7A70B1F1" w14:textId="5AA16C5C" w:rsidR="00E77E14" w:rsidRPr="00F158CD" w:rsidRDefault="00E77E14" w:rsidP="00751CDB">
            <w:pPr>
              <w:spacing w:after="0"/>
              <w:jc w:val="right"/>
              <w:rPr>
                <w:rFonts w:eastAsia="Times New Roman" w:cs="Times New Roman"/>
                <w:color w:val="000000"/>
                <w:sz w:val="20"/>
                <w:lang w:eastAsia="en-GB"/>
              </w:rPr>
            </w:pPr>
            <w:r>
              <w:rPr>
                <w:rFonts w:eastAsia="Times New Roman" w:cs="Times New Roman"/>
                <w:color w:val="000000"/>
                <w:sz w:val="20"/>
                <w:lang w:eastAsia="en-GB"/>
              </w:rPr>
              <w:t>0.4</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6" w:type="pct"/>
            <w:shd w:val="clear" w:color="auto" w:fill="auto"/>
            <w:noWrap/>
            <w:vAlign w:val="center"/>
            <w:hideMark/>
          </w:tcPr>
          <w:p w14:paraId="418F2BF9" w14:textId="54050144"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0.423</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shd w:val="clear" w:color="auto" w:fill="auto"/>
            <w:noWrap/>
            <w:vAlign w:val="center"/>
            <w:hideMark/>
          </w:tcPr>
          <w:p w14:paraId="2C96CDF1" w14:textId="4844FE8B"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0.166</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r>
      <w:tr w:rsidR="00E77E14" w:rsidRPr="00F158CD" w14:paraId="7D9CFA3E" w14:textId="77777777" w:rsidTr="00751CDB">
        <w:trPr>
          <w:trHeight w:val="20"/>
          <w:jc w:val="center"/>
        </w:trPr>
        <w:tc>
          <w:tcPr>
            <w:tcW w:w="1741" w:type="pct"/>
            <w:shd w:val="clear" w:color="auto" w:fill="auto"/>
            <w:noWrap/>
            <w:vAlign w:val="center"/>
            <w:hideMark/>
          </w:tcPr>
          <w:p w14:paraId="0B975AC5" w14:textId="77777777" w:rsidR="00E77E14" w:rsidRPr="00F158CD" w:rsidRDefault="00E77E14" w:rsidP="00C92F29">
            <w:pPr>
              <w:spacing w:after="0"/>
              <w:jc w:val="center"/>
              <w:rPr>
                <w:rFonts w:eastAsia="Times New Roman" w:cs="Times New Roman"/>
                <w:color w:val="000000"/>
                <w:sz w:val="20"/>
                <w:lang w:eastAsia="en-GB"/>
              </w:rPr>
            </w:pPr>
            <w:r w:rsidRPr="00F158CD">
              <w:rPr>
                <w:rFonts w:eastAsia="Times New Roman" w:cs="Times New Roman"/>
                <w:color w:val="000000"/>
                <w:sz w:val="20"/>
                <w:lang w:eastAsia="en-GB"/>
              </w:rPr>
              <w:t>Assembly entertainment</w:t>
            </w:r>
          </w:p>
        </w:tc>
        <w:tc>
          <w:tcPr>
            <w:tcW w:w="782" w:type="pct"/>
            <w:shd w:val="clear" w:color="auto" w:fill="auto"/>
            <w:noWrap/>
            <w:vAlign w:val="center"/>
            <w:hideMark/>
          </w:tcPr>
          <w:p w14:paraId="4881F6A8" w14:textId="28D7F684"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12</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Pr>
          <w:p w14:paraId="271BC675" w14:textId="56BB8737" w:rsidR="00E77E14" w:rsidRPr="00F158CD" w:rsidRDefault="00E77E14" w:rsidP="00751CDB">
            <w:pPr>
              <w:spacing w:after="0"/>
              <w:jc w:val="right"/>
              <w:rPr>
                <w:rFonts w:eastAsia="Times New Roman" w:cs="Times New Roman"/>
                <w:color w:val="000000"/>
                <w:sz w:val="20"/>
                <w:lang w:eastAsia="en-GB"/>
              </w:rPr>
            </w:pPr>
            <w:r>
              <w:rPr>
                <w:rFonts w:eastAsia="Times New Roman" w:cs="Times New Roman"/>
                <w:color w:val="000000"/>
                <w:sz w:val="20"/>
                <w:lang w:eastAsia="en-GB"/>
              </w:rPr>
              <w:t>0.7</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6" w:type="pct"/>
            <w:shd w:val="clear" w:color="auto" w:fill="auto"/>
            <w:noWrap/>
            <w:vAlign w:val="center"/>
            <w:hideMark/>
          </w:tcPr>
          <w:p w14:paraId="3CE0629F" w14:textId="5963E35F"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5.446</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shd w:val="clear" w:color="auto" w:fill="auto"/>
            <w:noWrap/>
            <w:vAlign w:val="center"/>
            <w:hideMark/>
          </w:tcPr>
          <w:p w14:paraId="07345491" w14:textId="459277D9"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0.868</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r>
      <w:tr w:rsidR="00E77E14" w:rsidRPr="00F158CD" w14:paraId="78BBA168" w14:textId="77777777" w:rsidTr="00751CDB">
        <w:trPr>
          <w:trHeight w:val="20"/>
          <w:jc w:val="center"/>
        </w:trPr>
        <w:tc>
          <w:tcPr>
            <w:tcW w:w="1741" w:type="pct"/>
            <w:shd w:val="clear" w:color="auto" w:fill="auto"/>
            <w:noWrap/>
            <w:vAlign w:val="center"/>
            <w:hideMark/>
          </w:tcPr>
          <w:p w14:paraId="0A3905E0" w14:textId="77777777" w:rsidR="00E77E14" w:rsidRPr="00F158CD" w:rsidRDefault="00E77E14" w:rsidP="00C92F29">
            <w:pPr>
              <w:spacing w:after="0"/>
              <w:jc w:val="center"/>
              <w:rPr>
                <w:rFonts w:eastAsia="Times New Roman" w:cs="Times New Roman"/>
                <w:color w:val="000000"/>
                <w:sz w:val="20"/>
                <w:lang w:eastAsia="en-GB"/>
              </w:rPr>
            </w:pPr>
            <w:r w:rsidRPr="00F158CD">
              <w:rPr>
                <w:rFonts w:eastAsia="Times New Roman" w:cs="Times New Roman"/>
                <w:color w:val="000000"/>
                <w:sz w:val="20"/>
                <w:lang w:eastAsia="en-GB"/>
              </w:rPr>
              <w:t>Assembly non-residential</w:t>
            </w:r>
          </w:p>
        </w:tc>
        <w:tc>
          <w:tcPr>
            <w:tcW w:w="782" w:type="pct"/>
            <w:shd w:val="clear" w:color="auto" w:fill="auto"/>
            <w:noWrap/>
            <w:vAlign w:val="center"/>
            <w:hideMark/>
          </w:tcPr>
          <w:p w14:paraId="48A324D6" w14:textId="41FFE6B1"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2.0</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Pr>
          <w:p w14:paraId="628A6CBE" w14:textId="1D95ADC9" w:rsidR="00E77E14" w:rsidRPr="00F158CD" w:rsidRDefault="00E77E14" w:rsidP="00751CDB">
            <w:pPr>
              <w:spacing w:after="0"/>
              <w:jc w:val="right"/>
              <w:rPr>
                <w:rFonts w:eastAsia="Times New Roman" w:cs="Times New Roman"/>
                <w:color w:val="000000"/>
                <w:sz w:val="20"/>
                <w:lang w:eastAsia="en-GB"/>
              </w:rPr>
            </w:pPr>
            <w:r>
              <w:rPr>
                <w:rFonts w:eastAsia="Times New Roman" w:cs="Times New Roman"/>
                <w:color w:val="000000"/>
                <w:sz w:val="20"/>
                <w:lang w:eastAsia="en-GB"/>
              </w:rPr>
              <w:t>N/A</w:t>
            </w:r>
          </w:p>
        </w:tc>
        <w:tc>
          <w:tcPr>
            <w:tcW w:w="826" w:type="pct"/>
            <w:shd w:val="clear" w:color="auto" w:fill="auto"/>
            <w:noWrap/>
            <w:vAlign w:val="center"/>
            <w:hideMark/>
          </w:tcPr>
          <w:p w14:paraId="35C90401" w14:textId="6F992E19"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N/A</w:t>
            </w:r>
          </w:p>
        </w:tc>
        <w:tc>
          <w:tcPr>
            <w:tcW w:w="825" w:type="pct"/>
            <w:shd w:val="clear" w:color="auto" w:fill="auto"/>
            <w:noWrap/>
            <w:vAlign w:val="center"/>
            <w:hideMark/>
          </w:tcPr>
          <w:p w14:paraId="7BAB612B" w14:textId="77777777"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N/A</w:t>
            </w:r>
          </w:p>
        </w:tc>
      </w:tr>
      <w:tr w:rsidR="00E77E14" w:rsidRPr="00F158CD" w14:paraId="41B54A5F" w14:textId="77777777" w:rsidTr="00751CDB">
        <w:trPr>
          <w:trHeight w:val="20"/>
          <w:jc w:val="center"/>
        </w:trPr>
        <w:tc>
          <w:tcPr>
            <w:tcW w:w="1741" w:type="pct"/>
            <w:shd w:val="clear" w:color="auto" w:fill="auto"/>
            <w:noWrap/>
            <w:vAlign w:val="center"/>
            <w:hideMark/>
          </w:tcPr>
          <w:p w14:paraId="512C1D79" w14:textId="77777777" w:rsidR="00E77E14" w:rsidRPr="00F158CD" w:rsidRDefault="00E77E14" w:rsidP="00C92F29">
            <w:pPr>
              <w:spacing w:after="0"/>
              <w:jc w:val="center"/>
              <w:rPr>
                <w:rFonts w:eastAsia="Times New Roman" w:cs="Times New Roman"/>
                <w:color w:val="000000"/>
                <w:sz w:val="20"/>
                <w:lang w:eastAsia="en-GB"/>
              </w:rPr>
            </w:pPr>
            <w:r w:rsidRPr="00F158CD">
              <w:rPr>
                <w:rFonts w:eastAsia="Times New Roman" w:cs="Times New Roman"/>
                <w:color w:val="000000"/>
                <w:sz w:val="20"/>
                <w:lang w:eastAsia="en-GB"/>
              </w:rPr>
              <w:t>Hospitals</w:t>
            </w:r>
          </w:p>
        </w:tc>
        <w:tc>
          <w:tcPr>
            <w:tcW w:w="782" w:type="pct"/>
            <w:shd w:val="clear" w:color="auto" w:fill="auto"/>
            <w:noWrap/>
            <w:vAlign w:val="center"/>
            <w:hideMark/>
          </w:tcPr>
          <w:p w14:paraId="24738D31" w14:textId="2726461A"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30</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Pr>
          <w:p w14:paraId="40404087" w14:textId="1FC19A90" w:rsidR="00E77E14" w:rsidRPr="00F158CD" w:rsidRDefault="00E77E14" w:rsidP="00751CDB">
            <w:pPr>
              <w:spacing w:after="0"/>
              <w:jc w:val="right"/>
              <w:rPr>
                <w:rFonts w:eastAsia="Times New Roman" w:cs="Times New Roman"/>
                <w:color w:val="000000"/>
                <w:sz w:val="20"/>
                <w:lang w:eastAsia="en-GB"/>
              </w:rPr>
            </w:pPr>
            <w:r>
              <w:rPr>
                <w:rFonts w:eastAsia="Times New Roman" w:cs="Times New Roman"/>
                <w:color w:val="000000"/>
                <w:sz w:val="20"/>
                <w:lang w:eastAsia="en-GB"/>
              </w:rPr>
              <w:t>2.6</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6" w:type="pct"/>
            <w:shd w:val="clear" w:color="auto" w:fill="auto"/>
            <w:noWrap/>
            <w:vAlign w:val="center"/>
            <w:hideMark/>
          </w:tcPr>
          <w:p w14:paraId="7FFC494B" w14:textId="5474B9AC"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0.363</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shd w:val="clear" w:color="auto" w:fill="auto"/>
            <w:noWrap/>
            <w:vAlign w:val="center"/>
            <w:hideMark/>
          </w:tcPr>
          <w:p w14:paraId="0C94C0CE" w14:textId="394669DD"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5.856</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r>
      <w:tr w:rsidR="00E77E14" w:rsidRPr="00F158CD" w14:paraId="22B434FD" w14:textId="77777777" w:rsidTr="00751CDB">
        <w:trPr>
          <w:trHeight w:val="20"/>
          <w:jc w:val="center"/>
        </w:trPr>
        <w:tc>
          <w:tcPr>
            <w:tcW w:w="1741" w:type="pct"/>
            <w:tcBorders>
              <w:bottom w:val="single" w:sz="4" w:space="0" w:color="auto"/>
            </w:tcBorders>
            <w:shd w:val="clear" w:color="auto" w:fill="auto"/>
            <w:noWrap/>
            <w:vAlign w:val="center"/>
            <w:hideMark/>
          </w:tcPr>
          <w:p w14:paraId="62F2E671" w14:textId="77777777" w:rsidR="00E77E14" w:rsidRPr="00F158CD" w:rsidRDefault="00E77E14" w:rsidP="00C92F29">
            <w:pPr>
              <w:spacing w:after="0"/>
              <w:jc w:val="center"/>
              <w:rPr>
                <w:rFonts w:eastAsia="Times New Roman" w:cs="Times New Roman"/>
                <w:color w:val="000000"/>
                <w:sz w:val="20"/>
                <w:lang w:eastAsia="en-GB"/>
              </w:rPr>
            </w:pPr>
            <w:r w:rsidRPr="00F158CD">
              <w:rPr>
                <w:rFonts w:eastAsia="Times New Roman" w:cs="Times New Roman"/>
                <w:color w:val="000000"/>
                <w:sz w:val="20"/>
                <w:lang w:eastAsia="en-GB"/>
              </w:rPr>
              <w:t>Schools</w:t>
            </w:r>
          </w:p>
        </w:tc>
        <w:tc>
          <w:tcPr>
            <w:tcW w:w="782" w:type="pct"/>
            <w:tcBorders>
              <w:bottom w:val="single" w:sz="4" w:space="0" w:color="auto"/>
            </w:tcBorders>
            <w:shd w:val="clear" w:color="auto" w:fill="auto"/>
            <w:noWrap/>
            <w:vAlign w:val="center"/>
            <w:hideMark/>
          </w:tcPr>
          <w:p w14:paraId="1B7F6547" w14:textId="19DAB55C"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4.0</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Borders>
              <w:bottom w:val="single" w:sz="4" w:space="0" w:color="auto"/>
            </w:tcBorders>
          </w:tcPr>
          <w:p w14:paraId="7DDAD66E" w14:textId="614A2B3C" w:rsidR="00E77E14" w:rsidRPr="00F158CD" w:rsidRDefault="00E77E14" w:rsidP="00751CDB">
            <w:pPr>
              <w:spacing w:after="0"/>
              <w:jc w:val="right"/>
              <w:rPr>
                <w:rFonts w:eastAsia="Times New Roman" w:cs="Times New Roman"/>
                <w:color w:val="000000"/>
                <w:sz w:val="20"/>
                <w:lang w:eastAsia="en-GB"/>
              </w:rPr>
            </w:pPr>
            <w:r>
              <w:rPr>
                <w:rFonts w:eastAsia="Times New Roman" w:cs="Times New Roman"/>
                <w:color w:val="000000"/>
                <w:sz w:val="20"/>
                <w:lang w:eastAsia="en-GB"/>
              </w:rPr>
              <w:t>1.4</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6" w:type="pct"/>
            <w:tcBorders>
              <w:bottom w:val="single" w:sz="4" w:space="0" w:color="auto"/>
            </w:tcBorders>
            <w:shd w:val="clear" w:color="auto" w:fill="auto"/>
            <w:noWrap/>
            <w:vAlign w:val="center"/>
            <w:hideMark/>
          </w:tcPr>
          <w:p w14:paraId="015D21AC" w14:textId="4F793E3C" w:rsidR="00E77E14" w:rsidRPr="00F158CD" w:rsidRDefault="00E77E14" w:rsidP="00751CDB">
            <w:pPr>
              <w:spacing w:after="0"/>
              <w:jc w:val="right"/>
              <w:rPr>
                <w:rFonts w:eastAsia="Times New Roman" w:cs="Times New Roman"/>
                <w:color w:val="000000"/>
                <w:sz w:val="20"/>
                <w:lang w:eastAsia="en-GB"/>
              </w:rPr>
            </w:pPr>
            <w:r w:rsidRPr="00F158CD">
              <w:rPr>
                <w:rFonts w:eastAsia="Times New Roman" w:cs="Times New Roman"/>
                <w:color w:val="000000"/>
                <w:sz w:val="20"/>
                <w:lang w:eastAsia="en-GB"/>
              </w:rPr>
              <w:t>5.512</w:t>
            </w:r>
            <w:r w:rsidR="00907CB6">
              <w:rPr>
                <w:rFonts w:eastAsia="Times New Roman" w:cs="Times New Roman"/>
                <w:color w:val="000000"/>
                <w:sz w:val="20"/>
                <w:lang w:eastAsia="en-GB"/>
              </w:rPr>
              <w:t>×</w:t>
            </w:r>
            <w:r w:rsidRPr="00F158CD">
              <w:rPr>
                <w:rFonts w:eastAsia="Times New Roman" w:cs="Times New Roman"/>
                <w:color w:val="000000"/>
                <w:sz w:val="20"/>
                <w:lang w:eastAsia="en-GB"/>
              </w:rPr>
              <w:t>10</w:t>
            </w:r>
            <w:r w:rsidRPr="00F158CD">
              <w:rPr>
                <w:rFonts w:eastAsia="Times New Roman" w:cs="Times New Roman"/>
                <w:color w:val="000000"/>
                <w:sz w:val="20"/>
                <w:vertAlign w:val="superscript"/>
                <w:lang w:eastAsia="en-GB"/>
              </w:rPr>
              <w:t>-2</w:t>
            </w:r>
          </w:p>
        </w:tc>
        <w:tc>
          <w:tcPr>
            <w:tcW w:w="825" w:type="pct"/>
            <w:tcBorders>
              <w:bottom w:val="single" w:sz="4" w:space="0" w:color="auto"/>
            </w:tcBorders>
            <w:shd w:val="clear" w:color="auto" w:fill="auto"/>
            <w:noWrap/>
            <w:vAlign w:val="center"/>
            <w:hideMark/>
          </w:tcPr>
          <w:p w14:paraId="6CE184E5" w14:textId="7C719442" w:rsidR="00E77E14" w:rsidRPr="00F158CD" w:rsidRDefault="00E77E14" w:rsidP="00751CDB">
            <w:pPr>
              <w:spacing w:after="0"/>
              <w:jc w:val="right"/>
              <w:rPr>
                <w:rFonts w:eastAsia="Times New Roman" w:cs="Times New Roman"/>
                <w:sz w:val="20"/>
                <w:lang w:eastAsia="en-GB"/>
              </w:rPr>
            </w:pPr>
            <w:r w:rsidRPr="00F158CD">
              <w:rPr>
                <w:rFonts w:eastAsia="Times New Roman" w:cs="Times New Roman"/>
                <w:sz w:val="20"/>
                <w:lang w:eastAsia="en-GB"/>
              </w:rPr>
              <w:t>1.362</w:t>
            </w:r>
            <w:r w:rsidR="00907CB6">
              <w:rPr>
                <w:rFonts w:eastAsia="Times New Roman" w:cs="Times New Roman"/>
                <w:sz w:val="20"/>
                <w:lang w:eastAsia="en-GB"/>
              </w:rPr>
              <w:t>×</w:t>
            </w:r>
            <w:r w:rsidRPr="00F158CD">
              <w:rPr>
                <w:rFonts w:eastAsia="Times New Roman" w:cs="Times New Roman"/>
                <w:sz w:val="20"/>
                <w:lang w:eastAsia="en-GB"/>
              </w:rPr>
              <w:t>10</w:t>
            </w:r>
            <w:r w:rsidRPr="00F158CD">
              <w:rPr>
                <w:rFonts w:eastAsia="Times New Roman" w:cs="Times New Roman"/>
                <w:sz w:val="20"/>
                <w:vertAlign w:val="superscript"/>
                <w:lang w:eastAsia="en-GB"/>
              </w:rPr>
              <w:t>-2</w:t>
            </w:r>
          </w:p>
        </w:tc>
      </w:tr>
    </w:tbl>
    <w:p w14:paraId="7FA36897" w14:textId="28E49332" w:rsidR="005E094A" w:rsidRDefault="00A131B5" w:rsidP="00907CB6">
      <w:pPr>
        <w:spacing w:before="160"/>
        <w:rPr>
          <w:rFonts w:cs="Times New Roman"/>
        </w:rPr>
      </w:pPr>
      <w:r>
        <w:rPr>
          <w:rFonts w:cs="Times New Roman"/>
        </w:rPr>
        <w:t>V</w:t>
      </w:r>
      <w:r w:rsidR="00F158CD" w:rsidRPr="00F158CD">
        <w:rPr>
          <w:rFonts w:cs="Times New Roman"/>
        </w:rPr>
        <w:t>alues for PD 7974-7</w:t>
      </w:r>
      <w:r w:rsidR="006D74D3">
        <w:rPr>
          <w:rFonts w:cs="Times New Roman"/>
        </w:rPr>
        <w:t>:2003</w:t>
      </w:r>
      <w:r w:rsidR="00F158CD" w:rsidRPr="00F158CD">
        <w:rPr>
          <w:rFonts w:cs="Times New Roman"/>
        </w:rPr>
        <w:t xml:space="preserve"> seem to overestimate </w:t>
      </w:r>
      <w:r w:rsidR="00751CDB">
        <w:rPr>
          <w:rFonts w:cs="Times New Roman"/>
        </w:rPr>
        <w:t>contemporary fire statistics</w:t>
      </w:r>
      <w:r w:rsidR="00F158CD" w:rsidRPr="00F158CD">
        <w:rPr>
          <w:rFonts w:cs="Times New Roman"/>
        </w:rPr>
        <w:t xml:space="preserve"> for the UK and USA</w:t>
      </w:r>
      <w:r w:rsidR="00751CDB">
        <w:rPr>
          <w:rFonts w:cs="Times New Roman"/>
        </w:rPr>
        <w:t>,</w:t>
      </w:r>
      <w:r w:rsidR="00F158CD" w:rsidRPr="00F158CD">
        <w:rPr>
          <w:rFonts w:cs="Times New Roman"/>
        </w:rPr>
        <w:t xml:space="preserve"> in particular for </w:t>
      </w:r>
      <w:r w:rsidR="00F158CD" w:rsidRPr="00F158CD">
        <w:rPr>
          <w:rFonts w:cs="Times New Roman"/>
          <w:i/>
        </w:rPr>
        <w:t>Industrial</w:t>
      </w:r>
      <w:r>
        <w:rPr>
          <w:rFonts w:cs="Times New Roman"/>
        </w:rPr>
        <w:t xml:space="preserve"> when</w:t>
      </w:r>
      <w:r w:rsidR="00F158CD" w:rsidRPr="00F158CD">
        <w:rPr>
          <w:rFonts w:cs="Times New Roman"/>
        </w:rPr>
        <w:t xml:space="preserve"> it appears to be 4 times, </w:t>
      </w:r>
      <w:r w:rsidR="00F158CD" w:rsidRPr="00F158CD">
        <w:rPr>
          <w:rFonts w:cs="Times New Roman"/>
          <w:i/>
        </w:rPr>
        <w:t>Assembly entertainment</w:t>
      </w:r>
      <w:r w:rsidR="00F158CD" w:rsidRPr="00F158CD">
        <w:rPr>
          <w:rFonts w:cs="Times New Roman"/>
        </w:rPr>
        <w:t xml:space="preserve"> approximately 2 times and </w:t>
      </w:r>
      <w:r w:rsidR="00F158CD" w:rsidRPr="00F158CD">
        <w:rPr>
          <w:rFonts w:cs="Times New Roman"/>
          <w:i/>
        </w:rPr>
        <w:t>Hospitals</w:t>
      </w:r>
      <w:r w:rsidR="00F158CD" w:rsidRPr="00F158CD">
        <w:rPr>
          <w:rFonts w:cs="Times New Roman"/>
        </w:rPr>
        <w:t xml:space="preserve"> 5 times</w:t>
      </w:r>
      <w:r>
        <w:rPr>
          <w:rFonts w:cs="Times New Roman"/>
        </w:rPr>
        <w:t xml:space="preserve"> </w:t>
      </w:r>
      <w:r w:rsidRPr="00F158CD">
        <w:rPr>
          <w:rFonts w:cs="Times New Roman"/>
        </w:rPr>
        <w:t>greater than the maximum value in the othe</w:t>
      </w:r>
      <w:r w:rsidR="00692296">
        <w:rPr>
          <w:rFonts w:cs="Times New Roman"/>
        </w:rPr>
        <w:t>r</w:t>
      </w:r>
      <w:r w:rsidRPr="00F158CD">
        <w:rPr>
          <w:rFonts w:cs="Times New Roman"/>
        </w:rPr>
        <w:t xml:space="preserve"> two statistics</w:t>
      </w:r>
      <w:r w:rsidR="00F158CD" w:rsidRPr="00F158CD">
        <w:rPr>
          <w:rFonts w:cs="Times New Roman"/>
        </w:rPr>
        <w:t xml:space="preserve">. PD 7974-7 </w:t>
      </w:r>
      <w:r w:rsidR="00194D62">
        <w:rPr>
          <w:rFonts w:cs="Times New Roman"/>
        </w:rPr>
        <w:t xml:space="preserve">only </w:t>
      </w:r>
      <w:r w:rsidR="00F158CD" w:rsidRPr="00F158CD">
        <w:rPr>
          <w:rFonts w:cs="Times New Roman"/>
        </w:rPr>
        <w:t>underestimate</w:t>
      </w:r>
      <w:r w:rsidR="00692296">
        <w:rPr>
          <w:rFonts w:cs="Times New Roman"/>
        </w:rPr>
        <w:t>s</w:t>
      </w:r>
      <w:r w:rsidR="00F158CD" w:rsidRPr="00F158CD">
        <w:rPr>
          <w:rFonts w:cs="Times New Roman"/>
        </w:rPr>
        <w:t xml:space="preserve"> the probability</w:t>
      </w:r>
      <w:r w:rsidR="00F158CD" w:rsidRPr="002934B7">
        <w:rPr>
          <w:rFonts w:cs="Times New Roman"/>
        </w:rPr>
        <w:t xml:space="preserve"> in </w:t>
      </w:r>
      <w:r w:rsidR="00F158CD" w:rsidRPr="002934B7">
        <w:rPr>
          <w:rFonts w:cs="Times New Roman"/>
          <w:i/>
        </w:rPr>
        <w:t>Schools</w:t>
      </w:r>
      <w:r w:rsidRPr="002934B7">
        <w:rPr>
          <w:rFonts w:cs="Times New Roman"/>
        </w:rPr>
        <w:t xml:space="preserve"> where in </w:t>
      </w:r>
      <w:r w:rsidR="000F2462" w:rsidRPr="002934B7">
        <w:rPr>
          <w:rFonts w:cs="Times New Roman"/>
        </w:rPr>
        <w:t>USA</w:t>
      </w:r>
      <w:r w:rsidRPr="002934B7">
        <w:rPr>
          <w:rFonts w:cs="Times New Roman"/>
        </w:rPr>
        <w:t xml:space="preserve"> statistics</w:t>
      </w:r>
      <w:r w:rsidR="00F158CD" w:rsidRPr="002934B7">
        <w:rPr>
          <w:rFonts w:cs="Times New Roman"/>
        </w:rPr>
        <w:t xml:space="preserve"> 5.512</w:t>
      </w:r>
      <w:r w:rsidR="00907CB6">
        <w:rPr>
          <w:rFonts w:cs="Times New Roman"/>
        </w:rPr>
        <w:t>×</w:t>
      </w:r>
      <w:r w:rsidR="00F158CD" w:rsidRPr="002934B7">
        <w:rPr>
          <w:rFonts w:cs="Times New Roman"/>
        </w:rPr>
        <w:t>10</w:t>
      </w:r>
      <w:r w:rsidR="00F158CD" w:rsidRPr="002934B7">
        <w:rPr>
          <w:rFonts w:cs="Times New Roman"/>
          <w:vertAlign w:val="superscript"/>
        </w:rPr>
        <w:t>-2</w:t>
      </w:r>
      <w:r w:rsidR="00F158CD" w:rsidRPr="002934B7">
        <w:rPr>
          <w:rFonts w:cs="Times New Roman"/>
        </w:rPr>
        <w:t xml:space="preserve"> is found while in U</w:t>
      </w:r>
      <w:r w:rsidR="002934B7" w:rsidRPr="00C92F29">
        <w:rPr>
          <w:rFonts w:cs="Times New Roman"/>
        </w:rPr>
        <w:t>K</w:t>
      </w:r>
      <w:r w:rsidR="00F158CD" w:rsidRPr="002934B7">
        <w:rPr>
          <w:rFonts w:cs="Times New Roman"/>
        </w:rPr>
        <w:t xml:space="preserve"> this is given by 1.362</w:t>
      </w:r>
      <w:r w:rsidR="00907CB6">
        <w:rPr>
          <w:rFonts w:cs="Times New Roman"/>
        </w:rPr>
        <w:t>×</w:t>
      </w:r>
      <w:r w:rsidR="00F158CD" w:rsidRPr="002934B7">
        <w:rPr>
          <w:rFonts w:cs="Times New Roman"/>
        </w:rPr>
        <w:t>10</w:t>
      </w:r>
      <w:r w:rsidR="00F158CD" w:rsidRPr="002934B7">
        <w:rPr>
          <w:rFonts w:cs="Times New Roman"/>
          <w:vertAlign w:val="superscript"/>
        </w:rPr>
        <w:t>-2</w:t>
      </w:r>
      <w:r w:rsidRPr="002934B7">
        <w:rPr>
          <w:rFonts w:cs="Times New Roman"/>
        </w:rPr>
        <w:t xml:space="preserve"> as shown in</w:t>
      </w:r>
      <w:r w:rsidR="00C92F29">
        <w:rPr>
          <w:rFonts w:cs="Times New Roman"/>
        </w:rPr>
        <w:t xml:space="preserve"> </w:t>
      </w:r>
      <w:r w:rsidR="00C92F29">
        <w:rPr>
          <w:rFonts w:cs="Times New Roman"/>
        </w:rPr>
        <w:fldChar w:fldCharType="begin"/>
      </w:r>
      <w:r w:rsidR="00C92F29">
        <w:rPr>
          <w:rFonts w:cs="Times New Roman"/>
        </w:rPr>
        <w:instrText xml:space="preserve"> REF _Ref14171558 \h </w:instrText>
      </w:r>
      <w:r w:rsidR="00C92F29">
        <w:rPr>
          <w:rFonts w:cs="Times New Roman"/>
        </w:rPr>
      </w:r>
      <w:r w:rsidR="00C92F29">
        <w:rPr>
          <w:rFonts w:cs="Times New Roman"/>
        </w:rPr>
        <w:fldChar w:fldCharType="separate"/>
      </w:r>
      <w:r w:rsidR="00250859" w:rsidRPr="00C92F29">
        <w:t xml:space="preserve">Table </w:t>
      </w:r>
      <w:r w:rsidR="00250859">
        <w:rPr>
          <w:noProof/>
        </w:rPr>
        <w:t>2</w:t>
      </w:r>
      <w:r w:rsidR="00C92F29">
        <w:rPr>
          <w:rFonts w:cs="Times New Roman"/>
        </w:rPr>
        <w:fldChar w:fldCharType="end"/>
      </w:r>
      <w:r w:rsidR="00F158CD" w:rsidRPr="002934B7">
        <w:rPr>
          <w:rFonts w:cs="Times New Roman"/>
        </w:rPr>
        <w:t>.</w:t>
      </w:r>
    </w:p>
    <w:p w14:paraId="792A3FD5" w14:textId="7C01ABB2" w:rsidR="002934B7" w:rsidRPr="00F158CD" w:rsidRDefault="00F158CD" w:rsidP="00F158CD">
      <w:pPr>
        <w:rPr>
          <w:rFonts w:cs="Times New Roman"/>
        </w:rPr>
      </w:pPr>
      <w:r w:rsidRPr="00F158CD">
        <w:rPr>
          <w:rFonts w:cs="Times New Roman"/>
        </w:rPr>
        <w:t xml:space="preserve">The probabilities of fire starting in UK assume slightly different values than </w:t>
      </w:r>
      <w:r w:rsidR="00751CDB">
        <w:rPr>
          <w:rFonts w:cs="Times New Roman"/>
        </w:rPr>
        <w:t>those in the</w:t>
      </w:r>
      <w:r w:rsidRPr="00F158CD">
        <w:rPr>
          <w:rFonts w:cs="Times New Roman"/>
        </w:rPr>
        <w:t xml:space="preserve"> </w:t>
      </w:r>
      <w:r w:rsidR="006D74D3">
        <w:rPr>
          <w:rFonts w:cs="Times New Roman"/>
        </w:rPr>
        <w:t xml:space="preserve">updated PD 7974-7:2019 </w:t>
      </w:r>
      <w:r w:rsidR="00751CDB">
        <w:rPr>
          <w:rFonts w:cs="Times New Roman"/>
        </w:rPr>
        <w:t>for</w:t>
      </w:r>
      <w:r w:rsidR="006D74D3">
        <w:rPr>
          <w:rFonts w:cs="Times New Roman"/>
        </w:rPr>
        <w:t xml:space="preserve"> two property types: in </w:t>
      </w:r>
      <w:r w:rsidR="006D74D3" w:rsidRPr="000B74CE">
        <w:rPr>
          <w:rFonts w:cs="Times New Roman"/>
          <w:i/>
        </w:rPr>
        <w:t>Offices</w:t>
      </w:r>
      <w:r w:rsidR="006D74D3">
        <w:rPr>
          <w:rFonts w:cs="Times New Roman"/>
        </w:rPr>
        <w:t xml:space="preserve"> </w:t>
      </w:r>
      <w:r w:rsidR="00C06C20">
        <w:rPr>
          <w:rFonts w:cs="Times New Roman"/>
        </w:rPr>
        <w:t>where</w:t>
      </w:r>
      <w:r w:rsidR="006D74D3">
        <w:rPr>
          <w:rFonts w:cs="Times New Roman"/>
        </w:rPr>
        <w:t xml:space="preserve"> PD 7974-7:2019 class</w:t>
      </w:r>
      <w:r w:rsidR="00751CDB">
        <w:rPr>
          <w:rFonts w:cs="Times New Roman"/>
        </w:rPr>
        <w:t>ification</w:t>
      </w:r>
      <w:r w:rsidR="006D74D3">
        <w:rPr>
          <w:rFonts w:cs="Times New Roman"/>
        </w:rPr>
        <w:t xml:space="preserve"> </w:t>
      </w:r>
      <w:r w:rsidR="00751CDB">
        <w:rPr>
          <w:rFonts w:cs="Times New Roman"/>
        </w:rPr>
        <w:t xml:space="preserve">also </w:t>
      </w:r>
      <w:r w:rsidR="006D74D3">
        <w:rPr>
          <w:rFonts w:cs="Times New Roman"/>
        </w:rPr>
        <w:t xml:space="preserve">includes retail premises and in </w:t>
      </w:r>
      <w:r w:rsidR="006D74D3" w:rsidRPr="000B74CE">
        <w:rPr>
          <w:rFonts w:cs="Times New Roman"/>
          <w:i/>
        </w:rPr>
        <w:t xml:space="preserve">Hospitals </w:t>
      </w:r>
      <w:r w:rsidR="006D74D3">
        <w:rPr>
          <w:rFonts w:cs="Times New Roman"/>
        </w:rPr>
        <w:t>where the</w:t>
      </w:r>
      <w:r w:rsidR="00C06C20">
        <w:rPr>
          <w:rFonts w:cs="Times New Roman"/>
        </w:rPr>
        <w:t xml:space="preserve"> new analysis adopts the</w:t>
      </w:r>
      <w:r w:rsidR="006D74D3">
        <w:rPr>
          <w:rFonts w:cs="Times New Roman"/>
        </w:rPr>
        <w:t xml:space="preserve"> </w:t>
      </w:r>
      <w:proofErr w:type="gramStart"/>
      <w:r w:rsidR="006D74D3" w:rsidRPr="000B74CE">
        <w:rPr>
          <w:rFonts w:cs="Times New Roman"/>
          <w:i/>
        </w:rPr>
        <w:t>Other</w:t>
      </w:r>
      <w:proofErr w:type="gramEnd"/>
      <w:r w:rsidR="006D74D3" w:rsidRPr="000B74CE">
        <w:rPr>
          <w:rFonts w:cs="Times New Roman"/>
          <w:i/>
        </w:rPr>
        <w:t xml:space="preserve"> buildings</w:t>
      </w:r>
      <w:r w:rsidR="006D74D3">
        <w:rPr>
          <w:rFonts w:cs="Times New Roman"/>
        </w:rPr>
        <w:t xml:space="preserve"> dataset </w:t>
      </w:r>
      <w:r w:rsidR="00C06C20">
        <w:rPr>
          <w:rFonts w:cs="Times New Roman"/>
        </w:rPr>
        <w:t>which was not available previously</w:t>
      </w:r>
      <w:r w:rsidR="00E52CCF">
        <w:rPr>
          <w:rFonts w:cs="Times New Roman"/>
        </w:rPr>
        <w:t>.</w:t>
      </w:r>
      <w:r w:rsidR="006D74D3">
        <w:rPr>
          <w:rFonts w:cs="Times New Roman"/>
        </w:rPr>
        <w:t xml:space="preserve"> </w:t>
      </w:r>
      <w:r w:rsidR="00E52CCF">
        <w:rPr>
          <w:rFonts w:cs="Times New Roman"/>
        </w:rPr>
        <w:t xml:space="preserve">In general, </w:t>
      </w:r>
      <w:r w:rsidR="005E094A">
        <w:rPr>
          <w:rFonts w:cs="Times New Roman"/>
        </w:rPr>
        <w:t xml:space="preserve">trends appear uniform where PD 7974-7 generally overestimates the overall probability of fire starting </w:t>
      </w:r>
      <w:r w:rsidR="008014ED">
        <w:rPr>
          <w:rFonts w:cs="Times New Roman"/>
        </w:rPr>
        <w:t>showing a reduction of fires in current fire statistics probably due to an improvement of fire safety measures in buildings</w:t>
      </w:r>
      <w:r w:rsidR="005E094A">
        <w:rPr>
          <w:rFonts w:cs="Times New Roman"/>
        </w:rPr>
        <w:t xml:space="preserve">. </w:t>
      </w:r>
    </w:p>
    <w:p w14:paraId="2337FFF9" w14:textId="63EFAC15" w:rsidR="008E6DFC" w:rsidRDefault="008E6DFC" w:rsidP="008E6DFC">
      <w:pPr>
        <w:rPr>
          <w:rFonts w:cs="Times New Roman"/>
          <w:b/>
          <w:szCs w:val="24"/>
        </w:rPr>
      </w:pPr>
      <w:r>
        <w:rPr>
          <w:rFonts w:cs="Times New Roman"/>
          <w:b/>
          <w:szCs w:val="24"/>
        </w:rPr>
        <w:t xml:space="preserve">5. </w:t>
      </w:r>
      <w:r w:rsidR="00B4603A">
        <w:rPr>
          <w:rFonts w:cs="Times New Roman"/>
          <w:b/>
          <w:szCs w:val="24"/>
        </w:rPr>
        <w:t>Frequency</w:t>
      </w:r>
      <w:r>
        <w:rPr>
          <w:rFonts w:cs="Times New Roman"/>
          <w:b/>
          <w:szCs w:val="24"/>
        </w:rPr>
        <w:t xml:space="preserve"> of fire starting in various occupancy types</w:t>
      </w:r>
    </w:p>
    <w:p w14:paraId="553A9138" w14:textId="6A261442" w:rsidR="00091B3F" w:rsidRDefault="00031539" w:rsidP="009C64C8">
      <w:r>
        <w:t>Table A.1 in PD 7974-7</w:t>
      </w:r>
      <w:r w:rsidR="00B51244">
        <w:t>:2003</w:t>
      </w:r>
      <w:r>
        <w:t xml:space="preserve"> has been recreated as suggested by </w:t>
      </w:r>
      <w:proofErr w:type="spellStart"/>
      <w:r>
        <w:t>Rutstein</w:t>
      </w:r>
      <w:proofErr w:type="spellEnd"/>
      <w:r>
        <w:t xml:space="preserve"> </w:t>
      </w:r>
      <w:r>
        <w:fldChar w:fldCharType="begin" w:fldLock="1"/>
      </w:r>
      <w:r w:rsidR="00125627">
        <w:instrText>ADDIN CSL_CITATION {"citationItems":[{"id":"ITEM-1","itemData":{"author":[{"dropping-particle":"","family":"Rutstein","given":"R","non-dropping-particle":"","parse-names":false,"suffix":""}],"container-title":"Fire Surveyor","id":"ITEM-1","issue":"1","issued":{"date-parts":[["1979"]]},"page":"20-23","title":"The probability of fire in different sectors of industry","type":"article-journal","volume":"8"},"uris":["http://www.mendeley.com/documents/?uuid=83b1fa0c-4573-4170-a695-568ae3708031"]}],"mendeley":{"formattedCitation":"[32]","plainTextFormattedCitation":"[32]","previouslyFormattedCitation":"[32]"},"properties":{"noteIndex":0},"schema":"https://github.com/citation-style-language/schema/raw/master/csl-citation.json"}</w:instrText>
      </w:r>
      <w:r>
        <w:fldChar w:fldCharType="separate"/>
      </w:r>
      <w:r w:rsidR="00524A6C" w:rsidRPr="00524A6C">
        <w:rPr>
          <w:noProof/>
        </w:rPr>
        <w:t>[32]</w:t>
      </w:r>
      <w:r>
        <w:fldChar w:fldCharType="end"/>
      </w:r>
      <w:r w:rsidR="006B3975">
        <w:t xml:space="preserve"> </w:t>
      </w:r>
      <w:r w:rsidR="004C6EE4">
        <w:t>a</w:t>
      </w:r>
      <w:r w:rsidR="00123A85">
        <w:t>nd</w:t>
      </w:r>
      <w:r w:rsidR="004C6EE4">
        <w:t xml:space="preserve"> </w:t>
      </w:r>
      <w:r w:rsidR="009C64C8">
        <w:t>described in S</w:t>
      </w:r>
      <w:r w:rsidR="009C64C8" w:rsidRPr="005E71CB">
        <w:t xml:space="preserve">ection </w:t>
      </w:r>
      <w:r w:rsidR="009C64C8" w:rsidRPr="00907CB6">
        <w:t>3</w:t>
      </w:r>
      <w:r w:rsidR="009C64C8" w:rsidRPr="005E71CB">
        <w:t>.</w:t>
      </w:r>
      <w:r w:rsidR="00431364">
        <w:t xml:space="preserve"> </w:t>
      </w:r>
      <w:proofErr w:type="spellStart"/>
      <w:r w:rsidR="00431364">
        <w:t>Rutstein</w:t>
      </w:r>
      <w:proofErr w:type="spellEnd"/>
      <w:r w:rsidR="00431364" w:rsidRPr="00431364">
        <w:t xml:space="preserve"> </w:t>
      </w:r>
      <w:r w:rsidR="007C5457">
        <w:t xml:space="preserve">in his research </w:t>
      </w:r>
      <w:r w:rsidR="007C5457">
        <w:fldChar w:fldCharType="begin" w:fldLock="1"/>
      </w:r>
      <w:r w:rsidR="007437E6">
        <w:instrText>ADDIN CSL_CITATION {"citationItems":[{"id":"ITEM-1","itemData":{"author":[{"dropping-particle":"","family":"Rutstein","given":"R","non-dropping-particle":"","parse-names":false,"suffix":""}],"container-title":"Fire Surveyor","id":"ITEM-1","issue":"1","issued":{"date-parts":[["1979"]]},"page":"20-23","title":"The probability of fire in different sectors of industry","type":"article-journal","volume":"8"},"uris":["http://www.mendeley.com/documents/?uuid=83b1fa0c-4573-4170-a695-568ae3708031"]}],"mendeley":{"formattedCitation":"[32]","plainTextFormattedCitation":"[32]","previouslyFormattedCitation":"[32]"},"properties":{"noteIndex":0},"schema":"https://github.com/citation-style-language/schema/raw/master/csl-citation.json"}</w:instrText>
      </w:r>
      <w:r w:rsidR="007C5457">
        <w:fldChar w:fldCharType="separate"/>
      </w:r>
      <w:r w:rsidR="007C5457" w:rsidRPr="007C5457">
        <w:rPr>
          <w:noProof/>
        </w:rPr>
        <w:t>[32]</w:t>
      </w:r>
      <w:r w:rsidR="007C5457">
        <w:fldChar w:fldCharType="end"/>
      </w:r>
      <w:r w:rsidR="007C5457">
        <w:t xml:space="preserve"> </w:t>
      </w:r>
      <w:r w:rsidR="00DD3A2C">
        <w:t>possibly</w:t>
      </w:r>
      <w:r w:rsidR="00431364">
        <w:t xml:space="preserve"> </w:t>
      </w:r>
      <w:r w:rsidR="00431364" w:rsidRPr="00431364">
        <w:t>assum</w:t>
      </w:r>
      <w:r w:rsidR="00DD3A2C">
        <w:t>e</w:t>
      </w:r>
      <w:r w:rsidR="00FD15BD">
        <w:t xml:space="preserve">d the </w:t>
      </w:r>
      <w:proofErr w:type="spellStart"/>
      <w:r w:rsidR="00FD15BD">
        <w:t>frequentistic</w:t>
      </w:r>
      <w:proofErr w:type="spellEnd"/>
      <w:r w:rsidR="00FD15BD">
        <w:t xml:space="preserve"> definition where </w:t>
      </w:r>
      <w:r w:rsidR="00DD3A2C">
        <w:t>p</w:t>
      </w:r>
      <w:r w:rsidR="00431364" w:rsidRPr="00431364">
        <w:t xml:space="preserve">robability is defined as the relative frequency of occurrence of an event given </w:t>
      </w:r>
      <w:r w:rsidR="00C971E1">
        <w:t xml:space="preserve">by the number of times that it </w:t>
      </w:r>
      <w:r w:rsidR="00431364" w:rsidRPr="00431364">
        <w:t>occurs divided by the nu</w:t>
      </w:r>
      <w:r w:rsidR="00DD3A2C">
        <w:t xml:space="preserve">mber of experiments </w:t>
      </w:r>
      <w:r w:rsidR="00FD15BD">
        <w:t>and it is</w:t>
      </w:r>
      <w:r w:rsidR="00DD3A2C">
        <w:t xml:space="preserve"> obtained with the </w:t>
      </w:r>
      <w:r w:rsidR="00DD3A2C" w:rsidRPr="00431364">
        <w:t>limit of the relative frequency if the number of experiments approaches infinity</w:t>
      </w:r>
      <w:r w:rsidR="00DD3A2C">
        <w:t xml:space="preserve"> </w:t>
      </w:r>
      <w:r w:rsidR="00DD3A2C">
        <w:fldChar w:fldCharType="begin" w:fldLock="1"/>
      </w:r>
      <w:r w:rsidR="00962604">
        <w:instrText>ADDIN CSL_CITATION {"citationItems":[{"id":"ITEM-1","itemData":{"DOI":"10.2307/3615608","ISBN":"9789400740556","ISSN":"00255572","author":[{"dropping-particle":"","family":"Faber","given":"Michael Havbro","non-dropping-particle":"","parse-names":false,"suffix":""}],"container-title":"Springer Science &amp; Business Media","id":"ITEM-1","issued":{"date-parts":[["2012"]]},"title":"Statistics and probability theory: in pursuit of engineering decision support.","type":"book","volume":"18"},"uris":["http://www.mendeley.com/documents/?uuid=b7166dfe-cc24-4894-bd1f-9c3fcb734e34"]}],"mendeley":{"formattedCitation":"[34]","plainTextFormattedCitation":"[34]","previouslyFormattedCitation":"[34]"},"properties":{"noteIndex":0},"schema":"https://github.com/citation-style-language/schema/raw/master/csl-citation.json"}</w:instrText>
      </w:r>
      <w:r w:rsidR="00DD3A2C">
        <w:fldChar w:fldCharType="separate"/>
      </w:r>
      <w:r w:rsidR="00DD3A2C" w:rsidRPr="00194D62">
        <w:rPr>
          <w:noProof/>
        </w:rPr>
        <w:t>[34]</w:t>
      </w:r>
      <w:r w:rsidR="00DD3A2C">
        <w:fldChar w:fldCharType="end"/>
      </w:r>
      <w:r w:rsidR="00DD3A2C">
        <w:t>. Therefore, t</w:t>
      </w:r>
      <w:r w:rsidR="00431364" w:rsidRPr="00431364">
        <w:t xml:space="preserve">he values </w:t>
      </w:r>
      <w:r w:rsidR="00DD3A2C">
        <w:t xml:space="preserve">obtained </w:t>
      </w:r>
      <w:r w:rsidR="00FD15BD">
        <w:t xml:space="preserve">in the analysis </w:t>
      </w:r>
      <w:r w:rsidR="00DD3A2C">
        <w:t xml:space="preserve">are </w:t>
      </w:r>
      <w:r w:rsidR="00431364" w:rsidRPr="00431364">
        <w:t xml:space="preserve">relative frequencies. </w:t>
      </w:r>
      <w:r w:rsidR="00B4603A" w:rsidRPr="00B4603A">
        <w:t>Sin</w:t>
      </w:r>
      <w:r w:rsidR="00C645F4">
        <w:t>ce</w:t>
      </w:r>
      <w:r w:rsidR="00DD3A2C">
        <w:t xml:space="preserve"> </w:t>
      </w:r>
      <w:r w:rsidR="00B4603A" w:rsidRPr="00B4603A">
        <w:t xml:space="preserve">increasing </w:t>
      </w:r>
      <w:r w:rsidR="007A61B0">
        <w:t xml:space="preserve">but finite </w:t>
      </w:r>
      <w:r w:rsidR="00B4603A" w:rsidRPr="00B4603A">
        <w:t xml:space="preserve">total floor spaces </w:t>
      </w:r>
      <w:r w:rsidR="007A61B0">
        <w:t xml:space="preserve">are </w:t>
      </w:r>
      <w:r w:rsidR="00DD3A2C">
        <w:t>evaluated</w:t>
      </w:r>
      <w:r w:rsidR="00B4603A" w:rsidRPr="00B4603A">
        <w:t xml:space="preserve">, the term frequency </w:t>
      </w:r>
      <w:r w:rsidR="00DD3A2C">
        <w:t xml:space="preserve">appears more appropriate than probability in </w:t>
      </w:r>
      <w:r w:rsidR="00B4603A" w:rsidRPr="00B4603A">
        <w:t>Table A.</w:t>
      </w:r>
      <w:r w:rsidR="00DD3A2C">
        <w:t>1</w:t>
      </w:r>
      <w:r w:rsidR="00B4603A" w:rsidRPr="00B4603A">
        <w:t>.</w:t>
      </w:r>
      <w:r w:rsidR="00B4603A">
        <w:t xml:space="preserve"> </w:t>
      </w:r>
      <w:r w:rsidR="009C64C8" w:rsidRPr="005E71CB">
        <w:t xml:space="preserve">In </w:t>
      </w:r>
      <w:r w:rsidR="009C64C8" w:rsidRPr="00907CB6">
        <w:fldChar w:fldCharType="begin"/>
      </w:r>
      <w:r w:rsidR="009C64C8" w:rsidRPr="00F66AA0">
        <w:instrText xml:space="preserve"> REF _Ref14334088 \h </w:instrText>
      </w:r>
      <w:r w:rsidR="00F66AA0">
        <w:instrText xml:space="preserve"> \* MERGEFORMAT </w:instrText>
      </w:r>
      <w:r w:rsidR="009C64C8" w:rsidRPr="00907CB6">
        <w:fldChar w:fldCharType="separate"/>
      </w:r>
      <w:r w:rsidR="00250859">
        <w:t xml:space="preserve">Table </w:t>
      </w:r>
      <w:r w:rsidR="00250859">
        <w:rPr>
          <w:noProof/>
        </w:rPr>
        <w:t>3</w:t>
      </w:r>
      <w:r w:rsidR="009C64C8" w:rsidRPr="00907CB6">
        <w:fldChar w:fldCharType="end"/>
      </w:r>
      <w:r w:rsidR="00F95C83">
        <w:t xml:space="preserve">, </w:t>
      </w:r>
      <w:r w:rsidR="00123A85">
        <w:t xml:space="preserve">the </w:t>
      </w:r>
      <w:r w:rsidR="002B0AFC">
        <w:t>UK fire statistics</w:t>
      </w:r>
      <w:r w:rsidR="00123A85">
        <w:t xml:space="preserve"> </w:t>
      </w:r>
      <w:r w:rsidR="002B0AFC">
        <w:t>are</w:t>
      </w:r>
      <w:r w:rsidR="00123A85">
        <w:t xml:space="preserve"> evaluated based on the </w:t>
      </w:r>
      <w:r w:rsidR="002B0AFC">
        <w:t xml:space="preserve">bespoke Home Office </w:t>
      </w:r>
      <w:r w:rsidR="00123A85">
        <w:t xml:space="preserve">datasets while the </w:t>
      </w:r>
      <w:r w:rsidR="002B0AFC">
        <w:t xml:space="preserve">USA statistics </w:t>
      </w:r>
      <w:r w:rsidR="002B0AFC">
        <w:fldChar w:fldCharType="begin" w:fldLock="1"/>
      </w:r>
      <w:r w:rsidR="00125627">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2B0AFC">
        <w:fldChar w:fldCharType="separate"/>
      </w:r>
      <w:r w:rsidR="00524A6C" w:rsidRPr="00524A6C">
        <w:rPr>
          <w:noProof/>
        </w:rPr>
        <w:t>[15]</w:t>
      </w:r>
      <w:r w:rsidR="002B0AFC">
        <w:fldChar w:fldCharType="end"/>
      </w:r>
      <w:r w:rsidR="002B0AFC">
        <w:t xml:space="preserve"> are provided for comparison</w:t>
      </w:r>
      <w:r w:rsidR="00123A85">
        <w:t xml:space="preserve">. </w:t>
      </w:r>
      <w:r w:rsidR="00647334">
        <w:t>According to</w:t>
      </w:r>
      <w:r w:rsidR="00FF0335">
        <w:t xml:space="preserve"> area r</w:t>
      </w:r>
      <w:r w:rsidR="00450AA7">
        <w:t xml:space="preserve">anges </w:t>
      </w:r>
      <w:r w:rsidR="00FF0335" w:rsidRPr="00FF0335">
        <w:t>from up to 50 m</w:t>
      </w:r>
      <w:r w:rsidR="00FF0335" w:rsidRPr="00336CF6">
        <w:rPr>
          <w:vertAlign w:val="superscript"/>
        </w:rPr>
        <w:t>2</w:t>
      </w:r>
      <w:r w:rsidR="00FF0335" w:rsidRPr="00FF0335">
        <w:t xml:space="preserve"> to over 50,000 m</w:t>
      </w:r>
      <w:r w:rsidR="00FF0335" w:rsidRPr="00336CF6">
        <w:rPr>
          <w:vertAlign w:val="superscript"/>
        </w:rPr>
        <w:t>2</w:t>
      </w:r>
      <w:r w:rsidR="00450AA7">
        <w:t xml:space="preserve">, </w:t>
      </w:r>
      <w:r w:rsidR="00FF0335">
        <w:t xml:space="preserve">12 data points are obtained for </w:t>
      </w:r>
      <w:r w:rsidR="00FF0335" w:rsidRPr="00336CF6">
        <w:rPr>
          <w:i/>
        </w:rPr>
        <w:t>Shops</w:t>
      </w:r>
      <w:r w:rsidR="00FF0335">
        <w:t xml:space="preserve"> and </w:t>
      </w:r>
      <w:r w:rsidR="00FF0335" w:rsidRPr="00336CF6">
        <w:rPr>
          <w:i/>
        </w:rPr>
        <w:t>Offices</w:t>
      </w:r>
      <w:r w:rsidR="00FF0335">
        <w:t xml:space="preserve">, 11 for </w:t>
      </w:r>
      <w:r w:rsidR="00FF0335" w:rsidRPr="00336CF6">
        <w:rPr>
          <w:i/>
        </w:rPr>
        <w:t>Industry and manufacturing</w:t>
      </w:r>
      <w:r w:rsidR="00FF0335">
        <w:t xml:space="preserve"> and </w:t>
      </w:r>
      <w:r w:rsidR="00FF0335" w:rsidRPr="00336CF6">
        <w:rPr>
          <w:i/>
        </w:rPr>
        <w:t>Miscellaneous</w:t>
      </w:r>
      <w:r w:rsidR="00FF0335">
        <w:t xml:space="preserve">, 10 for </w:t>
      </w:r>
      <w:r w:rsidR="00450AA7" w:rsidRPr="00336CF6">
        <w:rPr>
          <w:i/>
        </w:rPr>
        <w:t>Storage</w:t>
      </w:r>
      <w:r w:rsidR="00450AA7">
        <w:t xml:space="preserve">, </w:t>
      </w:r>
      <w:r w:rsidR="00450AA7" w:rsidRPr="00336CF6">
        <w:rPr>
          <w:i/>
        </w:rPr>
        <w:t>Schools</w:t>
      </w:r>
      <w:r w:rsidR="00450AA7">
        <w:t xml:space="preserve"> and </w:t>
      </w:r>
      <w:r w:rsidR="00450AA7" w:rsidRPr="00336CF6">
        <w:rPr>
          <w:i/>
        </w:rPr>
        <w:t>Leisure</w:t>
      </w:r>
      <w:r w:rsidR="00450AA7">
        <w:t xml:space="preserve"> and 9 for </w:t>
      </w:r>
      <w:r w:rsidR="00450AA7" w:rsidRPr="00336CF6">
        <w:rPr>
          <w:i/>
        </w:rPr>
        <w:t>Hospitals</w:t>
      </w:r>
      <w:r w:rsidR="00652CC1">
        <w:t xml:space="preserve">. </w:t>
      </w:r>
      <w:r w:rsidR="00C645F4">
        <w:t xml:space="preserve">Due to high degrees of uncertainties, </w:t>
      </w:r>
      <w:r w:rsidR="009C64C8" w:rsidRPr="009C64C8">
        <w:rPr>
          <w:i/>
        </w:rPr>
        <w:t>Vehicle</w:t>
      </w:r>
      <w:r w:rsidR="009C64C8">
        <w:t xml:space="preserve">, </w:t>
      </w:r>
      <w:r w:rsidR="009C64C8" w:rsidRPr="009C64C8">
        <w:rPr>
          <w:i/>
        </w:rPr>
        <w:t>Other manufacturing</w:t>
      </w:r>
      <w:r w:rsidR="009C64C8">
        <w:t xml:space="preserve"> and </w:t>
      </w:r>
      <w:r w:rsidR="009C64C8" w:rsidRPr="009C64C8">
        <w:rPr>
          <w:i/>
        </w:rPr>
        <w:t>Hotels</w:t>
      </w:r>
      <w:r w:rsidR="00652CC1">
        <w:t xml:space="preserve"> are not </w:t>
      </w:r>
      <w:r w:rsidR="00C645F4">
        <w:t>considered</w:t>
      </w:r>
      <w:r w:rsidR="00E10FD6">
        <w:t>.</w:t>
      </w:r>
    </w:p>
    <w:p w14:paraId="298AB7A7" w14:textId="216E314A" w:rsidR="00BD58D7" w:rsidRDefault="00BD58D7" w:rsidP="00E96831">
      <w:r w:rsidRPr="007437E6">
        <w:lastRenderedPageBreak/>
        <w:t xml:space="preserve">The Spearman’s correlation </w:t>
      </w:r>
      <w:r w:rsidR="007437E6">
        <w:fldChar w:fldCharType="begin" w:fldLock="1"/>
      </w:r>
      <w:r w:rsidR="007437E6">
        <w:instrText>ADDIN CSL_CITATION {"citationItems":[{"id":"ITEM-1","itemData":{"DOI":"10.18047/poljo.21.2.8","ISSN":"13307142","abstract":"© 2015, Faculty of Agriculture in Osijek. All rights Reserved. Most commonly used correlation coefficients are Pearson's product moment correlation coefficient and Spearman's rank correlation coefficient. The aim of this paper is to compare a Pearson’s and Spearman’s coefficient of correlation on the same data set. The winter wheat grain cadmium (Cd) concentration was correlated to grain zinc (Zn) concentration, plant height, plant weight, number of spikelets per spike and 1000 kernel weight. Data were collected from the experiment carried out in semi controlled conditions, where genotypic specificity of winter wheat varieties was tested on the grain Cd and Zn accumulation on uncontaminated and Cd contaminated soil. Results showed that selection of most convenient correlation coefficient mostly depends on the type of variables, presence of outliers normality and linearity of relationship.","author":[{"dropping-particle":"","family":"Rebekić","given":"Andrijana","non-dropping-particle":"","parse-names":false,"suffix":""},{"dropping-particle":"","family":"Lončarić","given":"Zdenko","non-dropping-particle":"","parse-names":false,"suffix":""},{"dropping-particle":"","family":"Petrović","given":"Sonja","non-dropping-particle":"","parse-names":false,"suffix":""},{"dropping-particle":"","family":"Marić","given":"Sonja","non-dropping-particle":"","parse-names":false,"suffix":""}],"container-title":"Poljoprivreda (Osijek)","id":"ITEM-1","issue":"2","issued":{"date-parts":[["2015"]]},"page":"47-54","title":"Pearson's or Spearman's Correlation Coefficient-Which One To Use?","type":"article-journal","volume":"21"},"uris":["http://www.mendeley.com/documents/?uuid=78ffde35-556a-4e42-a705-c852701662f2"]}],"mendeley":{"formattedCitation":"[35]","plainTextFormattedCitation":"[35]","previouslyFormattedCitation":"[35]"},"properties":{"noteIndex":0},"schema":"https://github.com/citation-style-language/schema/raw/master/csl-citation.json"}</w:instrText>
      </w:r>
      <w:r w:rsidR="007437E6">
        <w:fldChar w:fldCharType="separate"/>
      </w:r>
      <w:r w:rsidR="007437E6" w:rsidRPr="007437E6">
        <w:rPr>
          <w:noProof/>
        </w:rPr>
        <w:t>[35]</w:t>
      </w:r>
      <w:r w:rsidR="007437E6">
        <w:fldChar w:fldCharType="end"/>
      </w:r>
      <w:r w:rsidR="007437E6">
        <w:t xml:space="preserve"> </w:t>
      </w:r>
      <w:r w:rsidRPr="007437E6">
        <w:t>between total floor areas and fire frequencies</w:t>
      </w:r>
      <w:r w:rsidR="00CA17CD" w:rsidRPr="007437E6">
        <w:t xml:space="preserve"> is </w:t>
      </w:r>
      <w:r w:rsidRPr="007437E6">
        <w:t>examined</w:t>
      </w:r>
      <w:r w:rsidR="007437E6">
        <w:t xml:space="preserve"> and </w:t>
      </w:r>
      <w:r w:rsidRPr="007437E6">
        <w:t xml:space="preserve">values vary from 0.503 to 0.930 </w:t>
      </w:r>
      <w:r w:rsidR="00CA17CD" w:rsidRPr="007437E6">
        <w:t xml:space="preserve">in the various property types </w:t>
      </w:r>
      <w:r w:rsidRPr="007437E6">
        <w:t xml:space="preserve">proving </w:t>
      </w:r>
      <w:r w:rsidR="000B2E55" w:rsidRPr="007437E6">
        <w:t xml:space="preserve">a positive correlation. </w:t>
      </w:r>
      <w:r w:rsidRPr="007437E6">
        <w:t>Inst</w:t>
      </w:r>
      <w:r w:rsidR="007437E6">
        <w:t xml:space="preserve">ead, negative values of -0.209, </w:t>
      </w:r>
      <w:r w:rsidRPr="007437E6">
        <w:t xml:space="preserve">-0.248 and -0.164 are obtained in </w:t>
      </w:r>
      <w:r w:rsidRPr="007437E6">
        <w:rPr>
          <w:i/>
        </w:rPr>
        <w:t>Industry and manufacturing</w:t>
      </w:r>
      <w:r w:rsidRPr="007437E6">
        <w:t xml:space="preserve">, </w:t>
      </w:r>
      <w:r w:rsidRPr="007437E6">
        <w:rPr>
          <w:i/>
        </w:rPr>
        <w:t>Storage</w:t>
      </w:r>
      <w:r w:rsidRPr="007437E6">
        <w:t xml:space="preserve"> and </w:t>
      </w:r>
      <w:r w:rsidRPr="007437E6">
        <w:rPr>
          <w:i/>
        </w:rPr>
        <w:t>Miscellaneous</w:t>
      </w:r>
      <w:r w:rsidRPr="007437E6">
        <w:t>, respectively.</w:t>
      </w:r>
      <w:r w:rsidR="00CA17CD" w:rsidRPr="007437E6">
        <w:t xml:space="preserve"> The residuals </w:t>
      </w:r>
      <w:r w:rsidR="007437E6">
        <w:fldChar w:fldCharType="begin" w:fldLock="1"/>
      </w:r>
      <w:r w:rsidR="00D14CF9">
        <w:instrText>ADDIN CSL_CITATION {"citationItems":[{"id":"ITEM-1","itemData":{"DOI":"10.1007/978-3-642-04898-2_594","abstract":"IntroductionThe term ” robust” was introduced into the statistical literature by Box (1953). By then, robust methods such as trimmed means, had been in sporadic use for well over a century, see for example Anonymous (1821). However, Tukey (1960) was the first person to recognize the extreme sensitivity of some conventional statistical procedures to seemingly minor deviations from the assumptions, and to give an eye-opening example. His example, and his realization that statistical methods optimized for the conventional Gaussian model are unstable under small perturbations were crucial for the subsequent theoretical developments initiated by Huber (1964) and Hampel (1968).In the 1960s robust methods still were considered ” dirty” by most. Therefore, to promote their reception in the statistical community it was crucial to mathematize the approach: one had to prove optimality properties, as was done by Huber's minimax results (1964, 1965, 1968), and to give a formal definition ...","author":[{"dropping-particle":"","family":"Lovric","given":"Miodrag","non-dropping-particle":"","parse-names":false,"suffix":""}],"container-title":"Springer","id":"ITEM-1","issued":{"date-parts":[["2011"]]},"title":"International Encyclopedia of Statistical Science","type":"book"},"uris":["http://www.mendeley.com/documents/?uuid=01ffbd38-5bff-403c-9163-c8cee064cccf"]}],"mendeley":{"formattedCitation":"[36]","plainTextFormattedCitation":"[36]","previouslyFormattedCitation":"[36]"},"properties":{"noteIndex":0},"schema":"https://github.com/citation-style-language/schema/raw/master/csl-citation.json"}</w:instrText>
      </w:r>
      <w:r w:rsidR="007437E6">
        <w:fldChar w:fldCharType="separate"/>
      </w:r>
      <w:r w:rsidR="007437E6" w:rsidRPr="007437E6">
        <w:rPr>
          <w:noProof/>
        </w:rPr>
        <w:t>[36]</w:t>
      </w:r>
      <w:r w:rsidR="007437E6">
        <w:fldChar w:fldCharType="end"/>
      </w:r>
      <w:r w:rsidR="007437E6">
        <w:t xml:space="preserve"> </w:t>
      </w:r>
      <w:r w:rsidR="00B27EA8" w:rsidRPr="007437E6">
        <w:t>are evaluated for the</w:t>
      </w:r>
      <w:r w:rsidR="008C2E5E">
        <w:t xml:space="preserve"> two (UK-Improved) laws </w:t>
      </w:r>
      <w:r w:rsidR="00B27EA8" w:rsidRPr="007437E6">
        <w:t>usually assuming</w:t>
      </w:r>
      <w:r w:rsidR="00CA17CD" w:rsidRPr="007437E6">
        <w:t xml:space="preserve"> random</w:t>
      </w:r>
      <w:r w:rsidR="00B27EA8" w:rsidRPr="007437E6">
        <w:t xml:space="preserve"> distribution</w:t>
      </w:r>
      <w:r w:rsidR="00CA17CD" w:rsidRPr="007437E6">
        <w:t xml:space="preserve"> showing that the model fits the data well.</w:t>
      </w:r>
      <w:r w:rsidR="00CA17CD">
        <w:t xml:space="preserve"> </w:t>
      </w:r>
    </w:p>
    <w:p w14:paraId="4E4EDAD1" w14:textId="78BABFF9" w:rsidR="00E96831" w:rsidRDefault="006B3975" w:rsidP="00E96831">
      <w:r>
        <w:t xml:space="preserve">In </w:t>
      </w:r>
      <w:r w:rsidR="00E32BE7">
        <w:rPr>
          <w:i/>
        </w:rPr>
        <w:t>Industry and manufacturing</w:t>
      </w:r>
      <w:r w:rsidR="00F95C83">
        <w:t xml:space="preserve">, PD 7974-7 appears to overestimate the trends obtained in </w:t>
      </w:r>
      <w:r w:rsidR="005300FF">
        <w:t>the UK</w:t>
      </w:r>
      <w:r w:rsidR="0008153A">
        <w:t xml:space="preserve"> and USA</w:t>
      </w:r>
      <w:r w:rsidR="005300FF">
        <w:t xml:space="preserve"> statistics and</w:t>
      </w:r>
      <w:r w:rsidR="00F95C83">
        <w:t xml:space="preserve"> if a power law is applied it shows a negative exp</w:t>
      </w:r>
      <w:r w:rsidR="00E32BE7">
        <w:t xml:space="preserve">onent instead of a positive one </w:t>
      </w:r>
      <w:r w:rsidR="005300FF">
        <w:t>with a R</w:t>
      </w:r>
      <w:r w:rsidR="005300FF" w:rsidRPr="00F95C83">
        <w:rPr>
          <w:vertAlign w:val="superscript"/>
        </w:rPr>
        <w:t>2</w:t>
      </w:r>
      <w:r w:rsidR="005300FF">
        <w:t xml:space="preserve"> equals to 0.055 </w:t>
      </w:r>
      <w:r w:rsidR="0008153A">
        <w:t xml:space="preserve">in UK and to 0.482 in USA </w:t>
      </w:r>
      <w:r w:rsidR="002E5C49">
        <w:t>(</w:t>
      </w:r>
      <w:r w:rsidR="0008153A">
        <w:fldChar w:fldCharType="begin"/>
      </w:r>
      <w:r w:rsidR="0008153A">
        <w:instrText xml:space="preserve"> REF _Ref14334088 \h </w:instrText>
      </w:r>
      <w:r w:rsidR="0008153A">
        <w:fldChar w:fldCharType="separate"/>
      </w:r>
      <w:r w:rsidR="00250859">
        <w:t xml:space="preserve">Table </w:t>
      </w:r>
      <w:r w:rsidR="00250859">
        <w:rPr>
          <w:noProof/>
        </w:rPr>
        <w:t>3</w:t>
      </w:r>
      <w:r w:rsidR="0008153A">
        <w:fldChar w:fldCharType="end"/>
      </w:r>
      <w:r w:rsidR="002E5C49">
        <w:t>)</w:t>
      </w:r>
      <w:r w:rsidR="00E32BE7">
        <w:t>.</w:t>
      </w:r>
      <w:r w:rsidR="00F95C83">
        <w:t xml:space="preserve"> The law which better describe</w:t>
      </w:r>
      <w:r w:rsidR="00E32BE7">
        <w:t>s the trend</w:t>
      </w:r>
      <w:r w:rsidR="0008153A">
        <w:t xml:space="preserve"> in UK</w:t>
      </w:r>
      <w:r w:rsidR="00225634">
        <w:t>, although still poorly,</w:t>
      </w:r>
      <w:r w:rsidR="00E32BE7">
        <w:t xml:space="preserve"> is a polynomial</w:t>
      </w:r>
      <w:r w:rsidR="00F95C83">
        <w:t xml:space="preserve"> of third order </w:t>
      </w:r>
      <w:r w:rsidR="00B8130B">
        <w:t>(</w:t>
      </w:r>
      <w:r w:rsidR="00F95C83">
        <w:t>R</w:t>
      </w:r>
      <w:r w:rsidR="00F95C83" w:rsidRPr="00F95C83">
        <w:rPr>
          <w:vertAlign w:val="superscript"/>
        </w:rPr>
        <w:t>2</w:t>
      </w:r>
      <w:r w:rsidR="00F95C83">
        <w:t xml:space="preserve"> </w:t>
      </w:r>
      <w:r w:rsidR="00B8130B">
        <w:t xml:space="preserve">= </w:t>
      </w:r>
      <w:r w:rsidR="00F95C83">
        <w:t>0.15</w:t>
      </w:r>
      <w:r w:rsidR="002E5C49">
        <w:t>5</w:t>
      </w:r>
      <w:r w:rsidR="00B8130B">
        <w:t>)</w:t>
      </w:r>
      <w:r w:rsidR="00F54CFE">
        <w:t xml:space="preserve"> (</w:t>
      </w:r>
      <w:r w:rsidR="002E5C49">
        <w:fldChar w:fldCharType="begin"/>
      </w:r>
      <w:r w:rsidR="002E5C49">
        <w:instrText xml:space="preserve"> REF _Ref17383294 \h </w:instrText>
      </w:r>
      <w:r w:rsidR="002E5C49">
        <w:fldChar w:fldCharType="separate"/>
      </w:r>
      <w:r w:rsidR="00250859" w:rsidRPr="00D92FA3">
        <w:t xml:space="preserve">Figure </w:t>
      </w:r>
      <w:r w:rsidR="00250859">
        <w:rPr>
          <w:noProof/>
        </w:rPr>
        <w:t>1</w:t>
      </w:r>
      <w:r w:rsidR="002E5C49">
        <w:fldChar w:fldCharType="end"/>
      </w:r>
      <w:r w:rsidR="00F54CFE">
        <w:t>)</w:t>
      </w:r>
      <w:r w:rsidR="00F95C83">
        <w:t>.</w:t>
      </w:r>
      <w:r w:rsidR="00CA17CD">
        <w:t xml:space="preserve"> </w:t>
      </w:r>
      <w:r w:rsidR="00E96831">
        <w:t xml:space="preserve"> In </w:t>
      </w:r>
      <w:r w:rsidR="00E96831" w:rsidRPr="00E32BE7">
        <w:rPr>
          <w:i/>
        </w:rPr>
        <w:t>Storage</w:t>
      </w:r>
      <w:r w:rsidR="00E96831">
        <w:t>, the highest curve is represented by the [Power(UK-</w:t>
      </w:r>
      <w:proofErr w:type="spellStart"/>
      <w:r w:rsidR="00E96831">
        <w:t>Rutstein</w:t>
      </w:r>
      <w:proofErr w:type="spellEnd"/>
      <w:r w:rsidR="00E96831">
        <w:t>)] obtained considering a positive exponent but PD 7974-7 assumes higher values th</w:t>
      </w:r>
      <w:r w:rsidR="00BF1CE9">
        <w:t>a</w:t>
      </w:r>
      <w:r w:rsidR="00E96831">
        <w:t>n the ones described in UK statistics where a second order polynomial function best approximates the data (R</w:t>
      </w:r>
      <w:r w:rsidR="00E96831" w:rsidRPr="00E32BE7">
        <w:rPr>
          <w:vertAlign w:val="superscript"/>
        </w:rPr>
        <w:t>2</w:t>
      </w:r>
      <w:r w:rsidR="00E96831">
        <w:t xml:space="preserve"> = 0.205) (</w:t>
      </w:r>
      <w:r w:rsidR="00E96831">
        <w:fldChar w:fldCharType="begin"/>
      </w:r>
      <w:r w:rsidR="00E96831">
        <w:instrText xml:space="preserve"> REF _Ref18319464 \h </w:instrText>
      </w:r>
      <w:r w:rsidR="00E96831">
        <w:fldChar w:fldCharType="separate"/>
      </w:r>
      <w:r w:rsidR="00250859">
        <w:t xml:space="preserve">Figure </w:t>
      </w:r>
      <w:r w:rsidR="00250859">
        <w:rPr>
          <w:noProof/>
        </w:rPr>
        <w:t>2</w:t>
      </w:r>
      <w:r w:rsidR="00E96831">
        <w:fldChar w:fldCharType="end"/>
      </w:r>
      <w:r w:rsidR="00E96831">
        <w:t>). In USA, the third order polynomial function (R</w:t>
      </w:r>
      <w:r w:rsidR="00E96831" w:rsidRPr="000B74CE">
        <w:rPr>
          <w:vertAlign w:val="superscript"/>
        </w:rPr>
        <w:t>2</w:t>
      </w:r>
      <w:r w:rsidR="00E96831">
        <w:t xml:space="preserve"> = 0.993) well describes the distribution (</w:t>
      </w:r>
      <w:r w:rsidR="00E96831">
        <w:fldChar w:fldCharType="begin"/>
      </w:r>
      <w:r w:rsidR="00E96831">
        <w:instrText xml:space="preserve"> REF _Ref14334088 \h </w:instrText>
      </w:r>
      <w:r w:rsidR="00E96831">
        <w:fldChar w:fldCharType="separate"/>
      </w:r>
      <w:r w:rsidR="00250859">
        <w:t xml:space="preserve">Table </w:t>
      </w:r>
      <w:r w:rsidR="00250859">
        <w:rPr>
          <w:noProof/>
        </w:rPr>
        <w:t>3</w:t>
      </w:r>
      <w:r w:rsidR="00E96831">
        <w:fldChar w:fldCharType="end"/>
      </w:r>
      <w:r w:rsidR="00E96831">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19744B" w14:paraId="4A093C42" w14:textId="77777777" w:rsidTr="00E96831">
        <w:trPr>
          <w:trHeight w:val="154"/>
        </w:trPr>
        <w:tc>
          <w:tcPr>
            <w:tcW w:w="4680" w:type="dxa"/>
          </w:tcPr>
          <w:p w14:paraId="087B1C01" w14:textId="77777777" w:rsidR="0019744B" w:rsidRDefault="0019744B" w:rsidP="00660802">
            <w:pPr>
              <w:jc w:val="center"/>
            </w:pPr>
            <w:r>
              <w:rPr>
                <w:noProof/>
                <w:lang w:eastAsia="en-GB"/>
              </w:rPr>
              <w:drawing>
                <wp:anchor distT="0" distB="0" distL="114300" distR="114300" simplePos="0" relativeHeight="251686912" behindDoc="0" locked="0" layoutInCell="1" allowOverlap="1" wp14:anchorId="06F80066" wp14:editId="032A14B6">
                  <wp:simplePos x="0" y="0"/>
                  <wp:positionH relativeFrom="column">
                    <wp:posOffset>-65405</wp:posOffset>
                  </wp:positionH>
                  <wp:positionV relativeFrom="paragraph">
                    <wp:posOffset>0</wp:posOffset>
                  </wp:positionV>
                  <wp:extent cx="2880000" cy="216000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C127B2">
              <w:rPr>
                <w:sz w:val="20"/>
              </w:rPr>
              <w:t xml:space="preserve"> </w:t>
            </w:r>
            <w:r>
              <w:rPr>
                <w:sz w:val="20"/>
              </w:rPr>
              <w:t>(</w:t>
            </w:r>
            <w:r w:rsidRPr="00C127B2">
              <w:rPr>
                <w:sz w:val="20"/>
              </w:rPr>
              <w:t>a)</w:t>
            </w:r>
          </w:p>
        </w:tc>
        <w:tc>
          <w:tcPr>
            <w:tcW w:w="4680" w:type="dxa"/>
          </w:tcPr>
          <w:p w14:paraId="75EE1785" w14:textId="77777777" w:rsidR="0019744B" w:rsidRDefault="0019744B" w:rsidP="00660802">
            <w:pPr>
              <w:jc w:val="center"/>
            </w:pPr>
            <w:r>
              <w:rPr>
                <w:noProof/>
                <w:lang w:eastAsia="en-GB"/>
              </w:rPr>
              <w:drawing>
                <wp:anchor distT="0" distB="0" distL="114300" distR="114300" simplePos="0" relativeHeight="251687936" behindDoc="0" locked="0" layoutInCell="1" allowOverlap="1" wp14:anchorId="2B018F60" wp14:editId="5C403A54">
                  <wp:simplePos x="0" y="0"/>
                  <wp:positionH relativeFrom="column">
                    <wp:posOffset>1676318421</wp:posOffset>
                  </wp:positionH>
                  <wp:positionV relativeFrom="paragraph">
                    <wp:posOffset>-640403434</wp:posOffset>
                  </wp:positionV>
                  <wp:extent cx="2880000" cy="216000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C127B2">
              <w:rPr>
                <w:sz w:val="20"/>
              </w:rPr>
              <w:t xml:space="preserve"> (b)</w:t>
            </w:r>
          </w:p>
        </w:tc>
      </w:tr>
    </w:tbl>
    <w:p w14:paraId="5F597C07" w14:textId="2F6399A9" w:rsidR="0019744B" w:rsidRPr="00123A85" w:rsidRDefault="0019744B" w:rsidP="0019744B">
      <w:pPr>
        <w:pStyle w:val="Caption"/>
      </w:pPr>
      <w:bookmarkStart w:id="3" w:name="_Ref17383294"/>
      <w:bookmarkStart w:id="4" w:name="_Toc18320435"/>
      <w:bookmarkStart w:id="5" w:name="_Toc28958221"/>
      <w:r w:rsidRPr="00D92FA3">
        <w:t xml:space="preserve">Figure </w:t>
      </w:r>
      <w:r w:rsidRPr="00D92FA3">
        <w:fldChar w:fldCharType="begin"/>
      </w:r>
      <w:r w:rsidRPr="00D92FA3">
        <w:instrText xml:space="preserve"> SEQ Figure \* ARABIC </w:instrText>
      </w:r>
      <w:r w:rsidRPr="00D92FA3">
        <w:fldChar w:fldCharType="separate"/>
      </w:r>
      <w:r w:rsidR="00250859">
        <w:rPr>
          <w:noProof/>
        </w:rPr>
        <w:t>1</w:t>
      </w:r>
      <w:r w:rsidRPr="00D92FA3">
        <w:fldChar w:fldCharType="end"/>
      </w:r>
      <w:bookmarkEnd w:id="3"/>
      <w:r w:rsidRPr="00D92FA3">
        <w:t>:</w:t>
      </w:r>
      <w:r>
        <w:t xml:space="preserve"> </w:t>
      </w:r>
      <w:r w:rsidR="00C971E1">
        <w:t xml:space="preserve">Frequency </w:t>
      </w:r>
      <w:r>
        <w:t>of fire starting</w:t>
      </w:r>
      <w:r w:rsidRPr="00D92FA3">
        <w:t xml:space="preserve"> </w:t>
      </w:r>
      <w:r w:rsidRPr="005754F9">
        <w:rPr>
          <w:i/>
        </w:rPr>
        <w:t>Industry and manufacturing</w:t>
      </w:r>
      <w:r>
        <w:t xml:space="preserve"> (a) </w:t>
      </w:r>
      <w:r w:rsidRPr="00D92FA3">
        <w:t>PD 7</w:t>
      </w:r>
      <w:r>
        <w:t>974-7 and UK statistics,</w:t>
      </w:r>
      <w:r w:rsidRPr="00D92FA3">
        <w:t xml:space="preserve"> (b) </w:t>
      </w:r>
      <w:r>
        <w:t>only UK</w:t>
      </w:r>
      <w:bookmarkEnd w:id="4"/>
      <w:bookmarkEnd w:id="5"/>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225634" w14:paraId="07845D98" w14:textId="77777777" w:rsidTr="00225634">
        <w:tc>
          <w:tcPr>
            <w:tcW w:w="4680" w:type="dxa"/>
          </w:tcPr>
          <w:p w14:paraId="1997268D" w14:textId="77777777" w:rsidR="00225634" w:rsidRDefault="00225634" w:rsidP="00CC6920">
            <w:pPr>
              <w:jc w:val="center"/>
            </w:pPr>
            <w:r>
              <w:rPr>
                <w:noProof/>
                <w:lang w:eastAsia="en-GB"/>
              </w:rPr>
              <w:drawing>
                <wp:anchor distT="0" distB="0" distL="114300" distR="114300" simplePos="0" relativeHeight="251706368" behindDoc="0" locked="0" layoutInCell="1" allowOverlap="1" wp14:anchorId="7C07566C" wp14:editId="78BA3751">
                  <wp:simplePos x="0" y="0"/>
                  <wp:positionH relativeFrom="column">
                    <wp:posOffset>-65405</wp:posOffset>
                  </wp:positionH>
                  <wp:positionV relativeFrom="paragraph">
                    <wp:posOffset>0</wp:posOffset>
                  </wp:positionV>
                  <wp:extent cx="2880000" cy="216000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163D68">
              <w:rPr>
                <w:sz w:val="20"/>
              </w:rPr>
              <w:t xml:space="preserve"> (a)</w:t>
            </w:r>
          </w:p>
        </w:tc>
        <w:tc>
          <w:tcPr>
            <w:tcW w:w="4680" w:type="dxa"/>
          </w:tcPr>
          <w:p w14:paraId="56AEB5E1" w14:textId="77777777" w:rsidR="00225634" w:rsidRDefault="00225634" w:rsidP="00CC6920">
            <w:pPr>
              <w:jc w:val="center"/>
            </w:pPr>
            <w:r>
              <w:rPr>
                <w:noProof/>
                <w:lang w:eastAsia="en-GB"/>
              </w:rPr>
              <w:drawing>
                <wp:anchor distT="0" distB="0" distL="114300" distR="114300" simplePos="0" relativeHeight="251707392" behindDoc="0" locked="0" layoutInCell="1" allowOverlap="1" wp14:anchorId="4114864C" wp14:editId="702FC916">
                  <wp:simplePos x="0" y="0"/>
                  <wp:positionH relativeFrom="column">
                    <wp:posOffset>-68328</wp:posOffset>
                  </wp:positionH>
                  <wp:positionV relativeFrom="paragraph">
                    <wp:posOffset>-374</wp:posOffset>
                  </wp:positionV>
                  <wp:extent cx="2880000" cy="2160000"/>
                  <wp:effectExtent l="0" t="0" r="0" b="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163D68">
              <w:rPr>
                <w:sz w:val="20"/>
              </w:rPr>
              <w:t xml:space="preserve"> (b)</w:t>
            </w:r>
          </w:p>
        </w:tc>
      </w:tr>
    </w:tbl>
    <w:p w14:paraId="5D24BD5B" w14:textId="57DAB3ED" w:rsidR="00225634" w:rsidRDefault="00225634" w:rsidP="008E6DFC">
      <w:bookmarkStart w:id="6" w:name="_Ref18319464"/>
      <w:bookmarkStart w:id="7" w:name="_Toc18320436"/>
      <w:bookmarkStart w:id="8" w:name="_Toc28958222"/>
      <w:r>
        <w:t xml:space="preserve">Figure </w:t>
      </w:r>
      <w:r>
        <w:fldChar w:fldCharType="begin"/>
      </w:r>
      <w:r>
        <w:instrText xml:space="preserve"> SEQ Figure \* ARABIC </w:instrText>
      </w:r>
      <w:r>
        <w:fldChar w:fldCharType="separate"/>
      </w:r>
      <w:r w:rsidR="00250859">
        <w:rPr>
          <w:noProof/>
        </w:rPr>
        <w:t>2</w:t>
      </w:r>
      <w:r>
        <w:rPr>
          <w:noProof/>
        </w:rPr>
        <w:fldChar w:fldCharType="end"/>
      </w:r>
      <w:bookmarkEnd w:id="6"/>
      <w:r>
        <w:t xml:space="preserve">: </w:t>
      </w:r>
      <w:r w:rsidR="00C971E1">
        <w:t xml:space="preserve">Frequency </w:t>
      </w:r>
      <w:r>
        <w:t xml:space="preserve">of fire starting </w:t>
      </w:r>
      <w:r w:rsidRPr="005754F9">
        <w:rPr>
          <w:i/>
        </w:rPr>
        <w:t>Storage</w:t>
      </w:r>
      <w:r>
        <w:t xml:space="preserve"> (a) PD 7974-7 and UK statistics, (b) only UK</w:t>
      </w:r>
      <w:bookmarkEnd w:id="7"/>
      <w:bookmarkEnd w:id="8"/>
    </w:p>
    <w:p w14:paraId="5F98AFDB" w14:textId="69AFD539" w:rsidR="009732FB" w:rsidRDefault="00EC0637" w:rsidP="00EC0637">
      <w:r>
        <w:t xml:space="preserve">The </w:t>
      </w:r>
      <w:r w:rsidR="00C971E1">
        <w:t xml:space="preserve">frequency </w:t>
      </w:r>
      <w:r>
        <w:t xml:space="preserve">of fire in </w:t>
      </w:r>
      <w:r w:rsidRPr="00F54CFE">
        <w:rPr>
          <w:i/>
        </w:rPr>
        <w:t>Shops</w:t>
      </w:r>
      <w:r>
        <w:t xml:space="preserve"> according to PD 7974-7 is equal to 100% for a total floor space greater than 15,000 m</w:t>
      </w:r>
      <w:r w:rsidRPr="00C40971">
        <w:rPr>
          <w:vertAlign w:val="superscript"/>
        </w:rPr>
        <w:t>2</w:t>
      </w:r>
      <w:r>
        <w:t xml:space="preserve"> and when the UK statistics trends are drawn, they usually have </w:t>
      </w:r>
      <w:r w:rsidR="00C971E1">
        <w:t xml:space="preserve">percentages </w:t>
      </w:r>
      <w:r>
        <w:t xml:space="preserve">lower than 2%. In particular, the functions which better describe the data are the </w:t>
      </w:r>
      <w:r>
        <w:lastRenderedPageBreak/>
        <w:t xml:space="preserve">power law with positive exponent </w:t>
      </w:r>
      <w:r w:rsidR="00225634">
        <w:t>(</w:t>
      </w:r>
      <w:r w:rsidR="00225634" w:rsidRPr="00225634">
        <w:t>R</w:t>
      </w:r>
      <w:r w:rsidR="00225634" w:rsidRPr="00225634">
        <w:rPr>
          <w:vertAlign w:val="superscript"/>
        </w:rPr>
        <w:t>2</w:t>
      </w:r>
      <w:r w:rsidR="00225634">
        <w:rPr>
          <w:vertAlign w:val="superscript"/>
        </w:rPr>
        <w:t xml:space="preserve"> </w:t>
      </w:r>
      <w:r w:rsidR="00225634">
        <w:t xml:space="preserve">= </w:t>
      </w:r>
      <w:r w:rsidRPr="00225634">
        <w:t>0</w:t>
      </w:r>
      <w:r>
        <w:t>.262</w:t>
      </w:r>
      <w:r w:rsidR="00225634">
        <w:t>)</w:t>
      </w:r>
      <w:r>
        <w:t xml:space="preserve"> and a second order polynomial </w:t>
      </w:r>
      <w:r w:rsidR="00225634">
        <w:t>(</w:t>
      </w:r>
      <w:r>
        <w:t>R</w:t>
      </w:r>
      <w:r w:rsidRPr="00F54CFE">
        <w:rPr>
          <w:vertAlign w:val="superscript"/>
        </w:rPr>
        <w:t>2</w:t>
      </w:r>
      <w:r>
        <w:t xml:space="preserve"> </w:t>
      </w:r>
      <w:r w:rsidR="00225634">
        <w:t>=</w:t>
      </w:r>
      <w:r>
        <w:t xml:space="preserve"> 0.449</w:t>
      </w:r>
      <w:r w:rsidR="00225634">
        <w:t>)</w:t>
      </w:r>
      <w:r w:rsidR="00E10FD6">
        <w:t xml:space="preserve"> (</w:t>
      </w:r>
      <w:r>
        <w:fldChar w:fldCharType="begin"/>
      </w:r>
      <w:r>
        <w:instrText xml:space="preserve"> REF _Ref14336745 \h </w:instrText>
      </w:r>
      <w:r>
        <w:fldChar w:fldCharType="separate"/>
      </w:r>
      <w:r w:rsidR="00250859">
        <w:t xml:space="preserve">Figure </w:t>
      </w:r>
      <w:r w:rsidR="00250859">
        <w:rPr>
          <w:noProof/>
        </w:rPr>
        <w:t>3</w:t>
      </w:r>
      <w:r>
        <w:fldChar w:fldCharType="end"/>
      </w:r>
      <w:r w:rsidR="00E10FD6">
        <w:t>)</w:t>
      </w:r>
      <w:r>
        <w:t xml:space="preserve"> where the building stock is</w:t>
      </w:r>
      <w:r w:rsidR="00E10FD6">
        <w:t xml:space="preserve"> </w:t>
      </w:r>
      <w:r>
        <w:t>concentrated up to 10,000 m</w:t>
      </w:r>
      <w:r w:rsidRPr="00A26FDC">
        <w:rPr>
          <w:vertAlign w:val="superscript"/>
        </w:rPr>
        <w:t>2</w:t>
      </w:r>
      <w:r>
        <w:t xml:space="preserve"> building total floor space.</w:t>
      </w:r>
      <w:r w:rsidR="00064292">
        <w:t xml:space="preserve"> </w:t>
      </w:r>
      <w:r w:rsidR="006E2169">
        <w:t xml:space="preserve">In </w:t>
      </w:r>
      <w:r w:rsidR="006E2169" w:rsidRPr="00F54CFE">
        <w:rPr>
          <w:i/>
        </w:rPr>
        <w:t>Offices</w:t>
      </w:r>
      <w:r w:rsidR="006E2169">
        <w:t xml:space="preserve">, considerations are as similar as the ones already expressed for </w:t>
      </w:r>
      <w:r w:rsidR="006E2169" w:rsidRPr="00F54CFE">
        <w:rPr>
          <w:i/>
        </w:rPr>
        <w:t>Shops</w:t>
      </w:r>
      <w:r w:rsidR="006E2169">
        <w:t xml:space="preserve"> where the PD 7974-7 power law present</w:t>
      </w:r>
      <w:r w:rsidR="003E3CEC">
        <w:t>s</w:t>
      </w:r>
      <w:r w:rsidR="006E2169">
        <w:t xml:space="preserve"> a </w:t>
      </w:r>
      <w:r w:rsidR="00C971E1">
        <w:t xml:space="preserve">frequency </w:t>
      </w:r>
      <w:r w:rsidR="006E2169">
        <w:t xml:space="preserve">of fire greater than 70% for a total floor space </w:t>
      </w:r>
      <w:r w:rsidR="00F92EF6">
        <w:t xml:space="preserve">of </w:t>
      </w:r>
      <w:r w:rsidR="006E2169">
        <w:t>35,000 m</w:t>
      </w:r>
      <w:r w:rsidR="006E2169" w:rsidRPr="00DF7E78">
        <w:rPr>
          <w:vertAlign w:val="superscript"/>
        </w:rPr>
        <w:t>2</w:t>
      </w:r>
      <w:r w:rsidR="006E2169">
        <w:t xml:space="preserve">. The only difference in this property type is that the function which better describes the UK statistics is a power law </w:t>
      </w:r>
      <w:r w:rsidR="00B8130B">
        <w:t>(</w:t>
      </w:r>
      <w:r w:rsidR="006E2169">
        <w:t>R</w:t>
      </w:r>
      <w:r w:rsidR="006E2169" w:rsidRPr="00F54CFE">
        <w:rPr>
          <w:vertAlign w:val="superscript"/>
        </w:rPr>
        <w:t>2</w:t>
      </w:r>
      <w:r w:rsidR="002E5C49">
        <w:t xml:space="preserve"> </w:t>
      </w:r>
      <w:r w:rsidR="00B8130B">
        <w:t>=</w:t>
      </w:r>
      <w:r w:rsidR="002E5C49">
        <w:t xml:space="preserve"> 0.835</w:t>
      </w:r>
      <w:r w:rsidR="00B8130B">
        <w:t>)</w:t>
      </w:r>
      <w:r w:rsidR="006E2169">
        <w:t xml:space="preserve"> while the </w:t>
      </w:r>
      <w:r w:rsidR="00B8130B">
        <w:t xml:space="preserve">second order </w:t>
      </w:r>
      <w:r w:rsidR="006E2169">
        <w:t xml:space="preserve">polynomial </w:t>
      </w:r>
      <w:r w:rsidR="00B8130B">
        <w:t>is less accurate (</w:t>
      </w:r>
      <w:r w:rsidR="006E2169">
        <w:t>R</w:t>
      </w:r>
      <w:r w:rsidR="006E2169" w:rsidRPr="00F54CFE">
        <w:rPr>
          <w:vertAlign w:val="superscript"/>
        </w:rPr>
        <w:t>2</w:t>
      </w:r>
      <w:r w:rsidR="002E5C49">
        <w:t xml:space="preserve"> </w:t>
      </w:r>
      <w:r w:rsidR="00B8130B">
        <w:t>=</w:t>
      </w:r>
      <w:r w:rsidR="002E5C49">
        <w:t xml:space="preserve"> 0.588</w:t>
      </w:r>
      <w:r w:rsidR="00B8130B">
        <w:t>)</w:t>
      </w:r>
      <w:r w:rsidR="006E2169">
        <w:t xml:space="preserve">. As shown in </w:t>
      </w:r>
      <w:r w:rsidR="006E2169">
        <w:fldChar w:fldCharType="begin"/>
      </w:r>
      <w:r w:rsidR="006E2169">
        <w:instrText xml:space="preserve"> REF _Ref14336852 \h </w:instrText>
      </w:r>
      <w:r w:rsidR="006E2169">
        <w:fldChar w:fldCharType="separate"/>
      </w:r>
      <w:r w:rsidR="00250859">
        <w:t xml:space="preserve">Figure </w:t>
      </w:r>
      <w:r w:rsidR="00250859">
        <w:rPr>
          <w:noProof/>
        </w:rPr>
        <w:t>4</w:t>
      </w:r>
      <w:r w:rsidR="006E2169">
        <w:fldChar w:fldCharType="end"/>
      </w:r>
      <w:r w:rsidR="006E2169">
        <w:t>, the power law derived considering only a positive exponent [</w:t>
      </w:r>
      <w:proofErr w:type="gramStart"/>
      <w:r w:rsidR="006E2169">
        <w:t>Power(</w:t>
      </w:r>
      <w:proofErr w:type="gramEnd"/>
      <w:r w:rsidR="006E2169">
        <w:t>UK-</w:t>
      </w:r>
      <w:proofErr w:type="spellStart"/>
      <w:r w:rsidR="006E2169">
        <w:t>Rutstein</w:t>
      </w:r>
      <w:proofErr w:type="spellEnd"/>
      <w:r w:rsidR="006E2169">
        <w:t xml:space="preserve">)] always </w:t>
      </w:r>
      <w:r w:rsidR="00B8130B">
        <w:t xml:space="preserve">has </w:t>
      </w:r>
      <w:r w:rsidR="006E2169">
        <w:t xml:space="preserve">values lower than 0.2% and it </w:t>
      </w:r>
      <w:r w:rsidR="001109F9">
        <w:t xml:space="preserve">is </w:t>
      </w:r>
      <w:r w:rsidR="006E2169">
        <w:t>not representative</w:t>
      </w:r>
      <w:r w:rsidR="00B8130B">
        <w:t xml:space="preserve"> of the data</w:t>
      </w:r>
      <w:r w:rsidR="006E2169">
        <w:t>.</w:t>
      </w:r>
      <w:r w:rsidR="00092809">
        <w:t xml:space="preserve"> In USA, these two property types have been recreated according to the one of </w:t>
      </w:r>
      <w:r w:rsidR="00092809" w:rsidRPr="00AD758B">
        <w:rPr>
          <w:i/>
        </w:rPr>
        <w:t>Mercantile, Business</w:t>
      </w:r>
      <w:r w:rsidR="00092809">
        <w:t xml:space="preserve"> present in the USA statistics</w:t>
      </w:r>
      <w:r w:rsidR="00B8130B">
        <w:t xml:space="preserve"> w</w:t>
      </w:r>
      <w:r w:rsidR="00AD758B">
        <w:t>here</w:t>
      </w:r>
      <w:r w:rsidR="00B8130B">
        <w:t xml:space="preserve"> </w:t>
      </w:r>
      <w:r w:rsidR="00AD758B">
        <w:t>t</w:t>
      </w:r>
      <w:r w:rsidR="00B8130B">
        <w:t>he power law (R</w:t>
      </w:r>
      <w:r w:rsidR="00B8130B" w:rsidRPr="00F54CFE">
        <w:rPr>
          <w:vertAlign w:val="superscript"/>
        </w:rPr>
        <w:t>2</w:t>
      </w:r>
      <w:r w:rsidR="00B8130B">
        <w:t xml:space="preserve"> = 0.927) and a third order polynomial function (R</w:t>
      </w:r>
      <w:r w:rsidR="00B8130B" w:rsidRPr="00F54CFE">
        <w:rPr>
          <w:vertAlign w:val="superscript"/>
        </w:rPr>
        <w:t>2</w:t>
      </w:r>
      <w:r w:rsidR="00B8130B">
        <w:t xml:space="preserve"> = 0.997) provide very good approximations</w:t>
      </w:r>
      <w:r w:rsidR="00AD758B">
        <w:t xml:space="preserve"> </w:t>
      </w:r>
      <w:r w:rsidR="00B8130B">
        <w:t>(</w:t>
      </w:r>
      <w:r w:rsidR="00B8130B">
        <w:fldChar w:fldCharType="begin"/>
      </w:r>
      <w:r w:rsidR="00B8130B">
        <w:instrText xml:space="preserve"> REF _Ref14334088 \h </w:instrText>
      </w:r>
      <w:r w:rsidR="00B8130B">
        <w:fldChar w:fldCharType="separate"/>
      </w:r>
      <w:r w:rsidR="00250859">
        <w:t xml:space="preserve">Table </w:t>
      </w:r>
      <w:r w:rsidR="00250859">
        <w:rPr>
          <w:noProof/>
        </w:rPr>
        <w:t>3</w:t>
      </w:r>
      <w:r w:rsidR="00B8130B">
        <w:fldChar w:fldCharType="end"/>
      </w:r>
      <w:r w:rsidR="00B8130B">
        <w:t>)</w:t>
      </w:r>
      <w:r w:rsidR="00092809">
        <w:t>. Again</w:t>
      </w:r>
      <w:r w:rsidR="002E5C49">
        <w:t>,</w:t>
      </w:r>
      <w:r w:rsidR="00092809">
        <w:t xml:space="preserve"> PD 7974-7 seems to </w:t>
      </w:r>
      <w:r w:rsidR="00B8130B">
        <w:t>be</w:t>
      </w:r>
      <w:r w:rsidR="00092809">
        <w:t xml:space="preserve"> very conservative</w:t>
      </w:r>
      <w:r w:rsidR="00B8130B">
        <w:t>.</w:t>
      </w:r>
      <w:r w:rsidR="00092809">
        <w:t xml:space="preserve"> </w:t>
      </w:r>
      <w:r w:rsidR="00B813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E6DFC" w14:paraId="305056A6" w14:textId="77777777" w:rsidTr="00336CF6">
        <w:tc>
          <w:tcPr>
            <w:tcW w:w="4542" w:type="dxa"/>
          </w:tcPr>
          <w:p w14:paraId="14F5C9DE" w14:textId="68842B07" w:rsidR="008E6DFC" w:rsidRDefault="008E6DFC" w:rsidP="00336CF6">
            <w:pPr>
              <w:jc w:val="center"/>
            </w:pPr>
            <w:r w:rsidRPr="00336CF6">
              <w:rPr>
                <w:noProof/>
                <w:sz w:val="20"/>
                <w:lang w:eastAsia="en-GB"/>
              </w:rPr>
              <w:drawing>
                <wp:anchor distT="0" distB="0" distL="114300" distR="114300" simplePos="0" relativeHeight="251666432" behindDoc="0" locked="0" layoutInCell="1" allowOverlap="1" wp14:anchorId="6B0742B8" wp14:editId="51FED42F">
                  <wp:simplePos x="0" y="0"/>
                  <wp:positionH relativeFrom="column">
                    <wp:posOffset>-65405</wp:posOffset>
                  </wp:positionH>
                  <wp:positionV relativeFrom="paragraph">
                    <wp:posOffset>12700</wp:posOffset>
                  </wp:positionV>
                  <wp:extent cx="2880000" cy="2160000"/>
                  <wp:effectExtent l="0" t="0" r="0" b="0"/>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336CF6">
              <w:rPr>
                <w:sz w:val="20"/>
              </w:rPr>
              <w:t>(a)</w:t>
            </w:r>
          </w:p>
        </w:tc>
        <w:tc>
          <w:tcPr>
            <w:tcW w:w="4474" w:type="dxa"/>
          </w:tcPr>
          <w:p w14:paraId="344E0631" w14:textId="77777777" w:rsidR="008E6DFC" w:rsidRDefault="008E6DFC" w:rsidP="00511C22">
            <w:pPr>
              <w:jc w:val="center"/>
            </w:pPr>
            <w:r>
              <w:rPr>
                <w:noProof/>
                <w:lang w:eastAsia="en-GB"/>
              </w:rPr>
              <w:drawing>
                <wp:anchor distT="0" distB="0" distL="114300" distR="114300" simplePos="0" relativeHeight="251663360" behindDoc="0" locked="0" layoutInCell="1" allowOverlap="1" wp14:anchorId="1D5361D7" wp14:editId="57C04057">
                  <wp:simplePos x="0" y="0"/>
                  <wp:positionH relativeFrom="column">
                    <wp:posOffset>-65405</wp:posOffset>
                  </wp:positionH>
                  <wp:positionV relativeFrom="paragraph">
                    <wp:posOffset>0</wp:posOffset>
                  </wp:positionV>
                  <wp:extent cx="2880000" cy="2160000"/>
                  <wp:effectExtent l="0" t="0" r="0" b="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DC1898">
              <w:rPr>
                <w:sz w:val="20"/>
              </w:rPr>
              <w:t xml:space="preserve"> (b)</w:t>
            </w:r>
          </w:p>
        </w:tc>
      </w:tr>
    </w:tbl>
    <w:p w14:paraId="1518F7C6" w14:textId="48DDDA88" w:rsidR="008E6DFC" w:rsidRDefault="008E6DFC" w:rsidP="008E6DFC">
      <w:pPr>
        <w:pStyle w:val="Caption"/>
      </w:pPr>
      <w:bookmarkStart w:id="9" w:name="_Ref14336745"/>
      <w:bookmarkStart w:id="10" w:name="_Toc14268831"/>
      <w:bookmarkStart w:id="11" w:name="_Toc14275629"/>
      <w:bookmarkStart w:id="12" w:name="_Toc14275756"/>
      <w:bookmarkStart w:id="13" w:name="_Toc14687032"/>
      <w:bookmarkStart w:id="14" w:name="_Toc18320437"/>
      <w:bookmarkStart w:id="15" w:name="_Toc28958223"/>
      <w:r>
        <w:t xml:space="preserve">Figure </w:t>
      </w:r>
      <w:r w:rsidR="00EA15CB">
        <w:fldChar w:fldCharType="begin"/>
      </w:r>
      <w:r w:rsidR="00EA15CB">
        <w:instrText xml:space="preserve"> SEQ Figure \* ARABIC </w:instrText>
      </w:r>
      <w:r w:rsidR="00EA15CB">
        <w:fldChar w:fldCharType="separate"/>
      </w:r>
      <w:r w:rsidR="00250859">
        <w:rPr>
          <w:noProof/>
        </w:rPr>
        <w:t>3</w:t>
      </w:r>
      <w:r w:rsidR="00EA15CB">
        <w:rPr>
          <w:noProof/>
        </w:rPr>
        <w:fldChar w:fldCharType="end"/>
      </w:r>
      <w:bookmarkEnd w:id="9"/>
      <w:r>
        <w:t xml:space="preserve">: </w:t>
      </w:r>
      <w:r w:rsidR="00C971E1">
        <w:t xml:space="preserve">Frequency </w:t>
      </w:r>
      <w:r>
        <w:t xml:space="preserve">of </w:t>
      </w:r>
      <w:r w:rsidR="00FC667F">
        <w:t xml:space="preserve">fire starting </w:t>
      </w:r>
      <w:r w:rsidR="00FC667F" w:rsidRPr="005754F9">
        <w:rPr>
          <w:i/>
        </w:rPr>
        <w:t>Shops</w:t>
      </w:r>
      <w:r w:rsidR="00FC667F">
        <w:t xml:space="preserve"> (a) </w:t>
      </w:r>
      <w:r>
        <w:t>PD 7</w:t>
      </w:r>
      <w:r w:rsidR="005754F9">
        <w:t xml:space="preserve">974-7 and UK </w:t>
      </w:r>
      <w:r w:rsidR="00FC667F">
        <w:t>statistics,</w:t>
      </w:r>
      <w:r>
        <w:t xml:space="preserve"> (b) </w:t>
      </w:r>
      <w:bookmarkEnd w:id="10"/>
      <w:bookmarkEnd w:id="11"/>
      <w:bookmarkEnd w:id="12"/>
      <w:r w:rsidR="00FC667F">
        <w:t>only UK</w:t>
      </w:r>
      <w:bookmarkEnd w:id="13"/>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E6DFC" w14:paraId="04B852D5" w14:textId="77777777" w:rsidTr="00A26FDC">
        <w:tc>
          <w:tcPr>
            <w:tcW w:w="7816" w:type="dxa"/>
          </w:tcPr>
          <w:p w14:paraId="5389930F" w14:textId="77777777" w:rsidR="008E6DFC" w:rsidRDefault="008E6DFC" w:rsidP="00511C22">
            <w:pPr>
              <w:jc w:val="center"/>
            </w:pPr>
            <w:r>
              <w:rPr>
                <w:noProof/>
                <w:lang w:eastAsia="en-GB"/>
              </w:rPr>
              <w:drawing>
                <wp:anchor distT="0" distB="0" distL="114300" distR="114300" simplePos="0" relativeHeight="251664384" behindDoc="0" locked="0" layoutInCell="1" allowOverlap="1" wp14:anchorId="1C8CA9B9" wp14:editId="0DB94224">
                  <wp:simplePos x="0" y="0"/>
                  <wp:positionH relativeFrom="column">
                    <wp:posOffset>-65405</wp:posOffset>
                  </wp:positionH>
                  <wp:positionV relativeFrom="paragraph">
                    <wp:posOffset>0</wp:posOffset>
                  </wp:positionV>
                  <wp:extent cx="2880000" cy="2160000"/>
                  <wp:effectExtent l="0" t="0" r="0" b="0"/>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780F61">
              <w:rPr>
                <w:sz w:val="20"/>
              </w:rPr>
              <w:t xml:space="preserve"> (a)</w:t>
            </w:r>
          </w:p>
        </w:tc>
        <w:tc>
          <w:tcPr>
            <w:tcW w:w="1200" w:type="dxa"/>
          </w:tcPr>
          <w:p w14:paraId="5FDB8CE0" w14:textId="77777777" w:rsidR="008E6DFC" w:rsidRDefault="008E6DFC" w:rsidP="00511C22">
            <w:pPr>
              <w:jc w:val="center"/>
            </w:pPr>
            <w:r>
              <w:rPr>
                <w:noProof/>
                <w:lang w:eastAsia="en-GB"/>
              </w:rPr>
              <w:drawing>
                <wp:anchor distT="0" distB="0" distL="114300" distR="114300" simplePos="0" relativeHeight="251665408" behindDoc="0" locked="0" layoutInCell="1" allowOverlap="1" wp14:anchorId="532DD715" wp14:editId="6020F546">
                  <wp:simplePos x="0" y="0"/>
                  <wp:positionH relativeFrom="column">
                    <wp:posOffset>-65405</wp:posOffset>
                  </wp:positionH>
                  <wp:positionV relativeFrom="paragraph">
                    <wp:posOffset>0</wp:posOffset>
                  </wp:positionV>
                  <wp:extent cx="2880000" cy="2160000"/>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780F61">
              <w:rPr>
                <w:sz w:val="20"/>
              </w:rPr>
              <w:t xml:space="preserve"> (b)</w:t>
            </w:r>
          </w:p>
        </w:tc>
      </w:tr>
    </w:tbl>
    <w:p w14:paraId="1B94AA66" w14:textId="09765E82" w:rsidR="009732FB" w:rsidRDefault="008E6DFC">
      <w:pPr>
        <w:pStyle w:val="Caption"/>
      </w:pPr>
      <w:bookmarkStart w:id="16" w:name="_Ref14336852"/>
      <w:bookmarkStart w:id="17" w:name="_Toc14268832"/>
      <w:bookmarkStart w:id="18" w:name="_Toc14275630"/>
      <w:bookmarkStart w:id="19" w:name="_Toc14275757"/>
      <w:bookmarkStart w:id="20" w:name="_Toc18320438"/>
      <w:bookmarkStart w:id="21" w:name="_Toc28958224"/>
      <w:bookmarkStart w:id="22" w:name="_Toc14687033"/>
      <w:r>
        <w:t xml:space="preserve">Figure </w:t>
      </w:r>
      <w:r w:rsidR="00EA15CB">
        <w:fldChar w:fldCharType="begin"/>
      </w:r>
      <w:r w:rsidR="00EA15CB">
        <w:instrText xml:space="preserve"> SEQ Figure \* ARABIC </w:instrText>
      </w:r>
      <w:r w:rsidR="00EA15CB">
        <w:fldChar w:fldCharType="separate"/>
      </w:r>
      <w:r w:rsidR="00250859">
        <w:rPr>
          <w:noProof/>
        </w:rPr>
        <w:t>4</w:t>
      </w:r>
      <w:r w:rsidR="00EA15CB">
        <w:rPr>
          <w:noProof/>
        </w:rPr>
        <w:fldChar w:fldCharType="end"/>
      </w:r>
      <w:bookmarkEnd w:id="16"/>
      <w:r>
        <w:t xml:space="preserve">: </w:t>
      </w:r>
      <w:r w:rsidR="00C971E1">
        <w:t xml:space="preserve">Frequency </w:t>
      </w:r>
      <w:r w:rsidR="00FC667F">
        <w:t xml:space="preserve">of fire starting </w:t>
      </w:r>
      <w:r w:rsidR="00FC667F" w:rsidRPr="005754F9">
        <w:rPr>
          <w:i/>
        </w:rPr>
        <w:t>Offices</w:t>
      </w:r>
      <w:r w:rsidR="00FC667F">
        <w:t xml:space="preserve"> (a) </w:t>
      </w:r>
      <w:r>
        <w:t>PD 7974-7 and UK statistics</w:t>
      </w:r>
      <w:r w:rsidR="00FC667F">
        <w:t>,</w:t>
      </w:r>
      <w:r>
        <w:t xml:space="preserve"> (b) </w:t>
      </w:r>
      <w:bookmarkEnd w:id="17"/>
      <w:bookmarkEnd w:id="18"/>
      <w:bookmarkEnd w:id="19"/>
      <w:r w:rsidR="00FC667F">
        <w:t>only UK</w:t>
      </w:r>
      <w:bookmarkEnd w:id="20"/>
      <w:bookmarkEnd w:id="21"/>
      <w:r w:rsidR="00F95C83">
        <w:t xml:space="preserve"> </w:t>
      </w:r>
      <w:bookmarkEnd w:id="22"/>
    </w:p>
    <w:p w14:paraId="0B4C8E06" w14:textId="73C36FB8" w:rsidR="00EF2578" w:rsidRPr="00225634" w:rsidRDefault="00225634" w:rsidP="00E736A9">
      <w:r>
        <w:t xml:space="preserve">While in the </w:t>
      </w:r>
      <w:r w:rsidR="00C44B7B">
        <w:t>most</w:t>
      </w:r>
      <w:r>
        <w:t xml:space="preserve"> property types PD 7974-7 overestimates </w:t>
      </w:r>
      <w:r w:rsidR="00C44B7B">
        <w:t xml:space="preserve">contemporary </w:t>
      </w:r>
      <w:r w:rsidRPr="002E5C49">
        <w:t xml:space="preserve">UK statistics, in </w:t>
      </w:r>
      <w:r w:rsidRPr="002E5C49">
        <w:rPr>
          <w:i/>
        </w:rPr>
        <w:t>Hospitals</w:t>
      </w:r>
      <w:r w:rsidRPr="002E5C49">
        <w:t xml:space="preserve"> th</w:t>
      </w:r>
      <w:r w:rsidR="00FD1F83">
        <w:t>is</w:t>
      </w:r>
      <w:r w:rsidRPr="002E5C49">
        <w:t xml:space="preserve"> </w:t>
      </w:r>
      <w:r w:rsidR="00FD1F83">
        <w:t>overestimation is</w:t>
      </w:r>
      <w:r>
        <w:t xml:space="preserve"> not as </w:t>
      </w:r>
      <w:r w:rsidR="00FD1F83">
        <w:t>obvious</w:t>
      </w:r>
      <w:r w:rsidR="000E79B2">
        <w:t>,</w:t>
      </w:r>
      <w:r>
        <w:t xml:space="preserve"> as shown in </w:t>
      </w:r>
      <w:r>
        <w:fldChar w:fldCharType="begin"/>
      </w:r>
      <w:r>
        <w:instrText xml:space="preserve"> REF _Ref14337908 \h </w:instrText>
      </w:r>
      <w:r>
        <w:fldChar w:fldCharType="separate"/>
      </w:r>
      <w:r w:rsidR="00250859">
        <w:t xml:space="preserve">Figure </w:t>
      </w:r>
      <w:r w:rsidR="00250859">
        <w:rPr>
          <w:noProof/>
        </w:rPr>
        <w:t>5</w:t>
      </w:r>
      <w:r>
        <w:fldChar w:fldCharType="end"/>
      </w:r>
      <w:r>
        <w:t xml:space="preserve">. When the UK statistics trends are plotted, it appears that the </w:t>
      </w:r>
      <w:r w:rsidR="000E79B2">
        <w:t xml:space="preserve">best fit </w:t>
      </w:r>
      <w:r>
        <w:t xml:space="preserve">is a </w:t>
      </w:r>
      <w:r w:rsidR="001109F9">
        <w:t>third</w:t>
      </w:r>
      <w:r>
        <w:t xml:space="preserve"> order polynomial </w:t>
      </w:r>
      <w:r w:rsidR="000E79B2">
        <w:t>(R</w:t>
      </w:r>
      <w:r w:rsidR="000E79B2" w:rsidRPr="00BE1EC0">
        <w:rPr>
          <w:vertAlign w:val="superscript"/>
        </w:rPr>
        <w:t>2</w:t>
      </w:r>
      <w:r w:rsidR="000E79B2">
        <w:t xml:space="preserve"> = 0.</w:t>
      </w:r>
      <w:r w:rsidR="001109F9">
        <w:t>999</w:t>
      </w:r>
      <w:r w:rsidR="000E79B2">
        <w:t>)</w:t>
      </w:r>
      <w:r>
        <w:t xml:space="preserve"> followed by a power law with positive exponent </w:t>
      </w:r>
      <w:r w:rsidR="000E79B2">
        <w:t>(</w:t>
      </w:r>
      <w:r>
        <w:t>R</w:t>
      </w:r>
      <w:r w:rsidRPr="00BE1EC0">
        <w:rPr>
          <w:vertAlign w:val="superscript"/>
        </w:rPr>
        <w:t>2</w:t>
      </w:r>
      <w:r>
        <w:t xml:space="preserve"> </w:t>
      </w:r>
      <w:r w:rsidR="000E79B2">
        <w:t>=</w:t>
      </w:r>
      <w:r>
        <w:t xml:space="preserve"> 0.</w:t>
      </w:r>
      <w:r w:rsidR="001109F9">
        <w:t>442</w:t>
      </w:r>
      <w:r w:rsidR="000E79B2">
        <w:t>)</w:t>
      </w:r>
      <w:r w:rsidR="00B27EA8">
        <w:t xml:space="preserve"> </w:t>
      </w:r>
      <w:r w:rsidR="0059060A" w:rsidRPr="007520ED">
        <w:t>which shows a systematic pattern of the residuals and fits</w:t>
      </w:r>
      <w:r w:rsidR="00B27EA8" w:rsidRPr="007520ED">
        <w:t xml:space="preserve"> the data poorly</w:t>
      </w:r>
      <w:r w:rsidRPr="007520ED">
        <w:t>.</w:t>
      </w:r>
      <w:r>
        <w:t xml:space="preserve"> In USA, the class of </w:t>
      </w:r>
      <w:r w:rsidRPr="00AD758B">
        <w:rPr>
          <w:i/>
          <w:iCs/>
        </w:rPr>
        <w:t>Hospitals</w:t>
      </w:r>
      <w:r>
        <w:t xml:space="preserve"> has been compared to the one of </w:t>
      </w:r>
      <w:r w:rsidRPr="005731EB">
        <w:rPr>
          <w:i/>
        </w:rPr>
        <w:t>Health care, Detention and Correction</w:t>
      </w:r>
      <w:r>
        <w:t xml:space="preserve"> where even in this statistics, a power law and a second order polynomial function well approximate the distribution</w:t>
      </w:r>
      <w:r w:rsidR="000E79B2">
        <w:t>s</w:t>
      </w:r>
      <w:r>
        <w:t xml:space="preserve"> </w:t>
      </w:r>
      <w:r w:rsidR="000E79B2">
        <w:t>(</w:t>
      </w:r>
      <w:r>
        <w:t>R</w:t>
      </w:r>
      <w:r w:rsidRPr="005731EB">
        <w:rPr>
          <w:vertAlign w:val="superscript"/>
        </w:rPr>
        <w:t>2</w:t>
      </w:r>
      <w:r>
        <w:t xml:space="preserve"> </w:t>
      </w:r>
      <w:r w:rsidR="000E79B2">
        <w:t>=</w:t>
      </w:r>
      <w:r>
        <w:t xml:space="preserve"> 0.839</w:t>
      </w:r>
      <w:r w:rsidR="000E79B2">
        <w:t>,</w:t>
      </w:r>
      <w:r>
        <w:t xml:space="preserve"> and </w:t>
      </w:r>
      <w:r w:rsidR="000E79B2">
        <w:t>R</w:t>
      </w:r>
      <w:r w:rsidR="000E79B2" w:rsidRPr="005731EB">
        <w:rPr>
          <w:vertAlign w:val="superscript"/>
        </w:rPr>
        <w:t>2</w:t>
      </w:r>
      <w:r w:rsidR="000E79B2">
        <w:t xml:space="preserve"> = </w:t>
      </w:r>
      <w:r>
        <w:lastRenderedPageBreak/>
        <w:t>0.742, respectively</w:t>
      </w:r>
      <w:r w:rsidR="000E79B2">
        <w:t>)</w:t>
      </w:r>
      <w:r>
        <w:t xml:space="preserve"> as shown in </w:t>
      </w:r>
      <w:r>
        <w:fldChar w:fldCharType="begin"/>
      </w:r>
      <w:r>
        <w:instrText xml:space="preserve"> REF _Ref14334088 \h </w:instrText>
      </w:r>
      <w:r>
        <w:fldChar w:fldCharType="separate"/>
      </w:r>
      <w:r w:rsidR="00250859">
        <w:t xml:space="preserve">Table </w:t>
      </w:r>
      <w:r w:rsidR="00250859">
        <w:rPr>
          <w:noProof/>
        </w:rPr>
        <w:t>3</w:t>
      </w:r>
      <w:r>
        <w:fldChar w:fldCharType="end"/>
      </w:r>
      <w:r>
        <w:t>.</w:t>
      </w:r>
      <w:r w:rsidR="004C2FC5">
        <w:t xml:space="preserve"> </w:t>
      </w:r>
      <w:r w:rsidR="00EF2578">
        <w:t xml:space="preserve">Finally, as in </w:t>
      </w:r>
      <w:r w:rsidR="00EF2578" w:rsidRPr="00087479">
        <w:rPr>
          <w:i/>
        </w:rPr>
        <w:t>Hospitals</w:t>
      </w:r>
      <w:r w:rsidR="00EF2578">
        <w:t xml:space="preserve">, </w:t>
      </w:r>
      <w:r w:rsidR="000E79B2">
        <w:t xml:space="preserve">the UK statistics for </w:t>
      </w:r>
      <w:r w:rsidR="00EF2578" w:rsidRPr="00087479">
        <w:rPr>
          <w:i/>
        </w:rPr>
        <w:t>Schools</w:t>
      </w:r>
      <w:r w:rsidR="00EF2578">
        <w:t xml:space="preserve"> again </w:t>
      </w:r>
      <w:r w:rsidR="00F92EF6">
        <w:t>is</w:t>
      </w:r>
      <w:r w:rsidR="000E79B2">
        <w:t xml:space="preserve"> similar to </w:t>
      </w:r>
      <w:r w:rsidR="00EF2578">
        <w:t xml:space="preserve">PD 7974-7 </w:t>
      </w:r>
      <w:r w:rsidR="000E79B2">
        <w:t>trends</w:t>
      </w:r>
      <w:r w:rsidR="00EF2578">
        <w:t xml:space="preserve"> especially for the </w:t>
      </w:r>
      <w:r w:rsidR="00C971E1">
        <w:t xml:space="preserve">frequency </w:t>
      </w:r>
      <w:r w:rsidR="00EF2578">
        <w:t>of fire up to 2,000 m</w:t>
      </w:r>
      <w:r w:rsidR="00EF2578" w:rsidRPr="00BE1EC0">
        <w:rPr>
          <w:vertAlign w:val="superscript"/>
        </w:rPr>
        <w:t xml:space="preserve">2 </w:t>
      </w:r>
      <w:r w:rsidR="00EF2578">
        <w:t xml:space="preserve">as shown in </w:t>
      </w:r>
      <w:r w:rsidR="00EF2578">
        <w:fldChar w:fldCharType="begin"/>
      </w:r>
      <w:r w:rsidR="00EF2578">
        <w:instrText xml:space="preserve"> REF _Ref14338243 \h </w:instrText>
      </w:r>
      <w:r w:rsidR="00EF2578">
        <w:fldChar w:fldCharType="separate"/>
      </w:r>
      <w:r w:rsidR="00250859">
        <w:t xml:space="preserve">Figure </w:t>
      </w:r>
      <w:r w:rsidR="00250859">
        <w:rPr>
          <w:noProof/>
        </w:rPr>
        <w:t>6</w:t>
      </w:r>
      <w:r w:rsidR="00EF2578">
        <w:fldChar w:fldCharType="end"/>
      </w:r>
      <w:r w:rsidR="00EF2578">
        <w:t xml:space="preserve"> (a). In </w:t>
      </w:r>
      <w:r w:rsidR="00EF2578">
        <w:fldChar w:fldCharType="begin"/>
      </w:r>
      <w:r w:rsidR="00EF2578">
        <w:instrText xml:space="preserve"> REF _Ref14338243 \h </w:instrText>
      </w:r>
      <w:r w:rsidR="00EF2578">
        <w:fldChar w:fldCharType="separate"/>
      </w:r>
      <w:r w:rsidR="00250859">
        <w:t xml:space="preserve">Figure </w:t>
      </w:r>
      <w:r w:rsidR="00250859">
        <w:rPr>
          <w:noProof/>
        </w:rPr>
        <w:t>6</w:t>
      </w:r>
      <w:r w:rsidR="00EF2578">
        <w:fldChar w:fldCharType="end"/>
      </w:r>
      <w:r w:rsidR="00EF2578">
        <w:t xml:space="preserve"> (b), a </w:t>
      </w:r>
      <w:r w:rsidR="00595026">
        <w:t xml:space="preserve">polynomial </w:t>
      </w:r>
      <w:r w:rsidR="00EF2578">
        <w:t xml:space="preserve">law of third order </w:t>
      </w:r>
      <w:r w:rsidR="000E79B2">
        <w:t xml:space="preserve">approximates the data </w:t>
      </w:r>
      <w:r w:rsidR="00871520">
        <w:t xml:space="preserve">with </w:t>
      </w:r>
      <w:r w:rsidR="00EF2578">
        <w:t>R</w:t>
      </w:r>
      <w:r w:rsidR="00EF2578" w:rsidRPr="00BE1EC0">
        <w:rPr>
          <w:vertAlign w:val="superscript"/>
        </w:rPr>
        <w:t>2</w:t>
      </w:r>
      <w:r w:rsidR="00871520">
        <w:t xml:space="preserve"> equals to</w:t>
      </w:r>
      <w:r w:rsidR="00EF2578">
        <w:t xml:space="preserve"> 0.718</w:t>
      </w:r>
      <w:r w:rsidR="000E79B2">
        <w:t>, s</w:t>
      </w:r>
      <w:r w:rsidR="00EF2578">
        <w:t xml:space="preserve">imilar to USA where a cubic function </w:t>
      </w:r>
      <w:r w:rsidR="00871520">
        <w:t xml:space="preserve">presents a </w:t>
      </w:r>
      <w:r w:rsidR="00EF2578">
        <w:t>R</w:t>
      </w:r>
      <w:r w:rsidR="00EF2578" w:rsidRPr="005731EB">
        <w:rPr>
          <w:vertAlign w:val="superscript"/>
        </w:rPr>
        <w:t>2</w:t>
      </w:r>
      <w:r w:rsidR="00EF2578">
        <w:t xml:space="preserve"> </w:t>
      </w:r>
      <w:r w:rsidR="00871520" w:rsidRPr="007520ED">
        <w:t>of</w:t>
      </w:r>
      <w:r w:rsidR="00EF2578" w:rsidRPr="007520ED">
        <w:t xml:space="preserve"> 0.983 and a power law </w:t>
      </w:r>
      <w:r w:rsidR="00871520" w:rsidRPr="007520ED">
        <w:t xml:space="preserve">a </w:t>
      </w:r>
      <w:r w:rsidR="00EF2578" w:rsidRPr="007520ED">
        <w:t>R</w:t>
      </w:r>
      <w:r w:rsidR="00EF2578" w:rsidRPr="007520ED">
        <w:rPr>
          <w:vertAlign w:val="superscript"/>
        </w:rPr>
        <w:t>2</w:t>
      </w:r>
      <w:r w:rsidR="00EF2578" w:rsidRPr="007520ED">
        <w:t xml:space="preserve"> </w:t>
      </w:r>
      <w:r w:rsidR="00871520" w:rsidRPr="007520ED">
        <w:t>of</w:t>
      </w:r>
      <w:r w:rsidR="00EF2578" w:rsidRPr="007520ED">
        <w:t xml:space="preserve"> 0.768 (</w:t>
      </w:r>
      <w:r w:rsidR="00EF2578" w:rsidRPr="007520ED">
        <w:fldChar w:fldCharType="begin"/>
      </w:r>
      <w:r w:rsidR="00EF2578" w:rsidRPr="007520ED">
        <w:instrText xml:space="preserve"> REF _Ref14334088 \h </w:instrText>
      </w:r>
      <w:r w:rsidR="007520ED">
        <w:instrText xml:space="preserve"> \* MERGEFORMAT </w:instrText>
      </w:r>
      <w:r w:rsidR="00EF2578" w:rsidRPr="007520ED">
        <w:fldChar w:fldCharType="separate"/>
      </w:r>
      <w:r w:rsidR="00250859" w:rsidRPr="007520ED">
        <w:t xml:space="preserve">Table </w:t>
      </w:r>
      <w:r w:rsidR="00250859" w:rsidRPr="007520ED">
        <w:rPr>
          <w:noProof/>
        </w:rPr>
        <w:t>3</w:t>
      </w:r>
      <w:r w:rsidR="00EF2578" w:rsidRPr="007520ED">
        <w:fldChar w:fldCharType="end"/>
      </w:r>
      <w:r w:rsidR="00EF2578" w:rsidRPr="007520ED">
        <w:t>).</w:t>
      </w:r>
      <w:r w:rsidR="00F439D4" w:rsidRPr="007520ED">
        <w:t xml:space="preserve"> </w:t>
      </w:r>
      <w:r w:rsidR="004C2FC5" w:rsidRPr="007520ED">
        <w:t xml:space="preserve">The residuals for the improved laws </w:t>
      </w:r>
      <w:r w:rsidR="00157165" w:rsidRPr="00336CF6">
        <w:rPr>
          <w:i/>
        </w:rPr>
        <w:t>Hospitals</w:t>
      </w:r>
      <w:r w:rsidR="00157165">
        <w:t xml:space="preserve"> and </w:t>
      </w:r>
      <w:r w:rsidR="00157165" w:rsidRPr="00336CF6">
        <w:rPr>
          <w:i/>
        </w:rPr>
        <w:t>Schools</w:t>
      </w:r>
      <w:r w:rsidR="00157165">
        <w:t xml:space="preserve"> </w:t>
      </w:r>
      <w:r w:rsidR="004C2FC5" w:rsidRPr="007520ED">
        <w:t>in UK show a patter</w:t>
      </w:r>
      <w:r w:rsidR="0059060A" w:rsidRPr="007520ED">
        <w:t>n</w:t>
      </w:r>
      <w:r w:rsidR="004C2FC5" w:rsidRPr="007520ED">
        <w:t xml:space="preserve"> and </w:t>
      </w:r>
      <w:r w:rsidR="0059060A" w:rsidRPr="007520ED">
        <w:t xml:space="preserve">the </w:t>
      </w:r>
      <w:r w:rsidR="004C2FC5" w:rsidRPr="007520ED">
        <w:t>models appear as poor 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4648"/>
      </w:tblGrid>
      <w:tr w:rsidR="008E6DFC" w14:paraId="448EC96C" w14:textId="77777777" w:rsidTr="00AD758B">
        <w:tc>
          <w:tcPr>
            <w:tcW w:w="3585" w:type="dxa"/>
          </w:tcPr>
          <w:p w14:paraId="2AF3271B" w14:textId="1969B054" w:rsidR="008E6DFC" w:rsidRDefault="008E6DFC" w:rsidP="00511C22">
            <w:pPr>
              <w:jc w:val="center"/>
            </w:pPr>
            <w:r>
              <w:rPr>
                <w:noProof/>
                <w:lang w:eastAsia="en-GB"/>
              </w:rPr>
              <w:drawing>
                <wp:anchor distT="0" distB="0" distL="114300" distR="114300" simplePos="0" relativeHeight="251667456" behindDoc="0" locked="0" layoutInCell="1" allowOverlap="1" wp14:anchorId="5FA0DDD7" wp14:editId="77F5524B">
                  <wp:simplePos x="0" y="0"/>
                  <wp:positionH relativeFrom="column">
                    <wp:posOffset>-65405</wp:posOffset>
                  </wp:positionH>
                  <wp:positionV relativeFrom="paragraph">
                    <wp:posOffset>20320</wp:posOffset>
                  </wp:positionV>
                  <wp:extent cx="2880000" cy="2160000"/>
                  <wp:effectExtent l="0" t="0" r="0" b="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A23A8D">
              <w:rPr>
                <w:sz w:val="20"/>
              </w:rPr>
              <w:t xml:space="preserve"> </w:t>
            </w:r>
            <w:r>
              <w:rPr>
                <w:sz w:val="20"/>
              </w:rPr>
              <w:t>(</w:t>
            </w:r>
            <w:r w:rsidRPr="00A23A8D">
              <w:rPr>
                <w:sz w:val="20"/>
              </w:rPr>
              <w:t>a)</w:t>
            </w:r>
          </w:p>
        </w:tc>
        <w:tc>
          <w:tcPr>
            <w:tcW w:w="5765" w:type="dxa"/>
          </w:tcPr>
          <w:p w14:paraId="4D2FF9CB" w14:textId="384D72F8" w:rsidR="008E6DFC" w:rsidRDefault="00317A14" w:rsidP="00511C22">
            <w:pPr>
              <w:jc w:val="center"/>
            </w:pPr>
            <w:r>
              <w:rPr>
                <w:noProof/>
                <w:lang w:eastAsia="en-GB"/>
              </w:rPr>
              <w:drawing>
                <wp:anchor distT="0" distB="0" distL="114300" distR="114300" simplePos="0" relativeHeight="251704320" behindDoc="0" locked="0" layoutInCell="1" allowOverlap="1" wp14:anchorId="4185BEB2" wp14:editId="2C0B9722">
                  <wp:simplePos x="0" y="0"/>
                  <wp:positionH relativeFrom="column">
                    <wp:posOffset>-65405</wp:posOffset>
                  </wp:positionH>
                  <wp:positionV relativeFrom="paragraph">
                    <wp:posOffset>0</wp:posOffset>
                  </wp:positionV>
                  <wp:extent cx="3060000" cy="2160000"/>
                  <wp:effectExtent l="0" t="0" r="762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lang w:eastAsia="en-GB"/>
              </w:rPr>
              <w:t xml:space="preserve"> </w:t>
            </w:r>
            <w:r w:rsidR="008E6DFC" w:rsidRPr="00A23A8D">
              <w:rPr>
                <w:sz w:val="20"/>
              </w:rPr>
              <w:t xml:space="preserve"> (b)</w:t>
            </w:r>
          </w:p>
        </w:tc>
      </w:tr>
    </w:tbl>
    <w:p w14:paraId="34D2048F" w14:textId="2BA1E8BF" w:rsidR="008E6DFC" w:rsidRDefault="008E6DFC" w:rsidP="008E6DFC">
      <w:pPr>
        <w:pStyle w:val="Caption"/>
      </w:pPr>
      <w:bookmarkStart w:id="23" w:name="_Ref14337908"/>
      <w:bookmarkStart w:id="24" w:name="_Toc14268833"/>
      <w:bookmarkStart w:id="25" w:name="_Toc14275631"/>
      <w:bookmarkStart w:id="26" w:name="_Toc14275758"/>
      <w:bookmarkStart w:id="27" w:name="_Toc14687034"/>
      <w:bookmarkStart w:id="28" w:name="_Toc18320439"/>
      <w:bookmarkStart w:id="29" w:name="_Toc28958225"/>
      <w:r>
        <w:t xml:space="preserve">Figure </w:t>
      </w:r>
      <w:r w:rsidR="00EA15CB">
        <w:fldChar w:fldCharType="begin"/>
      </w:r>
      <w:r w:rsidR="00EA15CB">
        <w:instrText xml:space="preserve"> SEQ Figure \* ARABIC </w:instrText>
      </w:r>
      <w:r w:rsidR="00EA15CB">
        <w:fldChar w:fldCharType="separate"/>
      </w:r>
      <w:r w:rsidR="00250859">
        <w:rPr>
          <w:noProof/>
        </w:rPr>
        <w:t>5</w:t>
      </w:r>
      <w:r w:rsidR="00EA15CB">
        <w:rPr>
          <w:noProof/>
        </w:rPr>
        <w:fldChar w:fldCharType="end"/>
      </w:r>
      <w:bookmarkEnd w:id="23"/>
      <w:r>
        <w:t xml:space="preserve">: </w:t>
      </w:r>
      <w:r w:rsidR="00C971E1">
        <w:t xml:space="preserve">Frequency </w:t>
      </w:r>
      <w:r w:rsidR="00FC667F">
        <w:t xml:space="preserve">of fire starting </w:t>
      </w:r>
      <w:r w:rsidRPr="005754F9">
        <w:rPr>
          <w:i/>
        </w:rPr>
        <w:t xml:space="preserve">Hospitals </w:t>
      </w:r>
      <w:r>
        <w:t>(a) PD 7</w:t>
      </w:r>
      <w:r w:rsidR="005754F9">
        <w:t xml:space="preserve">974-7 and UK </w:t>
      </w:r>
      <w:r w:rsidR="00FC667F">
        <w:t>statistics,</w:t>
      </w:r>
      <w:r>
        <w:t xml:space="preserve"> (b) </w:t>
      </w:r>
      <w:r w:rsidR="00FC667F">
        <w:t xml:space="preserve">only </w:t>
      </w:r>
      <w:r>
        <w:t>UK</w:t>
      </w:r>
      <w:bookmarkEnd w:id="24"/>
      <w:bookmarkEnd w:id="25"/>
      <w:bookmarkEnd w:id="26"/>
      <w:bookmarkEnd w:id="27"/>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E6DFC" w14:paraId="6AF224E3" w14:textId="77777777" w:rsidTr="00693188">
        <w:tc>
          <w:tcPr>
            <w:tcW w:w="7816" w:type="dxa"/>
          </w:tcPr>
          <w:p w14:paraId="0D965918" w14:textId="77777777" w:rsidR="008E6DFC" w:rsidRDefault="008E6DFC" w:rsidP="00511C22">
            <w:pPr>
              <w:jc w:val="center"/>
            </w:pPr>
            <w:r>
              <w:rPr>
                <w:noProof/>
                <w:lang w:eastAsia="en-GB"/>
              </w:rPr>
              <w:drawing>
                <wp:anchor distT="0" distB="0" distL="114300" distR="114300" simplePos="0" relativeHeight="251669504" behindDoc="0" locked="0" layoutInCell="1" allowOverlap="1" wp14:anchorId="73E67637" wp14:editId="3A9D988F">
                  <wp:simplePos x="0" y="0"/>
                  <wp:positionH relativeFrom="column">
                    <wp:posOffset>-65405</wp:posOffset>
                  </wp:positionH>
                  <wp:positionV relativeFrom="paragraph">
                    <wp:posOffset>28575</wp:posOffset>
                  </wp:positionV>
                  <wp:extent cx="2880000" cy="2160000"/>
                  <wp:effectExtent l="0" t="0" r="0" b="0"/>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t xml:space="preserve"> (a)</w:t>
            </w:r>
          </w:p>
        </w:tc>
        <w:tc>
          <w:tcPr>
            <w:tcW w:w="1200" w:type="dxa"/>
          </w:tcPr>
          <w:p w14:paraId="5BE49342" w14:textId="77777777" w:rsidR="008E6DFC" w:rsidRDefault="008E6DFC" w:rsidP="00511C22">
            <w:pPr>
              <w:jc w:val="center"/>
            </w:pPr>
            <w:r>
              <w:rPr>
                <w:noProof/>
                <w:lang w:eastAsia="en-GB"/>
              </w:rPr>
              <w:drawing>
                <wp:anchor distT="0" distB="0" distL="114300" distR="114300" simplePos="0" relativeHeight="251670528" behindDoc="0" locked="0" layoutInCell="1" allowOverlap="1" wp14:anchorId="488BA356" wp14:editId="60A9A8EE">
                  <wp:simplePos x="0" y="0"/>
                  <wp:positionH relativeFrom="column">
                    <wp:posOffset>-65405</wp:posOffset>
                  </wp:positionH>
                  <wp:positionV relativeFrom="paragraph">
                    <wp:posOffset>0</wp:posOffset>
                  </wp:positionV>
                  <wp:extent cx="2880000" cy="2160000"/>
                  <wp:effectExtent l="0" t="0" r="0" b="0"/>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t xml:space="preserve"> (b)</w:t>
            </w:r>
          </w:p>
        </w:tc>
      </w:tr>
    </w:tbl>
    <w:p w14:paraId="667E1777" w14:textId="20E8B1C5" w:rsidR="008E6DFC" w:rsidRDefault="008E6DFC" w:rsidP="008E6DFC">
      <w:pPr>
        <w:pStyle w:val="Caption"/>
      </w:pPr>
      <w:bookmarkStart w:id="30" w:name="_Ref14338243"/>
      <w:bookmarkStart w:id="31" w:name="_Toc14268834"/>
      <w:bookmarkStart w:id="32" w:name="_Toc14275632"/>
      <w:bookmarkStart w:id="33" w:name="_Toc14275759"/>
      <w:bookmarkStart w:id="34" w:name="_Toc14687035"/>
      <w:bookmarkStart w:id="35" w:name="_Toc18320440"/>
      <w:bookmarkStart w:id="36" w:name="_Toc28958226"/>
      <w:r>
        <w:t xml:space="preserve">Figure </w:t>
      </w:r>
      <w:r w:rsidR="00EA15CB">
        <w:fldChar w:fldCharType="begin"/>
      </w:r>
      <w:r w:rsidR="00EA15CB">
        <w:instrText xml:space="preserve"> SEQ Figure \* ARABIC </w:instrText>
      </w:r>
      <w:r w:rsidR="00EA15CB">
        <w:fldChar w:fldCharType="separate"/>
      </w:r>
      <w:r w:rsidR="00250859">
        <w:rPr>
          <w:noProof/>
        </w:rPr>
        <w:t>6</w:t>
      </w:r>
      <w:r w:rsidR="00EA15CB">
        <w:rPr>
          <w:noProof/>
        </w:rPr>
        <w:fldChar w:fldCharType="end"/>
      </w:r>
      <w:bookmarkEnd w:id="30"/>
      <w:r>
        <w:t xml:space="preserve">: </w:t>
      </w:r>
      <w:r w:rsidR="00C971E1">
        <w:t xml:space="preserve">Frequency </w:t>
      </w:r>
      <w:r w:rsidR="00FC667F">
        <w:t xml:space="preserve">of fire starting </w:t>
      </w:r>
      <w:r w:rsidRPr="005754F9">
        <w:rPr>
          <w:i/>
        </w:rPr>
        <w:t>Schools</w:t>
      </w:r>
      <w:r>
        <w:t xml:space="preserve"> (a) PD 7</w:t>
      </w:r>
      <w:r w:rsidR="005754F9">
        <w:t xml:space="preserve">974-7 and UK </w:t>
      </w:r>
      <w:r w:rsidR="00FC667F">
        <w:t>statistics,</w:t>
      </w:r>
      <w:r>
        <w:t xml:space="preserve"> (b) </w:t>
      </w:r>
      <w:bookmarkEnd w:id="31"/>
      <w:bookmarkEnd w:id="32"/>
      <w:bookmarkEnd w:id="33"/>
      <w:r w:rsidR="00FC667F">
        <w:t>only UK</w:t>
      </w:r>
      <w:bookmarkEnd w:id="34"/>
      <w:bookmarkEnd w:id="35"/>
      <w:bookmarkEnd w:id="36"/>
    </w:p>
    <w:p w14:paraId="40B76E00" w14:textId="40A6158C" w:rsidR="00B447FD" w:rsidRPr="00F439D4" w:rsidRDefault="004C2FC5" w:rsidP="00AA2E53">
      <w:pPr>
        <w:sectPr w:rsidR="00B447FD" w:rsidRPr="00F439D4" w:rsidSect="00CA084F">
          <w:footerReference w:type="default" r:id="rId22"/>
          <w:pgSz w:w="11906" w:h="16838" w:code="9"/>
          <w:pgMar w:top="1440" w:right="1440" w:bottom="1440" w:left="1440" w:header="720" w:footer="720" w:gutter="0"/>
          <w:lnNumType w:countBy="1" w:restart="continuous"/>
          <w:cols w:space="720"/>
          <w:docGrid w:linePitch="360"/>
        </w:sectPr>
      </w:pPr>
      <w:r>
        <w:t>A</w:t>
      </w:r>
      <w:r w:rsidR="00B857DF">
        <w:t xml:space="preserve">ccording to the analyses for UK and USA statistics, PD 7974-7 </w:t>
      </w:r>
      <w:r>
        <w:t xml:space="preserve">generally </w:t>
      </w:r>
      <w:r w:rsidR="00B857DF">
        <w:t>overestimates fire trends.</w:t>
      </w:r>
      <w:r>
        <w:t xml:space="preserve"> A</w:t>
      </w:r>
      <w:r w:rsidR="00B857DF">
        <w:t xml:space="preserve"> power law with</w:t>
      </w:r>
      <w:r w:rsidR="009E04BC">
        <w:t xml:space="preserve"> </w:t>
      </w:r>
      <w:r w:rsidR="00B857DF">
        <w:t xml:space="preserve">positive exponent is not always the </w:t>
      </w:r>
      <w:r w:rsidR="009E04BC">
        <w:t>best</w:t>
      </w:r>
      <w:r w:rsidR="00B857DF">
        <w:t xml:space="preserve"> approximat</w:t>
      </w:r>
      <w:r w:rsidR="009E04BC">
        <w:t>ion of</w:t>
      </w:r>
      <w:r w:rsidR="00B857DF">
        <w:t xml:space="preserve"> the distributions</w:t>
      </w:r>
      <w:r w:rsidR="009E04BC">
        <w:t>,</w:t>
      </w:r>
      <w:r w:rsidR="00B857DF">
        <w:t xml:space="preserve"> as in </w:t>
      </w:r>
      <w:r w:rsidR="00BE1EC0" w:rsidRPr="00597E7D">
        <w:rPr>
          <w:i/>
        </w:rPr>
        <w:t>Industrial manufacturing</w:t>
      </w:r>
      <w:r w:rsidR="00597E7D">
        <w:t xml:space="preserve"> </w:t>
      </w:r>
      <w:r w:rsidR="00B857DF">
        <w:t xml:space="preserve">where it assumes a negative exponent in both UK and USA and in </w:t>
      </w:r>
      <w:r w:rsidR="00B857DF" w:rsidRPr="00AD758B">
        <w:rPr>
          <w:i/>
        </w:rPr>
        <w:t>Storage</w:t>
      </w:r>
      <w:r w:rsidR="00B857DF">
        <w:t xml:space="preserve"> in UK statistics. However, as seen with the USA data, the </w:t>
      </w:r>
      <w:r w:rsidR="009E04BC">
        <w:t xml:space="preserve">polynomial fitted </w:t>
      </w:r>
      <w:r w:rsidR="00B857DF">
        <w:t>relationships of second or third order</w:t>
      </w:r>
      <w:r w:rsidR="009E04BC">
        <w:t>,</w:t>
      </w:r>
      <w:r w:rsidR="00B857DF">
        <w:t xml:space="preserve"> </w:t>
      </w:r>
      <w:r w:rsidR="009E04BC">
        <w:t>tend to be</w:t>
      </w:r>
      <w:r w:rsidR="00B12144">
        <w:t xml:space="preserve"> more accurate</w:t>
      </w:r>
      <w:r w:rsidR="004C1500">
        <w:t xml:space="preserve"> </w:t>
      </w:r>
      <w:r w:rsidR="00B857DF">
        <w:t>(</w:t>
      </w:r>
      <w:r w:rsidR="00B857DF">
        <w:fldChar w:fldCharType="begin"/>
      </w:r>
      <w:r w:rsidR="00B857DF">
        <w:instrText xml:space="preserve"> REF _Ref14334088 \h </w:instrText>
      </w:r>
      <w:r w:rsidR="00B857DF">
        <w:fldChar w:fldCharType="separate"/>
      </w:r>
      <w:r w:rsidR="00250859">
        <w:t xml:space="preserve">Table </w:t>
      </w:r>
      <w:r w:rsidR="00250859">
        <w:rPr>
          <w:noProof/>
        </w:rPr>
        <w:t>3</w:t>
      </w:r>
      <w:r w:rsidR="00B857DF">
        <w:fldChar w:fldCharType="end"/>
      </w:r>
      <w:r w:rsidR="00B857DF">
        <w:t xml:space="preserve">). This could be due to the common distribution </w:t>
      </w:r>
      <w:r w:rsidR="009E04BC">
        <w:t xml:space="preserve">form </w:t>
      </w:r>
      <w:r w:rsidR="00B857DF">
        <w:t xml:space="preserve">found in the </w:t>
      </w:r>
      <w:r w:rsidR="00064292">
        <w:t xml:space="preserve">two </w:t>
      </w:r>
      <w:r w:rsidR="00B857DF">
        <w:t>statistics</w:t>
      </w:r>
      <w:r w:rsidR="009E04BC">
        <w:t>,</w:t>
      </w:r>
      <w:r w:rsidR="00B857DF">
        <w:t xml:space="preserve"> wh</w:t>
      </w:r>
      <w:r w:rsidR="009E04BC">
        <w:t xml:space="preserve">ere the </w:t>
      </w:r>
      <w:r w:rsidR="00C971E1">
        <w:t xml:space="preserve">frequency </w:t>
      </w:r>
      <w:r w:rsidR="00B857DF">
        <w:t xml:space="preserve">usually decreases </w:t>
      </w:r>
      <w:r w:rsidR="009E04BC">
        <w:t>to</w:t>
      </w:r>
      <w:r w:rsidR="00B857DF">
        <w:t xml:space="preserve"> a minimum</w:t>
      </w:r>
      <w:r w:rsidR="009E04BC">
        <w:t>, then</w:t>
      </w:r>
      <w:r w:rsidR="00B857DF">
        <w:t xml:space="preserve"> gradually increas</w:t>
      </w:r>
      <w:r w:rsidR="009E04BC">
        <w:t>es</w:t>
      </w:r>
      <w:r w:rsidR="00B857DF">
        <w:t xml:space="preserve"> again</w:t>
      </w:r>
      <w:r w:rsidR="00767FD4">
        <w:t xml:space="preserve">, or </w:t>
      </w:r>
      <w:r w:rsidR="009E04BC">
        <w:t xml:space="preserve">to different regulatory requirements as the size of building increases. </w:t>
      </w:r>
      <w:r w:rsidR="009732FB">
        <w:t>Only</w:t>
      </w:r>
      <w:r w:rsidR="00FD15BD">
        <w:t xml:space="preserve"> </w:t>
      </w:r>
      <w:r w:rsidR="009732FB">
        <w:t xml:space="preserve">few of the exponential or polynomial relationships </w:t>
      </w:r>
      <w:r w:rsidR="00B857DF">
        <w:t xml:space="preserve">in UK </w:t>
      </w:r>
      <w:r w:rsidR="009732FB">
        <w:t>have R</w:t>
      </w:r>
      <w:r w:rsidR="009732FB" w:rsidRPr="00AD758B">
        <w:rPr>
          <w:vertAlign w:val="superscript"/>
        </w:rPr>
        <w:t>2</w:t>
      </w:r>
      <w:r w:rsidR="009732FB">
        <w:t xml:space="preserve"> greater than 0.85, with several lower than 0.4</w:t>
      </w:r>
      <w:r w:rsidR="007A3993">
        <w:t xml:space="preserve"> in UK due to smaller area</w:t>
      </w:r>
      <w:r w:rsidR="00A04F0F">
        <w:t xml:space="preserve"> classes considered</w:t>
      </w:r>
      <w:r w:rsidR="009732FB">
        <w:t xml:space="preserve">. This is </w:t>
      </w:r>
      <w:r w:rsidR="009E04BC">
        <w:t xml:space="preserve">markedly </w:t>
      </w:r>
      <w:r w:rsidR="009732FB">
        <w:t xml:space="preserve">different to </w:t>
      </w:r>
      <w:r w:rsidR="00A04F0F">
        <w:t>the results of</w:t>
      </w:r>
      <w:r w:rsidR="009732FB">
        <w:t xml:space="preserve"> USA fire statistics, where R</w:t>
      </w:r>
      <w:r w:rsidR="009732FB" w:rsidRPr="00AD758B">
        <w:rPr>
          <w:vertAlign w:val="superscript"/>
        </w:rPr>
        <w:t>2</w:t>
      </w:r>
      <w:r w:rsidR="009732FB">
        <w:t xml:space="preserve"> was often above 0.99</w:t>
      </w:r>
      <w:r w:rsidR="00A8371E">
        <w:t xml:space="preserve">. </w:t>
      </w:r>
      <w:r w:rsidR="00A04F0F">
        <w:t>A</w:t>
      </w:r>
      <w:r w:rsidR="00517DF8">
        <w:t xml:space="preserve"> non-uniform data scatter is generally present and the </w:t>
      </w:r>
      <w:r w:rsidR="00517DF8" w:rsidRPr="00E42A14">
        <w:rPr>
          <w:rFonts w:cs="Times New Roman"/>
        </w:rPr>
        <w:t xml:space="preserve">extreme data points </w:t>
      </w:r>
      <w:r w:rsidR="00517DF8">
        <w:rPr>
          <w:rFonts w:cs="Times New Roman"/>
        </w:rPr>
        <w:t xml:space="preserve">are less dense. </w:t>
      </w:r>
      <w:r w:rsidR="009732FB">
        <w:t>Therefore</w:t>
      </w:r>
      <w:r w:rsidR="00B857DF">
        <w:t xml:space="preserve">, data need to be used carefully and </w:t>
      </w:r>
      <w:r w:rsidR="009732FB">
        <w:t>with consideration of the uncertainties within</w:t>
      </w:r>
      <w:r w:rsidR="00F439D4">
        <w:t xml:space="preserve"> the data and the fitted curves.     </w:t>
      </w:r>
    </w:p>
    <w:p w14:paraId="259C4295" w14:textId="047860BB" w:rsidR="001946B8" w:rsidRDefault="00C748D0" w:rsidP="00CD3F0D">
      <w:pPr>
        <w:pStyle w:val="Caption"/>
      </w:pPr>
      <w:bookmarkStart w:id="37" w:name="_Ref14334088"/>
      <w:r>
        <w:lastRenderedPageBreak/>
        <w:t xml:space="preserve">Table </w:t>
      </w:r>
      <w:r>
        <w:fldChar w:fldCharType="begin"/>
      </w:r>
      <w:r>
        <w:instrText xml:space="preserve"> SEQ Table \* ARABIC </w:instrText>
      </w:r>
      <w:r>
        <w:fldChar w:fldCharType="separate"/>
      </w:r>
      <w:r w:rsidR="00250859">
        <w:rPr>
          <w:noProof/>
        </w:rPr>
        <w:t>3</w:t>
      </w:r>
      <w:r>
        <w:fldChar w:fldCharType="end"/>
      </w:r>
      <w:bookmarkEnd w:id="37"/>
      <w:r>
        <w:t xml:space="preserve">: </w:t>
      </w:r>
      <w:r w:rsidR="00B4603A">
        <w:t xml:space="preserve">Frequency </w:t>
      </w:r>
      <w:r>
        <w:t>of fire starting in different occupancy types in PD 7974-7</w:t>
      </w:r>
      <w:r w:rsidR="00123A85">
        <w:t xml:space="preserve">, </w:t>
      </w:r>
      <w:r>
        <w:t xml:space="preserve">UK </w:t>
      </w:r>
      <w:r w:rsidR="00123A85">
        <w:t xml:space="preserve">and USA </w:t>
      </w:r>
      <w:r>
        <w:t>fire statistics</w:t>
      </w:r>
      <w:bookmarkStart w:id="38" w:name="_Ref14360295"/>
    </w:p>
    <w:tbl>
      <w:tblPr>
        <w:tblW w:w="5000" w:type="pct"/>
        <w:tblCellMar>
          <w:left w:w="57" w:type="dxa"/>
          <w:right w:w="57" w:type="dxa"/>
        </w:tblCellMar>
        <w:tblLook w:val="04A0" w:firstRow="1" w:lastRow="0" w:firstColumn="1" w:lastColumn="0" w:noHBand="0" w:noVBand="1"/>
      </w:tblPr>
      <w:tblGrid>
        <w:gridCol w:w="1997"/>
        <w:gridCol w:w="899"/>
        <w:gridCol w:w="466"/>
        <w:gridCol w:w="1028"/>
        <w:gridCol w:w="1028"/>
        <w:gridCol w:w="790"/>
        <w:gridCol w:w="681"/>
        <w:gridCol w:w="684"/>
        <w:gridCol w:w="4705"/>
        <w:gridCol w:w="682"/>
      </w:tblGrid>
      <w:tr w:rsidR="009F4C66" w:rsidRPr="00227EDD" w14:paraId="78044813" w14:textId="77777777" w:rsidTr="00AD758B">
        <w:trPr>
          <w:trHeight w:val="170"/>
        </w:trPr>
        <w:tc>
          <w:tcPr>
            <w:tcW w:w="625" w:type="pct"/>
            <w:vMerge w:val="restart"/>
            <w:tcBorders>
              <w:top w:val="single" w:sz="4" w:space="0" w:color="auto"/>
              <w:left w:val="nil"/>
            </w:tcBorders>
            <w:shd w:val="clear" w:color="auto" w:fill="auto"/>
            <w:vAlign w:val="center"/>
            <w:hideMark/>
          </w:tcPr>
          <w:p w14:paraId="14B1A4AD" w14:textId="77777777" w:rsidR="009F4C66" w:rsidRPr="009F4C66" w:rsidRDefault="009F4C66" w:rsidP="00227EDD">
            <w:pPr>
              <w:spacing w:after="0"/>
              <w:jc w:val="center"/>
              <w:rPr>
                <w:rFonts w:eastAsia="Times New Roman" w:cs="Times New Roman"/>
                <w:color w:val="000000"/>
                <w:sz w:val="20"/>
                <w:szCs w:val="20"/>
                <w:lang w:eastAsia="en-GB"/>
              </w:rPr>
            </w:pPr>
            <w:r w:rsidRPr="009F4C66">
              <w:rPr>
                <w:rFonts w:eastAsia="Times New Roman" w:cs="Times New Roman"/>
                <w:color w:val="000000"/>
                <w:sz w:val="20"/>
                <w:szCs w:val="20"/>
                <w:lang w:eastAsia="en-GB"/>
              </w:rPr>
              <w:t>Occupancy types</w:t>
            </w:r>
          </w:p>
        </w:tc>
        <w:tc>
          <w:tcPr>
            <w:tcW w:w="363" w:type="pct"/>
            <w:tcBorders>
              <w:top w:val="single" w:sz="4" w:space="0" w:color="auto"/>
              <w:bottom w:val="single" w:sz="4" w:space="0" w:color="auto"/>
            </w:tcBorders>
          </w:tcPr>
          <w:p w14:paraId="0D73574D" w14:textId="77777777" w:rsidR="009F4C66" w:rsidRPr="009F4C66" w:rsidRDefault="009F4C66" w:rsidP="00227EDD">
            <w:pPr>
              <w:spacing w:after="0"/>
              <w:jc w:val="center"/>
              <w:rPr>
                <w:rFonts w:eastAsia="Times New Roman" w:cs="Times New Roman"/>
                <w:b/>
                <w:bCs/>
                <w:color w:val="000000"/>
                <w:sz w:val="20"/>
                <w:szCs w:val="20"/>
                <w:lang w:eastAsia="en-GB"/>
              </w:rPr>
            </w:pPr>
          </w:p>
        </w:tc>
        <w:tc>
          <w:tcPr>
            <w:tcW w:w="196" w:type="pct"/>
            <w:tcBorders>
              <w:top w:val="single" w:sz="4" w:space="0" w:color="auto"/>
              <w:bottom w:val="single" w:sz="4" w:space="0" w:color="auto"/>
            </w:tcBorders>
          </w:tcPr>
          <w:p w14:paraId="51905D15" w14:textId="046E1048" w:rsidR="009F4C66" w:rsidRPr="00123A85" w:rsidRDefault="009F4C66" w:rsidP="00227EDD">
            <w:pPr>
              <w:spacing w:after="0"/>
              <w:jc w:val="center"/>
              <w:rPr>
                <w:rFonts w:eastAsia="Times New Roman" w:cs="Times New Roman"/>
                <w:b/>
                <w:bCs/>
                <w:color w:val="000000"/>
                <w:sz w:val="20"/>
                <w:szCs w:val="20"/>
                <w:lang w:eastAsia="en-GB"/>
              </w:rPr>
            </w:pPr>
          </w:p>
        </w:tc>
        <w:tc>
          <w:tcPr>
            <w:tcW w:w="3816" w:type="pct"/>
            <w:gridSpan w:val="7"/>
            <w:tcBorders>
              <w:top w:val="single" w:sz="4" w:space="0" w:color="auto"/>
              <w:bottom w:val="single" w:sz="4" w:space="0" w:color="auto"/>
              <w:right w:val="nil"/>
            </w:tcBorders>
            <w:shd w:val="clear" w:color="auto" w:fill="auto"/>
            <w:noWrap/>
            <w:vAlign w:val="center"/>
            <w:hideMark/>
          </w:tcPr>
          <w:p w14:paraId="7E07458E" w14:textId="13C3974F" w:rsidR="009F4C66" w:rsidRPr="00CD3F0D" w:rsidRDefault="009F4C66" w:rsidP="00227EDD">
            <w:pPr>
              <w:spacing w:after="0"/>
              <w:jc w:val="center"/>
              <w:rPr>
                <w:rFonts w:eastAsia="Times New Roman" w:cs="Times New Roman"/>
                <w:b/>
                <w:bCs/>
                <w:color w:val="000000"/>
                <w:sz w:val="20"/>
                <w:szCs w:val="20"/>
                <w:lang w:eastAsia="en-GB"/>
              </w:rPr>
            </w:pPr>
            <w:r w:rsidRPr="00CD3F0D">
              <w:rPr>
                <w:rFonts w:eastAsia="Times New Roman" w:cs="Times New Roman"/>
                <w:b/>
                <w:bCs/>
                <w:color w:val="000000"/>
                <w:sz w:val="20"/>
                <w:szCs w:val="20"/>
                <w:lang w:eastAsia="en-GB"/>
              </w:rPr>
              <w:t>UK fire statistics</w:t>
            </w:r>
          </w:p>
        </w:tc>
      </w:tr>
      <w:tr w:rsidR="00EF4B41" w:rsidRPr="00227EDD" w14:paraId="7204E037" w14:textId="77777777" w:rsidTr="00EC0637">
        <w:trPr>
          <w:trHeight w:val="170"/>
        </w:trPr>
        <w:tc>
          <w:tcPr>
            <w:tcW w:w="625" w:type="pct"/>
            <w:vMerge/>
            <w:tcBorders>
              <w:left w:val="nil"/>
            </w:tcBorders>
            <w:vAlign w:val="center"/>
            <w:hideMark/>
          </w:tcPr>
          <w:p w14:paraId="574E0BE5" w14:textId="77777777" w:rsidR="009F4C66" w:rsidRPr="00227EDD" w:rsidRDefault="009F4C66" w:rsidP="00227EDD">
            <w:pPr>
              <w:spacing w:after="0"/>
              <w:jc w:val="left"/>
              <w:rPr>
                <w:rFonts w:eastAsia="Times New Roman" w:cs="Times New Roman"/>
                <w:color w:val="000000"/>
                <w:sz w:val="20"/>
                <w:szCs w:val="20"/>
                <w:lang w:eastAsia="en-GB"/>
              </w:rPr>
            </w:pPr>
          </w:p>
        </w:tc>
        <w:tc>
          <w:tcPr>
            <w:tcW w:w="363" w:type="pct"/>
            <w:tcBorders>
              <w:top w:val="single" w:sz="4" w:space="0" w:color="auto"/>
              <w:bottom w:val="single" w:sz="4" w:space="0" w:color="auto"/>
            </w:tcBorders>
          </w:tcPr>
          <w:p w14:paraId="2D0676F7" w14:textId="77777777" w:rsidR="009F4C66" w:rsidRPr="00227EDD" w:rsidRDefault="009F4C66" w:rsidP="00227EDD">
            <w:pPr>
              <w:spacing w:after="0"/>
              <w:jc w:val="left"/>
              <w:rPr>
                <w:rFonts w:eastAsia="Times New Roman" w:cs="Times New Roman"/>
                <w:color w:val="000000"/>
                <w:sz w:val="20"/>
                <w:szCs w:val="20"/>
                <w:lang w:eastAsia="en-GB"/>
              </w:rPr>
            </w:pPr>
          </w:p>
        </w:tc>
        <w:tc>
          <w:tcPr>
            <w:tcW w:w="196" w:type="pct"/>
            <w:tcBorders>
              <w:top w:val="single" w:sz="4" w:space="0" w:color="auto"/>
              <w:bottom w:val="single" w:sz="4" w:space="0" w:color="auto"/>
            </w:tcBorders>
          </w:tcPr>
          <w:p w14:paraId="52C48A03" w14:textId="1CE8E0D8" w:rsidR="009F4C66" w:rsidRPr="00227EDD" w:rsidRDefault="009F4C66" w:rsidP="00227EDD">
            <w:pPr>
              <w:spacing w:after="0"/>
              <w:jc w:val="left"/>
              <w:rPr>
                <w:rFonts w:eastAsia="Times New Roman" w:cs="Times New Roman"/>
                <w:color w:val="000000"/>
                <w:sz w:val="20"/>
                <w:szCs w:val="20"/>
                <w:lang w:eastAsia="en-GB"/>
              </w:rPr>
            </w:pPr>
          </w:p>
        </w:tc>
        <w:tc>
          <w:tcPr>
            <w:tcW w:w="826" w:type="pct"/>
            <w:gridSpan w:val="2"/>
            <w:tcBorders>
              <w:top w:val="single" w:sz="4" w:space="0" w:color="auto"/>
              <w:bottom w:val="single" w:sz="4" w:space="0" w:color="auto"/>
            </w:tcBorders>
            <w:shd w:val="clear" w:color="auto" w:fill="auto"/>
            <w:noWrap/>
            <w:vAlign w:val="center"/>
            <w:hideMark/>
          </w:tcPr>
          <w:p w14:paraId="682B27EE" w14:textId="2A4FCEFD" w:rsidR="009F4C66" w:rsidRPr="00AD758B" w:rsidRDefault="009F4C66" w:rsidP="00227EDD">
            <w:pPr>
              <w:spacing w:after="0"/>
              <w:jc w:val="left"/>
              <w:rPr>
                <w:rFonts w:eastAsia="Times New Roman" w:cs="Times New Roman"/>
                <w:color w:val="000000"/>
                <w:sz w:val="20"/>
                <w:szCs w:val="20"/>
                <w:lang w:eastAsia="en-GB"/>
              </w:rPr>
            </w:pPr>
            <w:r w:rsidRPr="00AD758B">
              <w:rPr>
                <w:rFonts w:eastAsia="Times New Roman" w:cs="Times New Roman"/>
                <w:color w:val="000000"/>
                <w:sz w:val="20"/>
                <w:szCs w:val="20"/>
                <w:lang w:eastAsia="en-GB"/>
              </w:rPr>
              <w:t> </w:t>
            </w:r>
          </w:p>
        </w:tc>
        <w:tc>
          <w:tcPr>
            <w:tcW w:w="2990" w:type="pct"/>
            <w:gridSpan w:val="5"/>
            <w:tcBorders>
              <w:top w:val="single" w:sz="4" w:space="0" w:color="auto"/>
              <w:bottom w:val="single" w:sz="4" w:space="0" w:color="auto"/>
              <w:right w:val="nil"/>
            </w:tcBorders>
            <w:shd w:val="clear" w:color="auto" w:fill="auto"/>
            <w:noWrap/>
            <w:vAlign w:val="center"/>
            <w:hideMark/>
          </w:tcPr>
          <w:p w14:paraId="5AA7CA33" w14:textId="1923AA45" w:rsidR="009F4C66" w:rsidRPr="009F4C66" w:rsidRDefault="009F4C66" w:rsidP="00B4603A">
            <w:pPr>
              <w:spacing w:after="0"/>
              <w:rPr>
                <w:rFonts w:eastAsia="Times New Roman" w:cs="Times New Roman"/>
                <w:color w:val="000000"/>
                <w:sz w:val="20"/>
                <w:szCs w:val="20"/>
                <w:lang w:eastAsia="en-GB"/>
              </w:rPr>
            </w:pPr>
            <w:r w:rsidRPr="009F4C66">
              <w:rPr>
                <w:rFonts w:eastAsia="Times New Roman" w:cs="Times New Roman"/>
                <w:color w:val="000000"/>
                <w:sz w:val="20"/>
                <w:szCs w:val="20"/>
                <w:lang w:eastAsia="en-GB"/>
              </w:rPr>
              <w:t xml:space="preserve">According to data points </w:t>
            </w:r>
            <w:r w:rsidR="00B4603A">
              <w:rPr>
                <w:rFonts w:eastAsia="Times New Roman" w:cs="Times New Roman"/>
                <w:color w:val="000000"/>
                <w:sz w:val="20"/>
                <w:szCs w:val="20"/>
                <w:lang w:eastAsia="en-GB"/>
              </w:rPr>
              <w:t>frequency</w:t>
            </w:r>
            <w:r w:rsidR="00B4603A" w:rsidRPr="009F4C66">
              <w:rPr>
                <w:rFonts w:eastAsia="Times New Roman" w:cs="Times New Roman"/>
                <w:color w:val="000000"/>
                <w:sz w:val="20"/>
                <w:szCs w:val="20"/>
                <w:lang w:eastAsia="en-GB"/>
              </w:rPr>
              <w:t xml:space="preserve"> </w:t>
            </w:r>
            <w:r w:rsidRPr="009F4C66">
              <w:rPr>
                <w:rFonts w:eastAsia="Times New Roman" w:cs="Times New Roman"/>
                <w:color w:val="000000"/>
                <w:sz w:val="20"/>
                <w:szCs w:val="20"/>
                <w:lang w:eastAsia="en-GB"/>
              </w:rPr>
              <w:t>of fire – total floor space</w:t>
            </w:r>
          </w:p>
        </w:tc>
      </w:tr>
      <w:tr w:rsidR="00EF4B41" w:rsidRPr="00227EDD" w14:paraId="4DBC2E37" w14:textId="77777777" w:rsidTr="00EC0637">
        <w:trPr>
          <w:trHeight w:val="170"/>
        </w:trPr>
        <w:tc>
          <w:tcPr>
            <w:tcW w:w="625" w:type="pct"/>
            <w:vMerge/>
            <w:tcBorders>
              <w:left w:val="nil"/>
            </w:tcBorders>
            <w:vAlign w:val="center"/>
            <w:hideMark/>
          </w:tcPr>
          <w:p w14:paraId="401A8814" w14:textId="77777777" w:rsidR="009F4C66" w:rsidRPr="00227EDD" w:rsidRDefault="009F4C66" w:rsidP="00227EDD">
            <w:pPr>
              <w:spacing w:after="0"/>
              <w:jc w:val="left"/>
              <w:rPr>
                <w:rFonts w:eastAsia="Times New Roman" w:cs="Times New Roman"/>
                <w:color w:val="000000"/>
                <w:sz w:val="20"/>
                <w:szCs w:val="20"/>
                <w:lang w:eastAsia="en-GB"/>
              </w:rPr>
            </w:pPr>
          </w:p>
        </w:tc>
        <w:tc>
          <w:tcPr>
            <w:tcW w:w="559" w:type="pct"/>
            <w:gridSpan w:val="2"/>
            <w:tcBorders>
              <w:top w:val="single" w:sz="4" w:space="0" w:color="auto"/>
              <w:bottom w:val="single" w:sz="4" w:space="0" w:color="auto"/>
            </w:tcBorders>
          </w:tcPr>
          <w:p w14:paraId="78312795" w14:textId="12DDA22D" w:rsidR="009F4C66" w:rsidRPr="00EC0637" w:rsidRDefault="009F4C66" w:rsidP="00227EDD">
            <w:pPr>
              <w:spacing w:after="0"/>
              <w:jc w:val="center"/>
              <w:rPr>
                <w:rFonts w:eastAsia="Times New Roman" w:cs="Times New Roman"/>
                <w:color w:val="000000"/>
                <w:sz w:val="20"/>
                <w:szCs w:val="20"/>
                <w:lang w:eastAsia="en-GB"/>
              </w:rPr>
            </w:pPr>
            <w:r w:rsidRPr="00EC0637">
              <w:rPr>
                <w:rFonts w:eastAsia="Times New Roman" w:cs="Times New Roman"/>
                <w:color w:val="000000"/>
                <w:sz w:val="20"/>
                <w:szCs w:val="20"/>
                <w:lang w:eastAsia="en-GB"/>
              </w:rPr>
              <w:t>[Power</w:t>
            </w:r>
            <w:r w:rsidR="00B420E1">
              <w:rPr>
                <w:rFonts w:eastAsia="Times New Roman" w:cs="Times New Roman"/>
                <w:color w:val="000000"/>
                <w:sz w:val="20"/>
                <w:szCs w:val="20"/>
                <w:lang w:eastAsia="en-GB"/>
              </w:rPr>
              <w:t xml:space="preserve"> </w:t>
            </w:r>
            <w:r w:rsidRPr="00EC0637">
              <w:rPr>
                <w:rFonts w:eastAsia="Times New Roman" w:cs="Times New Roman"/>
                <w:color w:val="000000"/>
                <w:sz w:val="20"/>
                <w:szCs w:val="20"/>
                <w:lang w:eastAsia="en-GB"/>
              </w:rPr>
              <w:t>(PD)]</w:t>
            </w:r>
          </w:p>
        </w:tc>
        <w:tc>
          <w:tcPr>
            <w:tcW w:w="826" w:type="pct"/>
            <w:gridSpan w:val="2"/>
            <w:tcBorders>
              <w:top w:val="single" w:sz="4" w:space="0" w:color="auto"/>
              <w:bottom w:val="single" w:sz="4" w:space="0" w:color="auto"/>
            </w:tcBorders>
            <w:shd w:val="clear" w:color="auto" w:fill="auto"/>
            <w:noWrap/>
            <w:vAlign w:val="center"/>
            <w:hideMark/>
          </w:tcPr>
          <w:p w14:paraId="54E348E5" w14:textId="58EF8794" w:rsidR="009F4C66" w:rsidRPr="00EC0637" w:rsidRDefault="009F4C66" w:rsidP="00227EDD">
            <w:pPr>
              <w:spacing w:after="0"/>
              <w:jc w:val="center"/>
              <w:rPr>
                <w:rFonts w:eastAsia="Times New Roman" w:cs="Times New Roman"/>
                <w:color w:val="000000"/>
                <w:sz w:val="20"/>
                <w:szCs w:val="20"/>
                <w:lang w:eastAsia="en-GB"/>
              </w:rPr>
            </w:pPr>
            <w:r w:rsidRPr="00EC0637">
              <w:rPr>
                <w:rFonts w:eastAsia="Times New Roman" w:cs="Times New Roman"/>
                <w:color w:val="000000"/>
                <w:sz w:val="20"/>
                <w:szCs w:val="20"/>
                <w:lang w:eastAsia="en-GB"/>
              </w:rPr>
              <w:t>[Power (UK-</w:t>
            </w:r>
            <w:proofErr w:type="spellStart"/>
            <w:r w:rsidRPr="00EC0637">
              <w:rPr>
                <w:rFonts w:eastAsia="Times New Roman" w:cs="Times New Roman"/>
                <w:color w:val="000000"/>
                <w:sz w:val="20"/>
                <w:szCs w:val="20"/>
                <w:lang w:eastAsia="en-GB"/>
              </w:rPr>
              <w:t>Rutstein</w:t>
            </w:r>
            <w:proofErr w:type="spellEnd"/>
            <w:r w:rsidRPr="00EC0637">
              <w:rPr>
                <w:rFonts w:eastAsia="Times New Roman" w:cs="Times New Roman"/>
                <w:color w:val="000000"/>
                <w:sz w:val="20"/>
                <w:szCs w:val="20"/>
                <w:lang w:eastAsia="en-GB"/>
              </w:rPr>
              <w:t>)]</w:t>
            </w:r>
          </w:p>
        </w:tc>
        <w:tc>
          <w:tcPr>
            <w:tcW w:w="880" w:type="pct"/>
            <w:gridSpan w:val="3"/>
            <w:tcBorders>
              <w:top w:val="single" w:sz="4" w:space="0" w:color="auto"/>
              <w:bottom w:val="single" w:sz="4" w:space="0" w:color="auto"/>
            </w:tcBorders>
            <w:shd w:val="clear" w:color="auto" w:fill="auto"/>
            <w:noWrap/>
            <w:vAlign w:val="center"/>
            <w:hideMark/>
          </w:tcPr>
          <w:p w14:paraId="2E706D08" w14:textId="77777777" w:rsidR="009F4C66" w:rsidRPr="00EC0637" w:rsidRDefault="009F4C66" w:rsidP="00227EDD">
            <w:pPr>
              <w:spacing w:after="0"/>
              <w:jc w:val="center"/>
              <w:rPr>
                <w:rFonts w:eastAsia="Times New Roman" w:cs="Times New Roman"/>
                <w:color w:val="000000"/>
                <w:sz w:val="20"/>
                <w:szCs w:val="20"/>
                <w:lang w:eastAsia="en-GB"/>
              </w:rPr>
            </w:pPr>
            <w:r w:rsidRPr="00EC0637">
              <w:rPr>
                <w:rFonts w:eastAsia="Times New Roman" w:cs="Times New Roman"/>
                <w:color w:val="000000"/>
                <w:sz w:val="20"/>
                <w:szCs w:val="20"/>
                <w:lang w:eastAsia="en-GB"/>
              </w:rPr>
              <w:t>[Power (UK-Improved)]</w:t>
            </w:r>
          </w:p>
        </w:tc>
        <w:tc>
          <w:tcPr>
            <w:tcW w:w="2110" w:type="pct"/>
            <w:gridSpan w:val="2"/>
            <w:tcBorders>
              <w:top w:val="single" w:sz="4" w:space="0" w:color="auto"/>
              <w:bottom w:val="single" w:sz="4" w:space="0" w:color="auto"/>
              <w:right w:val="nil"/>
            </w:tcBorders>
            <w:shd w:val="clear" w:color="auto" w:fill="auto"/>
            <w:noWrap/>
            <w:vAlign w:val="center"/>
            <w:hideMark/>
          </w:tcPr>
          <w:p w14:paraId="2A139EB4" w14:textId="77777777" w:rsidR="009F4C66" w:rsidRPr="00EC0637" w:rsidRDefault="009F4C66" w:rsidP="00227EDD">
            <w:pPr>
              <w:spacing w:after="0"/>
              <w:jc w:val="center"/>
              <w:rPr>
                <w:rFonts w:eastAsia="Times New Roman" w:cs="Times New Roman"/>
                <w:color w:val="000000"/>
                <w:sz w:val="20"/>
                <w:szCs w:val="20"/>
                <w:lang w:eastAsia="en-GB"/>
              </w:rPr>
            </w:pPr>
            <w:r w:rsidRPr="00EC0637">
              <w:rPr>
                <w:rFonts w:eastAsia="Times New Roman" w:cs="Times New Roman"/>
                <w:color w:val="000000"/>
                <w:sz w:val="20"/>
                <w:szCs w:val="20"/>
                <w:lang w:eastAsia="en-GB"/>
              </w:rPr>
              <w:t>[Poly (UK-Improved)]</w:t>
            </w:r>
          </w:p>
        </w:tc>
      </w:tr>
      <w:tr w:rsidR="00EC0637" w:rsidRPr="00227EDD" w14:paraId="5293E499" w14:textId="77777777" w:rsidTr="00AD758B">
        <w:trPr>
          <w:trHeight w:val="170"/>
        </w:trPr>
        <w:tc>
          <w:tcPr>
            <w:tcW w:w="625" w:type="pct"/>
            <w:vMerge/>
            <w:tcBorders>
              <w:left w:val="nil"/>
              <w:bottom w:val="single" w:sz="4" w:space="0" w:color="auto"/>
            </w:tcBorders>
            <w:vAlign w:val="center"/>
            <w:hideMark/>
          </w:tcPr>
          <w:p w14:paraId="4745D11E" w14:textId="77777777" w:rsidR="009F4C66" w:rsidRPr="00227EDD" w:rsidRDefault="009F4C66" w:rsidP="00227EDD">
            <w:pPr>
              <w:spacing w:after="0"/>
              <w:jc w:val="left"/>
              <w:rPr>
                <w:rFonts w:eastAsia="Times New Roman" w:cs="Times New Roman"/>
                <w:color w:val="000000"/>
                <w:sz w:val="20"/>
                <w:szCs w:val="20"/>
                <w:lang w:eastAsia="en-GB"/>
              </w:rPr>
            </w:pPr>
          </w:p>
        </w:tc>
        <w:tc>
          <w:tcPr>
            <w:tcW w:w="363" w:type="pct"/>
            <w:tcBorders>
              <w:top w:val="single" w:sz="4" w:space="0" w:color="auto"/>
              <w:bottom w:val="single" w:sz="4" w:space="0" w:color="auto"/>
            </w:tcBorders>
          </w:tcPr>
          <w:p w14:paraId="1DC810FE" w14:textId="4B0A3B34" w:rsidR="009F4C66" w:rsidRPr="009F4C66" w:rsidRDefault="009F4C66" w:rsidP="00227ED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a</w:t>
            </w:r>
          </w:p>
        </w:tc>
        <w:tc>
          <w:tcPr>
            <w:tcW w:w="196" w:type="pct"/>
            <w:tcBorders>
              <w:top w:val="single" w:sz="4" w:space="0" w:color="auto"/>
              <w:bottom w:val="single" w:sz="4" w:space="0" w:color="auto"/>
            </w:tcBorders>
          </w:tcPr>
          <w:p w14:paraId="74C1691B" w14:textId="79324FDE" w:rsidR="009F4C66" w:rsidRPr="009F4C66" w:rsidRDefault="009F4C66" w:rsidP="00227ED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b</w:t>
            </w:r>
          </w:p>
        </w:tc>
        <w:tc>
          <w:tcPr>
            <w:tcW w:w="413" w:type="pct"/>
            <w:tcBorders>
              <w:top w:val="single" w:sz="4" w:space="0" w:color="auto"/>
              <w:bottom w:val="single" w:sz="4" w:space="0" w:color="auto"/>
            </w:tcBorders>
            <w:shd w:val="clear" w:color="auto" w:fill="auto"/>
            <w:noWrap/>
            <w:vAlign w:val="center"/>
            <w:hideMark/>
          </w:tcPr>
          <w:p w14:paraId="5C743D45" w14:textId="10C871C6" w:rsidR="009F4C66" w:rsidRPr="009F4C66" w:rsidRDefault="009F4C66" w:rsidP="00227EDD">
            <w:pPr>
              <w:spacing w:after="0"/>
              <w:jc w:val="center"/>
              <w:rPr>
                <w:rFonts w:eastAsia="Times New Roman" w:cs="Times New Roman"/>
                <w:color w:val="000000"/>
                <w:sz w:val="20"/>
                <w:szCs w:val="20"/>
                <w:lang w:eastAsia="en-GB"/>
              </w:rPr>
            </w:pPr>
            <w:r w:rsidRPr="009F4C66">
              <w:rPr>
                <w:rFonts w:eastAsia="Times New Roman" w:cs="Times New Roman"/>
                <w:color w:val="000000"/>
                <w:sz w:val="20"/>
                <w:szCs w:val="20"/>
                <w:lang w:eastAsia="en-GB"/>
              </w:rPr>
              <w:t>a</w:t>
            </w:r>
          </w:p>
        </w:tc>
        <w:tc>
          <w:tcPr>
            <w:tcW w:w="413" w:type="pct"/>
            <w:tcBorders>
              <w:top w:val="single" w:sz="4" w:space="0" w:color="auto"/>
              <w:bottom w:val="single" w:sz="4" w:space="0" w:color="auto"/>
            </w:tcBorders>
            <w:shd w:val="clear" w:color="auto" w:fill="auto"/>
            <w:noWrap/>
            <w:vAlign w:val="center"/>
            <w:hideMark/>
          </w:tcPr>
          <w:p w14:paraId="725F63F1" w14:textId="77777777" w:rsidR="009F4C66" w:rsidRPr="00CD3F0D" w:rsidRDefault="009F4C66" w:rsidP="00227EDD">
            <w:pPr>
              <w:spacing w:after="0"/>
              <w:jc w:val="center"/>
              <w:rPr>
                <w:rFonts w:eastAsia="Times New Roman" w:cs="Times New Roman"/>
                <w:color w:val="000000"/>
                <w:sz w:val="20"/>
                <w:szCs w:val="20"/>
                <w:lang w:eastAsia="en-GB"/>
              </w:rPr>
            </w:pPr>
            <w:r w:rsidRPr="00123A85">
              <w:rPr>
                <w:rFonts w:eastAsia="Times New Roman" w:cs="Times New Roman"/>
                <w:color w:val="000000"/>
                <w:sz w:val="20"/>
                <w:szCs w:val="20"/>
                <w:lang w:eastAsia="en-GB"/>
              </w:rPr>
              <w:t>b</w:t>
            </w:r>
          </w:p>
        </w:tc>
        <w:tc>
          <w:tcPr>
            <w:tcW w:w="321" w:type="pct"/>
            <w:tcBorders>
              <w:top w:val="single" w:sz="4" w:space="0" w:color="auto"/>
              <w:bottom w:val="single" w:sz="4" w:space="0" w:color="auto"/>
            </w:tcBorders>
            <w:shd w:val="clear" w:color="auto" w:fill="auto"/>
            <w:noWrap/>
            <w:vAlign w:val="center"/>
            <w:hideMark/>
          </w:tcPr>
          <w:p w14:paraId="508A199F" w14:textId="77777777" w:rsidR="009F4C66" w:rsidRPr="00227EDD" w:rsidRDefault="009F4C66" w:rsidP="00227EDD">
            <w:pPr>
              <w:spacing w:after="0"/>
              <w:jc w:val="center"/>
              <w:rPr>
                <w:rFonts w:eastAsia="Times New Roman" w:cs="Times New Roman"/>
                <w:color w:val="000000"/>
                <w:sz w:val="20"/>
                <w:szCs w:val="20"/>
                <w:lang w:eastAsia="en-GB"/>
              </w:rPr>
            </w:pPr>
            <w:r w:rsidRPr="00CD3F0D">
              <w:rPr>
                <w:rFonts w:eastAsia="Times New Roman" w:cs="Times New Roman"/>
                <w:color w:val="000000"/>
                <w:sz w:val="20"/>
                <w:szCs w:val="20"/>
                <w:lang w:eastAsia="en-GB"/>
              </w:rPr>
              <w:t>a</w:t>
            </w:r>
          </w:p>
        </w:tc>
        <w:tc>
          <w:tcPr>
            <w:tcW w:w="279" w:type="pct"/>
            <w:tcBorders>
              <w:top w:val="single" w:sz="4" w:space="0" w:color="auto"/>
              <w:bottom w:val="single" w:sz="4" w:space="0" w:color="auto"/>
            </w:tcBorders>
            <w:shd w:val="clear" w:color="auto" w:fill="auto"/>
            <w:noWrap/>
            <w:vAlign w:val="center"/>
            <w:hideMark/>
          </w:tcPr>
          <w:p w14:paraId="5D05D961"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b</w:t>
            </w:r>
          </w:p>
        </w:tc>
        <w:tc>
          <w:tcPr>
            <w:tcW w:w="280" w:type="pct"/>
            <w:tcBorders>
              <w:top w:val="single" w:sz="4" w:space="0" w:color="auto"/>
              <w:bottom w:val="single" w:sz="4" w:space="0" w:color="auto"/>
            </w:tcBorders>
            <w:shd w:val="clear" w:color="auto" w:fill="auto"/>
            <w:noWrap/>
            <w:vAlign w:val="center"/>
            <w:hideMark/>
          </w:tcPr>
          <w:p w14:paraId="4471384D"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R</w:t>
            </w:r>
            <w:r w:rsidRPr="00227EDD">
              <w:rPr>
                <w:rFonts w:eastAsia="Times New Roman" w:cs="Times New Roman"/>
                <w:color w:val="000000"/>
                <w:sz w:val="20"/>
                <w:szCs w:val="20"/>
                <w:vertAlign w:val="superscript"/>
                <w:lang w:eastAsia="en-GB"/>
              </w:rPr>
              <w:t>2</w:t>
            </w:r>
          </w:p>
        </w:tc>
        <w:tc>
          <w:tcPr>
            <w:tcW w:w="1831" w:type="pct"/>
            <w:tcBorders>
              <w:top w:val="single" w:sz="4" w:space="0" w:color="auto"/>
              <w:bottom w:val="single" w:sz="4" w:space="0" w:color="auto"/>
            </w:tcBorders>
            <w:shd w:val="clear" w:color="auto" w:fill="auto"/>
            <w:noWrap/>
            <w:vAlign w:val="center"/>
            <w:hideMark/>
          </w:tcPr>
          <w:p w14:paraId="4689C88D"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Law</w:t>
            </w:r>
          </w:p>
        </w:tc>
        <w:tc>
          <w:tcPr>
            <w:tcW w:w="279" w:type="pct"/>
            <w:tcBorders>
              <w:top w:val="single" w:sz="4" w:space="0" w:color="auto"/>
              <w:bottom w:val="single" w:sz="4" w:space="0" w:color="auto"/>
              <w:right w:val="nil"/>
            </w:tcBorders>
            <w:shd w:val="clear" w:color="auto" w:fill="auto"/>
            <w:noWrap/>
            <w:vAlign w:val="center"/>
            <w:hideMark/>
          </w:tcPr>
          <w:p w14:paraId="2EDF9640"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R</w:t>
            </w:r>
            <w:r w:rsidRPr="00227EDD">
              <w:rPr>
                <w:rFonts w:eastAsia="Times New Roman" w:cs="Times New Roman"/>
                <w:color w:val="000000"/>
                <w:sz w:val="20"/>
                <w:szCs w:val="20"/>
                <w:vertAlign w:val="superscript"/>
                <w:lang w:eastAsia="en-GB"/>
              </w:rPr>
              <w:t>2</w:t>
            </w:r>
          </w:p>
        </w:tc>
      </w:tr>
      <w:tr w:rsidR="00EF4B41" w:rsidRPr="00227EDD" w14:paraId="7058E86C" w14:textId="77777777" w:rsidTr="00EC0637">
        <w:trPr>
          <w:trHeight w:val="170"/>
        </w:trPr>
        <w:tc>
          <w:tcPr>
            <w:tcW w:w="625" w:type="pct"/>
            <w:tcBorders>
              <w:top w:val="single" w:sz="4" w:space="0" w:color="auto"/>
              <w:left w:val="nil"/>
              <w:bottom w:val="nil"/>
            </w:tcBorders>
            <w:shd w:val="clear" w:color="auto" w:fill="auto"/>
            <w:vAlign w:val="center"/>
            <w:hideMark/>
          </w:tcPr>
          <w:p w14:paraId="0EB5A923" w14:textId="5BC12D28" w:rsidR="009F4C66" w:rsidRPr="009F4C66" w:rsidRDefault="00EF4B41" w:rsidP="00227ED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Industry manufacturing</w:t>
            </w:r>
          </w:p>
        </w:tc>
        <w:tc>
          <w:tcPr>
            <w:tcW w:w="363" w:type="pct"/>
            <w:tcBorders>
              <w:top w:val="single" w:sz="4" w:space="0" w:color="auto"/>
              <w:bottom w:val="nil"/>
            </w:tcBorders>
          </w:tcPr>
          <w:p w14:paraId="0F31133B" w14:textId="5EA22ED1"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0.0017</w:t>
            </w:r>
          </w:p>
        </w:tc>
        <w:tc>
          <w:tcPr>
            <w:tcW w:w="196" w:type="pct"/>
            <w:tcBorders>
              <w:top w:val="single" w:sz="4" w:space="0" w:color="auto"/>
              <w:bottom w:val="nil"/>
            </w:tcBorders>
          </w:tcPr>
          <w:p w14:paraId="44393F7E" w14:textId="103743CA"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413" w:type="pct"/>
            <w:tcBorders>
              <w:top w:val="single" w:sz="4" w:space="0" w:color="auto"/>
              <w:bottom w:val="nil"/>
            </w:tcBorders>
            <w:shd w:val="clear" w:color="auto" w:fill="auto"/>
            <w:noWrap/>
            <w:vAlign w:val="center"/>
            <w:hideMark/>
          </w:tcPr>
          <w:p w14:paraId="6A26583D" w14:textId="69C7A433"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0.0029</w:t>
            </w:r>
          </w:p>
        </w:tc>
        <w:tc>
          <w:tcPr>
            <w:tcW w:w="413" w:type="pct"/>
            <w:tcBorders>
              <w:top w:val="single" w:sz="4" w:space="0" w:color="auto"/>
              <w:bottom w:val="nil"/>
            </w:tcBorders>
            <w:shd w:val="clear" w:color="auto" w:fill="auto"/>
            <w:noWrap/>
            <w:vAlign w:val="center"/>
            <w:hideMark/>
          </w:tcPr>
          <w:p w14:paraId="5C1402A9"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eastAsia="en-GB"/>
              </w:rPr>
              <w:t>0.0736</w:t>
            </w:r>
          </w:p>
        </w:tc>
        <w:tc>
          <w:tcPr>
            <w:tcW w:w="321" w:type="pct"/>
            <w:tcBorders>
              <w:top w:val="single" w:sz="4" w:space="0" w:color="auto"/>
              <w:bottom w:val="nil"/>
            </w:tcBorders>
            <w:shd w:val="clear" w:color="auto" w:fill="auto"/>
            <w:noWrap/>
            <w:vAlign w:val="center"/>
            <w:hideMark/>
          </w:tcPr>
          <w:p w14:paraId="06B6F9D2"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0.0044</w:t>
            </w:r>
          </w:p>
        </w:tc>
        <w:tc>
          <w:tcPr>
            <w:tcW w:w="279" w:type="pct"/>
            <w:tcBorders>
              <w:top w:val="single" w:sz="4" w:space="0" w:color="auto"/>
              <w:bottom w:val="nil"/>
            </w:tcBorders>
            <w:shd w:val="clear" w:color="auto" w:fill="auto"/>
            <w:noWrap/>
            <w:vAlign w:val="center"/>
            <w:hideMark/>
          </w:tcPr>
          <w:p w14:paraId="349A9A66"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-0.137</w:t>
            </w:r>
          </w:p>
        </w:tc>
        <w:tc>
          <w:tcPr>
            <w:tcW w:w="280" w:type="pct"/>
            <w:tcBorders>
              <w:top w:val="single" w:sz="4" w:space="0" w:color="auto"/>
              <w:bottom w:val="nil"/>
            </w:tcBorders>
            <w:shd w:val="clear" w:color="auto" w:fill="auto"/>
            <w:noWrap/>
            <w:vAlign w:val="center"/>
            <w:hideMark/>
          </w:tcPr>
          <w:p w14:paraId="2A21FBDF" w14:textId="33A7A1EE"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0.055</w:t>
            </w:r>
          </w:p>
        </w:tc>
        <w:tc>
          <w:tcPr>
            <w:tcW w:w="1831" w:type="pct"/>
            <w:tcBorders>
              <w:top w:val="single" w:sz="4" w:space="0" w:color="auto"/>
              <w:bottom w:val="nil"/>
            </w:tcBorders>
            <w:shd w:val="clear" w:color="auto" w:fill="auto"/>
            <w:noWrap/>
            <w:vAlign w:val="center"/>
            <w:hideMark/>
          </w:tcPr>
          <w:p w14:paraId="74C8520E" w14:textId="4B519666" w:rsidR="009F4C66" w:rsidRPr="00227EDD" w:rsidRDefault="009F4C66" w:rsidP="00B7469E">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4</w:t>
            </w:r>
            <w:r w:rsidR="00907CB6">
              <w:rPr>
                <w:rFonts w:eastAsia="Times New Roman" w:cs="Times New Roman"/>
                <w:color w:val="000000"/>
                <w:sz w:val="20"/>
                <w:szCs w:val="20"/>
                <w:lang w:eastAsia="en-GB"/>
              </w:rPr>
              <w:t>×</w:t>
            </w:r>
            <w:r w:rsidR="00AD758B">
              <w:rPr>
                <w:rFonts w:eastAsia="Times New Roman" w:cs="Times New Roman"/>
                <w:color w:val="000000"/>
                <w:sz w:val="20"/>
                <w:szCs w:val="20"/>
                <w:lang w:eastAsia="en-GB"/>
              </w:rPr>
              <w:t>1</w:t>
            </w:r>
            <w:r w:rsidRPr="00227EDD">
              <w:rPr>
                <w:rFonts w:eastAsia="Times New Roman" w:cs="Times New Roman"/>
                <w:color w:val="000000"/>
                <w:sz w:val="20"/>
                <w:szCs w:val="20"/>
                <w:lang w:eastAsia="en-GB"/>
              </w:rPr>
              <w:t>0</w:t>
            </w:r>
            <w:r w:rsidRPr="00227EDD">
              <w:rPr>
                <w:rFonts w:eastAsia="Times New Roman" w:cs="Times New Roman"/>
                <w:color w:val="000000"/>
                <w:sz w:val="20"/>
                <w:szCs w:val="20"/>
                <w:vertAlign w:val="superscript"/>
                <w:lang w:eastAsia="en-GB"/>
              </w:rPr>
              <w:t>-15</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3</w:t>
            </w:r>
            <w:r w:rsidRPr="00227EDD">
              <w:rPr>
                <w:rFonts w:eastAsia="Times New Roman" w:cs="Times New Roman"/>
                <w:color w:val="000000"/>
                <w:sz w:val="20"/>
                <w:szCs w:val="20"/>
                <w:lang w:eastAsia="en-GB"/>
              </w:rPr>
              <w:t>-9</w:t>
            </w:r>
            <w:r w:rsidR="00B420E1">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-11</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+3</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-7</w:t>
            </w:r>
            <w:r w:rsidRPr="00227EDD">
              <w:rPr>
                <w:rFonts w:eastAsia="Times New Roman" w:cs="Times New Roman"/>
                <w:color w:val="000000"/>
                <w:sz w:val="20"/>
                <w:szCs w:val="20"/>
                <w:lang w:eastAsia="en-GB"/>
              </w:rPr>
              <w:t>A+0.003</w:t>
            </w:r>
          </w:p>
        </w:tc>
        <w:tc>
          <w:tcPr>
            <w:tcW w:w="279" w:type="pct"/>
            <w:tcBorders>
              <w:top w:val="single" w:sz="4" w:space="0" w:color="auto"/>
              <w:bottom w:val="nil"/>
              <w:right w:val="nil"/>
            </w:tcBorders>
            <w:shd w:val="clear" w:color="auto" w:fill="auto"/>
            <w:noWrap/>
            <w:vAlign w:val="center"/>
            <w:hideMark/>
          </w:tcPr>
          <w:p w14:paraId="4400DE31" w14:textId="799A234C"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0.155</w:t>
            </w:r>
          </w:p>
        </w:tc>
      </w:tr>
      <w:tr w:rsidR="00EF4B41" w:rsidRPr="00227EDD" w14:paraId="43074418" w14:textId="77777777" w:rsidTr="00EC0637">
        <w:trPr>
          <w:trHeight w:val="170"/>
        </w:trPr>
        <w:tc>
          <w:tcPr>
            <w:tcW w:w="625" w:type="pct"/>
            <w:tcBorders>
              <w:top w:val="nil"/>
              <w:left w:val="nil"/>
              <w:bottom w:val="nil"/>
            </w:tcBorders>
            <w:shd w:val="clear" w:color="auto" w:fill="auto"/>
            <w:vAlign w:val="center"/>
            <w:hideMark/>
          </w:tcPr>
          <w:p w14:paraId="1DD96349"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Storage</w:t>
            </w:r>
          </w:p>
        </w:tc>
        <w:tc>
          <w:tcPr>
            <w:tcW w:w="363" w:type="pct"/>
            <w:tcBorders>
              <w:top w:val="nil"/>
              <w:bottom w:val="nil"/>
            </w:tcBorders>
          </w:tcPr>
          <w:p w14:paraId="7AAEC212" w14:textId="2128908E"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0.00067</w:t>
            </w:r>
          </w:p>
        </w:tc>
        <w:tc>
          <w:tcPr>
            <w:tcW w:w="196" w:type="pct"/>
            <w:tcBorders>
              <w:top w:val="nil"/>
              <w:bottom w:val="nil"/>
            </w:tcBorders>
          </w:tcPr>
          <w:p w14:paraId="7EC37725" w14:textId="6BC628FD"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0.5</w:t>
            </w:r>
          </w:p>
        </w:tc>
        <w:tc>
          <w:tcPr>
            <w:tcW w:w="413" w:type="pct"/>
            <w:tcBorders>
              <w:top w:val="nil"/>
              <w:bottom w:val="nil"/>
            </w:tcBorders>
            <w:shd w:val="clear" w:color="auto" w:fill="auto"/>
            <w:noWrap/>
            <w:vAlign w:val="center"/>
            <w:hideMark/>
          </w:tcPr>
          <w:p w14:paraId="37C2984C" w14:textId="60D3D2D1"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0.0253</w:t>
            </w:r>
          </w:p>
        </w:tc>
        <w:tc>
          <w:tcPr>
            <w:tcW w:w="413" w:type="pct"/>
            <w:tcBorders>
              <w:top w:val="nil"/>
              <w:bottom w:val="nil"/>
            </w:tcBorders>
            <w:shd w:val="clear" w:color="auto" w:fill="auto"/>
            <w:noWrap/>
            <w:vAlign w:val="center"/>
            <w:hideMark/>
          </w:tcPr>
          <w:p w14:paraId="3F597EF7" w14:textId="5E2E685E" w:rsidR="009F4C66" w:rsidRPr="00CD3F0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0.3187</w:t>
            </w:r>
          </w:p>
        </w:tc>
        <w:tc>
          <w:tcPr>
            <w:tcW w:w="321" w:type="pct"/>
            <w:tcBorders>
              <w:top w:val="nil"/>
              <w:bottom w:val="nil"/>
            </w:tcBorders>
            <w:shd w:val="clear" w:color="auto" w:fill="auto"/>
            <w:noWrap/>
            <w:vAlign w:val="center"/>
            <w:hideMark/>
          </w:tcPr>
          <w:p w14:paraId="67689E06"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0.0439</w:t>
            </w:r>
          </w:p>
        </w:tc>
        <w:tc>
          <w:tcPr>
            <w:tcW w:w="279" w:type="pct"/>
            <w:tcBorders>
              <w:top w:val="nil"/>
              <w:bottom w:val="nil"/>
            </w:tcBorders>
            <w:shd w:val="clear" w:color="auto" w:fill="auto"/>
            <w:noWrap/>
            <w:vAlign w:val="center"/>
            <w:hideMark/>
          </w:tcPr>
          <w:p w14:paraId="33833348"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-0.237</w:t>
            </w:r>
          </w:p>
        </w:tc>
        <w:tc>
          <w:tcPr>
            <w:tcW w:w="280" w:type="pct"/>
            <w:tcBorders>
              <w:top w:val="nil"/>
              <w:bottom w:val="nil"/>
            </w:tcBorders>
            <w:shd w:val="clear" w:color="auto" w:fill="auto"/>
            <w:noWrap/>
            <w:vAlign w:val="center"/>
            <w:hideMark/>
          </w:tcPr>
          <w:p w14:paraId="4B532899" w14:textId="072A9AE8"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0.101</w:t>
            </w:r>
          </w:p>
        </w:tc>
        <w:tc>
          <w:tcPr>
            <w:tcW w:w="1831" w:type="pct"/>
            <w:tcBorders>
              <w:top w:val="nil"/>
              <w:bottom w:val="nil"/>
            </w:tcBorders>
            <w:shd w:val="clear" w:color="auto" w:fill="auto"/>
            <w:noWrap/>
            <w:vAlign w:val="center"/>
            <w:hideMark/>
          </w:tcPr>
          <w:p w14:paraId="50494E72" w14:textId="525675DA"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-7</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-10</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+3</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-6</w:t>
            </w:r>
            <w:r w:rsidRPr="00227EDD">
              <w:rPr>
                <w:rFonts w:eastAsia="Times New Roman" w:cs="Times New Roman"/>
                <w:color w:val="000000"/>
                <w:sz w:val="20"/>
                <w:szCs w:val="20"/>
                <w:lang w:eastAsia="en-GB"/>
              </w:rPr>
              <w:t>A+0.0177</w:t>
            </w:r>
          </w:p>
        </w:tc>
        <w:tc>
          <w:tcPr>
            <w:tcW w:w="279" w:type="pct"/>
            <w:tcBorders>
              <w:top w:val="nil"/>
              <w:bottom w:val="nil"/>
              <w:right w:val="nil"/>
            </w:tcBorders>
            <w:shd w:val="clear" w:color="auto" w:fill="auto"/>
            <w:noWrap/>
            <w:vAlign w:val="center"/>
            <w:hideMark/>
          </w:tcPr>
          <w:p w14:paraId="27535597" w14:textId="7E68D334"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0.205</w:t>
            </w:r>
          </w:p>
        </w:tc>
      </w:tr>
      <w:tr w:rsidR="00EF4B41" w:rsidRPr="00227EDD" w14:paraId="7FD930D5" w14:textId="77777777" w:rsidTr="00EC0637">
        <w:trPr>
          <w:trHeight w:val="60"/>
        </w:trPr>
        <w:tc>
          <w:tcPr>
            <w:tcW w:w="625" w:type="pct"/>
            <w:tcBorders>
              <w:top w:val="nil"/>
              <w:left w:val="nil"/>
              <w:bottom w:val="nil"/>
            </w:tcBorders>
            <w:shd w:val="clear" w:color="auto" w:fill="auto"/>
            <w:vAlign w:val="center"/>
            <w:hideMark/>
          </w:tcPr>
          <w:p w14:paraId="08CC1614"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Shops</w:t>
            </w:r>
          </w:p>
        </w:tc>
        <w:tc>
          <w:tcPr>
            <w:tcW w:w="363" w:type="pct"/>
            <w:tcBorders>
              <w:top w:val="nil"/>
              <w:bottom w:val="nil"/>
            </w:tcBorders>
          </w:tcPr>
          <w:p w14:paraId="5A910894" w14:textId="32F1B5E9"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0.000066</w:t>
            </w:r>
          </w:p>
        </w:tc>
        <w:tc>
          <w:tcPr>
            <w:tcW w:w="196" w:type="pct"/>
            <w:tcBorders>
              <w:top w:val="nil"/>
              <w:bottom w:val="nil"/>
            </w:tcBorders>
          </w:tcPr>
          <w:p w14:paraId="5283C658" w14:textId="6BB7D8B6"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w:t>
            </w:r>
          </w:p>
        </w:tc>
        <w:tc>
          <w:tcPr>
            <w:tcW w:w="413" w:type="pct"/>
            <w:tcBorders>
              <w:top w:val="nil"/>
              <w:bottom w:val="nil"/>
            </w:tcBorders>
            <w:shd w:val="clear" w:color="auto" w:fill="auto"/>
            <w:noWrap/>
            <w:vAlign w:val="center"/>
            <w:hideMark/>
          </w:tcPr>
          <w:p w14:paraId="1877AA13" w14:textId="78F2F70E"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0.0027</w:t>
            </w:r>
          </w:p>
        </w:tc>
        <w:tc>
          <w:tcPr>
            <w:tcW w:w="413" w:type="pct"/>
            <w:tcBorders>
              <w:top w:val="nil"/>
              <w:bottom w:val="nil"/>
            </w:tcBorders>
            <w:shd w:val="clear" w:color="auto" w:fill="auto"/>
            <w:noWrap/>
            <w:vAlign w:val="center"/>
            <w:hideMark/>
          </w:tcPr>
          <w:p w14:paraId="41C46635" w14:textId="64FBFACD" w:rsidR="009F4C66" w:rsidRPr="00CD3F0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0.0515</w:t>
            </w:r>
          </w:p>
        </w:tc>
        <w:tc>
          <w:tcPr>
            <w:tcW w:w="321" w:type="pct"/>
            <w:tcBorders>
              <w:top w:val="nil"/>
              <w:bottom w:val="nil"/>
            </w:tcBorders>
            <w:shd w:val="clear" w:color="auto" w:fill="auto"/>
            <w:noWrap/>
            <w:vAlign w:val="center"/>
            <w:hideMark/>
          </w:tcPr>
          <w:p w14:paraId="2691C7C9"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0.0014</w:t>
            </w:r>
          </w:p>
        </w:tc>
        <w:tc>
          <w:tcPr>
            <w:tcW w:w="279" w:type="pct"/>
            <w:tcBorders>
              <w:top w:val="nil"/>
              <w:bottom w:val="nil"/>
            </w:tcBorders>
            <w:shd w:val="clear" w:color="auto" w:fill="auto"/>
            <w:noWrap/>
            <w:vAlign w:val="center"/>
            <w:hideMark/>
          </w:tcPr>
          <w:p w14:paraId="41AA3D44" w14:textId="3A2087C5"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0.164</w:t>
            </w:r>
          </w:p>
        </w:tc>
        <w:tc>
          <w:tcPr>
            <w:tcW w:w="280" w:type="pct"/>
            <w:tcBorders>
              <w:top w:val="nil"/>
              <w:bottom w:val="nil"/>
            </w:tcBorders>
            <w:shd w:val="clear" w:color="auto" w:fill="auto"/>
            <w:noWrap/>
            <w:vAlign w:val="center"/>
            <w:hideMark/>
          </w:tcPr>
          <w:p w14:paraId="3AFD2BFA" w14:textId="70EAC3A1"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0.262</w:t>
            </w:r>
          </w:p>
        </w:tc>
        <w:tc>
          <w:tcPr>
            <w:tcW w:w="1831" w:type="pct"/>
            <w:tcBorders>
              <w:top w:val="nil"/>
              <w:bottom w:val="nil"/>
            </w:tcBorders>
            <w:shd w:val="clear" w:color="auto" w:fill="auto"/>
            <w:noWrap/>
            <w:vAlign w:val="center"/>
            <w:hideMark/>
          </w:tcPr>
          <w:p w14:paraId="1D8CDA3B" w14:textId="08C6174F"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1</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336CF6">
              <w:rPr>
                <w:rFonts w:eastAsia="Times New Roman" w:cs="Times New Roman"/>
                <w:color w:val="000000"/>
                <w:sz w:val="20"/>
                <w:szCs w:val="20"/>
                <w:vertAlign w:val="superscript"/>
                <w:lang w:eastAsia="en-GB"/>
              </w:rPr>
              <w:t>-11</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-2</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-7</w:t>
            </w:r>
            <w:r w:rsidRPr="00227EDD">
              <w:rPr>
                <w:rFonts w:eastAsia="Times New Roman" w:cs="Times New Roman"/>
                <w:color w:val="000000"/>
                <w:sz w:val="20"/>
                <w:szCs w:val="20"/>
                <w:lang w:eastAsia="en-GB"/>
              </w:rPr>
              <w:t>A+0.0049</w:t>
            </w:r>
          </w:p>
        </w:tc>
        <w:tc>
          <w:tcPr>
            <w:tcW w:w="279" w:type="pct"/>
            <w:tcBorders>
              <w:top w:val="nil"/>
              <w:bottom w:val="nil"/>
              <w:right w:val="nil"/>
            </w:tcBorders>
            <w:shd w:val="clear" w:color="auto" w:fill="auto"/>
            <w:noWrap/>
            <w:vAlign w:val="center"/>
            <w:hideMark/>
          </w:tcPr>
          <w:p w14:paraId="3F9CDD0E" w14:textId="2A2A11D9"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0.449</w:t>
            </w:r>
          </w:p>
        </w:tc>
      </w:tr>
      <w:tr w:rsidR="00EF4B41" w:rsidRPr="00227EDD" w14:paraId="3BC172F6" w14:textId="77777777" w:rsidTr="00EC0637">
        <w:trPr>
          <w:trHeight w:val="170"/>
        </w:trPr>
        <w:tc>
          <w:tcPr>
            <w:tcW w:w="625" w:type="pct"/>
            <w:tcBorders>
              <w:top w:val="nil"/>
              <w:left w:val="nil"/>
              <w:bottom w:val="nil"/>
            </w:tcBorders>
            <w:shd w:val="clear" w:color="auto" w:fill="auto"/>
            <w:vAlign w:val="center"/>
            <w:hideMark/>
          </w:tcPr>
          <w:p w14:paraId="4A3357E9"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Offices</w:t>
            </w:r>
          </w:p>
        </w:tc>
        <w:tc>
          <w:tcPr>
            <w:tcW w:w="363" w:type="pct"/>
            <w:tcBorders>
              <w:top w:val="nil"/>
              <w:bottom w:val="nil"/>
            </w:tcBorders>
          </w:tcPr>
          <w:p w14:paraId="548E925D" w14:textId="44F5BCFD"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0.000059</w:t>
            </w:r>
          </w:p>
        </w:tc>
        <w:tc>
          <w:tcPr>
            <w:tcW w:w="196" w:type="pct"/>
            <w:tcBorders>
              <w:top w:val="nil"/>
              <w:bottom w:val="nil"/>
            </w:tcBorders>
          </w:tcPr>
          <w:p w14:paraId="1D81B30A" w14:textId="51D32118"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0.9</w:t>
            </w:r>
          </w:p>
        </w:tc>
        <w:tc>
          <w:tcPr>
            <w:tcW w:w="413" w:type="pct"/>
            <w:tcBorders>
              <w:top w:val="nil"/>
              <w:bottom w:val="nil"/>
            </w:tcBorders>
            <w:shd w:val="clear" w:color="auto" w:fill="auto"/>
            <w:noWrap/>
            <w:vAlign w:val="center"/>
            <w:hideMark/>
          </w:tcPr>
          <w:p w14:paraId="2EC05B4A" w14:textId="66A96B12"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0.0009</w:t>
            </w:r>
          </w:p>
        </w:tc>
        <w:tc>
          <w:tcPr>
            <w:tcW w:w="413" w:type="pct"/>
            <w:tcBorders>
              <w:top w:val="nil"/>
              <w:bottom w:val="nil"/>
            </w:tcBorders>
            <w:shd w:val="clear" w:color="auto" w:fill="auto"/>
            <w:noWrap/>
            <w:vAlign w:val="center"/>
            <w:hideMark/>
          </w:tcPr>
          <w:p w14:paraId="247AF0F7" w14:textId="3BF7E493" w:rsidR="009F4C66" w:rsidRPr="00CD3F0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0.0128</w:t>
            </w:r>
          </w:p>
        </w:tc>
        <w:tc>
          <w:tcPr>
            <w:tcW w:w="321" w:type="pct"/>
            <w:tcBorders>
              <w:top w:val="nil"/>
              <w:bottom w:val="nil"/>
            </w:tcBorders>
            <w:shd w:val="clear" w:color="auto" w:fill="auto"/>
            <w:noWrap/>
            <w:vAlign w:val="center"/>
            <w:hideMark/>
          </w:tcPr>
          <w:p w14:paraId="1B7AE75C"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0.00007</w:t>
            </w:r>
          </w:p>
        </w:tc>
        <w:tc>
          <w:tcPr>
            <w:tcW w:w="279" w:type="pct"/>
            <w:tcBorders>
              <w:top w:val="nil"/>
              <w:bottom w:val="nil"/>
            </w:tcBorders>
            <w:shd w:val="clear" w:color="auto" w:fill="auto"/>
            <w:noWrap/>
            <w:vAlign w:val="center"/>
            <w:hideMark/>
          </w:tcPr>
          <w:p w14:paraId="550A6DAB" w14:textId="00E8ADB6"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0.518</w:t>
            </w:r>
          </w:p>
        </w:tc>
        <w:tc>
          <w:tcPr>
            <w:tcW w:w="280" w:type="pct"/>
            <w:tcBorders>
              <w:top w:val="nil"/>
              <w:bottom w:val="nil"/>
            </w:tcBorders>
            <w:shd w:val="clear" w:color="auto" w:fill="auto"/>
            <w:noWrap/>
            <w:vAlign w:val="center"/>
            <w:hideMark/>
          </w:tcPr>
          <w:p w14:paraId="0C1E0A46" w14:textId="3DB69E55"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0.835</w:t>
            </w:r>
          </w:p>
        </w:tc>
        <w:tc>
          <w:tcPr>
            <w:tcW w:w="1831" w:type="pct"/>
            <w:tcBorders>
              <w:top w:val="nil"/>
              <w:bottom w:val="nil"/>
            </w:tcBorders>
            <w:shd w:val="clear" w:color="auto" w:fill="auto"/>
            <w:noWrap/>
            <w:vAlign w:val="center"/>
            <w:hideMark/>
          </w:tcPr>
          <w:p w14:paraId="777CC80A" w14:textId="667BC6D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-2</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-11</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+1</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-6</w:t>
            </w:r>
            <w:r w:rsidRPr="00227EDD">
              <w:rPr>
                <w:rFonts w:eastAsia="Times New Roman" w:cs="Times New Roman"/>
                <w:color w:val="000000"/>
                <w:sz w:val="20"/>
                <w:szCs w:val="20"/>
                <w:lang w:eastAsia="en-GB"/>
              </w:rPr>
              <w:t>A+0.0017</w:t>
            </w:r>
          </w:p>
        </w:tc>
        <w:tc>
          <w:tcPr>
            <w:tcW w:w="279" w:type="pct"/>
            <w:tcBorders>
              <w:top w:val="nil"/>
              <w:bottom w:val="nil"/>
              <w:right w:val="nil"/>
            </w:tcBorders>
            <w:shd w:val="clear" w:color="auto" w:fill="auto"/>
            <w:noWrap/>
            <w:vAlign w:val="center"/>
            <w:hideMark/>
          </w:tcPr>
          <w:p w14:paraId="091312B6" w14:textId="563A5F6A"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0.588</w:t>
            </w:r>
          </w:p>
        </w:tc>
      </w:tr>
      <w:tr w:rsidR="00EF4B41" w:rsidRPr="00227EDD" w14:paraId="5AB04418" w14:textId="77777777" w:rsidTr="00EC0637">
        <w:trPr>
          <w:trHeight w:val="170"/>
        </w:trPr>
        <w:tc>
          <w:tcPr>
            <w:tcW w:w="625" w:type="pct"/>
            <w:tcBorders>
              <w:top w:val="nil"/>
              <w:left w:val="nil"/>
              <w:bottom w:val="nil"/>
            </w:tcBorders>
            <w:shd w:val="clear" w:color="auto" w:fill="auto"/>
            <w:vAlign w:val="center"/>
            <w:hideMark/>
          </w:tcPr>
          <w:p w14:paraId="07640C9B"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Hospitals</w:t>
            </w:r>
          </w:p>
        </w:tc>
        <w:tc>
          <w:tcPr>
            <w:tcW w:w="363" w:type="pct"/>
            <w:tcBorders>
              <w:top w:val="nil"/>
              <w:bottom w:val="nil"/>
            </w:tcBorders>
          </w:tcPr>
          <w:p w14:paraId="01061796" w14:textId="4C32C296"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0.0007</w:t>
            </w:r>
          </w:p>
        </w:tc>
        <w:tc>
          <w:tcPr>
            <w:tcW w:w="196" w:type="pct"/>
            <w:tcBorders>
              <w:top w:val="nil"/>
              <w:bottom w:val="nil"/>
            </w:tcBorders>
          </w:tcPr>
          <w:p w14:paraId="0385F8D2" w14:textId="6EE28F9D"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0.75</w:t>
            </w:r>
          </w:p>
        </w:tc>
        <w:tc>
          <w:tcPr>
            <w:tcW w:w="413" w:type="pct"/>
            <w:tcBorders>
              <w:top w:val="nil"/>
              <w:bottom w:val="nil"/>
            </w:tcBorders>
            <w:shd w:val="clear" w:color="auto" w:fill="auto"/>
            <w:noWrap/>
            <w:vAlign w:val="center"/>
            <w:hideMark/>
          </w:tcPr>
          <w:p w14:paraId="2444437E" w14:textId="0DF3B08E"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0.0117</w:t>
            </w:r>
          </w:p>
        </w:tc>
        <w:tc>
          <w:tcPr>
            <w:tcW w:w="413" w:type="pct"/>
            <w:tcBorders>
              <w:top w:val="nil"/>
              <w:bottom w:val="nil"/>
            </w:tcBorders>
            <w:shd w:val="clear" w:color="auto" w:fill="auto"/>
            <w:noWrap/>
            <w:vAlign w:val="center"/>
            <w:hideMark/>
          </w:tcPr>
          <w:p w14:paraId="69DE008D" w14:textId="23F11E1C" w:rsidR="009F4C66" w:rsidRPr="00CD3F0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0.1183</w:t>
            </w:r>
          </w:p>
        </w:tc>
        <w:tc>
          <w:tcPr>
            <w:tcW w:w="321" w:type="pct"/>
            <w:tcBorders>
              <w:top w:val="nil"/>
              <w:bottom w:val="nil"/>
            </w:tcBorders>
            <w:shd w:val="clear" w:color="auto" w:fill="auto"/>
            <w:noWrap/>
            <w:vAlign w:val="center"/>
            <w:hideMark/>
          </w:tcPr>
          <w:p w14:paraId="04C821E1"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0.0002</w:t>
            </w:r>
          </w:p>
        </w:tc>
        <w:tc>
          <w:tcPr>
            <w:tcW w:w="279" w:type="pct"/>
            <w:tcBorders>
              <w:top w:val="nil"/>
              <w:bottom w:val="nil"/>
            </w:tcBorders>
            <w:shd w:val="clear" w:color="auto" w:fill="auto"/>
            <w:noWrap/>
            <w:vAlign w:val="center"/>
            <w:hideMark/>
          </w:tcPr>
          <w:p w14:paraId="0CC8637F" w14:textId="46B6AA95" w:rsidR="009F4C66" w:rsidRPr="00227EDD" w:rsidRDefault="00CE191D"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0.764</w:t>
            </w:r>
          </w:p>
        </w:tc>
        <w:tc>
          <w:tcPr>
            <w:tcW w:w="280" w:type="pct"/>
            <w:tcBorders>
              <w:top w:val="nil"/>
              <w:bottom w:val="nil"/>
            </w:tcBorders>
            <w:shd w:val="clear" w:color="auto" w:fill="auto"/>
            <w:noWrap/>
            <w:vAlign w:val="center"/>
            <w:hideMark/>
          </w:tcPr>
          <w:p w14:paraId="7E9DBFCC" w14:textId="78904390"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0.442</w:t>
            </w:r>
          </w:p>
        </w:tc>
        <w:tc>
          <w:tcPr>
            <w:tcW w:w="1831" w:type="pct"/>
            <w:tcBorders>
              <w:top w:val="nil"/>
              <w:bottom w:val="nil"/>
            </w:tcBorders>
            <w:shd w:val="clear" w:color="auto" w:fill="auto"/>
            <w:noWrap/>
            <w:vAlign w:val="center"/>
            <w:hideMark/>
          </w:tcPr>
          <w:p w14:paraId="04D3EBF3" w14:textId="6E0EE4A1"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-4</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-12</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3</w:t>
            </w:r>
            <w:r w:rsidRPr="00227EDD">
              <w:rPr>
                <w:rFonts w:eastAsia="Times New Roman" w:cs="Times New Roman"/>
                <w:color w:val="000000"/>
                <w:sz w:val="20"/>
                <w:szCs w:val="20"/>
                <w:lang w:eastAsia="en-GB"/>
              </w:rPr>
              <w:t>+8</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-8</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-5</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-5</w:t>
            </w:r>
            <w:r w:rsidRPr="00227EDD">
              <w:rPr>
                <w:rFonts w:eastAsia="Times New Roman" w:cs="Times New Roman"/>
                <w:color w:val="000000"/>
                <w:sz w:val="20"/>
                <w:szCs w:val="20"/>
                <w:lang w:eastAsia="en-GB"/>
              </w:rPr>
              <w:t>A+0.0157</w:t>
            </w:r>
          </w:p>
        </w:tc>
        <w:tc>
          <w:tcPr>
            <w:tcW w:w="279" w:type="pct"/>
            <w:tcBorders>
              <w:top w:val="nil"/>
              <w:bottom w:val="nil"/>
              <w:right w:val="nil"/>
            </w:tcBorders>
            <w:shd w:val="clear" w:color="auto" w:fill="auto"/>
            <w:noWrap/>
            <w:vAlign w:val="center"/>
            <w:hideMark/>
          </w:tcPr>
          <w:p w14:paraId="510F800D" w14:textId="02FB0660"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0.999</w:t>
            </w:r>
          </w:p>
        </w:tc>
      </w:tr>
      <w:tr w:rsidR="00EF4B41" w:rsidRPr="00227EDD" w14:paraId="4C80A210" w14:textId="77777777" w:rsidTr="00EC0637">
        <w:trPr>
          <w:trHeight w:val="170"/>
        </w:trPr>
        <w:tc>
          <w:tcPr>
            <w:tcW w:w="625" w:type="pct"/>
            <w:tcBorders>
              <w:top w:val="nil"/>
              <w:left w:val="nil"/>
              <w:bottom w:val="nil"/>
            </w:tcBorders>
            <w:shd w:val="clear" w:color="auto" w:fill="auto"/>
            <w:vAlign w:val="center"/>
            <w:hideMark/>
          </w:tcPr>
          <w:p w14:paraId="37313099"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Schools</w:t>
            </w:r>
          </w:p>
        </w:tc>
        <w:tc>
          <w:tcPr>
            <w:tcW w:w="363" w:type="pct"/>
            <w:tcBorders>
              <w:top w:val="nil"/>
              <w:bottom w:val="nil"/>
            </w:tcBorders>
          </w:tcPr>
          <w:p w14:paraId="2536A619" w14:textId="6E7D254B"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0.0002</w:t>
            </w:r>
          </w:p>
        </w:tc>
        <w:tc>
          <w:tcPr>
            <w:tcW w:w="196" w:type="pct"/>
            <w:tcBorders>
              <w:top w:val="nil"/>
              <w:bottom w:val="nil"/>
            </w:tcBorders>
          </w:tcPr>
          <w:p w14:paraId="3F83097C" w14:textId="09DF6FA4"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0.75</w:t>
            </w:r>
          </w:p>
        </w:tc>
        <w:tc>
          <w:tcPr>
            <w:tcW w:w="413" w:type="pct"/>
            <w:tcBorders>
              <w:top w:val="nil"/>
              <w:bottom w:val="nil"/>
            </w:tcBorders>
            <w:shd w:val="clear" w:color="auto" w:fill="auto"/>
            <w:noWrap/>
            <w:vAlign w:val="center"/>
            <w:hideMark/>
          </w:tcPr>
          <w:p w14:paraId="75223C4A" w14:textId="02CC52CB"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0.0246</w:t>
            </w:r>
          </w:p>
        </w:tc>
        <w:tc>
          <w:tcPr>
            <w:tcW w:w="413" w:type="pct"/>
            <w:tcBorders>
              <w:top w:val="nil"/>
              <w:bottom w:val="nil"/>
            </w:tcBorders>
            <w:shd w:val="clear" w:color="auto" w:fill="auto"/>
            <w:noWrap/>
            <w:vAlign w:val="center"/>
            <w:hideMark/>
          </w:tcPr>
          <w:p w14:paraId="3D6FD380"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eastAsia="en-GB"/>
              </w:rPr>
              <w:t>0.0544</w:t>
            </w:r>
          </w:p>
        </w:tc>
        <w:tc>
          <w:tcPr>
            <w:tcW w:w="321" w:type="pct"/>
            <w:tcBorders>
              <w:top w:val="nil"/>
              <w:bottom w:val="nil"/>
            </w:tcBorders>
            <w:shd w:val="clear" w:color="auto" w:fill="auto"/>
            <w:noWrap/>
            <w:vAlign w:val="center"/>
            <w:hideMark/>
          </w:tcPr>
          <w:p w14:paraId="0611AFA5"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0.0047</w:t>
            </w:r>
          </w:p>
        </w:tc>
        <w:tc>
          <w:tcPr>
            <w:tcW w:w="279" w:type="pct"/>
            <w:tcBorders>
              <w:top w:val="nil"/>
              <w:bottom w:val="nil"/>
            </w:tcBorders>
            <w:shd w:val="clear" w:color="auto" w:fill="auto"/>
            <w:noWrap/>
            <w:vAlign w:val="center"/>
            <w:hideMark/>
          </w:tcPr>
          <w:p w14:paraId="6F8BEDC2" w14:textId="72B5B5BC"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0.340</w:t>
            </w:r>
          </w:p>
        </w:tc>
        <w:tc>
          <w:tcPr>
            <w:tcW w:w="280" w:type="pct"/>
            <w:tcBorders>
              <w:top w:val="nil"/>
              <w:bottom w:val="nil"/>
            </w:tcBorders>
            <w:shd w:val="clear" w:color="auto" w:fill="auto"/>
            <w:noWrap/>
            <w:vAlign w:val="center"/>
            <w:hideMark/>
          </w:tcPr>
          <w:p w14:paraId="662D1ABE" w14:textId="1240C848"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0.178</w:t>
            </w:r>
          </w:p>
        </w:tc>
        <w:tc>
          <w:tcPr>
            <w:tcW w:w="1831" w:type="pct"/>
            <w:tcBorders>
              <w:top w:val="nil"/>
              <w:bottom w:val="nil"/>
            </w:tcBorders>
            <w:shd w:val="clear" w:color="auto" w:fill="auto"/>
            <w:noWrap/>
            <w:vAlign w:val="center"/>
            <w:hideMark/>
          </w:tcPr>
          <w:p w14:paraId="6B67E12F" w14:textId="0E9EE1EA"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-5</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-12</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3</w:t>
            </w:r>
            <w:r w:rsidRPr="00227EDD">
              <w:rPr>
                <w:rFonts w:eastAsia="Times New Roman" w:cs="Times New Roman"/>
                <w:color w:val="000000"/>
                <w:sz w:val="20"/>
                <w:szCs w:val="20"/>
                <w:lang w:eastAsia="en-GB"/>
              </w:rPr>
              <w:t>+4</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-8</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-4</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-5</w:t>
            </w:r>
            <w:r w:rsidRPr="00227EDD">
              <w:rPr>
                <w:rFonts w:eastAsia="Times New Roman" w:cs="Times New Roman"/>
                <w:color w:val="000000"/>
                <w:sz w:val="20"/>
                <w:szCs w:val="20"/>
                <w:lang w:eastAsia="en-GB"/>
              </w:rPr>
              <w:t>A+0.0473</w:t>
            </w:r>
          </w:p>
        </w:tc>
        <w:tc>
          <w:tcPr>
            <w:tcW w:w="279" w:type="pct"/>
            <w:tcBorders>
              <w:top w:val="nil"/>
              <w:bottom w:val="nil"/>
              <w:right w:val="nil"/>
            </w:tcBorders>
            <w:shd w:val="clear" w:color="auto" w:fill="auto"/>
            <w:noWrap/>
            <w:vAlign w:val="center"/>
            <w:hideMark/>
          </w:tcPr>
          <w:p w14:paraId="0B36B313" w14:textId="0E6E0B2C"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0.718</w:t>
            </w:r>
          </w:p>
        </w:tc>
      </w:tr>
      <w:tr w:rsidR="00EF4B41" w:rsidRPr="00227EDD" w14:paraId="46B03060" w14:textId="77777777" w:rsidTr="00EC0637">
        <w:trPr>
          <w:trHeight w:val="170"/>
        </w:trPr>
        <w:tc>
          <w:tcPr>
            <w:tcW w:w="625" w:type="pct"/>
            <w:tcBorders>
              <w:top w:val="nil"/>
              <w:left w:val="nil"/>
            </w:tcBorders>
            <w:shd w:val="clear" w:color="auto" w:fill="auto"/>
            <w:vAlign w:val="center"/>
            <w:hideMark/>
          </w:tcPr>
          <w:p w14:paraId="7DD6288F"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Leisure</w:t>
            </w:r>
          </w:p>
        </w:tc>
        <w:tc>
          <w:tcPr>
            <w:tcW w:w="363" w:type="pct"/>
            <w:tcBorders>
              <w:top w:val="nil"/>
            </w:tcBorders>
          </w:tcPr>
          <w:p w14:paraId="4CC2D102" w14:textId="0FA11E92" w:rsidR="009F4C66" w:rsidRPr="009F4C66" w:rsidRDefault="009F4C66" w:rsidP="00AD758B">
            <w:pPr>
              <w:spacing w:after="0"/>
              <w:jc w:val="right"/>
              <w:rPr>
                <w:rFonts w:eastAsia="Times New Roman" w:cs="Times New Roman"/>
                <w:color w:val="000000"/>
                <w:sz w:val="20"/>
                <w:szCs w:val="20"/>
                <w:lang w:val="it-IT" w:eastAsia="en-GB"/>
              </w:rPr>
            </w:pPr>
            <w:r>
              <w:rPr>
                <w:rFonts w:eastAsia="Times New Roman" w:cs="Times New Roman"/>
                <w:color w:val="000000"/>
                <w:sz w:val="20"/>
                <w:szCs w:val="20"/>
                <w:lang w:val="it-IT" w:eastAsia="en-GB"/>
              </w:rPr>
              <w:t>N/A</w:t>
            </w:r>
          </w:p>
        </w:tc>
        <w:tc>
          <w:tcPr>
            <w:tcW w:w="196" w:type="pct"/>
            <w:tcBorders>
              <w:top w:val="nil"/>
            </w:tcBorders>
          </w:tcPr>
          <w:p w14:paraId="70FC4E13" w14:textId="72748A04" w:rsidR="009F4C66" w:rsidRPr="009F4C66" w:rsidRDefault="009F4C66" w:rsidP="00AD758B">
            <w:pPr>
              <w:spacing w:after="0"/>
              <w:jc w:val="right"/>
              <w:rPr>
                <w:rFonts w:eastAsia="Times New Roman" w:cs="Times New Roman"/>
                <w:color w:val="000000"/>
                <w:sz w:val="20"/>
                <w:szCs w:val="20"/>
                <w:lang w:val="it-IT" w:eastAsia="en-GB"/>
              </w:rPr>
            </w:pPr>
            <w:r>
              <w:rPr>
                <w:rFonts w:eastAsia="Times New Roman" w:cs="Times New Roman"/>
                <w:color w:val="000000"/>
                <w:sz w:val="20"/>
                <w:szCs w:val="20"/>
                <w:lang w:val="it-IT" w:eastAsia="en-GB"/>
              </w:rPr>
              <w:t>N/A</w:t>
            </w:r>
          </w:p>
        </w:tc>
        <w:tc>
          <w:tcPr>
            <w:tcW w:w="413" w:type="pct"/>
            <w:tcBorders>
              <w:top w:val="nil"/>
            </w:tcBorders>
            <w:shd w:val="clear" w:color="auto" w:fill="auto"/>
            <w:noWrap/>
            <w:vAlign w:val="center"/>
            <w:hideMark/>
          </w:tcPr>
          <w:p w14:paraId="1BDEF39B" w14:textId="6FC91B03"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val="it-IT" w:eastAsia="en-GB"/>
              </w:rPr>
              <w:t>0.0079</w:t>
            </w:r>
          </w:p>
        </w:tc>
        <w:tc>
          <w:tcPr>
            <w:tcW w:w="413" w:type="pct"/>
            <w:tcBorders>
              <w:top w:val="nil"/>
            </w:tcBorders>
            <w:shd w:val="clear" w:color="auto" w:fill="auto"/>
            <w:noWrap/>
            <w:vAlign w:val="center"/>
            <w:hideMark/>
          </w:tcPr>
          <w:p w14:paraId="53344C50" w14:textId="09B3A8CD" w:rsidR="009F4C66" w:rsidRPr="00CD3F0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val="it-IT" w:eastAsia="en-GB"/>
              </w:rPr>
              <w:t>0.0563</w:t>
            </w:r>
          </w:p>
        </w:tc>
        <w:tc>
          <w:tcPr>
            <w:tcW w:w="321" w:type="pct"/>
            <w:tcBorders>
              <w:top w:val="nil"/>
            </w:tcBorders>
            <w:shd w:val="clear" w:color="auto" w:fill="auto"/>
            <w:noWrap/>
            <w:vAlign w:val="center"/>
            <w:hideMark/>
          </w:tcPr>
          <w:p w14:paraId="18606C16"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val="it-IT" w:eastAsia="en-GB"/>
              </w:rPr>
              <w:t>0.0012</w:t>
            </w:r>
          </w:p>
        </w:tc>
        <w:tc>
          <w:tcPr>
            <w:tcW w:w="279" w:type="pct"/>
            <w:tcBorders>
              <w:top w:val="nil"/>
            </w:tcBorders>
            <w:shd w:val="clear" w:color="auto" w:fill="auto"/>
            <w:noWrap/>
            <w:vAlign w:val="center"/>
            <w:hideMark/>
          </w:tcPr>
          <w:p w14:paraId="461F455C" w14:textId="5B410F7E"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val="it-IT" w:eastAsia="en-GB"/>
              </w:rPr>
              <w:t>0.321</w:t>
            </w:r>
          </w:p>
        </w:tc>
        <w:tc>
          <w:tcPr>
            <w:tcW w:w="280" w:type="pct"/>
            <w:tcBorders>
              <w:top w:val="nil"/>
            </w:tcBorders>
            <w:shd w:val="clear" w:color="auto" w:fill="auto"/>
            <w:noWrap/>
            <w:vAlign w:val="center"/>
            <w:hideMark/>
          </w:tcPr>
          <w:p w14:paraId="38B4AB32" w14:textId="54ED7721"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val="it-IT" w:eastAsia="en-GB"/>
              </w:rPr>
              <w:t>0.228</w:t>
            </w:r>
          </w:p>
        </w:tc>
        <w:tc>
          <w:tcPr>
            <w:tcW w:w="1831" w:type="pct"/>
            <w:tcBorders>
              <w:top w:val="nil"/>
            </w:tcBorders>
            <w:shd w:val="clear" w:color="auto" w:fill="auto"/>
            <w:noWrap/>
            <w:vAlign w:val="center"/>
            <w:hideMark/>
          </w:tcPr>
          <w:p w14:paraId="06186FAA" w14:textId="4A9D7E94"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val="it-IT" w:eastAsia="en-GB"/>
              </w:rPr>
              <w:t>-3</w:t>
            </w:r>
            <w:r w:rsidR="00907CB6">
              <w:rPr>
                <w:rFonts w:eastAsia="Times New Roman" w:cs="Times New Roman"/>
                <w:color w:val="000000"/>
                <w:sz w:val="20"/>
                <w:szCs w:val="20"/>
                <w:lang w:val="it-IT" w:eastAsia="en-GB"/>
              </w:rPr>
              <w:t>×</w:t>
            </w:r>
            <w:r w:rsidRPr="00227EDD">
              <w:rPr>
                <w:rFonts w:eastAsia="Times New Roman" w:cs="Times New Roman"/>
                <w:color w:val="000000"/>
                <w:sz w:val="20"/>
                <w:szCs w:val="20"/>
                <w:lang w:val="it-IT" w:eastAsia="en-GB"/>
              </w:rPr>
              <w:t>10</w:t>
            </w:r>
            <w:r w:rsidRPr="00227EDD">
              <w:rPr>
                <w:rFonts w:eastAsia="Times New Roman" w:cs="Times New Roman"/>
                <w:color w:val="000000"/>
                <w:sz w:val="20"/>
                <w:szCs w:val="20"/>
                <w:vertAlign w:val="superscript"/>
                <w:lang w:val="it-IT" w:eastAsia="en-GB"/>
              </w:rPr>
              <w:t>-13</w:t>
            </w:r>
            <w:r w:rsidRPr="00227EDD">
              <w:rPr>
                <w:rFonts w:eastAsia="Times New Roman" w:cs="Times New Roman"/>
                <w:color w:val="000000"/>
                <w:sz w:val="20"/>
                <w:szCs w:val="20"/>
                <w:lang w:val="it-IT" w:eastAsia="en-GB"/>
              </w:rPr>
              <w:t>A</w:t>
            </w:r>
            <w:r w:rsidRPr="00227EDD">
              <w:rPr>
                <w:rFonts w:eastAsia="Times New Roman" w:cs="Times New Roman"/>
                <w:color w:val="000000"/>
                <w:sz w:val="20"/>
                <w:szCs w:val="20"/>
                <w:vertAlign w:val="superscript"/>
                <w:lang w:val="it-IT" w:eastAsia="en-GB"/>
              </w:rPr>
              <w:t>3</w:t>
            </w:r>
            <w:r w:rsidRPr="00227EDD">
              <w:rPr>
                <w:rFonts w:eastAsia="Times New Roman" w:cs="Times New Roman"/>
                <w:color w:val="000000"/>
                <w:sz w:val="20"/>
                <w:szCs w:val="20"/>
                <w:lang w:val="it-IT" w:eastAsia="en-GB"/>
              </w:rPr>
              <w:t>+2</w:t>
            </w:r>
            <w:r w:rsidR="00907CB6">
              <w:rPr>
                <w:rFonts w:eastAsia="Times New Roman" w:cs="Times New Roman"/>
                <w:color w:val="000000"/>
                <w:sz w:val="20"/>
                <w:szCs w:val="20"/>
                <w:lang w:val="it-IT" w:eastAsia="en-GB"/>
              </w:rPr>
              <w:t>×</w:t>
            </w:r>
            <w:r w:rsidRPr="00227EDD">
              <w:rPr>
                <w:rFonts w:eastAsia="Times New Roman" w:cs="Times New Roman"/>
                <w:color w:val="000000"/>
                <w:sz w:val="20"/>
                <w:szCs w:val="20"/>
                <w:lang w:val="it-IT" w:eastAsia="en-GB"/>
              </w:rPr>
              <w:t>10</w:t>
            </w:r>
            <w:r w:rsidRPr="00227EDD">
              <w:rPr>
                <w:rFonts w:eastAsia="Times New Roman" w:cs="Times New Roman"/>
                <w:color w:val="000000"/>
                <w:sz w:val="20"/>
                <w:szCs w:val="20"/>
                <w:vertAlign w:val="superscript"/>
                <w:lang w:val="it-IT" w:eastAsia="en-GB"/>
              </w:rPr>
              <w:t>-9</w:t>
            </w:r>
            <w:r w:rsidRPr="00227EDD">
              <w:rPr>
                <w:rFonts w:eastAsia="Times New Roman" w:cs="Times New Roman"/>
                <w:color w:val="000000"/>
                <w:sz w:val="20"/>
                <w:szCs w:val="20"/>
                <w:lang w:val="it-IT" w:eastAsia="en-GB"/>
              </w:rPr>
              <w:t>A</w:t>
            </w:r>
            <w:r w:rsidRPr="00227EDD">
              <w:rPr>
                <w:rFonts w:eastAsia="Times New Roman" w:cs="Times New Roman"/>
                <w:color w:val="000000"/>
                <w:sz w:val="20"/>
                <w:szCs w:val="20"/>
                <w:vertAlign w:val="superscript"/>
                <w:lang w:val="it-IT" w:eastAsia="en-GB"/>
              </w:rPr>
              <w:t>2</w:t>
            </w:r>
            <w:r w:rsidRPr="00227EDD">
              <w:rPr>
                <w:rFonts w:eastAsia="Times New Roman" w:cs="Times New Roman"/>
                <w:color w:val="000000"/>
                <w:sz w:val="20"/>
                <w:szCs w:val="20"/>
                <w:lang w:val="it-IT" w:eastAsia="en-GB"/>
              </w:rPr>
              <w:t>+5</w:t>
            </w:r>
            <w:r w:rsidR="00907CB6">
              <w:rPr>
                <w:rFonts w:eastAsia="Times New Roman" w:cs="Times New Roman"/>
                <w:color w:val="000000"/>
                <w:sz w:val="20"/>
                <w:szCs w:val="20"/>
                <w:lang w:val="it-IT" w:eastAsia="en-GB"/>
              </w:rPr>
              <w:t>×</w:t>
            </w:r>
            <w:r w:rsidRPr="00227EDD">
              <w:rPr>
                <w:rFonts w:eastAsia="Times New Roman" w:cs="Times New Roman"/>
                <w:color w:val="000000"/>
                <w:sz w:val="20"/>
                <w:szCs w:val="20"/>
                <w:lang w:val="it-IT" w:eastAsia="en-GB"/>
              </w:rPr>
              <w:t>10</w:t>
            </w:r>
            <w:r w:rsidRPr="00227EDD">
              <w:rPr>
                <w:rFonts w:eastAsia="Times New Roman" w:cs="Times New Roman"/>
                <w:color w:val="000000"/>
                <w:sz w:val="20"/>
                <w:szCs w:val="20"/>
                <w:vertAlign w:val="superscript"/>
                <w:lang w:val="it-IT" w:eastAsia="en-GB"/>
              </w:rPr>
              <w:t>-6</w:t>
            </w:r>
            <w:r w:rsidRPr="00227EDD">
              <w:rPr>
                <w:rFonts w:eastAsia="Times New Roman" w:cs="Times New Roman"/>
                <w:color w:val="000000"/>
                <w:sz w:val="20"/>
                <w:szCs w:val="20"/>
                <w:lang w:val="it-IT" w:eastAsia="en-GB"/>
              </w:rPr>
              <w:t>A+0.0059</w:t>
            </w:r>
          </w:p>
        </w:tc>
        <w:tc>
          <w:tcPr>
            <w:tcW w:w="279" w:type="pct"/>
            <w:tcBorders>
              <w:top w:val="nil"/>
              <w:right w:val="nil"/>
            </w:tcBorders>
            <w:shd w:val="clear" w:color="auto" w:fill="auto"/>
            <w:noWrap/>
            <w:vAlign w:val="center"/>
            <w:hideMark/>
          </w:tcPr>
          <w:p w14:paraId="72807FB5" w14:textId="5FDE6621"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val="it-IT" w:eastAsia="en-GB"/>
              </w:rPr>
              <w:t>0.861</w:t>
            </w:r>
          </w:p>
        </w:tc>
      </w:tr>
      <w:tr w:rsidR="00EC0637" w:rsidRPr="00227EDD" w14:paraId="50CFCE82" w14:textId="77777777" w:rsidTr="00AD758B">
        <w:trPr>
          <w:trHeight w:val="170"/>
        </w:trPr>
        <w:tc>
          <w:tcPr>
            <w:tcW w:w="625" w:type="pct"/>
            <w:tcBorders>
              <w:top w:val="nil"/>
              <w:left w:val="nil"/>
              <w:bottom w:val="single" w:sz="4" w:space="0" w:color="auto"/>
            </w:tcBorders>
            <w:shd w:val="clear" w:color="auto" w:fill="auto"/>
            <w:vAlign w:val="center"/>
            <w:hideMark/>
          </w:tcPr>
          <w:p w14:paraId="703CA2D2"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val="it-IT" w:eastAsia="en-GB"/>
              </w:rPr>
              <w:t>Miscellaneous</w:t>
            </w:r>
          </w:p>
        </w:tc>
        <w:tc>
          <w:tcPr>
            <w:tcW w:w="363" w:type="pct"/>
            <w:tcBorders>
              <w:top w:val="nil"/>
              <w:bottom w:val="single" w:sz="4" w:space="0" w:color="auto"/>
            </w:tcBorders>
          </w:tcPr>
          <w:p w14:paraId="69F31D4E" w14:textId="76AE60A4" w:rsidR="009F4C66" w:rsidRPr="009F4C66" w:rsidRDefault="009F4C66" w:rsidP="00AD758B">
            <w:pPr>
              <w:spacing w:after="0"/>
              <w:jc w:val="right"/>
              <w:rPr>
                <w:rFonts w:eastAsia="Times New Roman" w:cs="Times New Roman"/>
                <w:color w:val="000000"/>
                <w:sz w:val="20"/>
                <w:szCs w:val="20"/>
                <w:lang w:val="it-IT" w:eastAsia="en-GB"/>
              </w:rPr>
            </w:pPr>
            <w:r>
              <w:rPr>
                <w:rFonts w:eastAsia="Times New Roman" w:cs="Times New Roman"/>
                <w:color w:val="000000"/>
                <w:sz w:val="20"/>
                <w:szCs w:val="20"/>
                <w:lang w:val="it-IT" w:eastAsia="en-GB"/>
              </w:rPr>
              <w:t>N/A</w:t>
            </w:r>
          </w:p>
        </w:tc>
        <w:tc>
          <w:tcPr>
            <w:tcW w:w="196" w:type="pct"/>
            <w:tcBorders>
              <w:top w:val="nil"/>
              <w:bottom w:val="single" w:sz="4" w:space="0" w:color="auto"/>
            </w:tcBorders>
          </w:tcPr>
          <w:p w14:paraId="78110C9E" w14:textId="117EA116" w:rsidR="009F4C66" w:rsidRPr="009F4C66" w:rsidRDefault="009F4C66" w:rsidP="00AD758B">
            <w:pPr>
              <w:spacing w:after="0"/>
              <w:jc w:val="right"/>
              <w:rPr>
                <w:rFonts w:eastAsia="Times New Roman" w:cs="Times New Roman"/>
                <w:color w:val="000000"/>
                <w:sz w:val="20"/>
                <w:szCs w:val="20"/>
                <w:lang w:val="it-IT" w:eastAsia="en-GB"/>
              </w:rPr>
            </w:pPr>
            <w:r>
              <w:rPr>
                <w:rFonts w:eastAsia="Times New Roman" w:cs="Times New Roman"/>
                <w:color w:val="000000"/>
                <w:sz w:val="20"/>
                <w:szCs w:val="20"/>
                <w:lang w:val="it-IT" w:eastAsia="en-GB"/>
              </w:rPr>
              <w:t>N/A</w:t>
            </w:r>
          </w:p>
        </w:tc>
        <w:tc>
          <w:tcPr>
            <w:tcW w:w="413" w:type="pct"/>
            <w:tcBorders>
              <w:top w:val="nil"/>
              <w:bottom w:val="single" w:sz="4" w:space="0" w:color="auto"/>
            </w:tcBorders>
            <w:shd w:val="clear" w:color="auto" w:fill="auto"/>
            <w:noWrap/>
            <w:vAlign w:val="center"/>
            <w:hideMark/>
          </w:tcPr>
          <w:p w14:paraId="613F4B39" w14:textId="1A4C316E" w:rsidR="009F4C66" w:rsidRPr="009F4C66" w:rsidRDefault="009F4C66" w:rsidP="00AD758B">
            <w:pPr>
              <w:spacing w:after="0"/>
              <w:jc w:val="right"/>
              <w:rPr>
                <w:rFonts w:eastAsia="Times New Roman" w:cs="Times New Roman"/>
                <w:color w:val="000000"/>
                <w:sz w:val="20"/>
                <w:szCs w:val="20"/>
                <w:lang w:eastAsia="en-GB"/>
              </w:rPr>
            </w:pPr>
            <w:r w:rsidRPr="009F4C66">
              <w:rPr>
                <w:rFonts w:eastAsia="Times New Roman" w:cs="Times New Roman"/>
                <w:color w:val="000000"/>
                <w:sz w:val="20"/>
                <w:szCs w:val="20"/>
                <w:lang w:val="it-IT" w:eastAsia="en-GB"/>
              </w:rPr>
              <w:t>0.068</w:t>
            </w:r>
          </w:p>
        </w:tc>
        <w:tc>
          <w:tcPr>
            <w:tcW w:w="413" w:type="pct"/>
            <w:tcBorders>
              <w:top w:val="nil"/>
              <w:bottom w:val="single" w:sz="4" w:space="0" w:color="auto"/>
            </w:tcBorders>
            <w:shd w:val="clear" w:color="auto" w:fill="auto"/>
            <w:noWrap/>
            <w:vAlign w:val="center"/>
            <w:hideMark/>
          </w:tcPr>
          <w:p w14:paraId="5435AA24"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val="it-IT" w:eastAsia="en-GB"/>
              </w:rPr>
              <w:t>0.068</w:t>
            </w:r>
          </w:p>
        </w:tc>
        <w:tc>
          <w:tcPr>
            <w:tcW w:w="321" w:type="pct"/>
            <w:tcBorders>
              <w:top w:val="nil"/>
              <w:bottom w:val="single" w:sz="4" w:space="0" w:color="auto"/>
            </w:tcBorders>
            <w:shd w:val="clear" w:color="auto" w:fill="auto"/>
            <w:noWrap/>
            <w:vAlign w:val="center"/>
            <w:hideMark/>
          </w:tcPr>
          <w:p w14:paraId="29CCF827"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val="it-IT" w:eastAsia="en-GB"/>
              </w:rPr>
              <w:t>0.053</w:t>
            </w:r>
          </w:p>
        </w:tc>
        <w:tc>
          <w:tcPr>
            <w:tcW w:w="279" w:type="pct"/>
            <w:tcBorders>
              <w:top w:val="nil"/>
              <w:bottom w:val="single" w:sz="4" w:space="0" w:color="auto"/>
            </w:tcBorders>
            <w:shd w:val="clear" w:color="auto" w:fill="auto"/>
            <w:noWrap/>
            <w:vAlign w:val="center"/>
            <w:hideMark/>
          </w:tcPr>
          <w:p w14:paraId="3758B82D"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val="it-IT" w:eastAsia="en-GB"/>
              </w:rPr>
              <w:t>-0.01</w:t>
            </w:r>
          </w:p>
        </w:tc>
        <w:tc>
          <w:tcPr>
            <w:tcW w:w="280" w:type="pct"/>
            <w:tcBorders>
              <w:top w:val="nil"/>
              <w:bottom w:val="single" w:sz="4" w:space="0" w:color="auto"/>
            </w:tcBorders>
            <w:shd w:val="clear" w:color="auto" w:fill="auto"/>
            <w:noWrap/>
            <w:vAlign w:val="center"/>
            <w:hideMark/>
          </w:tcPr>
          <w:p w14:paraId="619E5F2D"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0.0005</w:t>
            </w:r>
          </w:p>
        </w:tc>
        <w:tc>
          <w:tcPr>
            <w:tcW w:w="1831" w:type="pct"/>
            <w:tcBorders>
              <w:top w:val="nil"/>
              <w:bottom w:val="single" w:sz="4" w:space="0" w:color="auto"/>
            </w:tcBorders>
            <w:shd w:val="clear" w:color="auto" w:fill="auto"/>
            <w:noWrap/>
            <w:vAlign w:val="center"/>
            <w:hideMark/>
          </w:tcPr>
          <w:p w14:paraId="13B63078" w14:textId="0445732C"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-2</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-10</w:t>
            </w:r>
            <w:r w:rsidRPr="00227EDD">
              <w:rPr>
                <w:rFonts w:eastAsia="Times New Roman" w:cs="Times New Roman"/>
                <w:color w:val="000000"/>
                <w:sz w:val="20"/>
                <w:szCs w:val="20"/>
                <w:lang w:eastAsia="en-GB"/>
              </w:rPr>
              <w:t>A</w:t>
            </w:r>
            <w:r w:rsidRPr="00227EDD">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+9</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227EDD">
              <w:rPr>
                <w:rFonts w:eastAsia="Times New Roman" w:cs="Times New Roman"/>
                <w:color w:val="000000"/>
                <w:sz w:val="20"/>
                <w:szCs w:val="20"/>
                <w:vertAlign w:val="superscript"/>
                <w:lang w:eastAsia="en-GB"/>
              </w:rPr>
              <w:t>-7</w:t>
            </w:r>
            <w:r w:rsidRPr="00227EDD">
              <w:rPr>
                <w:rFonts w:eastAsia="Times New Roman" w:cs="Times New Roman"/>
                <w:color w:val="000000"/>
                <w:sz w:val="20"/>
                <w:szCs w:val="20"/>
                <w:lang w:eastAsia="en-GB"/>
              </w:rPr>
              <w:t>A+0.0684</w:t>
            </w:r>
          </w:p>
        </w:tc>
        <w:tc>
          <w:tcPr>
            <w:tcW w:w="279" w:type="pct"/>
            <w:tcBorders>
              <w:top w:val="nil"/>
              <w:bottom w:val="single" w:sz="4" w:space="0" w:color="auto"/>
              <w:right w:val="nil"/>
            </w:tcBorders>
            <w:shd w:val="clear" w:color="auto" w:fill="auto"/>
            <w:noWrap/>
            <w:vAlign w:val="center"/>
            <w:hideMark/>
          </w:tcPr>
          <w:p w14:paraId="4F6E2D61" w14:textId="6440280F"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0.068</w:t>
            </w:r>
          </w:p>
        </w:tc>
      </w:tr>
      <w:tr w:rsidR="009F4C66" w:rsidRPr="00227EDD" w14:paraId="54FC99DF" w14:textId="77777777" w:rsidTr="00AD758B">
        <w:trPr>
          <w:trHeight w:val="170"/>
        </w:trPr>
        <w:tc>
          <w:tcPr>
            <w:tcW w:w="625" w:type="pct"/>
            <w:vMerge w:val="restart"/>
            <w:tcBorders>
              <w:top w:val="single" w:sz="4" w:space="0" w:color="auto"/>
              <w:left w:val="nil"/>
              <w:bottom w:val="single" w:sz="4" w:space="0" w:color="auto"/>
            </w:tcBorders>
            <w:shd w:val="clear" w:color="auto" w:fill="auto"/>
            <w:vAlign w:val="center"/>
            <w:hideMark/>
          </w:tcPr>
          <w:p w14:paraId="4F323D1F" w14:textId="18BCE2EE" w:rsidR="009F4C66" w:rsidRPr="009F4C66" w:rsidRDefault="009F4C66" w:rsidP="00227ED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Occupancy types</w:t>
            </w:r>
          </w:p>
        </w:tc>
        <w:tc>
          <w:tcPr>
            <w:tcW w:w="4375" w:type="pct"/>
            <w:gridSpan w:val="9"/>
            <w:tcBorders>
              <w:top w:val="single" w:sz="4" w:space="0" w:color="auto"/>
              <w:bottom w:val="single" w:sz="4" w:space="0" w:color="auto"/>
            </w:tcBorders>
          </w:tcPr>
          <w:p w14:paraId="555FBDAE" w14:textId="411E0A6D" w:rsidR="009F4C66" w:rsidRPr="009F4C66" w:rsidRDefault="009F4C66" w:rsidP="00227EDD">
            <w:pPr>
              <w:spacing w:after="0"/>
              <w:jc w:val="center"/>
              <w:rPr>
                <w:rFonts w:eastAsia="Times New Roman" w:cs="Times New Roman"/>
                <w:b/>
                <w:bCs/>
                <w:color w:val="000000"/>
                <w:sz w:val="20"/>
                <w:szCs w:val="20"/>
                <w:lang w:eastAsia="en-GB"/>
              </w:rPr>
            </w:pPr>
            <w:r w:rsidRPr="009F4C66">
              <w:rPr>
                <w:rFonts w:eastAsia="Times New Roman" w:cs="Times New Roman"/>
                <w:b/>
                <w:bCs/>
                <w:color w:val="000000"/>
                <w:sz w:val="20"/>
                <w:szCs w:val="20"/>
                <w:lang w:eastAsia="en-GB"/>
              </w:rPr>
              <w:t>USA fire statistics</w:t>
            </w:r>
          </w:p>
        </w:tc>
      </w:tr>
      <w:tr w:rsidR="00EC0637" w:rsidRPr="00227EDD" w14:paraId="75896A10" w14:textId="77777777" w:rsidTr="00AD758B">
        <w:trPr>
          <w:trHeight w:val="170"/>
        </w:trPr>
        <w:tc>
          <w:tcPr>
            <w:tcW w:w="625" w:type="pct"/>
            <w:vMerge/>
            <w:tcBorders>
              <w:top w:val="single" w:sz="4" w:space="0" w:color="auto"/>
              <w:left w:val="nil"/>
              <w:bottom w:val="single" w:sz="4" w:space="0" w:color="auto"/>
            </w:tcBorders>
            <w:shd w:val="clear" w:color="auto" w:fill="auto"/>
            <w:noWrap/>
            <w:vAlign w:val="bottom"/>
            <w:hideMark/>
          </w:tcPr>
          <w:p w14:paraId="333EBFDA" w14:textId="77777777" w:rsidR="009F4C66" w:rsidRPr="00227EDD" w:rsidRDefault="009F4C66" w:rsidP="00227EDD">
            <w:pPr>
              <w:spacing w:after="0"/>
              <w:jc w:val="center"/>
              <w:rPr>
                <w:rFonts w:eastAsia="Times New Roman" w:cs="Times New Roman"/>
                <w:color w:val="000000"/>
                <w:sz w:val="20"/>
                <w:szCs w:val="20"/>
                <w:lang w:eastAsia="en-GB"/>
              </w:rPr>
            </w:pPr>
          </w:p>
        </w:tc>
        <w:tc>
          <w:tcPr>
            <w:tcW w:w="363" w:type="pct"/>
            <w:tcBorders>
              <w:top w:val="single" w:sz="4" w:space="0" w:color="auto"/>
              <w:bottom w:val="single" w:sz="4" w:space="0" w:color="auto"/>
            </w:tcBorders>
          </w:tcPr>
          <w:p w14:paraId="479C59BE" w14:textId="7E50286B" w:rsidR="009F4C66" w:rsidRPr="009F4C66" w:rsidRDefault="009F4C66" w:rsidP="00227ED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a</w:t>
            </w:r>
          </w:p>
        </w:tc>
        <w:tc>
          <w:tcPr>
            <w:tcW w:w="196" w:type="pct"/>
            <w:tcBorders>
              <w:top w:val="single" w:sz="4" w:space="0" w:color="auto"/>
              <w:bottom w:val="single" w:sz="4" w:space="0" w:color="auto"/>
            </w:tcBorders>
          </w:tcPr>
          <w:p w14:paraId="1D336BA7" w14:textId="68D52757" w:rsidR="009F4C66" w:rsidRPr="009F4C66" w:rsidRDefault="009F4C66" w:rsidP="00227ED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b</w:t>
            </w:r>
          </w:p>
        </w:tc>
        <w:tc>
          <w:tcPr>
            <w:tcW w:w="413" w:type="pct"/>
            <w:tcBorders>
              <w:top w:val="single" w:sz="4" w:space="0" w:color="auto"/>
              <w:bottom w:val="single" w:sz="4" w:space="0" w:color="auto"/>
            </w:tcBorders>
            <w:shd w:val="clear" w:color="auto" w:fill="auto"/>
            <w:noWrap/>
            <w:vAlign w:val="center"/>
            <w:hideMark/>
          </w:tcPr>
          <w:p w14:paraId="0952E052" w14:textId="7F41DFCB" w:rsidR="009F4C66" w:rsidRPr="009F4C66" w:rsidRDefault="009F4C66" w:rsidP="00227EDD">
            <w:pPr>
              <w:spacing w:after="0"/>
              <w:jc w:val="center"/>
              <w:rPr>
                <w:rFonts w:eastAsia="Times New Roman" w:cs="Times New Roman"/>
                <w:color w:val="000000"/>
                <w:sz w:val="20"/>
                <w:szCs w:val="20"/>
                <w:lang w:eastAsia="en-GB"/>
              </w:rPr>
            </w:pPr>
            <w:r w:rsidRPr="009F4C66">
              <w:rPr>
                <w:rFonts w:eastAsia="Times New Roman" w:cs="Times New Roman"/>
                <w:color w:val="000000"/>
                <w:sz w:val="20"/>
                <w:szCs w:val="20"/>
                <w:lang w:eastAsia="en-GB"/>
              </w:rPr>
              <w:t>a</w:t>
            </w:r>
          </w:p>
        </w:tc>
        <w:tc>
          <w:tcPr>
            <w:tcW w:w="413" w:type="pct"/>
            <w:tcBorders>
              <w:top w:val="single" w:sz="4" w:space="0" w:color="auto"/>
              <w:bottom w:val="single" w:sz="4" w:space="0" w:color="auto"/>
            </w:tcBorders>
            <w:shd w:val="clear" w:color="auto" w:fill="auto"/>
            <w:noWrap/>
            <w:vAlign w:val="center"/>
            <w:hideMark/>
          </w:tcPr>
          <w:p w14:paraId="4B746043" w14:textId="77777777" w:rsidR="009F4C66" w:rsidRPr="00CD3F0D" w:rsidRDefault="009F4C66" w:rsidP="00227EDD">
            <w:pPr>
              <w:spacing w:after="0"/>
              <w:jc w:val="center"/>
              <w:rPr>
                <w:rFonts w:eastAsia="Times New Roman" w:cs="Times New Roman"/>
                <w:color w:val="000000"/>
                <w:sz w:val="20"/>
                <w:szCs w:val="20"/>
                <w:lang w:eastAsia="en-GB"/>
              </w:rPr>
            </w:pPr>
            <w:r w:rsidRPr="00123A85">
              <w:rPr>
                <w:rFonts w:eastAsia="Times New Roman" w:cs="Times New Roman"/>
                <w:color w:val="000000"/>
                <w:sz w:val="20"/>
                <w:szCs w:val="20"/>
                <w:lang w:eastAsia="en-GB"/>
              </w:rPr>
              <w:t>b</w:t>
            </w:r>
          </w:p>
        </w:tc>
        <w:tc>
          <w:tcPr>
            <w:tcW w:w="321" w:type="pct"/>
            <w:tcBorders>
              <w:top w:val="single" w:sz="4" w:space="0" w:color="auto"/>
              <w:bottom w:val="single" w:sz="4" w:space="0" w:color="auto"/>
            </w:tcBorders>
            <w:shd w:val="clear" w:color="auto" w:fill="auto"/>
            <w:noWrap/>
            <w:vAlign w:val="center"/>
            <w:hideMark/>
          </w:tcPr>
          <w:p w14:paraId="4A9DC634" w14:textId="77777777" w:rsidR="009F4C66" w:rsidRPr="00227EDD" w:rsidRDefault="009F4C66" w:rsidP="00227EDD">
            <w:pPr>
              <w:spacing w:after="0"/>
              <w:jc w:val="center"/>
              <w:rPr>
                <w:rFonts w:eastAsia="Times New Roman" w:cs="Times New Roman"/>
                <w:color w:val="000000"/>
                <w:sz w:val="20"/>
                <w:szCs w:val="20"/>
                <w:lang w:eastAsia="en-GB"/>
              </w:rPr>
            </w:pPr>
            <w:r w:rsidRPr="00CD3F0D">
              <w:rPr>
                <w:rFonts w:eastAsia="Times New Roman" w:cs="Times New Roman"/>
                <w:color w:val="000000"/>
                <w:sz w:val="20"/>
                <w:szCs w:val="20"/>
                <w:lang w:eastAsia="en-GB"/>
              </w:rPr>
              <w:t>a</w:t>
            </w:r>
          </w:p>
        </w:tc>
        <w:tc>
          <w:tcPr>
            <w:tcW w:w="279" w:type="pct"/>
            <w:tcBorders>
              <w:top w:val="single" w:sz="4" w:space="0" w:color="auto"/>
              <w:bottom w:val="single" w:sz="4" w:space="0" w:color="auto"/>
            </w:tcBorders>
            <w:shd w:val="clear" w:color="auto" w:fill="auto"/>
            <w:noWrap/>
            <w:vAlign w:val="center"/>
            <w:hideMark/>
          </w:tcPr>
          <w:p w14:paraId="21C986E5" w14:textId="77777777" w:rsidR="009F4C66" w:rsidRPr="00227EDD"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b</w:t>
            </w:r>
          </w:p>
        </w:tc>
        <w:tc>
          <w:tcPr>
            <w:tcW w:w="280" w:type="pct"/>
            <w:tcBorders>
              <w:top w:val="single" w:sz="4" w:space="0" w:color="auto"/>
              <w:bottom w:val="single" w:sz="4" w:space="0" w:color="auto"/>
            </w:tcBorders>
            <w:shd w:val="clear" w:color="auto" w:fill="auto"/>
            <w:noWrap/>
            <w:vAlign w:val="center"/>
            <w:hideMark/>
          </w:tcPr>
          <w:p w14:paraId="4B48B60A" w14:textId="77777777" w:rsidR="009F4C66" w:rsidRPr="009F4C66" w:rsidRDefault="009F4C66" w:rsidP="00227EDD">
            <w:pPr>
              <w:spacing w:after="0"/>
              <w:jc w:val="center"/>
              <w:rPr>
                <w:rFonts w:eastAsia="Times New Roman" w:cs="Times New Roman"/>
                <w:color w:val="000000"/>
                <w:sz w:val="20"/>
                <w:szCs w:val="20"/>
                <w:lang w:eastAsia="en-GB"/>
              </w:rPr>
            </w:pPr>
            <w:r w:rsidRPr="00227EDD">
              <w:rPr>
                <w:rFonts w:eastAsia="Times New Roman" w:cs="Times New Roman"/>
                <w:color w:val="000000"/>
                <w:sz w:val="20"/>
                <w:szCs w:val="20"/>
                <w:lang w:eastAsia="en-GB"/>
              </w:rPr>
              <w:t>R</w:t>
            </w:r>
            <w:r w:rsidRPr="00AD758B">
              <w:rPr>
                <w:rFonts w:eastAsia="Times New Roman" w:cs="Times New Roman"/>
                <w:color w:val="000000"/>
                <w:sz w:val="20"/>
                <w:szCs w:val="20"/>
                <w:vertAlign w:val="superscript"/>
                <w:lang w:eastAsia="en-GB"/>
              </w:rPr>
              <w:t>2</w:t>
            </w:r>
          </w:p>
        </w:tc>
        <w:tc>
          <w:tcPr>
            <w:tcW w:w="1831" w:type="pct"/>
            <w:tcBorders>
              <w:top w:val="single" w:sz="4" w:space="0" w:color="auto"/>
              <w:bottom w:val="single" w:sz="4" w:space="0" w:color="auto"/>
            </w:tcBorders>
            <w:shd w:val="clear" w:color="auto" w:fill="auto"/>
            <w:noWrap/>
            <w:vAlign w:val="center"/>
            <w:hideMark/>
          </w:tcPr>
          <w:p w14:paraId="3F7C75F9" w14:textId="77777777" w:rsidR="009F4C66" w:rsidRPr="009F4C66" w:rsidRDefault="009F4C66" w:rsidP="00227EDD">
            <w:pPr>
              <w:spacing w:after="0"/>
              <w:jc w:val="center"/>
              <w:rPr>
                <w:rFonts w:eastAsia="Times New Roman" w:cs="Times New Roman"/>
                <w:color w:val="000000"/>
                <w:sz w:val="20"/>
                <w:szCs w:val="20"/>
                <w:lang w:eastAsia="en-GB"/>
              </w:rPr>
            </w:pPr>
            <w:r w:rsidRPr="009F4C66">
              <w:rPr>
                <w:rFonts w:eastAsia="Times New Roman" w:cs="Times New Roman"/>
                <w:color w:val="000000"/>
                <w:sz w:val="20"/>
                <w:szCs w:val="20"/>
                <w:lang w:eastAsia="en-GB"/>
              </w:rPr>
              <w:t>Law</w:t>
            </w:r>
          </w:p>
        </w:tc>
        <w:tc>
          <w:tcPr>
            <w:tcW w:w="279" w:type="pct"/>
            <w:tcBorders>
              <w:top w:val="single" w:sz="4" w:space="0" w:color="auto"/>
              <w:bottom w:val="single" w:sz="4" w:space="0" w:color="auto"/>
              <w:right w:val="nil"/>
            </w:tcBorders>
            <w:shd w:val="clear" w:color="auto" w:fill="auto"/>
            <w:noWrap/>
            <w:vAlign w:val="center"/>
            <w:hideMark/>
          </w:tcPr>
          <w:p w14:paraId="24C6B138" w14:textId="77777777" w:rsidR="009F4C66" w:rsidRPr="009F4C66" w:rsidRDefault="009F4C66" w:rsidP="00227EDD">
            <w:pPr>
              <w:spacing w:after="0"/>
              <w:jc w:val="center"/>
              <w:rPr>
                <w:rFonts w:eastAsia="Times New Roman" w:cs="Times New Roman"/>
                <w:color w:val="000000"/>
                <w:sz w:val="20"/>
                <w:szCs w:val="20"/>
                <w:lang w:eastAsia="en-GB"/>
              </w:rPr>
            </w:pPr>
            <w:r w:rsidRPr="009F4C66">
              <w:rPr>
                <w:rFonts w:eastAsia="Times New Roman" w:cs="Times New Roman"/>
                <w:color w:val="000000"/>
                <w:sz w:val="20"/>
                <w:szCs w:val="20"/>
                <w:lang w:eastAsia="en-GB"/>
              </w:rPr>
              <w:t>R</w:t>
            </w:r>
            <w:r w:rsidRPr="00AD758B">
              <w:rPr>
                <w:rFonts w:eastAsia="Times New Roman" w:cs="Times New Roman"/>
                <w:color w:val="000000"/>
                <w:sz w:val="20"/>
                <w:szCs w:val="20"/>
                <w:vertAlign w:val="superscript"/>
                <w:lang w:eastAsia="en-GB"/>
              </w:rPr>
              <w:t>2</w:t>
            </w:r>
          </w:p>
        </w:tc>
      </w:tr>
      <w:tr w:rsidR="00EC0637" w:rsidRPr="00227EDD" w14:paraId="28B12892" w14:textId="77777777" w:rsidTr="00AD758B">
        <w:trPr>
          <w:trHeight w:val="170"/>
        </w:trPr>
        <w:tc>
          <w:tcPr>
            <w:tcW w:w="625" w:type="pct"/>
            <w:tcBorders>
              <w:top w:val="single" w:sz="4" w:space="0" w:color="auto"/>
              <w:left w:val="nil"/>
              <w:bottom w:val="nil"/>
            </w:tcBorders>
            <w:shd w:val="clear" w:color="auto" w:fill="auto"/>
            <w:noWrap/>
            <w:vAlign w:val="center"/>
            <w:hideMark/>
          </w:tcPr>
          <w:p w14:paraId="33B6D4E9" w14:textId="72FA19EA" w:rsidR="009F4C66" w:rsidRPr="009F4C66" w:rsidRDefault="00EF4B41" w:rsidP="009F4C66">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Industry manufacturing</w:t>
            </w:r>
          </w:p>
        </w:tc>
        <w:tc>
          <w:tcPr>
            <w:tcW w:w="363" w:type="pct"/>
            <w:tcBorders>
              <w:top w:val="single" w:sz="4" w:space="0" w:color="auto"/>
              <w:bottom w:val="nil"/>
            </w:tcBorders>
          </w:tcPr>
          <w:p w14:paraId="278EF515" w14:textId="21F12A91"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0.0017</w:t>
            </w:r>
          </w:p>
        </w:tc>
        <w:tc>
          <w:tcPr>
            <w:tcW w:w="196" w:type="pct"/>
            <w:tcBorders>
              <w:top w:val="single" w:sz="4" w:space="0" w:color="auto"/>
              <w:bottom w:val="nil"/>
            </w:tcBorders>
          </w:tcPr>
          <w:p w14:paraId="4E55BD59" w14:textId="3BFACAC0"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413" w:type="pct"/>
            <w:tcBorders>
              <w:top w:val="single" w:sz="4" w:space="0" w:color="auto"/>
              <w:bottom w:val="nil"/>
            </w:tcBorders>
            <w:shd w:val="clear" w:color="auto" w:fill="auto"/>
            <w:noWrap/>
            <w:vAlign w:val="center"/>
            <w:hideMark/>
          </w:tcPr>
          <w:p w14:paraId="0812B41B" w14:textId="21DA97E4" w:rsidR="009F4C66" w:rsidRPr="009F4C66"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0.0039</w:t>
            </w:r>
          </w:p>
        </w:tc>
        <w:tc>
          <w:tcPr>
            <w:tcW w:w="413" w:type="pct"/>
            <w:tcBorders>
              <w:top w:val="single" w:sz="4" w:space="0" w:color="auto"/>
              <w:bottom w:val="nil"/>
            </w:tcBorders>
            <w:shd w:val="clear" w:color="auto" w:fill="auto"/>
            <w:noWrap/>
            <w:vAlign w:val="center"/>
            <w:hideMark/>
          </w:tcPr>
          <w:p w14:paraId="509431E5"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eastAsia="en-GB"/>
              </w:rPr>
              <w:t>0.1464</w:t>
            </w:r>
          </w:p>
        </w:tc>
        <w:tc>
          <w:tcPr>
            <w:tcW w:w="321" w:type="pct"/>
            <w:tcBorders>
              <w:top w:val="single" w:sz="4" w:space="0" w:color="auto"/>
              <w:bottom w:val="nil"/>
            </w:tcBorders>
            <w:shd w:val="clear" w:color="auto" w:fill="auto"/>
            <w:noWrap/>
            <w:vAlign w:val="center"/>
            <w:hideMark/>
          </w:tcPr>
          <w:p w14:paraId="604AFFF9"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1.7584</w:t>
            </w:r>
          </w:p>
        </w:tc>
        <w:tc>
          <w:tcPr>
            <w:tcW w:w="279" w:type="pct"/>
            <w:tcBorders>
              <w:top w:val="single" w:sz="4" w:space="0" w:color="auto"/>
              <w:bottom w:val="nil"/>
            </w:tcBorders>
            <w:shd w:val="clear" w:color="auto" w:fill="auto"/>
            <w:noWrap/>
            <w:vAlign w:val="center"/>
            <w:hideMark/>
          </w:tcPr>
          <w:p w14:paraId="384ACEDF"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-0.831</w:t>
            </w:r>
          </w:p>
        </w:tc>
        <w:tc>
          <w:tcPr>
            <w:tcW w:w="280" w:type="pct"/>
            <w:tcBorders>
              <w:top w:val="single" w:sz="4" w:space="0" w:color="auto"/>
              <w:bottom w:val="nil"/>
            </w:tcBorders>
            <w:shd w:val="clear" w:color="auto" w:fill="auto"/>
            <w:noWrap/>
            <w:vAlign w:val="center"/>
            <w:hideMark/>
          </w:tcPr>
          <w:p w14:paraId="28EF0B91"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0.482</w:t>
            </w:r>
          </w:p>
        </w:tc>
        <w:tc>
          <w:tcPr>
            <w:tcW w:w="1831" w:type="pct"/>
            <w:tcBorders>
              <w:top w:val="single" w:sz="4" w:space="0" w:color="auto"/>
              <w:bottom w:val="nil"/>
            </w:tcBorders>
            <w:shd w:val="clear" w:color="auto" w:fill="auto"/>
            <w:noWrap/>
            <w:vAlign w:val="center"/>
            <w:hideMark/>
          </w:tcPr>
          <w:p w14:paraId="759B893F" w14:textId="77777777" w:rsidR="009F4C66" w:rsidRPr="00227EDD" w:rsidRDefault="009F4C66" w:rsidP="00B7469E">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N/A</w:t>
            </w:r>
          </w:p>
        </w:tc>
        <w:tc>
          <w:tcPr>
            <w:tcW w:w="279" w:type="pct"/>
            <w:tcBorders>
              <w:top w:val="single" w:sz="4" w:space="0" w:color="auto"/>
              <w:bottom w:val="nil"/>
              <w:right w:val="nil"/>
            </w:tcBorders>
            <w:shd w:val="clear" w:color="auto" w:fill="auto"/>
            <w:noWrap/>
            <w:vAlign w:val="center"/>
            <w:hideMark/>
          </w:tcPr>
          <w:p w14:paraId="6AED3257" w14:textId="77777777" w:rsidR="009F4C66" w:rsidRPr="00227EDD" w:rsidRDefault="009F4C66" w:rsidP="00E736A9">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N/A</w:t>
            </w:r>
          </w:p>
        </w:tc>
      </w:tr>
      <w:tr w:rsidR="00EF4B41" w:rsidRPr="00227EDD" w14:paraId="12614DFA" w14:textId="77777777" w:rsidTr="00EC0637">
        <w:trPr>
          <w:trHeight w:val="170"/>
        </w:trPr>
        <w:tc>
          <w:tcPr>
            <w:tcW w:w="625" w:type="pct"/>
            <w:tcBorders>
              <w:top w:val="nil"/>
              <w:left w:val="nil"/>
              <w:bottom w:val="nil"/>
            </w:tcBorders>
            <w:shd w:val="clear" w:color="auto" w:fill="auto"/>
            <w:noWrap/>
            <w:vAlign w:val="center"/>
            <w:hideMark/>
          </w:tcPr>
          <w:p w14:paraId="2F6E3159" w14:textId="474B8FC1" w:rsidR="009F4C66" w:rsidRPr="009F4C66" w:rsidRDefault="009F4C66" w:rsidP="009F4C66">
            <w:pPr>
              <w:spacing w:after="0"/>
              <w:jc w:val="center"/>
              <w:rPr>
                <w:rFonts w:eastAsia="Times New Roman" w:cs="Times New Roman"/>
                <w:color w:val="000000"/>
                <w:sz w:val="20"/>
                <w:szCs w:val="20"/>
                <w:lang w:eastAsia="en-GB"/>
              </w:rPr>
            </w:pPr>
            <w:r w:rsidRPr="005731EB">
              <w:rPr>
                <w:rFonts w:eastAsia="Times New Roman" w:cs="Times New Roman"/>
                <w:color w:val="000000"/>
                <w:sz w:val="20"/>
                <w:szCs w:val="20"/>
                <w:lang w:eastAsia="en-GB"/>
              </w:rPr>
              <w:t>Storage</w:t>
            </w:r>
          </w:p>
        </w:tc>
        <w:tc>
          <w:tcPr>
            <w:tcW w:w="363" w:type="pct"/>
            <w:tcBorders>
              <w:top w:val="nil"/>
              <w:bottom w:val="nil"/>
            </w:tcBorders>
          </w:tcPr>
          <w:p w14:paraId="331BE1F5" w14:textId="1F410BEE"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0.00067</w:t>
            </w:r>
          </w:p>
        </w:tc>
        <w:tc>
          <w:tcPr>
            <w:tcW w:w="196" w:type="pct"/>
            <w:tcBorders>
              <w:top w:val="nil"/>
              <w:bottom w:val="nil"/>
            </w:tcBorders>
          </w:tcPr>
          <w:p w14:paraId="287CF40E" w14:textId="1D737DAF"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0.5</w:t>
            </w:r>
          </w:p>
        </w:tc>
        <w:tc>
          <w:tcPr>
            <w:tcW w:w="413" w:type="pct"/>
            <w:tcBorders>
              <w:top w:val="nil"/>
              <w:bottom w:val="nil"/>
            </w:tcBorders>
            <w:shd w:val="clear" w:color="auto" w:fill="auto"/>
            <w:noWrap/>
            <w:vAlign w:val="center"/>
            <w:hideMark/>
          </w:tcPr>
          <w:p w14:paraId="3167E1AC" w14:textId="4A4DDF51" w:rsidR="009F4C66" w:rsidRPr="009F4C66" w:rsidRDefault="009F4C66" w:rsidP="00AD758B">
            <w:pPr>
              <w:spacing w:after="0"/>
              <w:jc w:val="right"/>
              <w:rPr>
                <w:rFonts w:eastAsia="Times New Roman" w:cs="Times New Roman"/>
                <w:color w:val="000000"/>
                <w:sz w:val="20"/>
                <w:szCs w:val="20"/>
                <w:lang w:eastAsia="en-GB"/>
              </w:rPr>
            </w:pPr>
            <w:r w:rsidRPr="009F4C66">
              <w:rPr>
                <w:rFonts w:eastAsia="Times New Roman" w:cs="Times New Roman"/>
                <w:color w:val="000000"/>
                <w:sz w:val="20"/>
                <w:szCs w:val="20"/>
                <w:lang w:eastAsia="en-GB"/>
              </w:rPr>
              <w:t>0.0023</w:t>
            </w:r>
          </w:p>
        </w:tc>
        <w:tc>
          <w:tcPr>
            <w:tcW w:w="413" w:type="pct"/>
            <w:tcBorders>
              <w:top w:val="nil"/>
              <w:bottom w:val="nil"/>
            </w:tcBorders>
            <w:shd w:val="clear" w:color="auto" w:fill="auto"/>
            <w:noWrap/>
            <w:vAlign w:val="center"/>
            <w:hideMark/>
          </w:tcPr>
          <w:p w14:paraId="7949621E"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eastAsia="en-GB"/>
              </w:rPr>
              <w:t>0.0392</w:t>
            </w:r>
          </w:p>
        </w:tc>
        <w:tc>
          <w:tcPr>
            <w:tcW w:w="321" w:type="pct"/>
            <w:tcBorders>
              <w:top w:val="nil"/>
              <w:bottom w:val="nil"/>
            </w:tcBorders>
            <w:shd w:val="clear" w:color="auto" w:fill="auto"/>
            <w:noWrap/>
            <w:vAlign w:val="center"/>
            <w:hideMark/>
          </w:tcPr>
          <w:p w14:paraId="0F46028D"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0.0001</w:t>
            </w:r>
          </w:p>
        </w:tc>
        <w:tc>
          <w:tcPr>
            <w:tcW w:w="279" w:type="pct"/>
            <w:tcBorders>
              <w:top w:val="nil"/>
              <w:bottom w:val="nil"/>
            </w:tcBorders>
            <w:shd w:val="clear" w:color="auto" w:fill="auto"/>
            <w:noWrap/>
            <w:vAlign w:val="center"/>
            <w:hideMark/>
          </w:tcPr>
          <w:p w14:paraId="0BDC9333"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0.349</w:t>
            </w:r>
          </w:p>
        </w:tc>
        <w:tc>
          <w:tcPr>
            <w:tcW w:w="280" w:type="pct"/>
            <w:tcBorders>
              <w:top w:val="nil"/>
              <w:bottom w:val="nil"/>
            </w:tcBorders>
            <w:shd w:val="clear" w:color="auto" w:fill="auto"/>
            <w:noWrap/>
            <w:vAlign w:val="center"/>
            <w:hideMark/>
          </w:tcPr>
          <w:p w14:paraId="2807B2F1"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0.405</w:t>
            </w:r>
          </w:p>
        </w:tc>
        <w:tc>
          <w:tcPr>
            <w:tcW w:w="1831" w:type="pct"/>
            <w:tcBorders>
              <w:top w:val="nil"/>
              <w:bottom w:val="nil"/>
            </w:tcBorders>
            <w:shd w:val="clear" w:color="auto" w:fill="auto"/>
            <w:noWrap/>
            <w:vAlign w:val="center"/>
            <w:hideMark/>
          </w:tcPr>
          <w:p w14:paraId="4A688FDB" w14:textId="19F52EE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-3.75</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-17</w:t>
            </w:r>
            <w:r w:rsidRPr="00227EDD">
              <w:rPr>
                <w:rFonts w:eastAsia="Times New Roman" w:cs="Times New Roman"/>
                <w:color w:val="000000"/>
                <w:sz w:val="20"/>
                <w:szCs w:val="20"/>
                <w:lang w:eastAsia="en-GB"/>
              </w:rPr>
              <w:t>A</w:t>
            </w:r>
            <w:r w:rsidRPr="00AD758B">
              <w:rPr>
                <w:rFonts w:eastAsia="Times New Roman" w:cs="Times New Roman"/>
                <w:color w:val="000000"/>
                <w:sz w:val="20"/>
                <w:szCs w:val="20"/>
                <w:vertAlign w:val="superscript"/>
                <w:lang w:eastAsia="en-GB"/>
              </w:rPr>
              <w:t>3</w:t>
            </w:r>
            <w:r w:rsidRPr="00227EDD">
              <w:rPr>
                <w:rFonts w:eastAsia="Times New Roman" w:cs="Times New Roman"/>
                <w:color w:val="000000"/>
                <w:sz w:val="20"/>
                <w:szCs w:val="20"/>
                <w:lang w:eastAsia="en-GB"/>
              </w:rPr>
              <w:t>+7.26</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-12</w:t>
            </w:r>
            <w:r w:rsidRPr="00227EDD">
              <w:rPr>
                <w:rFonts w:eastAsia="Times New Roman" w:cs="Times New Roman"/>
                <w:color w:val="000000"/>
                <w:sz w:val="20"/>
                <w:szCs w:val="20"/>
                <w:lang w:eastAsia="en-GB"/>
              </w:rPr>
              <w:t>A</w:t>
            </w:r>
            <w:r w:rsidRPr="00AD758B">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-9.90</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-8</w:t>
            </w:r>
            <w:r w:rsidRPr="00227EDD">
              <w:rPr>
                <w:rFonts w:eastAsia="Times New Roman" w:cs="Times New Roman"/>
                <w:color w:val="000000"/>
                <w:sz w:val="20"/>
                <w:szCs w:val="20"/>
                <w:lang w:eastAsia="en-GB"/>
              </w:rPr>
              <w:t>A+0.0019</w:t>
            </w:r>
          </w:p>
        </w:tc>
        <w:tc>
          <w:tcPr>
            <w:tcW w:w="279" w:type="pct"/>
            <w:tcBorders>
              <w:top w:val="nil"/>
              <w:bottom w:val="nil"/>
              <w:right w:val="nil"/>
            </w:tcBorders>
            <w:shd w:val="clear" w:color="auto" w:fill="auto"/>
            <w:noWrap/>
            <w:vAlign w:val="center"/>
            <w:hideMark/>
          </w:tcPr>
          <w:p w14:paraId="2863A944"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0.993</w:t>
            </w:r>
          </w:p>
        </w:tc>
      </w:tr>
      <w:tr w:rsidR="009F4C66" w:rsidRPr="009F4C66" w14:paraId="317265E1" w14:textId="77777777" w:rsidTr="00AD758B">
        <w:trPr>
          <w:trHeight w:val="170"/>
        </w:trPr>
        <w:tc>
          <w:tcPr>
            <w:tcW w:w="625" w:type="pct"/>
            <w:tcBorders>
              <w:top w:val="nil"/>
              <w:left w:val="nil"/>
              <w:bottom w:val="nil"/>
            </w:tcBorders>
            <w:shd w:val="clear" w:color="auto" w:fill="auto"/>
            <w:noWrap/>
            <w:vAlign w:val="center"/>
            <w:hideMark/>
          </w:tcPr>
          <w:p w14:paraId="39F9331B" w14:textId="38D6BD86" w:rsidR="009F4C66" w:rsidRPr="009F4C66" w:rsidRDefault="009F4C66" w:rsidP="009F4C66">
            <w:pPr>
              <w:spacing w:after="0"/>
              <w:jc w:val="center"/>
              <w:rPr>
                <w:rFonts w:eastAsia="Times New Roman" w:cs="Times New Roman"/>
                <w:color w:val="000000"/>
                <w:sz w:val="20"/>
                <w:szCs w:val="20"/>
                <w:lang w:eastAsia="en-GB"/>
              </w:rPr>
            </w:pPr>
            <w:r w:rsidRPr="005731EB">
              <w:rPr>
                <w:rFonts w:eastAsia="Times New Roman" w:cs="Times New Roman"/>
                <w:color w:val="000000"/>
                <w:sz w:val="20"/>
                <w:szCs w:val="20"/>
                <w:lang w:eastAsia="en-GB"/>
              </w:rPr>
              <w:t>Shops</w:t>
            </w:r>
          </w:p>
        </w:tc>
        <w:tc>
          <w:tcPr>
            <w:tcW w:w="363" w:type="pct"/>
            <w:tcBorders>
              <w:top w:val="nil"/>
              <w:bottom w:val="nil"/>
            </w:tcBorders>
          </w:tcPr>
          <w:p w14:paraId="6D91DD80" w14:textId="72A95C57"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0.000066</w:t>
            </w:r>
          </w:p>
        </w:tc>
        <w:tc>
          <w:tcPr>
            <w:tcW w:w="196" w:type="pct"/>
            <w:tcBorders>
              <w:top w:val="nil"/>
              <w:bottom w:val="nil"/>
            </w:tcBorders>
          </w:tcPr>
          <w:p w14:paraId="39128A16" w14:textId="66487787"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w:t>
            </w:r>
          </w:p>
        </w:tc>
        <w:tc>
          <w:tcPr>
            <w:tcW w:w="413" w:type="pct"/>
            <w:vMerge w:val="restart"/>
            <w:tcBorders>
              <w:top w:val="nil"/>
            </w:tcBorders>
            <w:shd w:val="clear" w:color="auto" w:fill="auto"/>
            <w:noWrap/>
            <w:vAlign w:val="center"/>
            <w:hideMark/>
          </w:tcPr>
          <w:p w14:paraId="282A70FF" w14:textId="3F30E674" w:rsidR="009F4C66" w:rsidRPr="009F4C66" w:rsidRDefault="009F4C66" w:rsidP="00AD758B">
            <w:pPr>
              <w:spacing w:after="0"/>
              <w:jc w:val="right"/>
              <w:rPr>
                <w:rFonts w:eastAsia="Times New Roman" w:cs="Times New Roman"/>
                <w:color w:val="000000"/>
                <w:sz w:val="20"/>
                <w:szCs w:val="20"/>
                <w:lang w:eastAsia="en-GB"/>
              </w:rPr>
            </w:pPr>
            <w:r w:rsidRPr="009F4C66">
              <w:rPr>
                <w:rFonts w:eastAsia="Times New Roman" w:cs="Times New Roman"/>
                <w:color w:val="000000"/>
                <w:sz w:val="20"/>
                <w:szCs w:val="20"/>
                <w:lang w:eastAsia="en-GB"/>
              </w:rPr>
              <w:t>0.001</w:t>
            </w:r>
          </w:p>
        </w:tc>
        <w:tc>
          <w:tcPr>
            <w:tcW w:w="413" w:type="pct"/>
            <w:vMerge w:val="restart"/>
            <w:tcBorders>
              <w:top w:val="nil"/>
            </w:tcBorders>
            <w:shd w:val="clear" w:color="auto" w:fill="auto"/>
            <w:noWrap/>
            <w:vAlign w:val="center"/>
            <w:hideMark/>
          </w:tcPr>
          <w:p w14:paraId="7F3DA679"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eastAsia="en-GB"/>
              </w:rPr>
              <w:t>0.0589</w:t>
            </w:r>
          </w:p>
        </w:tc>
        <w:tc>
          <w:tcPr>
            <w:tcW w:w="321" w:type="pct"/>
            <w:vMerge w:val="restart"/>
            <w:tcBorders>
              <w:top w:val="nil"/>
            </w:tcBorders>
            <w:shd w:val="clear" w:color="auto" w:fill="auto"/>
            <w:noWrap/>
            <w:vAlign w:val="center"/>
            <w:hideMark/>
          </w:tcPr>
          <w:p w14:paraId="7B2866DD"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0.00005</w:t>
            </w:r>
          </w:p>
        </w:tc>
        <w:tc>
          <w:tcPr>
            <w:tcW w:w="279" w:type="pct"/>
            <w:vMerge w:val="restart"/>
            <w:tcBorders>
              <w:top w:val="nil"/>
            </w:tcBorders>
            <w:shd w:val="clear" w:color="auto" w:fill="auto"/>
            <w:noWrap/>
            <w:vAlign w:val="center"/>
            <w:hideMark/>
          </w:tcPr>
          <w:p w14:paraId="57FF36AD" w14:textId="7678A8CF"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0.451</w:t>
            </w:r>
          </w:p>
        </w:tc>
        <w:tc>
          <w:tcPr>
            <w:tcW w:w="280" w:type="pct"/>
            <w:vMerge w:val="restart"/>
            <w:tcBorders>
              <w:top w:val="nil"/>
            </w:tcBorders>
            <w:shd w:val="clear" w:color="auto" w:fill="auto"/>
            <w:noWrap/>
            <w:vAlign w:val="center"/>
            <w:hideMark/>
          </w:tcPr>
          <w:p w14:paraId="74E17791"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0.927</w:t>
            </w:r>
          </w:p>
        </w:tc>
        <w:tc>
          <w:tcPr>
            <w:tcW w:w="1831" w:type="pct"/>
            <w:vMerge w:val="restart"/>
            <w:tcBorders>
              <w:top w:val="nil"/>
            </w:tcBorders>
            <w:shd w:val="clear" w:color="auto" w:fill="auto"/>
            <w:noWrap/>
            <w:vAlign w:val="center"/>
            <w:hideMark/>
          </w:tcPr>
          <w:p w14:paraId="08B4E506" w14:textId="2F2A766A"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4.88</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-17</w:t>
            </w:r>
            <w:r w:rsidRPr="00227EDD">
              <w:rPr>
                <w:rFonts w:eastAsia="Times New Roman" w:cs="Times New Roman"/>
                <w:color w:val="000000"/>
                <w:sz w:val="20"/>
                <w:szCs w:val="20"/>
                <w:lang w:eastAsia="en-GB"/>
              </w:rPr>
              <w:t>A</w:t>
            </w:r>
            <w:r w:rsidRPr="00AD758B">
              <w:rPr>
                <w:rFonts w:eastAsia="Times New Roman" w:cs="Times New Roman"/>
                <w:color w:val="000000"/>
                <w:sz w:val="20"/>
                <w:szCs w:val="20"/>
                <w:vertAlign w:val="superscript"/>
                <w:lang w:eastAsia="en-GB"/>
              </w:rPr>
              <w:t>3</w:t>
            </w:r>
            <w:r w:rsidRPr="00227EDD">
              <w:rPr>
                <w:rFonts w:eastAsia="Times New Roman" w:cs="Times New Roman"/>
                <w:color w:val="000000"/>
                <w:sz w:val="20"/>
                <w:szCs w:val="20"/>
                <w:lang w:eastAsia="en-GB"/>
              </w:rPr>
              <w:t>-4.61</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-12</w:t>
            </w:r>
            <w:r w:rsidRPr="00227EDD">
              <w:rPr>
                <w:rFonts w:eastAsia="Times New Roman" w:cs="Times New Roman"/>
                <w:color w:val="000000"/>
                <w:sz w:val="20"/>
                <w:szCs w:val="20"/>
                <w:lang w:eastAsia="en-GB"/>
              </w:rPr>
              <w:t>A</w:t>
            </w:r>
            <w:r w:rsidRPr="00AD758B">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+2.25</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-7</w:t>
            </w:r>
            <w:r w:rsidRPr="00227EDD">
              <w:rPr>
                <w:rFonts w:eastAsia="Times New Roman" w:cs="Times New Roman"/>
                <w:color w:val="000000"/>
                <w:sz w:val="20"/>
                <w:szCs w:val="20"/>
                <w:lang w:eastAsia="en-GB"/>
              </w:rPr>
              <w:t>A+0.0008</w:t>
            </w:r>
          </w:p>
        </w:tc>
        <w:tc>
          <w:tcPr>
            <w:tcW w:w="279" w:type="pct"/>
            <w:vMerge w:val="restart"/>
            <w:tcBorders>
              <w:top w:val="nil"/>
              <w:right w:val="nil"/>
            </w:tcBorders>
            <w:shd w:val="clear" w:color="auto" w:fill="auto"/>
            <w:noWrap/>
            <w:vAlign w:val="center"/>
            <w:hideMark/>
          </w:tcPr>
          <w:p w14:paraId="1EC2C7A9"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0.997</w:t>
            </w:r>
          </w:p>
        </w:tc>
      </w:tr>
      <w:tr w:rsidR="009F4C66" w:rsidRPr="009F4C66" w14:paraId="296F72D1" w14:textId="77777777" w:rsidTr="00AD758B">
        <w:trPr>
          <w:trHeight w:val="170"/>
        </w:trPr>
        <w:tc>
          <w:tcPr>
            <w:tcW w:w="625" w:type="pct"/>
            <w:tcBorders>
              <w:top w:val="nil"/>
              <w:left w:val="nil"/>
              <w:bottom w:val="nil"/>
            </w:tcBorders>
            <w:shd w:val="clear" w:color="auto" w:fill="auto"/>
            <w:noWrap/>
            <w:vAlign w:val="center"/>
            <w:hideMark/>
          </w:tcPr>
          <w:p w14:paraId="0CBB2728" w14:textId="2131926D" w:rsidR="009F4C66" w:rsidRPr="009F4C66" w:rsidRDefault="009F4C66" w:rsidP="009F4C66">
            <w:pPr>
              <w:spacing w:after="0"/>
              <w:jc w:val="center"/>
              <w:rPr>
                <w:rFonts w:eastAsia="Times New Roman" w:cs="Times New Roman"/>
                <w:color w:val="000000"/>
                <w:sz w:val="20"/>
                <w:szCs w:val="20"/>
                <w:lang w:eastAsia="en-GB"/>
              </w:rPr>
            </w:pPr>
            <w:r w:rsidRPr="005731EB">
              <w:rPr>
                <w:rFonts w:eastAsia="Times New Roman" w:cs="Times New Roman"/>
                <w:color w:val="000000"/>
                <w:sz w:val="20"/>
                <w:szCs w:val="20"/>
                <w:lang w:eastAsia="en-GB"/>
              </w:rPr>
              <w:t>Offices</w:t>
            </w:r>
          </w:p>
        </w:tc>
        <w:tc>
          <w:tcPr>
            <w:tcW w:w="363" w:type="pct"/>
            <w:tcBorders>
              <w:top w:val="nil"/>
              <w:bottom w:val="nil"/>
            </w:tcBorders>
          </w:tcPr>
          <w:p w14:paraId="5373B324" w14:textId="051E750D"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0.000059</w:t>
            </w:r>
          </w:p>
        </w:tc>
        <w:tc>
          <w:tcPr>
            <w:tcW w:w="196" w:type="pct"/>
            <w:tcBorders>
              <w:top w:val="nil"/>
              <w:bottom w:val="nil"/>
            </w:tcBorders>
          </w:tcPr>
          <w:p w14:paraId="4B93C111" w14:textId="7C7D22A0"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0.9</w:t>
            </w:r>
          </w:p>
        </w:tc>
        <w:tc>
          <w:tcPr>
            <w:tcW w:w="413" w:type="pct"/>
            <w:vMerge/>
            <w:tcBorders>
              <w:bottom w:val="nil"/>
            </w:tcBorders>
            <w:shd w:val="clear" w:color="auto" w:fill="auto"/>
            <w:noWrap/>
            <w:vAlign w:val="center"/>
            <w:hideMark/>
          </w:tcPr>
          <w:p w14:paraId="02D9E8C6" w14:textId="75EAD0DE" w:rsidR="009F4C66" w:rsidRPr="00227EDD" w:rsidRDefault="009F4C66" w:rsidP="00AD758B">
            <w:pPr>
              <w:spacing w:after="0"/>
              <w:jc w:val="right"/>
              <w:rPr>
                <w:rFonts w:eastAsia="Times New Roman" w:cs="Times New Roman"/>
                <w:color w:val="000000"/>
                <w:sz w:val="20"/>
                <w:szCs w:val="20"/>
                <w:lang w:eastAsia="en-GB"/>
              </w:rPr>
            </w:pPr>
          </w:p>
        </w:tc>
        <w:tc>
          <w:tcPr>
            <w:tcW w:w="413" w:type="pct"/>
            <w:vMerge/>
            <w:tcBorders>
              <w:bottom w:val="nil"/>
            </w:tcBorders>
            <w:shd w:val="clear" w:color="auto" w:fill="auto"/>
            <w:noWrap/>
            <w:vAlign w:val="center"/>
            <w:hideMark/>
          </w:tcPr>
          <w:p w14:paraId="7CC3B317" w14:textId="77777777" w:rsidR="009F4C66" w:rsidRPr="00227EDD" w:rsidRDefault="009F4C66" w:rsidP="00AD758B">
            <w:pPr>
              <w:spacing w:after="0"/>
              <w:jc w:val="right"/>
              <w:rPr>
                <w:rFonts w:eastAsia="Times New Roman" w:cs="Times New Roman"/>
                <w:color w:val="000000"/>
                <w:sz w:val="20"/>
                <w:szCs w:val="20"/>
                <w:lang w:eastAsia="en-GB"/>
              </w:rPr>
            </w:pPr>
          </w:p>
        </w:tc>
        <w:tc>
          <w:tcPr>
            <w:tcW w:w="321" w:type="pct"/>
            <w:vMerge/>
            <w:tcBorders>
              <w:bottom w:val="nil"/>
            </w:tcBorders>
            <w:shd w:val="clear" w:color="auto" w:fill="auto"/>
            <w:noWrap/>
            <w:vAlign w:val="center"/>
            <w:hideMark/>
          </w:tcPr>
          <w:p w14:paraId="7ABA7E47" w14:textId="77777777" w:rsidR="009F4C66" w:rsidRPr="00AD758B" w:rsidRDefault="009F4C66" w:rsidP="00AD758B">
            <w:pPr>
              <w:spacing w:after="0"/>
              <w:jc w:val="right"/>
              <w:rPr>
                <w:rFonts w:eastAsia="Times New Roman" w:cs="Times New Roman"/>
                <w:color w:val="000000"/>
                <w:sz w:val="20"/>
                <w:szCs w:val="20"/>
                <w:lang w:eastAsia="en-GB"/>
              </w:rPr>
            </w:pPr>
          </w:p>
        </w:tc>
        <w:tc>
          <w:tcPr>
            <w:tcW w:w="279" w:type="pct"/>
            <w:vMerge/>
            <w:tcBorders>
              <w:bottom w:val="nil"/>
            </w:tcBorders>
            <w:shd w:val="clear" w:color="auto" w:fill="auto"/>
            <w:noWrap/>
            <w:vAlign w:val="center"/>
            <w:hideMark/>
          </w:tcPr>
          <w:p w14:paraId="5F8B638D" w14:textId="77777777" w:rsidR="009F4C66" w:rsidRPr="00AD758B" w:rsidRDefault="009F4C66" w:rsidP="00AD758B">
            <w:pPr>
              <w:spacing w:after="0"/>
              <w:jc w:val="right"/>
              <w:rPr>
                <w:rFonts w:eastAsia="Times New Roman" w:cs="Times New Roman"/>
                <w:color w:val="000000"/>
                <w:sz w:val="20"/>
                <w:szCs w:val="20"/>
                <w:lang w:eastAsia="en-GB"/>
              </w:rPr>
            </w:pPr>
          </w:p>
        </w:tc>
        <w:tc>
          <w:tcPr>
            <w:tcW w:w="280" w:type="pct"/>
            <w:vMerge/>
            <w:tcBorders>
              <w:bottom w:val="nil"/>
            </w:tcBorders>
            <w:shd w:val="clear" w:color="auto" w:fill="auto"/>
            <w:noWrap/>
            <w:vAlign w:val="center"/>
            <w:hideMark/>
          </w:tcPr>
          <w:p w14:paraId="0176F882" w14:textId="77777777" w:rsidR="009F4C66" w:rsidRPr="00AD758B" w:rsidRDefault="009F4C66" w:rsidP="00AD758B">
            <w:pPr>
              <w:spacing w:after="0"/>
              <w:jc w:val="right"/>
              <w:rPr>
                <w:rFonts w:eastAsia="Times New Roman" w:cs="Times New Roman"/>
                <w:color w:val="000000"/>
                <w:sz w:val="20"/>
                <w:szCs w:val="20"/>
                <w:lang w:eastAsia="en-GB"/>
              </w:rPr>
            </w:pPr>
          </w:p>
        </w:tc>
        <w:tc>
          <w:tcPr>
            <w:tcW w:w="1831" w:type="pct"/>
            <w:vMerge/>
            <w:tcBorders>
              <w:bottom w:val="nil"/>
            </w:tcBorders>
            <w:shd w:val="clear" w:color="auto" w:fill="auto"/>
            <w:noWrap/>
            <w:vAlign w:val="center"/>
            <w:hideMark/>
          </w:tcPr>
          <w:p w14:paraId="4C28565D" w14:textId="77777777" w:rsidR="009F4C66" w:rsidRPr="00AD758B" w:rsidRDefault="009F4C66" w:rsidP="00AD758B">
            <w:pPr>
              <w:spacing w:after="0"/>
              <w:jc w:val="right"/>
              <w:rPr>
                <w:rFonts w:eastAsia="Times New Roman" w:cs="Times New Roman"/>
                <w:color w:val="000000"/>
                <w:sz w:val="20"/>
                <w:szCs w:val="20"/>
                <w:lang w:eastAsia="en-GB"/>
              </w:rPr>
            </w:pPr>
          </w:p>
        </w:tc>
        <w:tc>
          <w:tcPr>
            <w:tcW w:w="279" w:type="pct"/>
            <w:vMerge/>
            <w:tcBorders>
              <w:bottom w:val="nil"/>
              <w:right w:val="nil"/>
            </w:tcBorders>
            <w:shd w:val="clear" w:color="auto" w:fill="auto"/>
            <w:noWrap/>
            <w:vAlign w:val="center"/>
            <w:hideMark/>
          </w:tcPr>
          <w:p w14:paraId="4285FE09" w14:textId="77777777" w:rsidR="009F4C66" w:rsidRPr="00AD758B" w:rsidRDefault="009F4C66" w:rsidP="00AD758B">
            <w:pPr>
              <w:spacing w:after="0"/>
              <w:jc w:val="right"/>
              <w:rPr>
                <w:rFonts w:eastAsia="Times New Roman" w:cs="Times New Roman"/>
                <w:color w:val="000000"/>
                <w:sz w:val="20"/>
                <w:szCs w:val="20"/>
                <w:lang w:eastAsia="en-GB"/>
              </w:rPr>
            </w:pPr>
          </w:p>
        </w:tc>
      </w:tr>
      <w:tr w:rsidR="00EC0637" w:rsidRPr="00227EDD" w14:paraId="21229FD2" w14:textId="77777777" w:rsidTr="00EC0637">
        <w:trPr>
          <w:trHeight w:val="170"/>
        </w:trPr>
        <w:tc>
          <w:tcPr>
            <w:tcW w:w="625" w:type="pct"/>
            <w:tcBorders>
              <w:top w:val="nil"/>
              <w:left w:val="nil"/>
            </w:tcBorders>
            <w:shd w:val="clear" w:color="auto" w:fill="auto"/>
            <w:noWrap/>
            <w:vAlign w:val="center"/>
            <w:hideMark/>
          </w:tcPr>
          <w:p w14:paraId="339483B5" w14:textId="05CB23C9" w:rsidR="009F4C66" w:rsidRPr="009F4C66" w:rsidRDefault="009F4C66" w:rsidP="009F4C66">
            <w:pPr>
              <w:spacing w:after="0"/>
              <w:jc w:val="center"/>
              <w:rPr>
                <w:rFonts w:eastAsia="Times New Roman" w:cs="Times New Roman"/>
                <w:sz w:val="20"/>
                <w:szCs w:val="20"/>
                <w:lang w:eastAsia="en-GB"/>
              </w:rPr>
            </w:pPr>
            <w:r w:rsidRPr="005731EB">
              <w:rPr>
                <w:rFonts w:eastAsia="Times New Roman" w:cs="Times New Roman"/>
                <w:color w:val="000000"/>
                <w:sz w:val="20"/>
                <w:szCs w:val="20"/>
                <w:lang w:eastAsia="en-GB"/>
              </w:rPr>
              <w:t>Hospitals</w:t>
            </w:r>
          </w:p>
        </w:tc>
        <w:tc>
          <w:tcPr>
            <w:tcW w:w="363" w:type="pct"/>
            <w:tcBorders>
              <w:top w:val="nil"/>
            </w:tcBorders>
          </w:tcPr>
          <w:p w14:paraId="27309572" w14:textId="67A64916"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0.0007</w:t>
            </w:r>
          </w:p>
        </w:tc>
        <w:tc>
          <w:tcPr>
            <w:tcW w:w="196" w:type="pct"/>
            <w:tcBorders>
              <w:top w:val="nil"/>
            </w:tcBorders>
          </w:tcPr>
          <w:p w14:paraId="255CF5B6" w14:textId="714EBFA9"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0.75</w:t>
            </w:r>
          </w:p>
        </w:tc>
        <w:tc>
          <w:tcPr>
            <w:tcW w:w="413" w:type="pct"/>
            <w:tcBorders>
              <w:top w:val="nil"/>
            </w:tcBorders>
            <w:shd w:val="clear" w:color="auto" w:fill="auto"/>
            <w:noWrap/>
            <w:vAlign w:val="center"/>
            <w:hideMark/>
          </w:tcPr>
          <w:p w14:paraId="638D910A" w14:textId="7E628A34" w:rsidR="009F4C66" w:rsidRPr="009F4C66" w:rsidRDefault="009F4C66" w:rsidP="00AD758B">
            <w:pPr>
              <w:spacing w:after="0"/>
              <w:jc w:val="right"/>
              <w:rPr>
                <w:rFonts w:eastAsia="Times New Roman" w:cs="Times New Roman"/>
                <w:color w:val="000000"/>
                <w:sz w:val="20"/>
                <w:szCs w:val="20"/>
                <w:lang w:eastAsia="en-GB"/>
              </w:rPr>
            </w:pPr>
            <w:r w:rsidRPr="009F4C66">
              <w:rPr>
                <w:rFonts w:eastAsia="Times New Roman" w:cs="Times New Roman"/>
                <w:color w:val="000000"/>
                <w:sz w:val="20"/>
                <w:szCs w:val="20"/>
                <w:lang w:eastAsia="en-GB"/>
              </w:rPr>
              <w:t>0.0029</w:t>
            </w:r>
          </w:p>
        </w:tc>
        <w:tc>
          <w:tcPr>
            <w:tcW w:w="413" w:type="pct"/>
            <w:tcBorders>
              <w:top w:val="nil"/>
            </w:tcBorders>
            <w:shd w:val="clear" w:color="auto" w:fill="auto"/>
            <w:noWrap/>
            <w:vAlign w:val="center"/>
            <w:hideMark/>
          </w:tcPr>
          <w:p w14:paraId="4902281D"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eastAsia="en-GB"/>
              </w:rPr>
              <w:t>0.0115</w:t>
            </w:r>
          </w:p>
        </w:tc>
        <w:tc>
          <w:tcPr>
            <w:tcW w:w="321" w:type="pct"/>
            <w:tcBorders>
              <w:top w:val="nil"/>
            </w:tcBorders>
            <w:shd w:val="clear" w:color="auto" w:fill="auto"/>
            <w:noWrap/>
            <w:vAlign w:val="center"/>
            <w:hideMark/>
          </w:tcPr>
          <w:p w14:paraId="72C9C78F"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0.0001</w:t>
            </w:r>
          </w:p>
        </w:tc>
        <w:tc>
          <w:tcPr>
            <w:tcW w:w="279" w:type="pct"/>
            <w:tcBorders>
              <w:top w:val="nil"/>
            </w:tcBorders>
            <w:shd w:val="clear" w:color="auto" w:fill="auto"/>
            <w:noWrap/>
            <w:vAlign w:val="center"/>
            <w:hideMark/>
          </w:tcPr>
          <w:p w14:paraId="41F9AFC9" w14:textId="69018E30" w:rsidR="009F4C66" w:rsidRPr="00227EDD" w:rsidRDefault="006221C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0.487</w:t>
            </w:r>
          </w:p>
        </w:tc>
        <w:tc>
          <w:tcPr>
            <w:tcW w:w="280" w:type="pct"/>
            <w:tcBorders>
              <w:top w:val="nil"/>
            </w:tcBorders>
            <w:shd w:val="clear" w:color="auto" w:fill="auto"/>
            <w:noWrap/>
            <w:vAlign w:val="center"/>
            <w:hideMark/>
          </w:tcPr>
          <w:p w14:paraId="22D98F28"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0.839</w:t>
            </w:r>
          </w:p>
        </w:tc>
        <w:tc>
          <w:tcPr>
            <w:tcW w:w="1831" w:type="pct"/>
            <w:tcBorders>
              <w:top w:val="nil"/>
            </w:tcBorders>
            <w:shd w:val="clear" w:color="auto" w:fill="auto"/>
            <w:noWrap/>
            <w:vAlign w:val="center"/>
            <w:hideMark/>
          </w:tcPr>
          <w:p w14:paraId="0F55C2E8" w14:textId="3147B23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-2.37</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-12</w:t>
            </w:r>
            <w:r w:rsidRPr="00227EDD">
              <w:rPr>
                <w:rFonts w:eastAsia="Times New Roman" w:cs="Times New Roman"/>
                <w:color w:val="000000"/>
                <w:sz w:val="20"/>
                <w:szCs w:val="20"/>
                <w:lang w:eastAsia="en-GB"/>
              </w:rPr>
              <w:t>A</w:t>
            </w:r>
            <w:r w:rsidRPr="00AD758B">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+4.71</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-7</w:t>
            </w:r>
            <w:r w:rsidRPr="00227EDD">
              <w:rPr>
                <w:rFonts w:eastAsia="Times New Roman" w:cs="Times New Roman"/>
                <w:color w:val="000000"/>
                <w:sz w:val="20"/>
                <w:szCs w:val="20"/>
                <w:lang w:eastAsia="en-GB"/>
              </w:rPr>
              <w:t>A+0.004</w:t>
            </w:r>
          </w:p>
        </w:tc>
        <w:tc>
          <w:tcPr>
            <w:tcW w:w="279" w:type="pct"/>
            <w:tcBorders>
              <w:top w:val="nil"/>
              <w:right w:val="nil"/>
            </w:tcBorders>
            <w:shd w:val="clear" w:color="auto" w:fill="auto"/>
            <w:noWrap/>
            <w:vAlign w:val="center"/>
            <w:hideMark/>
          </w:tcPr>
          <w:p w14:paraId="6822FBCC"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0.742</w:t>
            </w:r>
          </w:p>
        </w:tc>
      </w:tr>
      <w:tr w:rsidR="00EC0637" w:rsidRPr="00227EDD" w14:paraId="7C84303A" w14:textId="77777777" w:rsidTr="00AD758B">
        <w:trPr>
          <w:trHeight w:val="170"/>
        </w:trPr>
        <w:tc>
          <w:tcPr>
            <w:tcW w:w="625" w:type="pct"/>
            <w:tcBorders>
              <w:top w:val="nil"/>
              <w:left w:val="nil"/>
              <w:bottom w:val="single" w:sz="4" w:space="0" w:color="auto"/>
            </w:tcBorders>
            <w:shd w:val="clear" w:color="auto" w:fill="auto"/>
            <w:noWrap/>
            <w:vAlign w:val="center"/>
            <w:hideMark/>
          </w:tcPr>
          <w:p w14:paraId="485A058B" w14:textId="5D2894BC" w:rsidR="009F4C66" w:rsidRPr="009F4C66" w:rsidRDefault="009F4C66" w:rsidP="009F4C66">
            <w:pPr>
              <w:spacing w:after="0"/>
              <w:jc w:val="center"/>
              <w:rPr>
                <w:rFonts w:eastAsia="Times New Roman" w:cs="Times New Roman"/>
                <w:color w:val="000000"/>
                <w:sz w:val="20"/>
                <w:szCs w:val="20"/>
                <w:lang w:eastAsia="en-GB"/>
              </w:rPr>
            </w:pPr>
            <w:r w:rsidRPr="005731EB">
              <w:rPr>
                <w:rFonts w:eastAsia="Times New Roman" w:cs="Times New Roman"/>
                <w:color w:val="000000"/>
                <w:sz w:val="20"/>
                <w:szCs w:val="20"/>
                <w:lang w:eastAsia="en-GB"/>
              </w:rPr>
              <w:t>Schools</w:t>
            </w:r>
          </w:p>
        </w:tc>
        <w:tc>
          <w:tcPr>
            <w:tcW w:w="363" w:type="pct"/>
            <w:tcBorders>
              <w:top w:val="nil"/>
              <w:bottom w:val="single" w:sz="4" w:space="0" w:color="auto"/>
            </w:tcBorders>
          </w:tcPr>
          <w:p w14:paraId="3237DA93" w14:textId="751B9B18"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0.0002</w:t>
            </w:r>
          </w:p>
        </w:tc>
        <w:tc>
          <w:tcPr>
            <w:tcW w:w="196" w:type="pct"/>
            <w:tcBorders>
              <w:top w:val="nil"/>
              <w:bottom w:val="single" w:sz="4" w:space="0" w:color="auto"/>
            </w:tcBorders>
          </w:tcPr>
          <w:p w14:paraId="2D64BDE3" w14:textId="3F19ECB8" w:rsidR="009F4C66" w:rsidRPr="009F4C66" w:rsidRDefault="009F4C66"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0.75</w:t>
            </w:r>
          </w:p>
        </w:tc>
        <w:tc>
          <w:tcPr>
            <w:tcW w:w="413" w:type="pct"/>
            <w:tcBorders>
              <w:top w:val="nil"/>
              <w:bottom w:val="single" w:sz="4" w:space="0" w:color="auto"/>
            </w:tcBorders>
            <w:shd w:val="clear" w:color="auto" w:fill="auto"/>
            <w:noWrap/>
            <w:vAlign w:val="center"/>
            <w:hideMark/>
          </w:tcPr>
          <w:p w14:paraId="40937F8F" w14:textId="7A4B14AA" w:rsidR="009F4C66" w:rsidRPr="009F4C66" w:rsidRDefault="009F4C66" w:rsidP="00AD758B">
            <w:pPr>
              <w:spacing w:after="0"/>
              <w:jc w:val="right"/>
              <w:rPr>
                <w:rFonts w:eastAsia="Times New Roman" w:cs="Times New Roman"/>
                <w:color w:val="000000"/>
                <w:sz w:val="20"/>
                <w:szCs w:val="20"/>
                <w:lang w:eastAsia="en-GB"/>
              </w:rPr>
            </w:pPr>
            <w:r w:rsidRPr="009F4C66">
              <w:rPr>
                <w:rFonts w:eastAsia="Times New Roman" w:cs="Times New Roman"/>
                <w:color w:val="000000"/>
                <w:sz w:val="20"/>
                <w:szCs w:val="20"/>
                <w:lang w:eastAsia="en-GB"/>
              </w:rPr>
              <w:t>0.0012</w:t>
            </w:r>
          </w:p>
        </w:tc>
        <w:tc>
          <w:tcPr>
            <w:tcW w:w="413" w:type="pct"/>
            <w:tcBorders>
              <w:top w:val="nil"/>
              <w:bottom w:val="single" w:sz="4" w:space="0" w:color="auto"/>
            </w:tcBorders>
            <w:shd w:val="clear" w:color="auto" w:fill="auto"/>
            <w:noWrap/>
            <w:vAlign w:val="center"/>
            <w:hideMark/>
          </w:tcPr>
          <w:p w14:paraId="75917786" w14:textId="77777777" w:rsidR="009F4C66" w:rsidRPr="00CD3F0D" w:rsidRDefault="009F4C66" w:rsidP="00AD758B">
            <w:pPr>
              <w:spacing w:after="0"/>
              <w:jc w:val="right"/>
              <w:rPr>
                <w:rFonts w:eastAsia="Times New Roman" w:cs="Times New Roman"/>
                <w:color w:val="000000"/>
                <w:sz w:val="20"/>
                <w:szCs w:val="20"/>
                <w:lang w:eastAsia="en-GB"/>
              </w:rPr>
            </w:pPr>
            <w:r w:rsidRPr="00123A85">
              <w:rPr>
                <w:rFonts w:eastAsia="Times New Roman" w:cs="Times New Roman"/>
                <w:color w:val="000000"/>
                <w:sz w:val="20"/>
                <w:szCs w:val="20"/>
                <w:lang w:eastAsia="en-GB"/>
              </w:rPr>
              <w:t>0.0101</w:t>
            </w:r>
          </w:p>
        </w:tc>
        <w:tc>
          <w:tcPr>
            <w:tcW w:w="321" w:type="pct"/>
            <w:tcBorders>
              <w:top w:val="nil"/>
              <w:bottom w:val="single" w:sz="4" w:space="0" w:color="auto"/>
            </w:tcBorders>
            <w:shd w:val="clear" w:color="auto" w:fill="auto"/>
            <w:noWrap/>
            <w:vAlign w:val="center"/>
            <w:hideMark/>
          </w:tcPr>
          <w:p w14:paraId="68A34311" w14:textId="77777777" w:rsidR="009F4C66" w:rsidRPr="00227EDD" w:rsidRDefault="009F4C66" w:rsidP="00AD758B">
            <w:pPr>
              <w:spacing w:after="0"/>
              <w:jc w:val="right"/>
              <w:rPr>
                <w:rFonts w:eastAsia="Times New Roman" w:cs="Times New Roman"/>
                <w:color w:val="000000"/>
                <w:sz w:val="20"/>
                <w:szCs w:val="20"/>
                <w:lang w:eastAsia="en-GB"/>
              </w:rPr>
            </w:pPr>
            <w:r w:rsidRPr="00CD3F0D">
              <w:rPr>
                <w:rFonts w:eastAsia="Times New Roman" w:cs="Times New Roman"/>
                <w:color w:val="000000"/>
                <w:sz w:val="20"/>
                <w:szCs w:val="20"/>
                <w:lang w:eastAsia="en-GB"/>
              </w:rPr>
              <w:t>0.0002</w:t>
            </w:r>
          </w:p>
        </w:tc>
        <w:tc>
          <w:tcPr>
            <w:tcW w:w="279" w:type="pct"/>
            <w:tcBorders>
              <w:top w:val="nil"/>
              <w:bottom w:val="single" w:sz="4" w:space="0" w:color="auto"/>
            </w:tcBorders>
            <w:shd w:val="clear" w:color="auto" w:fill="auto"/>
            <w:noWrap/>
            <w:vAlign w:val="center"/>
            <w:hideMark/>
          </w:tcPr>
          <w:p w14:paraId="5A50D8E3" w14:textId="4CA36E32"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w:t>
            </w:r>
            <w:r w:rsidR="006221C6">
              <w:rPr>
                <w:rFonts w:eastAsia="Times New Roman" w:cs="Times New Roman"/>
                <w:color w:val="000000"/>
                <w:sz w:val="20"/>
                <w:szCs w:val="20"/>
                <w:lang w:eastAsia="en-GB"/>
              </w:rPr>
              <w:t>218</w:t>
            </w:r>
          </w:p>
        </w:tc>
        <w:tc>
          <w:tcPr>
            <w:tcW w:w="280" w:type="pct"/>
            <w:tcBorders>
              <w:top w:val="nil"/>
              <w:bottom w:val="single" w:sz="4" w:space="0" w:color="auto"/>
            </w:tcBorders>
            <w:shd w:val="clear" w:color="auto" w:fill="auto"/>
            <w:noWrap/>
            <w:vAlign w:val="center"/>
            <w:hideMark/>
          </w:tcPr>
          <w:p w14:paraId="6A9D6403"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0.768</w:t>
            </w:r>
          </w:p>
        </w:tc>
        <w:tc>
          <w:tcPr>
            <w:tcW w:w="1831" w:type="pct"/>
            <w:tcBorders>
              <w:top w:val="nil"/>
              <w:bottom w:val="single" w:sz="4" w:space="0" w:color="auto"/>
            </w:tcBorders>
            <w:shd w:val="clear" w:color="auto" w:fill="auto"/>
            <w:noWrap/>
            <w:vAlign w:val="center"/>
            <w:hideMark/>
          </w:tcPr>
          <w:p w14:paraId="3312C858" w14:textId="084D9BAA"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2.92</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-16</w:t>
            </w:r>
            <w:r w:rsidRPr="00227EDD">
              <w:rPr>
                <w:rFonts w:eastAsia="Times New Roman" w:cs="Times New Roman"/>
                <w:color w:val="000000"/>
                <w:sz w:val="20"/>
                <w:szCs w:val="20"/>
                <w:lang w:eastAsia="en-GB"/>
              </w:rPr>
              <w:t>A</w:t>
            </w:r>
            <w:r w:rsidRPr="00AD758B">
              <w:rPr>
                <w:rFonts w:eastAsia="Times New Roman" w:cs="Times New Roman"/>
                <w:color w:val="000000"/>
                <w:sz w:val="20"/>
                <w:szCs w:val="20"/>
                <w:vertAlign w:val="superscript"/>
                <w:lang w:eastAsia="en-GB"/>
              </w:rPr>
              <w:t>3</w:t>
            </w:r>
            <w:r w:rsidRPr="00227EDD">
              <w:rPr>
                <w:rFonts w:eastAsia="Times New Roman" w:cs="Times New Roman"/>
                <w:color w:val="000000"/>
                <w:sz w:val="20"/>
                <w:szCs w:val="20"/>
                <w:lang w:eastAsia="en-GB"/>
              </w:rPr>
              <w:t>-7.76</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-12</w:t>
            </w:r>
            <w:r w:rsidRPr="00227EDD">
              <w:rPr>
                <w:rFonts w:eastAsia="Times New Roman" w:cs="Times New Roman"/>
                <w:color w:val="000000"/>
                <w:sz w:val="20"/>
                <w:szCs w:val="20"/>
                <w:lang w:eastAsia="en-GB"/>
              </w:rPr>
              <w:t>A</w:t>
            </w:r>
            <w:r w:rsidRPr="00AD758B">
              <w:rPr>
                <w:rFonts w:eastAsia="Times New Roman" w:cs="Times New Roman"/>
                <w:color w:val="000000"/>
                <w:sz w:val="20"/>
                <w:szCs w:val="20"/>
                <w:vertAlign w:val="superscript"/>
                <w:lang w:eastAsia="en-GB"/>
              </w:rPr>
              <w:t>2</w:t>
            </w:r>
            <w:r w:rsidRPr="00227EDD">
              <w:rPr>
                <w:rFonts w:eastAsia="Times New Roman" w:cs="Times New Roman"/>
                <w:color w:val="000000"/>
                <w:sz w:val="20"/>
                <w:szCs w:val="20"/>
                <w:lang w:eastAsia="en-GB"/>
              </w:rPr>
              <w:t>+1.04</w:t>
            </w:r>
            <w:r w:rsidR="00907CB6">
              <w:rPr>
                <w:rFonts w:eastAsia="Times New Roman" w:cs="Times New Roman"/>
                <w:color w:val="000000"/>
                <w:sz w:val="20"/>
                <w:szCs w:val="20"/>
                <w:lang w:eastAsia="en-GB"/>
              </w:rPr>
              <w:t>×</w:t>
            </w:r>
            <w:r w:rsidRPr="00227EDD">
              <w:rPr>
                <w:rFonts w:eastAsia="Times New Roman" w:cs="Times New Roman"/>
                <w:color w:val="000000"/>
                <w:sz w:val="20"/>
                <w:szCs w:val="20"/>
                <w:lang w:eastAsia="en-GB"/>
              </w:rPr>
              <w:t>10</w:t>
            </w:r>
            <w:r w:rsidRPr="00AD758B">
              <w:rPr>
                <w:rFonts w:eastAsia="Times New Roman" w:cs="Times New Roman"/>
                <w:color w:val="000000"/>
                <w:sz w:val="20"/>
                <w:szCs w:val="20"/>
                <w:vertAlign w:val="superscript"/>
                <w:lang w:eastAsia="en-GB"/>
              </w:rPr>
              <w:t>-7</w:t>
            </w:r>
            <w:r w:rsidRPr="00227EDD">
              <w:rPr>
                <w:rFonts w:eastAsia="Times New Roman" w:cs="Times New Roman"/>
                <w:color w:val="000000"/>
                <w:sz w:val="20"/>
                <w:szCs w:val="20"/>
                <w:lang w:eastAsia="en-GB"/>
              </w:rPr>
              <w:t>A+0.0010</w:t>
            </w:r>
          </w:p>
        </w:tc>
        <w:tc>
          <w:tcPr>
            <w:tcW w:w="279" w:type="pct"/>
            <w:tcBorders>
              <w:top w:val="nil"/>
              <w:bottom w:val="single" w:sz="4" w:space="0" w:color="auto"/>
              <w:right w:val="nil"/>
            </w:tcBorders>
            <w:shd w:val="clear" w:color="auto" w:fill="auto"/>
            <w:noWrap/>
            <w:vAlign w:val="center"/>
            <w:hideMark/>
          </w:tcPr>
          <w:p w14:paraId="729C981B" w14:textId="77777777" w:rsidR="009F4C66" w:rsidRPr="00227EDD" w:rsidRDefault="009F4C66" w:rsidP="00AD758B">
            <w:pPr>
              <w:spacing w:after="0"/>
              <w:jc w:val="right"/>
              <w:rPr>
                <w:rFonts w:eastAsia="Times New Roman" w:cs="Times New Roman"/>
                <w:color w:val="000000"/>
                <w:sz w:val="20"/>
                <w:szCs w:val="20"/>
                <w:lang w:eastAsia="en-GB"/>
              </w:rPr>
            </w:pPr>
            <w:r w:rsidRPr="00227EDD">
              <w:rPr>
                <w:rFonts w:eastAsia="Times New Roman" w:cs="Times New Roman"/>
                <w:color w:val="000000"/>
                <w:sz w:val="20"/>
                <w:szCs w:val="20"/>
                <w:lang w:eastAsia="en-GB"/>
              </w:rPr>
              <w:t>0.983</w:t>
            </w:r>
          </w:p>
        </w:tc>
      </w:tr>
    </w:tbl>
    <w:p w14:paraId="2FF66119" w14:textId="1EE94281" w:rsidR="009F4C66" w:rsidRDefault="009F4C66" w:rsidP="00AD758B">
      <w:pPr>
        <w:pStyle w:val="Caption"/>
        <w:rPr>
          <w:szCs w:val="24"/>
        </w:rPr>
      </w:pPr>
      <w:bookmarkStart w:id="39" w:name="_Ref17300947"/>
      <w:r>
        <w:t xml:space="preserve">Table </w:t>
      </w:r>
      <w:r>
        <w:fldChar w:fldCharType="begin"/>
      </w:r>
      <w:r>
        <w:instrText xml:space="preserve"> SEQ Table \* ARABIC </w:instrText>
      </w:r>
      <w:r>
        <w:fldChar w:fldCharType="separate"/>
      </w:r>
      <w:r w:rsidR="00250859">
        <w:rPr>
          <w:noProof/>
        </w:rPr>
        <w:t>4</w:t>
      </w:r>
      <w:r>
        <w:fldChar w:fldCharType="end"/>
      </w:r>
      <w:bookmarkEnd w:id="39"/>
      <w:r>
        <w:t xml:space="preserve">: Area damage for </w:t>
      </w:r>
      <w:r w:rsidRPr="00A26405">
        <w:rPr>
          <w:i/>
        </w:rPr>
        <w:t>Industrial manufacturing</w:t>
      </w:r>
      <w:r>
        <w:t xml:space="preserve"> in different fire origin locations in PD 7974-7 and UK statistics [F=Fire, T=Total]</w:t>
      </w:r>
    </w:p>
    <w:tbl>
      <w:tblPr>
        <w:tblW w:w="5000" w:type="pct"/>
        <w:tblCellMar>
          <w:left w:w="57" w:type="dxa"/>
          <w:right w:w="57" w:type="dxa"/>
        </w:tblCellMar>
        <w:tblLook w:val="04A0" w:firstRow="1" w:lastRow="0" w:firstColumn="1" w:lastColumn="0" w:noHBand="0" w:noVBand="1"/>
      </w:tblPr>
      <w:tblGrid>
        <w:gridCol w:w="585"/>
        <w:gridCol w:w="1311"/>
        <w:gridCol w:w="414"/>
        <w:gridCol w:w="764"/>
        <w:gridCol w:w="764"/>
        <w:gridCol w:w="414"/>
        <w:gridCol w:w="664"/>
        <w:gridCol w:w="665"/>
        <w:gridCol w:w="514"/>
        <w:gridCol w:w="664"/>
        <w:gridCol w:w="665"/>
        <w:gridCol w:w="514"/>
        <w:gridCol w:w="664"/>
        <w:gridCol w:w="673"/>
        <w:gridCol w:w="514"/>
        <w:gridCol w:w="664"/>
        <w:gridCol w:w="665"/>
        <w:gridCol w:w="514"/>
        <w:gridCol w:w="664"/>
        <w:gridCol w:w="664"/>
      </w:tblGrid>
      <w:tr w:rsidR="009F4C66" w:rsidRPr="00B53E53" w14:paraId="41E9091E" w14:textId="77777777" w:rsidTr="0008153A">
        <w:trPr>
          <w:trHeight w:val="170"/>
        </w:trPr>
        <w:tc>
          <w:tcPr>
            <w:tcW w:w="226" w:type="pct"/>
            <w:shd w:val="clear" w:color="auto" w:fill="auto"/>
            <w:noWrap/>
            <w:vAlign w:val="bottom"/>
            <w:hideMark/>
          </w:tcPr>
          <w:p w14:paraId="19F7B854" w14:textId="77777777" w:rsidR="009F4C66" w:rsidRPr="00B53E53" w:rsidRDefault="009F4C66" w:rsidP="0008153A">
            <w:pPr>
              <w:spacing w:after="0"/>
              <w:jc w:val="left"/>
              <w:rPr>
                <w:rFonts w:eastAsia="Times New Roman" w:cs="Times New Roman"/>
                <w:sz w:val="20"/>
                <w:szCs w:val="20"/>
                <w:lang w:eastAsia="en-GB"/>
              </w:rPr>
            </w:pPr>
          </w:p>
        </w:tc>
        <w:tc>
          <w:tcPr>
            <w:tcW w:w="506" w:type="pct"/>
            <w:shd w:val="clear" w:color="auto" w:fill="auto"/>
            <w:noWrap/>
            <w:vAlign w:val="bottom"/>
            <w:hideMark/>
          </w:tcPr>
          <w:p w14:paraId="4F67237D" w14:textId="77777777" w:rsidR="009F4C66" w:rsidRPr="00B53E53" w:rsidRDefault="009F4C66" w:rsidP="0008153A">
            <w:pPr>
              <w:spacing w:after="0"/>
              <w:jc w:val="left"/>
              <w:rPr>
                <w:rFonts w:eastAsia="Times New Roman" w:cs="Times New Roman"/>
                <w:sz w:val="20"/>
                <w:szCs w:val="20"/>
                <w:lang w:eastAsia="en-GB"/>
              </w:rPr>
            </w:pPr>
          </w:p>
        </w:tc>
        <w:tc>
          <w:tcPr>
            <w:tcW w:w="4269" w:type="pct"/>
            <w:gridSpan w:val="18"/>
            <w:tcBorders>
              <w:top w:val="single" w:sz="4" w:space="0" w:color="auto"/>
              <w:bottom w:val="single" w:sz="4" w:space="0" w:color="auto"/>
            </w:tcBorders>
            <w:shd w:val="clear" w:color="auto" w:fill="auto"/>
            <w:noWrap/>
            <w:vAlign w:val="bottom"/>
            <w:hideMark/>
          </w:tcPr>
          <w:p w14:paraId="42C95C5C" w14:textId="77777777" w:rsidR="009F4C66" w:rsidRPr="00B53E53" w:rsidRDefault="009F4C66" w:rsidP="0008153A">
            <w:pPr>
              <w:spacing w:after="0"/>
              <w:jc w:val="center"/>
              <w:rPr>
                <w:rFonts w:eastAsia="Times New Roman" w:cs="Times New Roman"/>
                <w:b/>
                <w:color w:val="000000"/>
                <w:sz w:val="20"/>
                <w:szCs w:val="20"/>
                <w:lang w:eastAsia="en-GB"/>
              </w:rPr>
            </w:pPr>
            <w:r>
              <w:rPr>
                <w:rFonts w:eastAsia="Times New Roman" w:cs="Times New Roman"/>
                <w:b/>
                <w:color w:val="000000"/>
                <w:sz w:val="20"/>
                <w:szCs w:val="20"/>
                <w:lang w:eastAsia="en-GB"/>
              </w:rPr>
              <w:t>Area damage</w:t>
            </w:r>
            <w:r w:rsidRPr="00E74A8C">
              <w:rPr>
                <w:rFonts w:eastAsia="Times New Roman" w:cs="Times New Roman"/>
                <w:b/>
                <w:color w:val="000000"/>
                <w:sz w:val="20"/>
                <w:szCs w:val="20"/>
                <w:lang w:eastAsia="en-GB"/>
              </w:rPr>
              <w:t xml:space="preserve"> [m</w:t>
            </w:r>
            <w:r w:rsidRPr="00E74A8C">
              <w:rPr>
                <w:rFonts w:eastAsia="Times New Roman" w:cs="Times New Roman"/>
                <w:b/>
                <w:color w:val="000000"/>
                <w:sz w:val="20"/>
                <w:szCs w:val="20"/>
                <w:vertAlign w:val="superscript"/>
                <w:lang w:eastAsia="en-GB"/>
              </w:rPr>
              <w:t>2</w:t>
            </w:r>
            <w:r w:rsidRPr="00B53E53">
              <w:rPr>
                <w:rFonts w:eastAsia="Times New Roman" w:cs="Times New Roman"/>
                <w:b/>
                <w:color w:val="000000"/>
                <w:sz w:val="20"/>
                <w:szCs w:val="20"/>
                <w:lang w:eastAsia="en-GB"/>
              </w:rPr>
              <w:t>]</w:t>
            </w:r>
          </w:p>
        </w:tc>
      </w:tr>
      <w:tr w:rsidR="009F4C66" w:rsidRPr="00B53E53" w14:paraId="5D25691F" w14:textId="77777777" w:rsidTr="00AD758B">
        <w:trPr>
          <w:trHeight w:val="170"/>
        </w:trPr>
        <w:tc>
          <w:tcPr>
            <w:tcW w:w="226" w:type="pct"/>
            <w:shd w:val="clear" w:color="auto" w:fill="auto"/>
            <w:noWrap/>
            <w:vAlign w:val="bottom"/>
          </w:tcPr>
          <w:p w14:paraId="240F999E" w14:textId="77777777" w:rsidR="009F4C66" w:rsidRPr="00B53E53" w:rsidRDefault="009F4C66" w:rsidP="0008153A">
            <w:pPr>
              <w:spacing w:after="0"/>
              <w:jc w:val="center"/>
              <w:rPr>
                <w:rFonts w:eastAsia="Times New Roman" w:cs="Times New Roman"/>
                <w:color w:val="000000"/>
                <w:sz w:val="20"/>
                <w:szCs w:val="20"/>
                <w:lang w:eastAsia="en-GB"/>
              </w:rPr>
            </w:pPr>
          </w:p>
        </w:tc>
        <w:tc>
          <w:tcPr>
            <w:tcW w:w="506" w:type="pct"/>
            <w:shd w:val="clear" w:color="auto" w:fill="auto"/>
            <w:noWrap/>
            <w:vAlign w:val="bottom"/>
          </w:tcPr>
          <w:p w14:paraId="05851473" w14:textId="77777777" w:rsidR="009F4C66" w:rsidRPr="00B53E53" w:rsidRDefault="009F4C66" w:rsidP="0008153A">
            <w:pPr>
              <w:spacing w:after="0"/>
              <w:jc w:val="left"/>
              <w:rPr>
                <w:rFonts w:eastAsia="Times New Roman" w:cs="Times New Roman"/>
                <w:sz w:val="20"/>
                <w:szCs w:val="20"/>
                <w:lang w:eastAsia="en-GB"/>
              </w:rPr>
            </w:pPr>
          </w:p>
        </w:tc>
        <w:tc>
          <w:tcPr>
            <w:tcW w:w="1422" w:type="pct"/>
            <w:gridSpan w:val="6"/>
            <w:tcBorders>
              <w:top w:val="single" w:sz="4" w:space="0" w:color="auto"/>
              <w:bottom w:val="single" w:sz="4" w:space="0" w:color="auto"/>
              <w:right w:val="single" w:sz="4" w:space="0" w:color="auto"/>
            </w:tcBorders>
            <w:shd w:val="clear" w:color="auto" w:fill="auto"/>
            <w:noWrap/>
            <w:vAlign w:val="bottom"/>
          </w:tcPr>
          <w:p w14:paraId="5D6E2F48" w14:textId="77777777" w:rsidR="009F4C66" w:rsidRPr="00E74A8C" w:rsidRDefault="009F4C66" w:rsidP="0008153A">
            <w:pPr>
              <w:spacing w:after="0"/>
              <w:jc w:val="center"/>
              <w:rPr>
                <w:rFonts w:eastAsia="Times New Roman" w:cs="Times New Roman"/>
                <w:b/>
                <w:color w:val="000000"/>
                <w:sz w:val="20"/>
                <w:szCs w:val="20"/>
                <w:lang w:eastAsia="en-GB"/>
              </w:rPr>
            </w:pPr>
            <w:r>
              <w:rPr>
                <w:rFonts w:eastAsia="Times New Roman" w:cs="Times New Roman"/>
                <w:b/>
                <w:color w:val="000000"/>
                <w:sz w:val="20"/>
                <w:szCs w:val="20"/>
                <w:lang w:eastAsia="en-GB"/>
              </w:rPr>
              <w:t>Production areas</w:t>
            </w:r>
          </w:p>
        </w:tc>
        <w:tc>
          <w:tcPr>
            <w:tcW w:w="1425"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718BD23" w14:textId="77777777" w:rsidR="009F4C66" w:rsidRPr="00E74A8C" w:rsidRDefault="009F4C66" w:rsidP="0008153A">
            <w:pPr>
              <w:spacing w:after="0"/>
              <w:jc w:val="center"/>
              <w:rPr>
                <w:rFonts w:eastAsia="Times New Roman" w:cs="Times New Roman"/>
                <w:b/>
                <w:color w:val="000000"/>
                <w:sz w:val="20"/>
                <w:szCs w:val="20"/>
                <w:lang w:eastAsia="en-GB"/>
              </w:rPr>
            </w:pPr>
            <w:r>
              <w:rPr>
                <w:rFonts w:eastAsia="Times New Roman" w:cs="Times New Roman"/>
                <w:b/>
                <w:color w:val="000000"/>
                <w:sz w:val="20"/>
                <w:szCs w:val="20"/>
                <w:lang w:eastAsia="en-GB"/>
              </w:rPr>
              <w:t>Storage areas</w:t>
            </w:r>
          </w:p>
        </w:tc>
        <w:tc>
          <w:tcPr>
            <w:tcW w:w="1422" w:type="pct"/>
            <w:gridSpan w:val="6"/>
            <w:tcBorders>
              <w:top w:val="single" w:sz="4" w:space="0" w:color="auto"/>
              <w:left w:val="single" w:sz="4" w:space="0" w:color="auto"/>
              <w:bottom w:val="single" w:sz="4" w:space="0" w:color="auto"/>
            </w:tcBorders>
            <w:shd w:val="clear" w:color="auto" w:fill="auto"/>
            <w:noWrap/>
            <w:vAlign w:val="bottom"/>
          </w:tcPr>
          <w:p w14:paraId="3B1CDBB4" w14:textId="77777777" w:rsidR="009F4C66" w:rsidRPr="00E74A8C" w:rsidRDefault="009F4C66" w:rsidP="0008153A">
            <w:pPr>
              <w:spacing w:after="0"/>
              <w:jc w:val="center"/>
              <w:rPr>
                <w:rFonts w:eastAsia="Times New Roman" w:cs="Times New Roman"/>
                <w:b/>
                <w:color w:val="000000"/>
                <w:sz w:val="20"/>
                <w:szCs w:val="20"/>
                <w:lang w:eastAsia="en-GB"/>
              </w:rPr>
            </w:pPr>
            <w:r>
              <w:rPr>
                <w:rFonts w:eastAsia="Times New Roman" w:cs="Times New Roman"/>
                <w:b/>
                <w:color w:val="000000"/>
                <w:sz w:val="20"/>
                <w:szCs w:val="20"/>
                <w:lang w:eastAsia="en-GB"/>
              </w:rPr>
              <w:t>Other areas</w:t>
            </w:r>
          </w:p>
        </w:tc>
      </w:tr>
      <w:tr w:rsidR="009F4C66" w:rsidRPr="00B53E53" w14:paraId="41906F3F" w14:textId="77777777" w:rsidTr="00AD758B">
        <w:trPr>
          <w:trHeight w:val="170"/>
        </w:trPr>
        <w:tc>
          <w:tcPr>
            <w:tcW w:w="226" w:type="pct"/>
            <w:shd w:val="clear" w:color="auto" w:fill="auto"/>
            <w:noWrap/>
            <w:vAlign w:val="bottom"/>
            <w:hideMark/>
          </w:tcPr>
          <w:p w14:paraId="7F3EB734" w14:textId="77777777" w:rsidR="009F4C66" w:rsidRPr="00B53E53" w:rsidRDefault="009F4C66" w:rsidP="0008153A">
            <w:pPr>
              <w:spacing w:after="0"/>
              <w:jc w:val="center"/>
              <w:rPr>
                <w:rFonts w:eastAsia="Times New Roman" w:cs="Times New Roman"/>
                <w:color w:val="000000"/>
                <w:sz w:val="20"/>
                <w:szCs w:val="20"/>
                <w:lang w:eastAsia="en-GB"/>
              </w:rPr>
            </w:pPr>
          </w:p>
        </w:tc>
        <w:tc>
          <w:tcPr>
            <w:tcW w:w="506" w:type="pct"/>
            <w:shd w:val="clear" w:color="auto" w:fill="auto"/>
            <w:noWrap/>
            <w:vAlign w:val="bottom"/>
            <w:hideMark/>
          </w:tcPr>
          <w:p w14:paraId="24074A24" w14:textId="77777777" w:rsidR="009F4C66" w:rsidRPr="00B53E53" w:rsidRDefault="009F4C66" w:rsidP="0008153A">
            <w:pPr>
              <w:spacing w:after="0"/>
              <w:jc w:val="left"/>
              <w:rPr>
                <w:rFonts w:eastAsia="Times New Roman" w:cs="Times New Roman"/>
                <w:sz w:val="20"/>
                <w:szCs w:val="20"/>
                <w:lang w:eastAsia="en-GB"/>
              </w:rPr>
            </w:pPr>
          </w:p>
        </w:tc>
        <w:tc>
          <w:tcPr>
            <w:tcW w:w="749" w:type="pct"/>
            <w:gridSpan w:val="3"/>
            <w:tcBorders>
              <w:top w:val="single" w:sz="4" w:space="0" w:color="auto"/>
              <w:right w:val="single" w:sz="4" w:space="0" w:color="auto"/>
            </w:tcBorders>
            <w:shd w:val="clear" w:color="auto" w:fill="auto"/>
            <w:noWrap/>
            <w:vAlign w:val="bottom"/>
            <w:hideMark/>
          </w:tcPr>
          <w:p w14:paraId="46B4117B" w14:textId="77777777" w:rsidR="009F4C66" w:rsidRPr="00B53E53" w:rsidRDefault="009F4C66" w:rsidP="0008153A">
            <w:pPr>
              <w:spacing w:after="0"/>
              <w:jc w:val="center"/>
              <w:rPr>
                <w:rFonts w:eastAsia="Times New Roman" w:cs="Times New Roman"/>
                <w:color w:val="000000"/>
                <w:sz w:val="20"/>
                <w:szCs w:val="20"/>
                <w:lang w:eastAsia="en-GB"/>
              </w:rPr>
            </w:pPr>
            <w:r w:rsidRPr="00670229">
              <w:rPr>
                <w:rFonts w:eastAsia="Times New Roman" w:cs="Times New Roman"/>
                <w:color w:val="000000"/>
                <w:sz w:val="20"/>
                <w:szCs w:val="20"/>
                <w:lang w:eastAsia="en-GB"/>
              </w:rPr>
              <w:t>Sprinklers</w:t>
            </w:r>
          </w:p>
        </w:tc>
        <w:tc>
          <w:tcPr>
            <w:tcW w:w="672" w:type="pct"/>
            <w:gridSpan w:val="3"/>
            <w:tcBorders>
              <w:top w:val="single" w:sz="4" w:space="0" w:color="auto"/>
              <w:left w:val="single" w:sz="4" w:space="0" w:color="auto"/>
              <w:right w:val="single" w:sz="4" w:space="0" w:color="auto"/>
            </w:tcBorders>
            <w:shd w:val="clear" w:color="auto" w:fill="auto"/>
            <w:noWrap/>
            <w:vAlign w:val="bottom"/>
            <w:hideMark/>
          </w:tcPr>
          <w:p w14:paraId="050F83B0" w14:textId="77777777" w:rsidR="009F4C66" w:rsidRPr="00B53E53" w:rsidRDefault="009F4C66" w:rsidP="0008153A">
            <w:pPr>
              <w:spacing w:after="0"/>
              <w:jc w:val="center"/>
              <w:rPr>
                <w:rFonts w:eastAsia="Times New Roman" w:cs="Times New Roman"/>
                <w:color w:val="000000"/>
                <w:sz w:val="20"/>
                <w:szCs w:val="20"/>
                <w:lang w:eastAsia="en-GB"/>
              </w:rPr>
            </w:pPr>
            <w:r w:rsidRPr="00670229">
              <w:rPr>
                <w:rFonts w:eastAsia="Times New Roman" w:cs="Times New Roman"/>
                <w:color w:val="000000"/>
                <w:sz w:val="20"/>
                <w:szCs w:val="20"/>
                <w:lang w:eastAsia="en-GB"/>
              </w:rPr>
              <w:t>No Sprinklers</w:t>
            </w:r>
          </w:p>
        </w:tc>
        <w:tc>
          <w:tcPr>
            <w:tcW w:w="711" w:type="pct"/>
            <w:gridSpan w:val="3"/>
            <w:tcBorders>
              <w:top w:val="single" w:sz="4" w:space="0" w:color="auto"/>
              <w:left w:val="single" w:sz="4" w:space="0" w:color="auto"/>
              <w:right w:val="single" w:sz="4" w:space="0" w:color="auto"/>
            </w:tcBorders>
            <w:shd w:val="clear" w:color="auto" w:fill="auto"/>
            <w:noWrap/>
            <w:vAlign w:val="bottom"/>
            <w:hideMark/>
          </w:tcPr>
          <w:p w14:paraId="3F3BAEE9" w14:textId="77777777" w:rsidR="009F4C66" w:rsidRPr="00B53E53" w:rsidRDefault="009F4C66" w:rsidP="0008153A">
            <w:pPr>
              <w:spacing w:after="0"/>
              <w:jc w:val="center"/>
              <w:rPr>
                <w:rFonts w:eastAsia="Times New Roman" w:cs="Times New Roman"/>
                <w:color w:val="000000"/>
                <w:sz w:val="20"/>
                <w:szCs w:val="20"/>
                <w:lang w:eastAsia="en-GB"/>
              </w:rPr>
            </w:pPr>
            <w:r w:rsidRPr="00670229">
              <w:rPr>
                <w:rFonts w:eastAsia="Times New Roman" w:cs="Times New Roman"/>
                <w:color w:val="000000"/>
                <w:sz w:val="20"/>
                <w:szCs w:val="20"/>
                <w:lang w:eastAsia="en-GB"/>
              </w:rPr>
              <w:t>Sprinklers</w:t>
            </w:r>
          </w:p>
        </w:tc>
        <w:tc>
          <w:tcPr>
            <w:tcW w:w="714" w:type="pct"/>
            <w:gridSpan w:val="3"/>
            <w:tcBorders>
              <w:top w:val="single" w:sz="4" w:space="0" w:color="auto"/>
              <w:left w:val="single" w:sz="4" w:space="0" w:color="auto"/>
              <w:right w:val="single" w:sz="4" w:space="0" w:color="auto"/>
            </w:tcBorders>
            <w:shd w:val="clear" w:color="auto" w:fill="auto"/>
            <w:noWrap/>
            <w:vAlign w:val="bottom"/>
            <w:hideMark/>
          </w:tcPr>
          <w:p w14:paraId="6FB1EE6B" w14:textId="77777777" w:rsidR="009F4C66" w:rsidRPr="00B53E53" w:rsidRDefault="009F4C66" w:rsidP="0008153A">
            <w:pPr>
              <w:spacing w:after="0"/>
              <w:jc w:val="center"/>
              <w:rPr>
                <w:rFonts w:eastAsia="Times New Roman" w:cs="Times New Roman"/>
                <w:color w:val="000000"/>
                <w:sz w:val="20"/>
                <w:szCs w:val="20"/>
                <w:lang w:eastAsia="en-GB"/>
              </w:rPr>
            </w:pPr>
            <w:r w:rsidRPr="00670229">
              <w:rPr>
                <w:rFonts w:eastAsia="Times New Roman" w:cs="Times New Roman"/>
                <w:color w:val="000000"/>
                <w:sz w:val="20"/>
                <w:szCs w:val="20"/>
                <w:lang w:eastAsia="en-GB"/>
              </w:rPr>
              <w:t>No Sprinklers</w:t>
            </w:r>
          </w:p>
        </w:tc>
        <w:tc>
          <w:tcPr>
            <w:tcW w:w="711" w:type="pct"/>
            <w:gridSpan w:val="3"/>
            <w:tcBorders>
              <w:top w:val="single" w:sz="4" w:space="0" w:color="auto"/>
              <w:left w:val="single" w:sz="4" w:space="0" w:color="auto"/>
              <w:right w:val="single" w:sz="4" w:space="0" w:color="auto"/>
            </w:tcBorders>
            <w:shd w:val="clear" w:color="auto" w:fill="auto"/>
            <w:noWrap/>
            <w:vAlign w:val="bottom"/>
            <w:hideMark/>
          </w:tcPr>
          <w:p w14:paraId="18146D8B" w14:textId="77777777" w:rsidR="009F4C66" w:rsidRPr="00B53E53" w:rsidRDefault="009F4C66" w:rsidP="0008153A">
            <w:pPr>
              <w:spacing w:after="0"/>
              <w:jc w:val="center"/>
              <w:rPr>
                <w:rFonts w:eastAsia="Times New Roman" w:cs="Times New Roman"/>
                <w:color w:val="000000"/>
                <w:sz w:val="20"/>
                <w:szCs w:val="20"/>
                <w:lang w:eastAsia="en-GB"/>
              </w:rPr>
            </w:pPr>
            <w:r w:rsidRPr="00670229">
              <w:rPr>
                <w:rFonts w:eastAsia="Times New Roman" w:cs="Times New Roman"/>
                <w:color w:val="000000"/>
                <w:sz w:val="20"/>
                <w:szCs w:val="20"/>
                <w:lang w:eastAsia="en-GB"/>
              </w:rPr>
              <w:t>Sprinklers</w:t>
            </w:r>
          </w:p>
        </w:tc>
        <w:tc>
          <w:tcPr>
            <w:tcW w:w="711" w:type="pct"/>
            <w:gridSpan w:val="3"/>
            <w:tcBorders>
              <w:top w:val="single" w:sz="4" w:space="0" w:color="auto"/>
              <w:left w:val="single" w:sz="4" w:space="0" w:color="auto"/>
            </w:tcBorders>
            <w:shd w:val="clear" w:color="auto" w:fill="auto"/>
            <w:noWrap/>
            <w:vAlign w:val="bottom"/>
            <w:hideMark/>
          </w:tcPr>
          <w:p w14:paraId="62BB2BE9" w14:textId="77777777" w:rsidR="009F4C66" w:rsidRPr="00B53E53" w:rsidRDefault="009F4C66" w:rsidP="0008153A">
            <w:pPr>
              <w:spacing w:after="0"/>
              <w:jc w:val="center"/>
              <w:rPr>
                <w:rFonts w:eastAsia="Times New Roman" w:cs="Times New Roman"/>
                <w:color w:val="000000"/>
                <w:sz w:val="20"/>
                <w:szCs w:val="20"/>
                <w:lang w:eastAsia="en-GB"/>
              </w:rPr>
            </w:pPr>
            <w:r w:rsidRPr="00670229">
              <w:rPr>
                <w:rFonts w:eastAsia="Times New Roman" w:cs="Times New Roman"/>
                <w:color w:val="000000"/>
                <w:sz w:val="20"/>
                <w:szCs w:val="20"/>
                <w:lang w:eastAsia="en-GB"/>
              </w:rPr>
              <w:t>No Sprinklers</w:t>
            </w:r>
          </w:p>
        </w:tc>
      </w:tr>
      <w:tr w:rsidR="00395B50" w:rsidRPr="00B53E53" w14:paraId="52D4F9EB" w14:textId="77777777" w:rsidTr="006E0B94">
        <w:trPr>
          <w:trHeight w:val="170"/>
        </w:trPr>
        <w:tc>
          <w:tcPr>
            <w:tcW w:w="226" w:type="pct"/>
            <w:tcBorders>
              <w:bottom w:val="single" w:sz="4" w:space="0" w:color="auto"/>
            </w:tcBorders>
            <w:shd w:val="clear" w:color="auto" w:fill="auto"/>
            <w:noWrap/>
            <w:vAlign w:val="bottom"/>
            <w:hideMark/>
          </w:tcPr>
          <w:p w14:paraId="2DB8F1BD" w14:textId="77777777" w:rsidR="009F4C66" w:rsidRPr="00B53E53" w:rsidRDefault="009F4C66" w:rsidP="0008153A">
            <w:pPr>
              <w:spacing w:after="0"/>
              <w:jc w:val="center"/>
              <w:rPr>
                <w:rFonts w:eastAsia="Times New Roman" w:cs="Times New Roman"/>
                <w:color w:val="000000"/>
                <w:sz w:val="20"/>
                <w:szCs w:val="20"/>
                <w:lang w:eastAsia="en-GB"/>
              </w:rPr>
            </w:pPr>
          </w:p>
        </w:tc>
        <w:tc>
          <w:tcPr>
            <w:tcW w:w="506" w:type="pct"/>
            <w:tcBorders>
              <w:bottom w:val="single" w:sz="4" w:space="0" w:color="auto"/>
            </w:tcBorders>
            <w:shd w:val="clear" w:color="auto" w:fill="auto"/>
            <w:noWrap/>
            <w:vAlign w:val="bottom"/>
            <w:hideMark/>
          </w:tcPr>
          <w:p w14:paraId="2B1EBCCC" w14:textId="77777777" w:rsidR="009F4C66" w:rsidRPr="00B53E53" w:rsidRDefault="009F4C66" w:rsidP="0008153A">
            <w:pPr>
              <w:spacing w:after="0"/>
              <w:jc w:val="left"/>
              <w:rPr>
                <w:rFonts w:eastAsia="Times New Roman" w:cs="Times New Roman"/>
                <w:sz w:val="20"/>
                <w:szCs w:val="20"/>
                <w:lang w:eastAsia="en-GB"/>
              </w:rPr>
            </w:pPr>
          </w:p>
        </w:tc>
        <w:tc>
          <w:tcPr>
            <w:tcW w:w="160" w:type="pct"/>
            <w:tcBorders>
              <w:top w:val="single" w:sz="4" w:space="0" w:color="auto"/>
              <w:bottom w:val="single" w:sz="4" w:space="0" w:color="auto"/>
            </w:tcBorders>
            <w:shd w:val="clear" w:color="auto" w:fill="auto"/>
            <w:vAlign w:val="center"/>
            <w:hideMark/>
          </w:tcPr>
          <w:p w14:paraId="553DAF7B" w14:textId="5F374ED9" w:rsidR="009F4C66" w:rsidRPr="00B53E53" w:rsidRDefault="006E0B94" w:rsidP="00AD758B">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295" w:type="pct"/>
            <w:tcBorders>
              <w:top w:val="single" w:sz="4" w:space="0" w:color="auto"/>
              <w:bottom w:val="single" w:sz="4" w:space="0" w:color="auto"/>
            </w:tcBorders>
            <w:shd w:val="clear" w:color="auto" w:fill="auto"/>
            <w:noWrap/>
            <w:vAlign w:val="bottom"/>
            <w:hideMark/>
          </w:tcPr>
          <w:p w14:paraId="3A81E590" w14:textId="405F3964" w:rsidR="009F4C66" w:rsidRPr="00B53E53" w:rsidRDefault="006E0B94" w:rsidP="00123A85">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F</w:t>
            </w:r>
          </w:p>
        </w:tc>
        <w:tc>
          <w:tcPr>
            <w:tcW w:w="295" w:type="pct"/>
            <w:tcBorders>
              <w:top w:val="single" w:sz="4" w:space="0" w:color="auto"/>
              <w:bottom w:val="single" w:sz="4" w:space="0" w:color="auto"/>
              <w:right w:val="single" w:sz="4" w:space="0" w:color="auto"/>
            </w:tcBorders>
            <w:shd w:val="clear" w:color="auto" w:fill="auto"/>
            <w:noWrap/>
            <w:vAlign w:val="bottom"/>
            <w:hideMark/>
          </w:tcPr>
          <w:p w14:paraId="2450A406" w14:textId="4E14C049" w:rsidR="009F4C66" w:rsidRPr="00B53E53" w:rsidRDefault="006E0B94" w:rsidP="00CD3F0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T</w:t>
            </w:r>
          </w:p>
        </w:tc>
        <w:tc>
          <w:tcPr>
            <w:tcW w:w="160" w:type="pct"/>
            <w:tcBorders>
              <w:top w:val="single" w:sz="4" w:space="0" w:color="auto"/>
              <w:left w:val="single" w:sz="4" w:space="0" w:color="auto"/>
              <w:bottom w:val="single" w:sz="4" w:space="0" w:color="auto"/>
            </w:tcBorders>
            <w:shd w:val="clear" w:color="auto" w:fill="auto"/>
            <w:vAlign w:val="center"/>
            <w:hideMark/>
          </w:tcPr>
          <w:p w14:paraId="44B1446F" w14:textId="5BC959B5" w:rsidR="009F4C66" w:rsidRPr="00B53E53" w:rsidRDefault="006E0B94" w:rsidP="00AD758B">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256" w:type="pct"/>
            <w:tcBorders>
              <w:top w:val="single" w:sz="4" w:space="0" w:color="auto"/>
              <w:bottom w:val="single" w:sz="4" w:space="0" w:color="auto"/>
            </w:tcBorders>
            <w:shd w:val="clear" w:color="auto" w:fill="auto"/>
            <w:noWrap/>
            <w:vAlign w:val="bottom"/>
            <w:hideMark/>
          </w:tcPr>
          <w:p w14:paraId="5F9B3063" w14:textId="6B39CC7D" w:rsidR="009F4C66" w:rsidRPr="00B53E53" w:rsidRDefault="006E0B94" w:rsidP="00123A85">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F</w:t>
            </w:r>
          </w:p>
        </w:tc>
        <w:tc>
          <w:tcPr>
            <w:tcW w:w="257" w:type="pct"/>
            <w:tcBorders>
              <w:top w:val="single" w:sz="4" w:space="0" w:color="auto"/>
              <w:bottom w:val="single" w:sz="4" w:space="0" w:color="auto"/>
              <w:right w:val="single" w:sz="4" w:space="0" w:color="auto"/>
            </w:tcBorders>
            <w:shd w:val="clear" w:color="auto" w:fill="auto"/>
            <w:noWrap/>
            <w:vAlign w:val="bottom"/>
            <w:hideMark/>
          </w:tcPr>
          <w:p w14:paraId="5F9C2C8A" w14:textId="60DC0667" w:rsidR="009F4C66" w:rsidRPr="00B53E53" w:rsidRDefault="006E0B94" w:rsidP="00CD3F0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T</w:t>
            </w:r>
          </w:p>
        </w:tc>
        <w:tc>
          <w:tcPr>
            <w:tcW w:w="198" w:type="pct"/>
            <w:tcBorders>
              <w:top w:val="single" w:sz="4" w:space="0" w:color="auto"/>
              <w:left w:val="single" w:sz="4" w:space="0" w:color="auto"/>
              <w:bottom w:val="single" w:sz="4" w:space="0" w:color="auto"/>
            </w:tcBorders>
            <w:shd w:val="clear" w:color="auto" w:fill="auto"/>
            <w:vAlign w:val="center"/>
            <w:hideMark/>
          </w:tcPr>
          <w:p w14:paraId="05659D87" w14:textId="0BDE4955" w:rsidR="009F4C66" w:rsidRPr="00B53E53" w:rsidRDefault="006E0B94" w:rsidP="00AD758B">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256" w:type="pct"/>
            <w:tcBorders>
              <w:top w:val="single" w:sz="4" w:space="0" w:color="auto"/>
              <w:bottom w:val="single" w:sz="4" w:space="0" w:color="auto"/>
            </w:tcBorders>
            <w:shd w:val="clear" w:color="auto" w:fill="auto"/>
            <w:noWrap/>
            <w:vAlign w:val="bottom"/>
            <w:hideMark/>
          </w:tcPr>
          <w:p w14:paraId="2658ED08" w14:textId="247EE1F2" w:rsidR="009F4C66" w:rsidRPr="00B53E53" w:rsidRDefault="006E0B94" w:rsidP="00123A85">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F</w:t>
            </w:r>
          </w:p>
        </w:tc>
        <w:tc>
          <w:tcPr>
            <w:tcW w:w="257" w:type="pct"/>
            <w:tcBorders>
              <w:top w:val="single" w:sz="4" w:space="0" w:color="auto"/>
              <w:bottom w:val="single" w:sz="4" w:space="0" w:color="auto"/>
              <w:right w:val="single" w:sz="4" w:space="0" w:color="auto"/>
            </w:tcBorders>
            <w:shd w:val="clear" w:color="auto" w:fill="auto"/>
            <w:noWrap/>
            <w:vAlign w:val="bottom"/>
            <w:hideMark/>
          </w:tcPr>
          <w:p w14:paraId="3C8A0D18" w14:textId="69D96AED" w:rsidR="009F4C66" w:rsidRPr="00B53E53" w:rsidRDefault="006E0B94" w:rsidP="00CD3F0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T</w:t>
            </w:r>
          </w:p>
        </w:tc>
        <w:tc>
          <w:tcPr>
            <w:tcW w:w="198" w:type="pct"/>
            <w:tcBorders>
              <w:top w:val="single" w:sz="4" w:space="0" w:color="auto"/>
              <w:left w:val="single" w:sz="4" w:space="0" w:color="auto"/>
              <w:bottom w:val="single" w:sz="4" w:space="0" w:color="auto"/>
            </w:tcBorders>
            <w:shd w:val="clear" w:color="auto" w:fill="auto"/>
            <w:vAlign w:val="center"/>
            <w:hideMark/>
          </w:tcPr>
          <w:p w14:paraId="17252C9C" w14:textId="532135A1" w:rsidR="009F4C66" w:rsidRPr="00B53E53" w:rsidRDefault="006E0B94" w:rsidP="00AD758B">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256" w:type="pct"/>
            <w:tcBorders>
              <w:top w:val="single" w:sz="4" w:space="0" w:color="auto"/>
              <w:bottom w:val="single" w:sz="4" w:space="0" w:color="auto"/>
            </w:tcBorders>
            <w:shd w:val="clear" w:color="auto" w:fill="auto"/>
            <w:noWrap/>
            <w:vAlign w:val="bottom"/>
            <w:hideMark/>
          </w:tcPr>
          <w:p w14:paraId="082D1CD0" w14:textId="68C67D1A" w:rsidR="009F4C66" w:rsidRPr="00B53E53" w:rsidRDefault="006E0B94" w:rsidP="00123A85">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F</w:t>
            </w:r>
          </w:p>
        </w:tc>
        <w:tc>
          <w:tcPr>
            <w:tcW w:w="260" w:type="pct"/>
            <w:tcBorders>
              <w:top w:val="single" w:sz="4" w:space="0" w:color="auto"/>
              <w:bottom w:val="single" w:sz="4" w:space="0" w:color="auto"/>
              <w:right w:val="single" w:sz="4" w:space="0" w:color="auto"/>
            </w:tcBorders>
            <w:shd w:val="clear" w:color="auto" w:fill="auto"/>
            <w:noWrap/>
            <w:vAlign w:val="bottom"/>
            <w:hideMark/>
          </w:tcPr>
          <w:p w14:paraId="45B71D9F" w14:textId="12A2AA57" w:rsidR="009F4C66" w:rsidRPr="00B53E53" w:rsidRDefault="006E0B94" w:rsidP="00CD3F0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T</w:t>
            </w:r>
          </w:p>
        </w:tc>
        <w:tc>
          <w:tcPr>
            <w:tcW w:w="198" w:type="pct"/>
            <w:tcBorders>
              <w:top w:val="single" w:sz="4" w:space="0" w:color="auto"/>
              <w:left w:val="single" w:sz="4" w:space="0" w:color="auto"/>
              <w:bottom w:val="single" w:sz="4" w:space="0" w:color="auto"/>
            </w:tcBorders>
            <w:shd w:val="clear" w:color="auto" w:fill="auto"/>
            <w:vAlign w:val="center"/>
            <w:hideMark/>
          </w:tcPr>
          <w:p w14:paraId="1CF8303C" w14:textId="02FB4FBB" w:rsidR="009F4C66" w:rsidRPr="00B53E53" w:rsidRDefault="006E0B94" w:rsidP="00AD758B">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256" w:type="pct"/>
            <w:tcBorders>
              <w:top w:val="single" w:sz="4" w:space="0" w:color="auto"/>
              <w:bottom w:val="single" w:sz="4" w:space="0" w:color="auto"/>
            </w:tcBorders>
            <w:shd w:val="clear" w:color="auto" w:fill="auto"/>
            <w:noWrap/>
            <w:vAlign w:val="bottom"/>
            <w:hideMark/>
          </w:tcPr>
          <w:p w14:paraId="785F2E9B" w14:textId="025E90A2" w:rsidR="009F4C66" w:rsidRPr="00B53E53" w:rsidRDefault="006E0B94" w:rsidP="00123A85">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F</w:t>
            </w:r>
          </w:p>
        </w:tc>
        <w:tc>
          <w:tcPr>
            <w:tcW w:w="257" w:type="pct"/>
            <w:tcBorders>
              <w:top w:val="single" w:sz="4" w:space="0" w:color="auto"/>
              <w:bottom w:val="single" w:sz="4" w:space="0" w:color="auto"/>
              <w:right w:val="single" w:sz="4" w:space="0" w:color="auto"/>
            </w:tcBorders>
            <w:shd w:val="clear" w:color="auto" w:fill="auto"/>
            <w:noWrap/>
            <w:vAlign w:val="bottom"/>
            <w:hideMark/>
          </w:tcPr>
          <w:p w14:paraId="768BF514" w14:textId="7EC23091" w:rsidR="009F4C66" w:rsidRPr="00B53E53" w:rsidRDefault="006E0B94" w:rsidP="00CD3F0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T</w:t>
            </w:r>
          </w:p>
        </w:tc>
        <w:tc>
          <w:tcPr>
            <w:tcW w:w="198" w:type="pct"/>
            <w:tcBorders>
              <w:top w:val="single" w:sz="4" w:space="0" w:color="auto"/>
              <w:left w:val="single" w:sz="4" w:space="0" w:color="auto"/>
              <w:bottom w:val="single" w:sz="4" w:space="0" w:color="auto"/>
            </w:tcBorders>
            <w:shd w:val="clear" w:color="auto" w:fill="auto"/>
            <w:vAlign w:val="center"/>
            <w:hideMark/>
          </w:tcPr>
          <w:p w14:paraId="7245FB5F" w14:textId="3D542E2B" w:rsidR="009F4C66" w:rsidRPr="00B53E53" w:rsidRDefault="006E0B94" w:rsidP="00AD758B">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256" w:type="pct"/>
            <w:tcBorders>
              <w:top w:val="single" w:sz="4" w:space="0" w:color="auto"/>
              <w:bottom w:val="single" w:sz="4" w:space="0" w:color="auto"/>
            </w:tcBorders>
            <w:shd w:val="clear" w:color="auto" w:fill="auto"/>
            <w:noWrap/>
            <w:vAlign w:val="bottom"/>
            <w:hideMark/>
          </w:tcPr>
          <w:p w14:paraId="01C95624" w14:textId="5E70CB52" w:rsidR="009F4C66" w:rsidRPr="00B53E53" w:rsidRDefault="006E0B94" w:rsidP="00123A85">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F</w:t>
            </w:r>
          </w:p>
        </w:tc>
        <w:tc>
          <w:tcPr>
            <w:tcW w:w="256" w:type="pct"/>
            <w:tcBorders>
              <w:top w:val="single" w:sz="4" w:space="0" w:color="auto"/>
              <w:bottom w:val="single" w:sz="4" w:space="0" w:color="auto"/>
            </w:tcBorders>
            <w:shd w:val="clear" w:color="auto" w:fill="auto"/>
            <w:noWrap/>
            <w:vAlign w:val="bottom"/>
            <w:hideMark/>
          </w:tcPr>
          <w:p w14:paraId="23FA427A" w14:textId="173980E8" w:rsidR="009F4C66" w:rsidRPr="00B53E53" w:rsidRDefault="006E0B94" w:rsidP="00CD3F0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 xml:space="preserve">UK </w:t>
            </w:r>
            <w:r w:rsidR="009F4C66">
              <w:rPr>
                <w:rFonts w:eastAsia="Times New Roman" w:cs="Times New Roman"/>
                <w:color w:val="000000"/>
                <w:sz w:val="20"/>
                <w:szCs w:val="20"/>
                <w:lang w:eastAsia="en-GB"/>
              </w:rPr>
              <w:t>T</w:t>
            </w:r>
          </w:p>
        </w:tc>
      </w:tr>
      <w:tr w:rsidR="009F4C66" w:rsidRPr="00B53E53" w14:paraId="351993DC" w14:textId="77777777" w:rsidTr="0008153A">
        <w:trPr>
          <w:trHeight w:val="170"/>
        </w:trPr>
        <w:tc>
          <w:tcPr>
            <w:tcW w:w="731" w:type="pct"/>
            <w:gridSpan w:val="2"/>
            <w:tcBorders>
              <w:top w:val="single" w:sz="4" w:space="0" w:color="auto"/>
            </w:tcBorders>
            <w:shd w:val="clear" w:color="auto" w:fill="auto"/>
            <w:noWrap/>
            <w:vAlign w:val="bottom"/>
            <w:hideMark/>
          </w:tcPr>
          <w:p w14:paraId="4F8494AC"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A</w:t>
            </w:r>
          </w:p>
        </w:tc>
        <w:tc>
          <w:tcPr>
            <w:tcW w:w="160" w:type="pct"/>
            <w:tcBorders>
              <w:top w:val="single" w:sz="4" w:space="0" w:color="auto"/>
            </w:tcBorders>
            <w:shd w:val="clear" w:color="auto" w:fill="auto"/>
            <w:noWrap/>
            <w:vAlign w:val="bottom"/>
            <w:hideMark/>
          </w:tcPr>
          <w:p w14:paraId="2C485E55" w14:textId="77777777" w:rsidR="009F4C66" w:rsidRPr="00B53E53" w:rsidRDefault="009F4C66" w:rsidP="00BC6942">
            <w:pPr>
              <w:spacing w:after="0"/>
              <w:jc w:val="center"/>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295" w:type="pct"/>
            <w:tcBorders>
              <w:top w:val="single" w:sz="4" w:space="0" w:color="auto"/>
            </w:tcBorders>
            <w:shd w:val="clear" w:color="auto" w:fill="auto"/>
            <w:noWrap/>
            <w:vAlign w:val="bottom"/>
            <w:hideMark/>
          </w:tcPr>
          <w:p w14:paraId="6F57A02B"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2.91</w:t>
            </w:r>
          </w:p>
        </w:tc>
        <w:tc>
          <w:tcPr>
            <w:tcW w:w="295" w:type="pct"/>
            <w:tcBorders>
              <w:top w:val="single" w:sz="4" w:space="0" w:color="auto"/>
              <w:right w:val="single" w:sz="4" w:space="0" w:color="auto"/>
            </w:tcBorders>
            <w:shd w:val="clear" w:color="auto" w:fill="auto"/>
            <w:noWrap/>
            <w:vAlign w:val="bottom"/>
            <w:hideMark/>
          </w:tcPr>
          <w:p w14:paraId="0FA881CB"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12.28</w:t>
            </w:r>
          </w:p>
        </w:tc>
        <w:tc>
          <w:tcPr>
            <w:tcW w:w="160" w:type="pct"/>
            <w:tcBorders>
              <w:top w:val="single" w:sz="4" w:space="0" w:color="auto"/>
              <w:left w:val="single" w:sz="4" w:space="0" w:color="auto"/>
            </w:tcBorders>
            <w:shd w:val="clear" w:color="auto" w:fill="auto"/>
            <w:noWrap/>
            <w:vAlign w:val="bottom"/>
            <w:hideMark/>
          </w:tcPr>
          <w:p w14:paraId="4E87F913" w14:textId="77777777" w:rsidR="009F4C66" w:rsidRPr="00B53E53" w:rsidRDefault="009F4C66" w:rsidP="00BC6942">
            <w:pPr>
              <w:spacing w:after="0"/>
              <w:jc w:val="center"/>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256" w:type="pct"/>
            <w:tcBorders>
              <w:top w:val="single" w:sz="4" w:space="0" w:color="auto"/>
            </w:tcBorders>
            <w:shd w:val="clear" w:color="auto" w:fill="auto"/>
            <w:noWrap/>
            <w:vAlign w:val="bottom"/>
            <w:hideMark/>
          </w:tcPr>
          <w:p w14:paraId="516B2DCF"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9.16</w:t>
            </w:r>
          </w:p>
        </w:tc>
        <w:tc>
          <w:tcPr>
            <w:tcW w:w="257" w:type="pct"/>
            <w:tcBorders>
              <w:top w:val="single" w:sz="4" w:space="0" w:color="auto"/>
              <w:right w:val="single" w:sz="4" w:space="0" w:color="auto"/>
            </w:tcBorders>
            <w:shd w:val="clear" w:color="auto" w:fill="auto"/>
            <w:noWrap/>
            <w:vAlign w:val="bottom"/>
            <w:hideMark/>
          </w:tcPr>
          <w:p w14:paraId="17C94B39"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23.90</w:t>
            </w:r>
          </w:p>
        </w:tc>
        <w:tc>
          <w:tcPr>
            <w:tcW w:w="198" w:type="pct"/>
            <w:tcBorders>
              <w:top w:val="single" w:sz="4" w:space="0" w:color="auto"/>
              <w:left w:val="single" w:sz="4" w:space="0" w:color="auto"/>
            </w:tcBorders>
            <w:shd w:val="clear" w:color="auto" w:fill="auto"/>
            <w:noWrap/>
            <w:vAlign w:val="bottom"/>
            <w:hideMark/>
          </w:tcPr>
          <w:p w14:paraId="20578833" w14:textId="77777777" w:rsidR="009F4C66" w:rsidRPr="00B53E53" w:rsidRDefault="009F4C66" w:rsidP="00BC6942">
            <w:pPr>
              <w:spacing w:after="0"/>
              <w:jc w:val="center"/>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256" w:type="pct"/>
            <w:tcBorders>
              <w:top w:val="single" w:sz="4" w:space="0" w:color="auto"/>
            </w:tcBorders>
            <w:shd w:val="clear" w:color="auto" w:fill="auto"/>
            <w:noWrap/>
            <w:vAlign w:val="bottom"/>
            <w:hideMark/>
          </w:tcPr>
          <w:p w14:paraId="5910D2B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0.00</w:t>
            </w:r>
          </w:p>
        </w:tc>
        <w:tc>
          <w:tcPr>
            <w:tcW w:w="257" w:type="pct"/>
            <w:tcBorders>
              <w:top w:val="single" w:sz="4" w:space="0" w:color="auto"/>
              <w:right w:val="single" w:sz="4" w:space="0" w:color="auto"/>
            </w:tcBorders>
            <w:shd w:val="clear" w:color="auto" w:fill="auto"/>
            <w:noWrap/>
            <w:vAlign w:val="bottom"/>
            <w:hideMark/>
          </w:tcPr>
          <w:p w14:paraId="757157B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0.00</w:t>
            </w:r>
          </w:p>
        </w:tc>
        <w:tc>
          <w:tcPr>
            <w:tcW w:w="198" w:type="pct"/>
            <w:tcBorders>
              <w:top w:val="single" w:sz="4" w:space="0" w:color="auto"/>
              <w:left w:val="single" w:sz="4" w:space="0" w:color="auto"/>
            </w:tcBorders>
            <w:shd w:val="clear" w:color="auto" w:fill="auto"/>
            <w:noWrap/>
            <w:vAlign w:val="bottom"/>
            <w:hideMark/>
          </w:tcPr>
          <w:p w14:paraId="183E7354" w14:textId="77777777" w:rsidR="009F4C66" w:rsidRPr="00B53E53" w:rsidRDefault="009F4C66" w:rsidP="00BC6942">
            <w:pPr>
              <w:spacing w:after="0"/>
              <w:jc w:val="center"/>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256" w:type="pct"/>
            <w:tcBorders>
              <w:top w:val="single" w:sz="4" w:space="0" w:color="auto"/>
            </w:tcBorders>
            <w:shd w:val="clear" w:color="auto" w:fill="auto"/>
            <w:noWrap/>
            <w:vAlign w:val="bottom"/>
            <w:hideMark/>
          </w:tcPr>
          <w:p w14:paraId="2EDB166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4.65</w:t>
            </w:r>
          </w:p>
        </w:tc>
        <w:tc>
          <w:tcPr>
            <w:tcW w:w="260" w:type="pct"/>
            <w:tcBorders>
              <w:top w:val="single" w:sz="4" w:space="0" w:color="auto"/>
              <w:right w:val="single" w:sz="4" w:space="0" w:color="auto"/>
            </w:tcBorders>
            <w:shd w:val="clear" w:color="auto" w:fill="auto"/>
            <w:noWrap/>
            <w:vAlign w:val="bottom"/>
            <w:hideMark/>
          </w:tcPr>
          <w:p w14:paraId="25F6A8A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18.50</w:t>
            </w:r>
          </w:p>
        </w:tc>
        <w:tc>
          <w:tcPr>
            <w:tcW w:w="198" w:type="pct"/>
            <w:tcBorders>
              <w:top w:val="single" w:sz="4" w:space="0" w:color="auto"/>
              <w:left w:val="single" w:sz="4" w:space="0" w:color="auto"/>
            </w:tcBorders>
            <w:shd w:val="clear" w:color="auto" w:fill="auto"/>
            <w:noWrap/>
            <w:vAlign w:val="bottom"/>
            <w:hideMark/>
          </w:tcPr>
          <w:p w14:paraId="02B0326F"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256" w:type="pct"/>
            <w:tcBorders>
              <w:top w:val="single" w:sz="4" w:space="0" w:color="auto"/>
            </w:tcBorders>
            <w:shd w:val="clear" w:color="auto" w:fill="auto"/>
            <w:noWrap/>
            <w:vAlign w:val="bottom"/>
            <w:hideMark/>
          </w:tcPr>
          <w:p w14:paraId="3C8B8F29"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2.43</w:t>
            </w:r>
          </w:p>
        </w:tc>
        <w:tc>
          <w:tcPr>
            <w:tcW w:w="257" w:type="pct"/>
            <w:tcBorders>
              <w:top w:val="single" w:sz="4" w:space="0" w:color="auto"/>
              <w:right w:val="single" w:sz="4" w:space="0" w:color="auto"/>
            </w:tcBorders>
            <w:shd w:val="clear" w:color="auto" w:fill="auto"/>
            <w:noWrap/>
            <w:vAlign w:val="bottom"/>
            <w:hideMark/>
          </w:tcPr>
          <w:p w14:paraId="50FFF2A2"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4.65</w:t>
            </w:r>
          </w:p>
        </w:tc>
        <w:tc>
          <w:tcPr>
            <w:tcW w:w="198" w:type="pct"/>
            <w:tcBorders>
              <w:top w:val="single" w:sz="4" w:space="0" w:color="auto"/>
              <w:left w:val="single" w:sz="4" w:space="0" w:color="auto"/>
            </w:tcBorders>
            <w:shd w:val="clear" w:color="auto" w:fill="auto"/>
            <w:noWrap/>
            <w:vAlign w:val="bottom"/>
            <w:hideMark/>
          </w:tcPr>
          <w:p w14:paraId="060C206C" w14:textId="77777777" w:rsidR="009F4C66" w:rsidRPr="00B53E53" w:rsidRDefault="009F4C66" w:rsidP="00BC6942">
            <w:pPr>
              <w:spacing w:after="0"/>
              <w:jc w:val="center"/>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256" w:type="pct"/>
            <w:tcBorders>
              <w:top w:val="single" w:sz="4" w:space="0" w:color="auto"/>
            </w:tcBorders>
            <w:shd w:val="clear" w:color="auto" w:fill="auto"/>
            <w:noWrap/>
            <w:vAlign w:val="bottom"/>
            <w:hideMark/>
          </w:tcPr>
          <w:p w14:paraId="1A449479"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4.64</w:t>
            </w:r>
          </w:p>
        </w:tc>
        <w:tc>
          <w:tcPr>
            <w:tcW w:w="256" w:type="pct"/>
            <w:tcBorders>
              <w:top w:val="single" w:sz="4" w:space="0" w:color="auto"/>
            </w:tcBorders>
            <w:shd w:val="clear" w:color="auto" w:fill="auto"/>
            <w:noWrap/>
            <w:vAlign w:val="bottom"/>
            <w:hideMark/>
          </w:tcPr>
          <w:p w14:paraId="5400932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16.57</w:t>
            </w:r>
          </w:p>
        </w:tc>
      </w:tr>
      <w:tr w:rsidR="009F4C66" w:rsidRPr="00B53E53" w14:paraId="2AC84A1E" w14:textId="77777777" w:rsidTr="0008153A">
        <w:trPr>
          <w:trHeight w:val="170"/>
        </w:trPr>
        <w:tc>
          <w:tcPr>
            <w:tcW w:w="731" w:type="pct"/>
            <w:gridSpan w:val="2"/>
            <w:tcBorders>
              <w:bottom w:val="single" w:sz="4" w:space="0" w:color="auto"/>
            </w:tcBorders>
            <w:shd w:val="clear" w:color="auto" w:fill="auto"/>
            <w:noWrap/>
            <w:vAlign w:val="bottom"/>
            <w:hideMark/>
          </w:tcPr>
          <w:p w14:paraId="314A3936"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B</w:t>
            </w:r>
          </w:p>
        </w:tc>
        <w:tc>
          <w:tcPr>
            <w:tcW w:w="160" w:type="pct"/>
            <w:shd w:val="clear" w:color="auto" w:fill="auto"/>
            <w:noWrap/>
            <w:vAlign w:val="bottom"/>
            <w:hideMark/>
          </w:tcPr>
          <w:p w14:paraId="0781A1B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w:t>
            </w:r>
          </w:p>
        </w:tc>
        <w:tc>
          <w:tcPr>
            <w:tcW w:w="295" w:type="pct"/>
            <w:shd w:val="clear" w:color="auto" w:fill="auto"/>
            <w:noWrap/>
            <w:vAlign w:val="bottom"/>
            <w:hideMark/>
          </w:tcPr>
          <w:p w14:paraId="13269054"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7.26</w:t>
            </w:r>
          </w:p>
        </w:tc>
        <w:tc>
          <w:tcPr>
            <w:tcW w:w="295" w:type="pct"/>
            <w:tcBorders>
              <w:right w:val="single" w:sz="4" w:space="0" w:color="auto"/>
            </w:tcBorders>
            <w:shd w:val="clear" w:color="auto" w:fill="auto"/>
            <w:noWrap/>
            <w:vAlign w:val="bottom"/>
            <w:hideMark/>
          </w:tcPr>
          <w:p w14:paraId="497B90A0"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45.06</w:t>
            </w:r>
          </w:p>
        </w:tc>
        <w:tc>
          <w:tcPr>
            <w:tcW w:w="160" w:type="pct"/>
            <w:tcBorders>
              <w:left w:val="single" w:sz="4" w:space="0" w:color="auto"/>
            </w:tcBorders>
            <w:shd w:val="clear" w:color="auto" w:fill="auto"/>
            <w:noWrap/>
            <w:vAlign w:val="bottom"/>
            <w:hideMark/>
          </w:tcPr>
          <w:p w14:paraId="2468271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w:t>
            </w:r>
          </w:p>
        </w:tc>
        <w:tc>
          <w:tcPr>
            <w:tcW w:w="256" w:type="pct"/>
            <w:shd w:val="clear" w:color="auto" w:fill="auto"/>
            <w:noWrap/>
            <w:vAlign w:val="bottom"/>
            <w:hideMark/>
          </w:tcPr>
          <w:p w14:paraId="4AB146F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3.37</w:t>
            </w:r>
          </w:p>
        </w:tc>
        <w:tc>
          <w:tcPr>
            <w:tcW w:w="257" w:type="pct"/>
            <w:tcBorders>
              <w:right w:val="single" w:sz="4" w:space="0" w:color="auto"/>
            </w:tcBorders>
            <w:shd w:val="clear" w:color="auto" w:fill="auto"/>
            <w:noWrap/>
            <w:vAlign w:val="bottom"/>
            <w:hideMark/>
          </w:tcPr>
          <w:p w14:paraId="0DFC843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33.07</w:t>
            </w:r>
          </w:p>
        </w:tc>
        <w:tc>
          <w:tcPr>
            <w:tcW w:w="198" w:type="pct"/>
            <w:tcBorders>
              <w:left w:val="single" w:sz="4" w:space="0" w:color="auto"/>
            </w:tcBorders>
            <w:shd w:val="clear" w:color="auto" w:fill="auto"/>
            <w:noWrap/>
            <w:vAlign w:val="bottom"/>
            <w:hideMark/>
          </w:tcPr>
          <w:p w14:paraId="2B690FF1"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w:t>
            </w:r>
          </w:p>
        </w:tc>
        <w:tc>
          <w:tcPr>
            <w:tcW w:w="256" w:type="pct"/>
            <w:shd w:val="clear" w:color="auto" w:fill="auto"/>
            <w:noWrap/>
            <w:vAlign w:val="bottom"/>
            <w:hideMark/>
          </w:tcPr>
          <w:p w14:paraId="789561D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4.33</w:t>
            </w:r>
          </w:p>
        </w:tc>
        <w:tc>
          <w:tcPr>
            <w:tcW w:w="257" w:type="pct"/>
            <w:tcBorders>
              <w:right w:val="single" w:sz="4" w:space="0" w:color="auto"/>
            </w:tcBorders>
            <w:shd w:val="clear" w:color="auto" w:fill="auto"/>
            <w:noWrap/>
            <w:vAlign w:val="bottom"/>
            <w:hideMark/>
          </w:tcPr>
          <w:p w14:paraId="15D79EBF"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129.50</w:t>
            </w:r>
          </w:p>
        </w:tc>
        <w:tc>
          <w:tcPr>
            <w:tcW w:w="198" w:type="pct"/>
            <w:tcBorders>
              <w:left w:val="single" w:sz="4" w:space="0" w:color="auto"/>
            </w:tcBorders>
            <w:shd w:val="clear" w:color="auto" w:fill="auto"/>
            <w:noWrap/>
            <w:vAlign w:val="bottom"/>
            <w:hideMark/>
          </w:tcPr>
          <w:p w14:paraId="0BF1C1DB"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10</w:t>
            </w:r>
          </w:p>
        </w:tc>
        <w:tc>
          <w:tcPr>
            <w:tcW w:w="256" w:type="pct"/>
            <w:shd w:val="clear" w:color="auto" w:fill="auto"/>
            <w:noWrap/>
            <w:vAlign w:val="bottom"/>
            <w:hideMark/>
          </w:tcPr>
          <w:p w14:paraId="54A6B870"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2.53</w:t>
            </w:r>
          </w:p>
        </w:tc>
        <w:tc>
          <w:tcPr>
            <w:tcW w:w="260" w:type="pct"/>
            <w:tcBorders>
              <w:right w:val="single" w:sz="4" w:space="0" w:color="auto"/>
            </w:tcBorders>
            <w:shd w:val="clear" w:color="auto" w:fill="auto"/>
            <w:noWrap/>
            <w:vAlign w:val="bottom"/>
            <w:hideMark/>
          </w:tcPr>
          <w:p w14:paraId="1AFE7E4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12.25</w:t>
            </w:r>
          </w:p>
        </w:tc>
        <w:tc>
          <w:tcPr>
            <w:tcW w:w="198" w:type="pct"/>
            <w:tcBorders>
              <w:left w:val="single" w:sz="4" w:space="0" w:color="auto"/>
            </w:tcBorders>
            <w:shd w:val="clear" w:color="auto" w:fill="auto"/>
            <w:noWrap/>
            <w:vAlign w:val="bottom"/>
            <w:hideMark/>
          </w:tcPr>
          <w:p w14:paraId="303F1840"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w:t>
            </w:r>
          </w:p>
        </w:tc>
        <w:tc>
          <w:tcPr>
            <w:tcW w:w="256" w:type="pct"/>
            <w:shd w:val="clear" w:color="auto" w:fill="auto"/>
            <w:noWrap/>
            <w:vAlign w:val="bottom"/>
            <w:hideMark/>
          </w:tcPr>
          <w:p w14:paraId="7F921A6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2.64</w:t>
            </w:r>
          </w:p>
        </w:tc>
        <w:tc>
          <w:tcPr>
            <w:tcW w:w="257" w:type="pct"/>
            <w:tcBorders>
              <w:right w:val="single" w:sz="4" w:space="0" w:color="auto"/>
            </w:tcBorders>
            <w:shd w:val="clear" w:color="auto" w:fill="auto"/>
            <w:noWrap/>
            <w:vAlign w:val="bottom"/>
            <w:hideMark/>
          </w:tcPr>
          <w:p w14:paraId="230BC261"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6.44</w:t>
            </w:r>
          </w:p>
        </w:tc>
        <w:tc>
          <w:tcPr>
            <w:tcW w:w="198" w:type="pct"/>
            <w:tcBorders>
              <w:left w:val="single" w:sz="4" w:space="0" w:color="auto"/>
            </w:tcBorders>
            <w:shd w:val="clear" w:color="auto" w:fill="auto"/>
            <w:noWrap/>
            <w:vAlign w:val="bottom"/>
            <w:hideMark/>
          </w:tcPr>
          <w:p w14:paraId="152CB884"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w:t>
            </w:r>
          </w:p>
        </w:tc>
        <w:tc>
          <w:tcPr>
            <w:tcW w:w="256" w:type="pct"/>
            <w:shd w:val="clear" w:color="auto" w:fill="auto"/>
            <w:noWrap/>
            <w:vAlign w:val="bottom"/>
            <w:hideMark/>
          </w:tcPr>
          <w:p w14:paraId="6FAF590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5.43</w:t>
            </w:r>
          </w:p>
        </w:tc>
        <w:tc>
          <w:tcPr>
            <w:tcW w:w="256" w:type="pct"/>
            <w:shd w:val="clear" w:color="auto" w:fill="auto"/>
            <w:noWrap/>
            <w:vAlign w:val="bottom"/>
            <w:hideMark/>
          </w:tcPr>
          <w:p w14:paraId="34F80AEF"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16.67</w:t>
            </w:r>
          </w:p>
        </w:tc>
      </w:tr>
      <w:tr w:rsidR="009F4C66" w:rsidRPr="00B53E53" w14:paraId="2D970664" w14:textId="77777777" w:rsidTr="0008153A">
        <w:trPr>
          <w:trHeight w:val="170"/>
        </w:trPr>
        <w:tc>
          <w:tcPr>
            <w:tcW w:w="226" w:type="pct"/>
            <w:vMerge w:val="restart"/>
            <w:tcBorders>
              <w:top w:val="single" w:sz="4" w:space="0" w:color="auto"/>
            </w:tcBorders>
            <w:shd w:val="clear" w:color="auto" w:fill="auto"/>
            <w:noWrap/>
            <w:vAlign w:val="center"/>
            <w:hideMark/>
          </w:tcPr>
          <w:p w14:paraId="60D02BD3"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C</w:t>
            </w:r>
          </w:p>
        </w:tc>
        <w:tc>
          <w:tcPr>
            <w:tcW w:w="506" w:type="pct"/>
            <w:tcBorders>
              <w:top w:val="single" w:sz="4" w:space="0" w:color="auto"/>
              <w:bottom w:val="single" w:sz="4" w:space="0" w:color="auto"/>
            </w:tcBorders>
            <w:shd w:val="clear" w:color="auto" w:fill="auto"/>
            <w:noWrap/>
            <w:vAlign w:val="bottom"/>
            <w:hideMark/>
          </w:tcPr>
          <w:p w14:paraId="2D2E3012"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C1</w:t>
            </w:r>
          </w:p>
        </w:tc>
        <w:tc>
          <w:tcPr>
            <w:tcW w:w="160" w:type="pct"/>
            <w:shd w:val="clear" w:color="auto" w:fill="auto"/>
            <w:noWrap/>
            <w:vAlign w:val="bottom"/>
            <w:hideMark/>
          </w:tcPr>
          <w:p w14:paraId="5FF6E40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13</w:t>
            </w:r>
          </w:p>
        </w:tc>
        <w:tc>
          <w:tcPr>
            <w:tcW w:w="295" w:type="pct"/>
            <w:vMerge w:val="restart"/>
            <w:shd w:val="clear" w:color="auto" w:fill="auto"/>
            <w:noWrap/>
            <w:vAlign w:val="center"/>
            <w:hideMark/>
          </w:tcPr>
          <w:p w14:paraId="1D96B0F2"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39.67</w:t>
            </w:r>
          </w:p>
        </w:tc>
        <w:tc>
          <w:tcPr>
            <w:tcW w:w="295" w:type="pct"/>
            <w:vMerge w:val="restart"/>
            <w:tcBorders>
              <w:right w:val="single" w:sz="4" w:space="0" w:color="auto"/>
            </w:tcBorders>
            <w:shd w:val="clear" w:color="auto" w:fill="auto"/>
            <w:noWrap/>
            <w:vAlign w:val="center"/>
            <w:hideMark/>
          </w:tcPr>
          <w:p w14:paraId="390EE392"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163.34</w:t>
            </w:r>
          </w:p>
        </w:tc>
        <w:tc>
          <w:tcPr>
            <w:tcW w:w="160" w:type="pct"/>
            <w:tcBorders>
              <w:left w:val="single" w:sz="4" w:space="0" w:color="auto"/>
            </w:tcBorders>
            <w:shd w:val="clear" w:color="auto" w:fill="auto"/>
            <w:noWrap/>
            <w:vAlign w:val="center"/>
            <w:hideMark/>
          </w:tcPr>
          <w:p w14:paraId="0B3D1F99"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17</w:t>
            </w:r>
          </w:p>
        </w:tc>
        <w:tc>
          <w:tcPr>
            <w:tcW w:w="256" w:type="pct"/>
            <w:vMerge w:val="restart"/>
            <w:shd w:val="clear" w:color="auto" w:fill="auto"/>
            <w:noWrap/>
            <w:vAlign w:val="center"/>
            <w:hideMark/>
          </w:tcPr>
          <w:p w14:paraId="42F1F5F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21.24</w:t>
            </w:r>
          </w:p>
        </w:tc>
        <w:tc>
          <w:tcPr>
            <w:tcW w:w="257" w:type="pct"/>
            <w:vMerge w:val="restart"/>
            <w:tcBorders>
              <w:right w:val="single" w:sz="4" w:space="0" w:color="auto"/>
            </w:tcBorders>
            <w:shd w:val="clear" w:color="auto" w:fill="auto"/>
            <w:noWrap/>
            <w:vAlign w:val="center"/>
            <w:hideMark/>
          </w:tcPr>
          <w:p w14:paraId="5775E63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98.65</w:t>
            </w:r>
          </w:p>
        </w:tc>
        <w:tc>
          <w:tcPr>
            <w:tcW w:w="198" w:type="pct"/>
            <w:vMerge w:val="restart"/>
            <w:tcBorders>
              <w:left w:val="single" w:sz="4" w:space="0" w:color="auto"/>
            </w:tcBorders>
            <w:shd w:val="clear" w:color="FF0000" w:fill="FF0000"/>
            <w:noWrap/>
            <w:vAlign w:val="center"/>
            <w:hideMark/>
          </w:tcPr>
          <w:p w14:paraId="610D8B85"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19</w:t>
            </w:r>
          </w:p>
        </w:tc>
        <w:tc>
          <w:tcPr>
            <w:tcW w:w="256" w:type="pct"/>
            <w:vMerge w:val="restart"/>
            <w:shd w:val="clear" w:color="auto" w:fill="auto"/>
            <w:noWrap/>
            <w:vAlign w:val="center"/>
            <w:hideMark/>
          </w:tcPr>
          <w:p w14:paraId="5FAE485A"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39.00</w:t>
            </w:r>
          </w:p>
        </w:tc>
        <w:tc>
          <w:tcPr>
            <w:tcW w:w="257" w:type="pct"/>
            <w:vMerge w:val="restart"/>
            <w:tcBorders>
              <w:right w:val="single" w:sz="4" w:space="0" w:color="auto"/>
            </w:tcBorders>
            <w:shd w:val="clear" w:color="auto" w:fill="auto"/>
            <w:noWrap/>
            <w:vAlign w:val="center"/>
            <w:hideMark/>
          </w:tcPr>
          <w:p w14:paraId="3C1A9922"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176.50</w:t>
            </w:r>
          </w:p>
        </w:tc>
        <w:tc>
          <w:tcPr>
            <w:tcW w:w="198" w:type="pct"/>
            <w:tcBorders>
              <w:left w:val="single" w:sz="4" w:space="0" w:color="auto"/>
            </w:tcBorders>
            <w:shd w:val="clear" w:color="auto" w:fill="auto"/>
            <w:noWrap/>
            <w:vAlign w:val="center"/>
            <w:hideMark/>
          </w:tcPr>
          <w:p w14:paraId="6371918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17</w:t>
            </w:r>
          </w:p>
        </w:tc>
        <w:tc>
          <w:tcPr>
            <w:tcW w:w="256" w:type="pct"/>
            <w:vMerge w:val="restart"/>
            <w:shd w:val="clear" w:color="auto" w:fill="auto"/>
            <w:noWrap/>
            <w:vAlign w:val="center"/>
            <w:hideMark/>
          </w:tcPr>
          <w:p w14:paraId="16E8E2A1"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16.58</w:t>
            </w:r>
          </w:p>
        </w:tc>
        <w:tc>
          <w:tcPr>
            <w:tcW w:w="260" w:type="pct"/>
            <w:vMerge w:val="restart"/>
            <w:tcBorders>
              <w:right w:val="single" w:sz="4" w:space="0" w:color="auto"/>
            </w:tcBorders>
            <w:shd w:val="clear" w:color="auto" w:fill="auto"/>
            <w:noWrap/>
            <w:vAlign w:val="center"/>
            <w:hideMark/>
          </w:tcPr>
          <w:p w14:paraId="7F4AF441"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36.23</w:t>
            </w:r>
          </w:p>
        </w:tc>
        <w:tc>
          <w:tcPr>
            <w:tcW w:w="198" w:type="pct"/>
            <w:tcBorders>
              <w:left w:val="single" w:sz="4" w:space="0" w:color="auto"/>
            </w:tcBorders>
            <w:shd w:val="clear" w:color="auto" w:fill="auto"/>
            <w:noWrap/>
            <w:vAlign w:val="center"/>
            <w:hideMark/>
          </w:tcPr>
          <w:p w14:paraId="79896389"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11</w:t>
            </w:r>
          </w:p>
        </w:tc>
        <w:tc>
          <w:tcPr>
            <w:tcW w:w="256" w:type="pct"/>
            <w:vMerge w:val="restart"/>
            <w:shd w:val="clear" w:color="auto" w:fill="auto"/>
            <w:noWrap/>
            <w:vAlign w:val="center"/>
            <w:hideMark/>
          </w:tcPr>
          <w:p w14:paraId="26BC7DC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7.18</w:t>
            </w:r>
          </w:p>
        </w:tc>
        <w:tc>
          <w:tcPr>
            <w:tcW w:w="257" w:type="pct"/>
            <w:vMerge w:val="restart"/>
            <w:tcBorders>
              <w:right w:val="single" w:sz="4" w:space="0" w:color="auto"/>
            </w:tcBorders>
            <w:shd w:val="clear" w:color="auto" w:fill="auto"/>
            <w:noWrap/>
            <w:vAlign w:val="center"/>
            <w:hideMark/>
          </w:tcPr>
          <w:p w14:paraId="2831EA4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33.20</w:t>
            </w:r>
          </w:p>
        </w:tc>
        <w:tc>
          <w:tcPr>
            <w:tcW w:w="198" w:type="pct"/>
            <w:tcBorders>
              <w:left w:val="single" w:sz="4" w:space="0" w:color="auto"/>
            </w:tcBorders>
            <w:shd w:val="clear" w:color="auto" w:fill="auto"/>
            <w:noWrap/>
            <w:vAlign w:val="center"/>
            <w:hideMark/>
          </w:tcPr>
          <w:p w14:paraId="1DF55500"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w:t>
            </w:r>
          </w:p>
        </w:tc>
        <w:tc>
          <w:tcPr>
            <w:tcW w:w="256" w:type="pct"/>
            <w:vMerge w:val="restart"/>
            <w:shd w:val="clear" w:color="auto" w:fill="auto"/>
            <w:noWrap/>
            <w:vAlign w:val="center"/>
            <w:hideMark/>
          </w:tcPr>
          <w:p w14:paraId="67CAA51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17.84</w:t>
            </w:r>
          </w:p>
        </w:tc>
        <w:tc>
          <w:tcPr>
            <w:tcW w:w="256" w:type="pct"/>
            <w:vMerge w:val="restart"/>
            <w:shd w:val="clear" w:color="auto" w:fill="auto"/>
            <w:noWrap/>
            <w:vAlign w:val="center"/>
            <w:hideMark/>
          </w:tcPr>
          <w:p w14:paraId="642D014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59.85</w:t>
            </w:r>
          </w:p>
        </w:tc>
      </w:tr>
      <w:tr w:rsidR="009F4C66" w:rsidRPr="00B53E53" w14:paraId="650C1130" w14:textId="77777777" w:rsidTr="0008153A">
        <w:trPr>
          <w:trHeight w:val="170"/>
        </w:trPr>
        <w:tc>
          <w:tcPr>
            <w:tcW w:w="226" w:type="pct"/>
            <w:vMerge/>
            <w:tcBorders>
              <w:top w:val="single" w:sz="4" w:space="0" w:color="auto"/>
              <w:bottom w:val="single" w:sz="4" w:space="0" w:color="auto"/>
            </w:tcBorders>
            <w:vAlign w:val="center"/>
            <w:hideMark/>
          </w:tcPr>
          <w:p w14:paraId="15DCFF00" w14:textId="77777777" w:rsidR="009F4C66" w:rsidRPr="00B53E53" w:rsidRDefault="009F4C66" w:rsidP="0008153A">
            <w:pPr>
              <w:spacing w:after="0"/>
              <w:jc w:val="center"/>
              <w:rPr>
                <w:rFonts w:eastAsia="Times New Roman" w:cs="Times New Roman"/>
                <w:color w:val="000000"/>
                <w:sz w:val="20"/>
                <w:szCs w:val="20"/>
                <w:lang w:eastAsia="en-GB"/>
              </w:rPr>
            </w:pPr>
          </w:p>
        </w:tc>
        <w:tc>
          <w:tcPr>
            <w:tcW w:w="506" w:type="pct"/>
            <w:tcBorders>
              <w:top w:val="single" w:sz="4" w:space="0" w:color="auto"/>
              <w:bottom w:val="single" w:sz="4" w:space="0" w:color="auto"/>
            </w:tcBorders>
            <w:shd w:val="clear" w:color="auto" w:fill="auto"/>
            <w:noWrap/>
            <w:vAlign w:val="bottom"/>
            <w:hideMark/>
          </w:tcPr>
          <w:p w14:paraId="5A2F6037"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C2</w:t>
            </w:r>
          </w:p>
        </w:tc>
        <w:tc>
          <w:tcPr>
            <w:tcW w:w="160" w:type="pct"/>
            <w:shd w:val="clear" w:color="auto" w:fill="auto"/>
            <w:noWrap/>
            <w:vAlign w:val="bottom"/>
            <w:hideMark/>
          </w:tcPr>
          <w:p w14:paraId="668B072E"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113</w:t>
            </w:r>
          </w:p>
        </w:tc>
        <w:tc>
          <w:tcPr>
            <w:tcW w:w="295" w:type="pct"/>
            <w:vMerge/>
            <w:vAlign w:val="center"/>
            <w:hideMark/>
          </w:tcPr>
          <w:p w14:paraId="7E9F4A72" w14:textId="77777777" w:rsidR="009F4C66" w:rsidRPr="00B53E53" w:rsidRDefault="009F4C66" w:rsidP="00AD758B">
            <w:pPr>
              <w:spacing w:after="0"/>
              <w:jc w:val="right"/>
              <w:rPr>
                <w:rFonts w:eastAsia="Times New Roman" w:cs="Times New Roman"/>
                <w:color w:val="000000"/>
                <w:sz w:val="20"/>
                <w:szCs w:val="20"/>
                <w:lang w:eastAsia="en-GB"/>
              </w:rPr>
            </w:pPr>
          </w:p>
        </w:tc>
        <w:tc>
          <w:tcPr>
            <w:tcW w:w="295" w:type="pct"/>
            <w:vMerge/>
            <w:tcBorders>
              <w:right w:val="single" w:sz="4" w:space="0" w:color="auto"/>
            </w:tcBorders>
            <w:vAlign w:val="center"/>
            <w:hideMark/>
          </w:tcPr>
          <w:p w14:paraId="3FF7F658" w14:textId="77777777" w:rsidR="009F4C66" w:rsidRPr="00B53E53" w:rsidRDefault="009F4C66" w:rsidP="00AD758B">
            <w:pPr>
              <w:spacing w:after="0"/>
              <w:jc w:val="right"/>
              <w:rPr>
                <w:rFonts w:eastAsia="Times New Roman" w:cs="Times New Roman"/>
                <w:color w:val="000000"/>
                <w:sz w:val="20"/>
                <w:szCs w:val="20"/>
                <w:lang w:eastAsia="en-GB"/>
              </w:rPr>
            </w:pPr>
          </w:p>
        </w:tc>
        <w:tc>
          <w:tcPr>
            <w:tcW w:w="160" w:type="pct"/>
            <w:tcBorders>
              <w:left w:val="single" w:sz="4" w:space="0" w:color="auto"/>
            </w:tcBorders>
            <w:shd w:val="clear" w:color="auto" w:fill="auto"/>
            <w:noWrap/>
            <w:vAlign w:val="center"/>
            <w:hideMark/>
          </w:tcPr>
          <w:p w14:paraId="26B25C6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475</w:t>
            </w:r>
          </w:p>
        </w:tc>
        <w:tc>
          <w:tcPr>
            <w:tcW w:w="256" w:type="pct"/>
            <w:vMerge/>
            <w:vAlign w:val="center"/>
            <w:hideMark/>
          </w:tcPr>
          <w:p w14:paraId="23905588" w14:textId="77777777" w:rsidR="009F4C66" w:rsidRPr="00B53E53" w:rsidRDefault="009F4C66" w:rsidP="00AD758B">
            <w:pPr>
              <w:spacing w:after="0"/>
              <w:jc w:val="right"/>
              <w:rPr>
                <w:rFonts w:eastAsia="Times New Roman" w:cs="Times New Roman"/>
                <w:color w:val="000000"/>
                <w:sz w:val="20"/>
                <w:szCs w:val="20"/>
                <w:lang w:eastAsia="en-GB"/>
              </w:rPr>
            </w:pPr>
          </w:p>
        </w:tc>
        <w:tc>
          <w:tcPr>
            <w:tcW w:w="257" w:type="pct"/>
            <w:vMerge/>
            <w:tcBorders>
              <w:right w:val="single" w:sz="4" w:space="0" w:color="auto"/>
            </w:tcBorders>
            <w:vAlign w:val="center"/>
            <w:hideMark/>
          </w:tcPr>
          <w:p w14:paraId="732E0204" w14:textId="77777777" w:rsidR="009F4C66" w:rsidRPr="00B53E53" w:rsidRDefault="009F4C66" w:rsidP="00AD758B">
            <w:pPr>
              <w:spacing w:after="0"/>
              <w:jc w:val="right"/>
              <w:rPr>
                <w:rFonts w:eastAsia="Times New Roman" w:cs="Times New Roman"/>
                <w:color w:val="000000"/>
                <w:sz w:val="20"/>
                <w:szCs w:val="20"/>
                <w:lang w:eastAsia="en-GB"/>
              </w:rPr>
            </w:pPr>
          </w:p>
        </w:tc>
        <w:tc>
          <w:tcPr>
            <w:tcW w:w="198" w:type="pct"/>
            <w:vMerge/>
            <w:tcBorders>
              <w:left w:val="single" w:sz="4" w:space="0" w:color="auto"/>
            </w:tcBorders>
            <w:vAlign w:val="center"/>
            <w:hideMark/>
          </w:tcPr>
          <w:p w14:paraId="47105BD3"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vMerge/>
            <w:vAlign w:val="center"/>
            <w:hideMark/>
          </w:tcPr>
          <w:p w14:paraId="599F779B" w14:textId="77777777" w:rsidR="009F4C66" w:rsidRPr="00B53E53" w:rsidRDefault="009F4C66" w:rsidP="00AD758B">
            <w:pPr>
              <w:spacing w:after="0"/>
              <w:jc w:val="right"/>
              <w:rPr>
                <w:rFonts w:eastAsia="Times New Roman" w:cs="Times New Roman"/>
                <w:color w:val="000000"/>
                <w:sz w:val="20"/>
                <w:szCs w:val="20"/>
                <w:lang w:eastAsia="en-GB"/>
              </w:rPr>
            </w:pPr>
          </w:p>
        </w:tc>
        <w:tc>
          <w:tcPr>
            <w:tcW w:w="257" w:type="pct"/>
            <w:vMerge/>
            <w:tcBorders>
              <w:right w:val="single" w:sz="4" w:space="0" w:color="auto"/>
            </w:tcBorders>
            <w:vAlign w:val="center"/>
            <w:hideMark/>
          </w:tcPr>
          <w:p w14:paraId="55BC59DD" w14:textId="77777777" w:rsidR="009F4C66" w:rsidRPr="00B53E53" w:rsidRDefault="009F4C66" w:rsidP="00AD758B">
            <w:pPr>
              <w:spacing w:after="0"/>
              <w:jc w:val="right"/>
              <w:rPr>
                <w:rFonts w:eastAsia="Times New Roman" w:cs="Times New Roman"/>
                <w:color w:val="000000"/>
                <w:sz w:val="20"/>
                <w:szCs w:val="20"/>
                <w:lang w:eastAsia="en-GB"/>
              </w:rPr>
            </w:pPr>
          </w:p>
        </w:tc>
        <w:tc>
          <w:tcPr>
            <w:tcW w:w="198" w:type="pct"/>
            <w:tcBorders>
              <w:left w:val="single" w:sz="4" w:space="0" w:color="auto"/>
            </w:tcBorders>
            <w:shd w:val="clear" w:color="auto" w:fill="auto"/>
            <w:noWrap/>
            <w:vAlign w:val="center"/>
            <w:hideMark/>
          </w:tcPr>
          <w:p w14:paraId="35D043F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262</w:t>
            </w:r>
          </w:p>
        </w:tc>
        <w:tc>
          <w:tcPr>
            <w:tcW w:w="256" w:type="pct"/>
            <w:vMerge/>
            <w:vAlign w:val="center"/>
            <w:hideMark/>
          </w:tcPr>
          <w:p w14:paraId="11CCE614" w14:textId="77777777" w:rsidR="009F4C66" w:rsidRPr="00B53E53" w:rsidRDefault="009F4C66" w:rsidP="00AD758B">
            <w:pPr>
              <w:spacing w:after="0"/>
              <w:jc w:val="right"/>
              <w:rPr>
                <w:rFonts w:eastAsia="Times New Roman" w:cs="Times New Roman"/>
                <w:color w:val="000000"/>
                <w:sz w:val="20"/>
                <w:szCs w:val="20"/>
                <w:lang w:eastAsia="en-GB"/>
              </w:rPr>
            </w:pPr>
          </w:p>
        </w:tc>
        <w:tc>
          <w:tcPr>
            <w:tcW w:w="260" w:type="pct"/>
            <w:vMerge/>
            <w:tcBorders>
              <w:right w:val="single" w:sz="4" w:space="0" w:color="auto"/>
            </w:tcBorders>
            <w:vAlign w:val="center"/>
            <w:hideMark/>
          </w:tcPr>
          <w:p w14:paraId="7CA34456" w14:textId="77777777" w:rsidR="009F4C66" w:rsidRPr="00B53E53" w:rsidRDefault="009F4C66" w:rsidP="00AD758B">
            <w:pPr>
              <w:spacing w:after="0"/>
              <w:jc w:val="right"/>
              <w:rPr>
                <w:rFonts w:eastAsia="Times New Roman" w:cs="Times New Roman"/>
                <w:color w:val="000000"/>
                <w:sz w:val="20"/>
                <w:szCs w:val="20"/>
                <w:lang w:eastAsia="en-GB"/>
              </w:rPr>
            </w:pPr>
          </w:p>
        </w:tc>
        <w:tc>
          <w:tcPr>
            <w:tcW w:w="198" w:type="pct"/>
            <w:tcBorders>
              <w:left w:val="single" w:sz="4" w:space="0" w:color="auto"/>
            </w:tcBorders>
            <w:shd w:val="clear" w:color="auto" w:fill="auto"/>
            <w:noWrap/>
            <w:vAlign w:val="center"/>
            <w:hideMark/>
          </w:tcPr>
          <w:p w14:paraId="1E81847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68</w:t>
            </w:r>
          </w:p>
        </w:tc>
        <w:tc>
          <w:tcPr>
            <w:tcW w:w="256" w:type="pct"/>
            <w:vMerge/>
            <w:vAlign w:val="center"/>
            <w:hideMark/>
          </w:tcPr>
          <w:p w14:paraId="69C482F4" w14:textId="77777777" w:rsidR="009F4C66" w:rsidRPr="00B53E53" w:rsidRDefault="009F4C66" w:rsidP="00AD758B">
            <w:pPr>
              <w:spacing w:after="0"/>
              <w:jc w:val="right"/>
              <w:rPr>
                <w:rFonts w:eastAsia="Times New Roman" w:cs="Times New Roman"/>
                <w:color w:val="000000"/>
                <w:sz w:val="20"/>
                <w:szCs w:val="20"/>
                <w:lang w:eastAsia="en-GB"/>
              </w:rPr>
            </w:pPr>
          </w:p>
        </w:tc>
        <w:tc>
          <w:tcPr>
            <w:tcW w:w="257" w:type="pct"/>
            <w:vMerge/>
            <w:tcBorders>
              <w:right w:val="single" w:sz="4" w:space="0" w:color="auto"/>
            </w:tcBorders>
            <w:vAlign w:val="center"/>
            <w:hideMark/>
          </w:tcPr>
          <w:p w14:paraId="32E0B8C9" w14:textId="77777777" w:rsidR="009F4C66" w:rsidRPr="00B53E53" w:rsidRDefault="009F4C66" w:rsidP="00AD758B">
            <w:pPr>
              <w:spacing w:after="0"/>
              <w:jc w:val="right"/>
              <w:rPr>
                <w:rFonts w:eastAsia="Times New Roman" w:cs="Times New Roman"/>
                <w:color w:val="000000"/>
                <w:sz w:val="20"/>
                <w:szCs w:val="20"/>
                <w:lang w:eastAsia="en-GB"/>
              </w:rPr>
            </w:pPr>
          </w:p>
        </w:tc>
        <w:tc>
          <w:tcPr>
            <w:tcW w:w="198" w:type="pct"/>
            <w:tcBorders>
              <w:left w:val="single" w:sz="4" w:space="0" w:color="auto"/>
            </w:tcBorders>
            <w:shd w:val="clear" w:color="auto" w:fill="auto"/>
            <w:noWrap/>
            <w:vAlign w:val="center"/>
            <w:hideMark/>
          </w:tcPr>
          <w:p w14:paraId="721DD14E"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68</w:t>
            </w:r>
          </w:p>
        </w:tc>
        <w:tc>
          <w:tcPr>
            <w:tcW w:w="256" w:type="pct"/>
            <w:vMerge/>
            <w:vAlign w:val="center"/>
            <w:hideMark/>
          </w:tcPr>
          <w:p w14:paraId="7CF398D0"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vMerge/>
            <w:vAlign w:val="center"/>
            <w:hideMark/>
          </w:tcPr>
          <w:p w14:paraId="283A70F4" w14:textId="77777777" w:rsidR="009F4C66" w:rsidRPr="00B53E53" w:rsidRDefault="009F4C66" w:rsidP="00AD758B">
            <w:pPr>
              <w:spacing w:after="0"/>
              <w:jc w:val="right"/>
              <w:rPr>
                <w:rFonts w:eastAsia="Times New Roman" w:cs="Times New Roman"/>
                <w:color w:val="000000"/>
                <w:sz w:val="20"/>
                <w:szCs w:val="20"/>
                <w:lang w:eastAsia="en-GB"/>
              </w:rPr>
            </w:pPr>
          </w:p>
        </w:tc>
      </w:tr>
      <w:tr w:rsidR="009F4C66" w:rsidRPr="00B53E53" w14:paraId="7299A6B1" w14:textId="77777777" w:rsidTr="0008153A">
        <w:trPr>
          <w:trHeight w:val="170"/>
        </w:trPr>
        <w:tc>
          <w:tcPr>
            <w:tcW w:w="226" w:type="pct"/>
            <w:vMerge w:val="restart"/>
            <w:tcBorders>
              <w:top w:val="single" w:sz="4" w:space="0" w:color="auto"/>
            </w:tcBorders>
            <w:shd w:val="clear" w:color="auto" w:fill="auto"/>
            <w:noWrap/>
            <w:vAlign w:val="center"/>
            <w:hideMark/>
          </w:tcPr>
          <w:p w14:paraId="1AFC4265"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p>
        </w:tc>
        <w:tc>
          <w:tcPr>
            <w:tcW w:w="506" w:type="pct"/>
            <w:tcBorders>
              <w:top w:val="single" w:sz="4" w:space="0" w:color="auto"/>
              <w:bottom w:val="single" w:sz="4" w:space="0" w:color="auto"/>
            </w:tcBorders>
            <w:shd w:val="clear" w:color="auto" w:fill="auto"/>
            <w:noWrap/>
            <w:vAlign w:val="bottom"/>
            <w:hideMark/>
          </w:tcPr>
          <w:p w14:paraId="5A8BDC01"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D1</w:t>
            </w:r>
          </w:p>
        </w:tc>
        <w:tc>
          <w:tcPr>
            <w:tcW w:w="160" w:type="pct"/>
            <w:vMerge w:val="restart"/>
            <w:shd w:val="clear" w:color="auto" w:fill="auto"/>
            <w:noWrap/>
            <w:vAlign w:val="center"/>
            <w:hideMark/>
          </w:tcPr>
          <w:p w14:paraId="4283FED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694</w:t>
            </w:r>
          </w:p>
        </w:tc>
        <w:tc>
          <w:tcPr>
            <w:tcW w:w="295" w:type="pct"/>
            <w:shd w:val="clear" w:color="auto" w:fill="auto"/>
            <w:noWrap/>
            <w:vAlign w:val="center"/>
            <w:hideMark/>
          </w:tcPr>
          <w:p w14:paraId="5CD5185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15.79</w:t>
            </w:r>
          </w:p>
        </w:tc>
        <w:tc>
          <w:tcPr>
            <w:tcW w:w="295" w:type="pct"/>
            <w:tcBorders>
              <w:right w:val="single" w:sz="4" w:space="0" w:color="auto"/>
            </w:tcBorders>
            <w:shd w:val="clear" w:color="auto" w:fill="auto"/>
            <w:noWrap/>
            <w:vAlign w:val="center"/>
            <w:hideMark/>
          </w:tcPr>
          <w:p w14:paraId="76146479"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185.32</w:t>
            </w:r>
          </w:p>
        </w:tc>
        <w:tc>
          <w:tcPr>
            <w:tcW w:w="160" w:type="pct"/>
            <w:vMerge w:val="restart"/>
            <w:tcBorders>
              <w:left w:val="single" w:sz="4" w:space="0" w:color="auto"/>
            </w:tcBorders>
            <w:shd w:val="clear" w:color="auto" w:fill="auto"/>
            <w:noWrap/>
            <w:vAlign w:val="center"/>
            <w:hideMark/>
          </w:tcPr>
          <w:p w14:paraId="075F7B1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694</w:t>
            </w:r>
          </w:p>
        </w:tc>
        <w:tc>
          <w:tcPr>
            <w:tcW w:w="256" w:type="pct"/>
            <w:shd w:val="clear" w:color="auto" w:fill="auto"/>
            <w:noWrap/>
            <w:vAlign w:val="center"/>
            <w:hideMark/>
          </w:tcPr>
          <w:p w14:paraId="75028C1A"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80.04</w:t>
            </w:r>
          </w:p>
        </w:tc>
        <w:tc>
          <w:tcPr>
            <w:tcW w:w="257" w:type="pct"/>
            <w:tcBorders>
              <w:right w:val="single" w:sz="4" w:space="0" w:color="auto"/>
            </w:tcBorders>
            <w:shd w:val="clear" w:color="auto" w:fill="auto"/>
            <w:noWrap/>
            <w:vAlign w:val="bottom"/>
            <w:hideMark/>
          </w:tcPr>
          <w:p w14:paraId="7DC5C4B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163.25</w:t>
            </w:r>
          </w:p>
        </w:tc>
        <w:tc>
          <w:tcPr>
            <w:tcW w:w="198" w:type="pct"/>
            <w:vMerge w:val="restart"/>
            <w:tcBorders>
              <w:left w:val="single" w:sz="4" w:space="0" w:color="auto"/>
            </w:tcBorders>
            <w:shd w:val="clear" w:color="auto" w:fill="auto"/>
            <w:noWrap/>
            <w:vAlign w:val="center"/>
            <w:hideMark/>
          </w:tcPr>
          <w:p w14:paraId="2718A9A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1712</w:t>
            </w:r>
          </w:p>
        </w:tc>
        <w:tc>
          <w:tcPr>
            <w:tcW w:w="256" w:type="pct"/>
            <w:shd w:val="clear" w:color="auto" w:fill="auto"/>
            <w:noWrap/>
            <w:vAlign w:val="center"/>
            <w:hideMark/>
          </w:tcPr>
          <w:p w14:paraId="78321BC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21.75</w:t>
            </w:r>
          </w:p>
        </w:tc>
        <w:tc>
          <w:tcPr>
            <w:tcW w:w="257" w:type="pct"/>
            <w:tcBorders>
              <w:right w:val="single" w:sz="4" w:space="0" w:color="auto"/>
            </w:tcBorders>
            <w:shd w:val="clear" w:color="auto" w:fill="auto"/>
            <w:noWrap/>
            <w:vAlign w:val="center"/>
            <w:hideMark/>
          </w:tcPr>
          <w:p w14:paraId="35616C0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79.25</w:t>
            </w:r>
          </w:p>
        </w:tc>
        <w:tc>
          <w:tcPr>
            <w:tcW w:w="198" w:type="pct"/>
            <w:vMerge w:val="restart"/>
            <w:tcBorders>
              <w:left w:val="single" w:sz="4" w:space="0" w:color="auto"/>
            </w:tcBorders>
            <w:shd w:val="clear" w:color="auto" w:fill="auto"/>
            <w:noWrap/>
            <w:vAlign w:val="center"/>
            <w:hideMark/>
          </w:tcPr>
          <w:p w14:paraId="757A196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1712</w:t>
            </w:r>
          </w:p>
        </w:tc>
        <w:tc>
          <w:tcPr>
            <w:tcW w:w="256" w:type="pct"/>
            <w:shd w:val="clear" w:color="auto" w:fill="auto"/>
            <w:noWrap/>
            <w:vAlign w:val="center"/>
            <w:hideMark/>
          </w:tcPr>
          <w:p w14:paraId="682CEACA"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80.83</w:t>
            </w:r>
          </w:p>
        </w:tc>
        <w:tc>
          <w:tcPr>
            <w:tcW w:w="260" w:type="pct"/>
            <w:tcBorders>
              <w:right w:val="single" w:sz="4" w:space="0" w:color="auto"/>
            </w:tcBorders>
            <w:shd w:val="clear" w:color="auto" w:fill="auto"/>
            <w:noWrap/>
            <w:vAlign w:val="bottom"/>
            <w:hideMark/>
          </w:tcPr>
          <w:p w14:paraId="1E38431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171.36</w:t>
            </w:r>
          </w:p>
        </w:tc>
        <w:tc>
          <w:tcPr>
            <w:tcW w:w="198" w:type="pct"/>
            <w:vMerge w:val="restart"/>
            <w:tcBorders>
              <w:left w:val="single" w:sz="4" w:space="0" w:color="auto"/>
            </w:tcBorders>
            <w:shd w:val="clear" w:color="auto" w:fill="auto"/>
            <w:noWrap/>
            <w:vAlign w:val="center"/>
            <w:hideMark/>
          </w:tcPr>
          <w:p w14:paraId="6F729EE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1007</w:t>
            </w:r>
          </w:p>
        </w:tc>
        <w:tc>
          <w:tcPr>
            <w:tcW w:w="256" w:type="pct"/>
            <w:shd w:val="clear" w:color="auto" w:fill="auto"/>
            <w:noWrap/>
            <w:vAlign w:val="center"/>
            <w:hideMark/>
          </w:tcPr>
          <w:p w14:paraId="1B47AE3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45.50</w:t>
            </w:r>
          </w:p>
        </w:tc>
        <w:tc>
          <w:tcPr>
            <w:tcW w:w="257" w:type="pct"/>
            <w:tcBorders>
              <w:right w:val="single" w:sz="4" w:space="0" w:color="auto"/>
            </w:tcBorders>
            <w:shd w:val="clear" w:color="auto" w:fill="auto"/>
            <w:noWrap/>
            <w:vAlign w:val="center"/>
            <w:hideMark/>
          </w:tcPr>
          <w:p w14:paraId="27F30571"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130.94</w:t>
            </w:r>
          </w:p>
        </w:tc>
        <w:tc>
          <w:tcPr>
            <w:tcW w:w="198" w:type="pct"/>
            <w:vMerge w:val="restart"/>
            <w:tcBorders>
              <w:left w:val="single" w:sz="4" w:space="0" w:color="auto"/>
            </w:tcBorders>
            <w:shd w:val="clear" w:color="auto" w:fill="auto"/>
            <w:noWrap/>
            <w:vAlign w:val="center"/>
            <w:hideMark/>
          </w:tcPr>
          <w:p w14:paraId="31247FE4"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1007</w:t>
            </w:r>
          </w:p>
        </w:tc>
        <w:tc>
          <w:tcPr>
            <w:tcW w:w="256" w:type="pct"/>
            <w:shd w:val="clear" w:color="auto" w:fill="auto"/>
            <w:noWrap/>
            <w:vAlign w:val="center"/>
            <w:hideMark/>
          </w:tcPr>
          <w:p w14:paraId="604B1E60"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53.41</w:t>
            </w:r>
          </w:p>
        </w:tc>
        <w:tc>
          <w:tcPr>
            <w:tcW w:w="256" w:type="pct"/>
            <w:shd w:val="clear" w:color="auto" w:fill="auto"/>
            <w:noWrap/>
            <w:vAlign w:val="bottom"/>
            <w:hideMark/>
          </w:tcPr>
          <w:p w14:paraId="3CD92CD4"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136.20</w:t>
            </w:r>
          </w:p>
        </w:tc>
      </w:tr>
      <w:tr w:rsidR="009F4C66" w:rsidRPr="00B53E53" w14:paraId="1E22C0B2" w14:textId="77777777" w:rsidTr="0008153A">
        <w:trPr>
          <w:trHeight w:val="170"/>
        </w:trPr>
        <w:tc>
          <w:tcPr>
            <w:tcW w:w="226" w:type="pct"/>
            <w:vMerge/>
            <w:vAlign w:val="center"/>
            <w:hideMark/>
          </w:tcPr>
          <w:p w14:paraId="0B9CC0CD" w14:textId="77777777" w:rsidR="009F4C66" w:rsidRPr="00B53E53" w:rsidRDefault="009F4C66" w:rsidP="0008153A">
            <w:pPr>
              <w:spacing w:after="0"/>
              <w:jc w:val="center"/>
              <w:rPr>
                <w:rFonts w:eastAsia="Times New Roman" w:cs="Times New Roman"/>
                <w:color w:val="000000"/>
                <w:sz w:val="20"/>
                <w:szCs w:val="20"/>
                <w:lang w:eastAsia="en-GB"/>
              </w:rPr>
            </w:pPr>
          </w:p>
        </w:tc>
        <w:tc>
          <w:tcPr>
            <w:tcW w:w="506" w:type="pct"/>
            <w:tcBorders>
              <w:top w:val="single" w:sz="4" w:space="0" w:color="auto"/>
              <w:bottom w:val="single" w:sz="4" w:space="0" w:color="auto"/>
            </w:tcBorders>
            <w:shd w:val="clear" w:color="auto" w:fill="auto"/>
            <w:noWrap/>
            <w:vAlign w:val="bottom"/>
            <w:hideMark/>
          </w:tcPr>
          <w:p w14:paraId="179D2C8D"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D2</w:t>
            </w:r>
          </w:p>
        </w:tc>
        <w:tc>
          <w:tcPr>
            <w:tcW w:w="160" w:type="pct"/>
            <w:vMerge/>
            <w:vAlign w:val="center"/>
            <w:hideMark/>
          </w:tcPr>
          <w:p w14:paraId="03C2D9EB" w14:textId="77777777" w:rsidR="009F4C66" w:rsidRPr="00B53E53" w:rsidRDefault="009F4C66" w:rsidP="00AD758B">
            <w:pPr>
              <w:spacing w:after="0"/>
              <w:jc w:val="right"/>
              <w:rPr>
                <w:rFonts w:eastAsia="Times New Roman" w:cs="Times New Roman"/>
                <w:color w:val="000000"/>
                <w:sz w:val="20"/>
                <w:szCs w:val="20"/>
                <w:lang w:eastAsia="en-GB"/>
              </w:rPr>
            </w:pPr>
          </w:p>
        </w:tc>
        <w:tc>
          <w:tcPr>
            <w:tcW w:w="295" w:type="pct"/>
            <w:shd w:val="clear" w:color="auto" w:fill="auto"/>
            <w:noWrap/>
            <w:vAlign w:val="center"/>
            <w:hideMark/>
          </w:tcPr>
          <w:p w14:paraId="652EC4CA"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97.50</w:t>
            </w:r>
          </w:p>
        </w:tc>
        <w:tc>
          <w:tcPr>
            <w:tcW w:w="295" w:type="pct"/>
            <w:tcBorders>
              <w:right w:val="single" w:sz="4" w:space="0" w:color="auto"/>
            </w:tcBorders>
            <w:shd w:val="clear" w:color="auto" w:fill="auto"/>
            <w:noWrap/>
            <w:vAlign w:val="center"/>
            <w:hideMark/>
          </w:tcPr>
          <w:p w14:paraId="4E4070F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207.50</w:t>
            </w:r>
          </w:p>
        </w:tc>
        <w:tc>
          <w:tcPr>
            <w:tcW w:w="160" w:type="pct"/>
            <w:vMerge/>
            <w:tcBorders>
              <w:left w:val="single" w:sz="4" w:space="0" w:color="auto"/>
            </w:tcBorders>
            <w:vAlign w:val="center"/>
            <w:hideMark/>
          </w:tcPr>
          <w:p w14:paraId="193AB00A"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7B80303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87.80</w:t>
            </w:r>
          </w:p>
        </w:tc>
        <w:tc>
          <w:tcPr>
            <w:tcW w:w="257" w:type="pct"/>
            <w:tcBorders>
              <w:right w:val="single" w:sz="4" w:space="0" w:color="auto"/>
            </w:tcBorders>
            <w:shd w:val="clear" w:color="auto" w:fill="auto"/>
            <w:noWrap/>
            <w:vAlign w:val="bottom"/>
            <w:hideMark/>
          </w:tcPr>
          <w:p w14:paraId="7FC6C435"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228.11</w:t>
            </w:r>
          </w:p>
        </w:tc>
        <w:tc>
          <w:tcPr>
            <w:tcW w:w="198" w:type="pct"/>
            <w:vMerge/>
            <w:tcBorders>
              <w:left w:val="single" w:sz="4" w:space="0" w:color="auto"/>
            </w:tcBorders>
            <w:vAlign w:val="center"/>
            <w:hideMark/>
          </w:tcPr>
          <w:p w14:paraId="07622CCE"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5C5D7E9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75.50</w:t>
            </w:r>
          </w:p>
        </w:tc>
        <w:tc>
          <w:tcPr>
            <w:tcW w:w="257" w:type="pct"/>
            <w:tcBorders>
              <w:right w:val="single" w:sz="4" w:space="0" w:color="auto"/>
            </w:tcBorders>
            <w:shd w:val="clear" w:color="auto" w:fill="auto"/>
            <w:noWrap/>
            <w:vAlign w:val="center"/>
            <w:hideMark/>
          </w:tcPr>
          <w:p w14:paraId="09CDBFE5"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150.50</w:t>
            </w:r>
          </w:p>
        </w:tc>
        <w:tc>
          <w:tcPr>
            <w:tcW w:w="198" w:type="pct"/>
            <w:vMerge/>
            <w:tcBorders>
              <w:left w:val="single" w:sz="4" w:space="0" w:color="auto"/>
            </w:tcBorders>
            <w:vAlign w:val="center"/>
            <w:hideMark/>
          </w:tcPr>
          <w:p w14:paraId="35477CA6"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1285B89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199.25</w:t>
            </w:r>
          </w:p>
        </w:tc>
        <w:tc>
          <w:tcPr>
            <w:tcW w:w="260" w:type="pct"/>
            <w:tcBorders>
              <w:right w:val="single" w:sz="4" w:space="0" w:color="auto"/>
            </w:tcBorders>
            <w:shd w:val="clear" w:color="auto" w:fill="auto"/>
            <w:noWrap/>
            <w:vAlign w:val="bottom"/>
            <w:hideMark/>
          </w:tcPr>
          <w:p w14:paraId="2F07028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301.75</w:t>
            </w:r>
          </w:p>
        </w:tc>
        <w:tc>
          <w:tcPr>
            <w:tcW w:w="198" w:type="pct"/>
            <w:vMerge/>
            <w:tcBorders>
              <w:left w:val="single" w:sz="4" w:space="0" w:color="auto"/>
            </w:tcBorders>
            <w:vAlign w:val="center"/>
            <w:hideMark/>
          </w:tcPr>
          <w:p w14:paraId="3AF892B7"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6D214D9F"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35.50</w:t>
            </w:r>
          </w:p>
        </w:tc>
        <w:tc>
          <w:tcPr>
            <w:tcW w:w="257" w:type="pct"/>
            <w:tcBorders>
              <w:right w:val="single" w:sz="4" w:space="0" w:color="auto"/>
            </w:tcBorders>
            <w:shd w:val="clear" w:color="auto" w:fill="auto"/>
            <w:noWrap/>
            <w:vAlign w:val="center"/>
            <w:hideMark/>
          </w:tcPr>
          <w:p w14:paraId="31ABB01E"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55.50</w:t>
            </w:r>
          </w:p>
        </w:tc>
        <w:tc>
          <w:tcPr>
            <w:tcW w:w="198" w:type="pct"/>
            <w:vMerge/>
            <w:tcBorders>
              <w:left w:val="single" w:sz="4" w:space="0" w:color="auto"/>
            </w:tcBorders>
            <w:vAlign w:val="center"/>
            <w:hideMark/>
          </w:tcPr>
          <w:p w14:paraId="22904358"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137455A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86.54</w:t>
            </w:r>
          </w:p>
        </w:tc>
        <w:tc>
          <w:tcPr>
            <w:tcW w:w="256" w:type="pct"/>
            <w:shd w:val="clear" w:color="auto" w:fill="auto"/>
            <w:noWrap/>
            <w:vAlign w:val="bottom"/>
            <w:hideMark/>
          </w:tcPr>
          <w:p w14:paraId="71066A2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156.43</w:t>
            </w:r>
          </w:p>
        </w:tc>
      </w:tr>
      <w:tr w:rsidR="009F4C66" w:rsidRPr="00B53E53" w14:paraId="717A5803" w14:textId="77777777" w:rsidTr="0008153A">
        <w:trPr>
          <w:trHeight w:val="170"/>
        </w:trPr>
        <w:tc>
          <w:tcPr>
            <w:tcW w:w="226" w:type="pct"/>
            <w:vMerge/>
            <w:vAlign w:val="center"/>
            <w:hideMark/>
          </w:tcPr>
          <w:p w14:paraId="3647296F" w14:textId="77777777" w:rsidR="009F4C66" w:rsidRPr="00B53E53" w:rsidRDefault="009F4C66" w:rsidP="0008153A">
            <w:pPr>
              <w:spacing w:after="0"/>
              <w:jc w:val="center"/>
              <w:rPr>
                <w:rFonts w:eastAsia="Times New Roman" w:cs="Times New Roman"/>
                <w:color w:val="000000"/>
                <w:sz w:val="20"/>
                <w:szCs w:val="20"/>
                <w:lang w:eastAsia="en-GB"/>
              </w:rPr>
            </w:pPr>
          </w:p>
        </w:tc>
        <w:tc>
          <w:tcPr>
            <w:tcW w:w="506" w:type="pct"/>
            <w:tcBorders>
              <w:top w:val="single" w:sz="4" w:space="0" w:color="auto"/>
              <w:bottom w:val="single" w:sz="4" w:space="0" w:color="auto"/>
            </w:tcBorders>
            <w:shd w:val="clear" w:color="auto" w:fill="auto"/>
            <w:noWrap/>
            <w:vAlign w:val="bottom"/>
            <w:hideMark/>
          </w:tcPr>
          <w:p w14:paraId="630D46B6"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D3</w:t>
            </w:r>
          </w:p>
        </w:tc>
        <w:tc>
          <w:tcPr>
            <w:tcW w:w="160" w:type="pct"/>
            <w:vMerge/>
            <w:vAlign w:val="center"/>
            <w:hideMark/>
          </w:tcPr>
          <w:p w14:paraId="0F5EA796" w14:textId="77777777" w:rsidR="009F4C66" w:rsidRPr="00B53E53" w:rsidRDefault="009F4C66" w:rsidP="00AD758B">
            <w:pPr>
              <w:spacing w:after="0"/>
              <w:jc w:val="right"/>
              <w:rPr>
                <w:rFonts w:eastAsia="Times New Roman" w:cs="Times New Roman"/>
                <w:color w:val="000000"/>
                <w:sz w:val="20"/>
                <w:szCs w:val="20"/>
                <w:lang w:eastAsia="en-GB"/>
              </w:rPr>
            </w:pPr>
          </w:p>
        </w:tc>
        <w:tc>
          <w:tcPr>
            <w:tcW w:w="295" w:type="pct"/>
            <w:shd w:val="clear" w:color="auto" w:fill="auto"/>
            <w:noWrap/>
            <w:vAlign w:val="center"/>
            <w:hideMark/>
          </w:tcPr>
          <w:p w14:paraId="3D4FD572" w14:textId="77777777" w:rsidR="009F4C66" w:rsidRPr="00AA4C7A" w:rsidRDefault="009F4C66" w:rsidP="00AD758B">
            <w:pPr>
              <w:spacing w:after="0"/>
              <w:jc w:val="right"/>
              <w:rPr>
                <w:rFonts w:eastAsia="Times New Roman" w:cs="Times New Roman"/>
                <w:color w:val="000000"/>
                <w:sz w:val="20"/>
                <w:szCs w:val="20"/>
                <w:lang w:eastAsia="en-GB"/>
              </w:rPr>
            </w:pPr>
            <w:r w:rsidRPr="00AA4C7A">
              <w:rPr>
                <w:rFonts w:eastAsia="Times New Roman" w:cs="Times New Roman"/>
                <w:color w:val="000000"/>
                <w:sz w:val="20"/>
                <w:szCs w:val="20"/>
                <w:lang w:eastAsia="en-GB"/>
              </w:rPr>
              <w:t>1000.00</w:t>
            </w:r>
          </w:p>
        </w:tc>
        <w:tc>
          <w:tcPr>
            <w:tcW w:w="295" w:type="pct"/>
            <w:tcBorders>
              <w:right w:val="single" w:sz="4" w:space="0" w:color="auto"/>
            </w:tcBorders>
            <w:shd w:val="clear" w:color="auto" w:fill="auto"/>
            <w:noWrap/>
            <w:vAlign w:val="center"/>
            <w:hideMark/>
          </w:tcPr>
          <w:p w14:paraId="3ABC59D8" w14:textId="77777777" w:rsidR="009F4C66" w:rsidRPr="00AA4C7A" w:rsidRDefault="009F4C66" w:rsidP="00AD758B">
            <w:pPr>
              <w:spacing w:after="0"/>
              <w:jc w:val="right"/>
              <w:rPr>
                <w:rFonts w:eastAsia="Times New Roman" w:cs="Times New Roman"/>
                <w:color w:val="000000"/>
                <w:sz w:val="20"/>
                <w:szCs w:val="20"/>
                <w:lang w:eastAsia="en-GB"/>
              </w:rPr>
            </w:pPr>
            <w:r w:rsidRPr="00AA4C7A">
              <w:rPr>
                <w:rFonts w:eastAsia="Times New Roman" w:cs="Times New Roman"/>
                <w:color w:val="000000"/>
                <w:sz w:val="20"/>
                <w:szCs w:val="20"/>
                <w:lang w:eastAsia="en-GB"/>
              </w:rPr>
              <w:t>1000.00</w:t>
            </w:r>
          </w:p>
        </w:tc>
        <w:tc>
          <w:tcPr>
            <w:tcW w:w="160" w:type="pct"/>
            <w:vMerge/>
            <w:tcBorders>
              <w:left w:val="single" w:sz="4" w:space="0" w:color="auto"/>
            </w:tcBorders>
            <w:vAlign w:val="center"/>
            <w:hideMark/>
          </w:tcPr>
          <w:p w14:paraId="66CF8EBB"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43A37EEA"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350.23</w:t>
            </w:r>
          </w:p>
        </w:tc>
        <w:tc>
          <w:tcPr>
            <w:tcW w:w="257" w:type="pct"/>
            <w:tcBorders>
              <w:right w:val="single" w:sz="4" w:space="0" w:color="auto"/>
            </w:tcBorders>
            <w:shd w:val="clear" w:color="auto" w:fill="auto"/>
            <w:noWrap/>
            <w:vAlign w:val="bottom"/>
            <w:hideMark/>
          </w:tcPr>
          <w:p w14:paraId="7248AED2"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401.41</w:t>
            </w:r>
          </w:p>
        </w:tc>
        <w:tc>
          <w:tcPr>
            <w:tcW w:w="198" w:type="pct"/>
            <w:vMerge/>
            <w:tcBorders>
              <w:left w:val="single" w:sz="4" w:space="0" w:color="auto"/>
            </w:tcBorders>
            <w:vAlign w:val="center"/>
            <w:hideMark/>
          </w:tcPr>
          <w:p w14:paraId="6967A9FE"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48F1714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750.50</w:t>
            </w:r>
          </w:p>
        </w:tc>
        <w:tc>
          <w:tcPr>
            <w:tcW w:w="257" w:type="pct"/>
            <w:tcBorders>
              <w:right w:val="single" w:sz="4" w:space="0" w:color="auto"/>
            </w:tcBorders>
            <w:shd w:val="clear" w:color="auto" w:fill="auto"/>
            <w:noWrap/>
            <w:vAlign w:val="center"/>
            <w:hideMark/>
          </w:tcPr>
          <w:p w14:paraId="7193A23B"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750.50</w:t>
            </w:r>
          </w:p>
        </w:tc>
        <w:tc>
          <w:tcPr>
            <w:tcW w:w="198" w:type="pct"/>
            <w:vMerge/>
            <w:tcBorders>
              <w:left w:val="single" w:sz="4" w:space="0" w:color="auto"/>
            </w:tcBorders>
            <w:vAlign w:val="center"/>
            <w:hideMark/>
          </w:tcPr>
          <w:p w14:paraId="47C3B1C9"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39884BB4"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420.85</w:t>
            </w:r>
          </w:p>
        </w:tc>
        <w:tc>
          <w:tcPr>
            <w:tcW w:w="260" w:type="pct"/>
            <w:tcBorders>
              <w:right w:val="single" w:sz="4" w:space="0" w:color="auto"/>
            </w:tcBorders>
            <w:shd w:val="clear" w:color="auto" w:fill="auto"/>
            <w:noWrap/>
            <w:vAlign w:val="bottom"/>
            <w:hideMark/>
          </w:tcPr>
          <w:p w14:paraId="3CCD1082"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457.54</w:t>
            </w:r>
          </w:p>
        </w:tc>
        <w:tc>
          <w:tcPr>
            <w:tcW w:w="198" w:type="pct"/>
            <w:vMerge/>
            <w:tcBorders>
              <w:left w:val="single" w:sz="4" w:space="0" w:color="auto"/>
            </w:tcBorders>
            <w:vAlign w:val="center"/>
            <w:hideMark/>
          </w:tcPr>
          <w:p w14:paraId="21FF1615"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51FEE8B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504.00</w:t>
            </w:r>
          </w:p>
        </w:tc>
        <w:tc>
          <w:tcPr>
            <w:tcW w:w="257" w:type="pct"/>
            <w:tcBorders>
              <w:right w:val="single" w:sz="4" w:space="0" w:color="auto"/>
            </w:tcBorders>
            <w:shd w:val="clear" w:color="auto" w:fill="auto"/>
            <w:noWrap/>
            <w:vAlign w:val="center"/>
            <w:hideMark/>
          </w:tcPr>
          <w:p w14:paraId="3B327A1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504.00</w:t>
            </w:r>
          </w:p>
        </w:tc>
        <w:tc>
          <w:tcPr>
            <w:tcW w:w="198" w:type="pct"/>
            <w:vMerge/>
            <w:tcBorders>
              <w:left w:val="single" w:sz="4" w:space="0" w:color="auto"/>
            </w:tcBorders>
            <w:vAlign w:val="center"/>
            <w:hideMark/>
          </w:tcPr>
          <w:p w14:paraId="1A829462"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1E8326C8"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354.41</w:t>
            </w:r>
          </w:p>
        </w:tc>
        <w:tc>
          <w:tcPr>
            <w:tcW w:w="256" w:type="pct"/>
            <w:shd w:val="clear" w:color="auto" w:fill="auto"/>
            <w:noWrap/>
            <w:vAlign w:val="bottom"/>
            <w:hideMark/>
          </w:tcPr>
          <w:p w14:paraId="28737C75"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389.03</w:t>
            </w:r>
          </w:p>
        </w:tc>
      </w:tr>
      <w:tr w:rsidR="009F4C66" w:rsidRPr="00B53E53" w14:paraId="22E2B233" w14:textId="77777777" w:rsidTr="0008153A">
        <w:trPr>
          <w:trHeight w:val="170"/>
        </w:trPr>
        <w:tc>
          <w:tcPr>
            <w:tcW w:w="226" w:type="pct"/>
            <w:vMerge/>
            <w:tcBorders>
              <w:bottom w:val="single" w:sz="4" w:space="0" w:color="auto"/>
            </w:tcBorders>
            <w:vAlign w:val="center"/>
            <w:hideMark/>
          </w:tcPr>
          <w:p w14:paraId="7D8F5E2D" w14:textId="77777777" w:rsidR="009F4C66" w:rsidRPr="00B53E53" w:rsidRDefault="009F4C66" w:rsidP="0008153A">
            <w:pPr>
              <w:spacing w:after="0"/>
              <w:jc w:val="center"/>
              <w:rPr>
                <w:rFonts w:eastAsia="Times New Roman" w:cs="Times New Roman"/>
                <w:color w:val="000000"/>
                <w:sz w:val="20"/>
                <w:szCs w:val="20"/>
                <w:lang w:eastAsia="en-GB"/>
              </w:rPr>
            </w:pPr>
          </w:p>
        </w:tc>
        <w:tc>
          <w:tcPr>
            <w:tcW w:w="506" w:type="pct"/>
            <w:tcBorders>
              <w:top w:val="single" w:sz="4" w:space="0" w:color="auto"/>
            </w:tcBorders>
            <w:shd w:val="clear" w:color="auto" w:fill="auto"/>
            <w:noWrap/>
            <w:vAlign w:val="bottom"/>
            <w:hideMark/>
          </w:tcPr>
          <w:p w14:paraId="001CE48E"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D4</w:t>
            </w:r>
          </w:p>
        </w:tc>
        <w:tc>
          <w:tcPr>
            <w:tcW w:w="160" w:type="pct"/>
            <w:vMerge/>
            <w:vAlign w:val="center"/>
            <w:hideMark/>
          </w:tcPr>
          <w:p w14:paraId="6F78C6F8" w14:textId="77777777" w:rsidR="009F4C66" w:rsidRPr="00B53E53" w:rsidRDefault="009F4C66" w:rsidP="00AD758B">
            <w:pPr>
              <w:spacing w:after="0"/>
              <w:jc w:val="right"/>
              <w:rPr>
                <w:rFonts w:eastAsia="Times New Roman" w:cs="Times New Roman"/>
                <w:color w:val="000000"/>
                <w:sz w:val="20"/>
                <w:szCs w:val="20"/>
                <w:lang w:eastAsia="en-GB"/>
              </w:rPr>
            </w:pPr>
          </w:p>
        </w:tc>
        <w:tc>
          <w:tcPr>
            <w:tcW w:w="295" w:type="pct"/>
            <w:shd w:val="clear" w:color="auto" w:fill="auto"/>
            <w:noWrap/>
            <w:vAlign w:val="center"/>
            <w:hideMark/>
          </w:tcPr>
          <w:p w14:paraId="0775F875"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212.30</w:t>
            </w:r>
          </w:p>
        </w:tc>
        <w:tc>
          <w:tcPr>
            <w:tcW w:w="295" w:type="pct"/>
            <w:tcBorders>
              <w:right w:val="single" w:sz="4" w:space="0" w:color="auto"/>
            </w:tcBorders>
            <w:shd w:val="clear" w:color="auto" w:fill="auto"/>
            <w:noWrap/>
            <w:vAlign w:val="center"/>
            <w:hideMark/>
          </w:tcPr>
          <w:p w14:paraId="53C952A1"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225.80</w:t>
            </w:r>
          </w:p>
        </w:tc>
        <w:tc>
          <w:tcPr>
            <w:tcW w:w="160" w:type="pct"/>
            <w:vMerge/>
            <w:tcBorders>
              <w:left w:val="single" w:sz="4" w:space="0" w:color="auto"/>
            </w:tcBorders>
            <w:vAlign w:val="center"/>
            <w:hideMark/>
          </w:tcPr>
          <w:p w14:paraId="6D73D82E"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103959EB"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38.89</w:t>
            </w:r>
          </w:p>
        </w:tc>
        <w:tc>
          <w:tcPr>
            <w:tcW w:w="257" w:type="pct"/>
            <w:tcBorders>
              <w:right w:val="single" w:sz="4" w:space="0" w:color="auto"/>
            </w:tcBorders>
            <w:shd w:val="clear" w:color="auto" w:fill="auto"/>
            <w:noWrap/>
            <w:vAlign w:val="bottom"/>
            <w:hideMark/>
          </w:tcPr>
          <w:p w14:paraId="033B53EF"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46.75</w:t>
            </w:r>
          </w:p>
        </w:tc>
        <w:tc>
          <w:tcPr>
            <w:tcW w:w="198" w:type="pct"/>
            <w:vMerge/>
            <w:tcBorders>
              <w:left w:val="single" w:sz="4" w:space="0" w:color="auto"/>
            </w:tcBorders>
            <w:vAlign w:val="center"/>
            <w:hideMark/>
          </w:tcPr>
          <w:p w14:paraId="160F96D9"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6F1ABDF3" w14:textId="77777777" w:rsidR="009F4C66" w:rsidRPr="00B53E53" w:rsidRDefault="009F4C66" w:rsidP="00336CF6">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257" w:type="pct"/>
            <w:tcBorders>
              <w:right w:val="single" w:sz="4" w:space="0" w:color="auto"/>
            </w:tcBorders>
            <w:shd w:val="clear" w:color="auto" w:fill="auto"/>
            <w:noWrap/>
            <w:vAlign w:val="center"/>
            <w:hideMark/>
          </w:tcPr>
          <w:p w14:paraId="6FF6102E" w14:textId="77777777" w:rsidR="009F4C66" w:rsidRPr="00B53E53" w:rsidRDefault="009F4C66" w:rsidP="00336CF6">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w:t>
            </w:r>
          </w:p>
        </w:tc>
        <w:tc>
          <w:tcPr>
            <w:tcW w:w="198" w:type="pct"/>
            <w:vMerge/>
            <w:tcBorders>
              <w:left w:val="single" w:sz="4" w:space="0" w:color="auto"/>
            </w:tcBorders>
            <w:vAlign w:val="center"/>
            <w:hideMark/>
          </w:tcPr>
          <w:p w14:paraId="4DD7AD1F"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66195434"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328.15</w:t>
            </w:r>
          </w:p>
        </w:tc>
        <w:tc>
          <w:tcPr>
            <w:tcW w:w="260" w:type="pct"/>
            <w:tcBorders>
              <w:right w:val="single" w:sz="4" w:space="0" w:color="auto"/>
            </w:tcBorders>
            <w:shd w:val="clear" w:color="auto" w:fill="auto"/>
            <w:noWrap/>
            <w:vAlign w:val="bottom"/>
            <w:hideMark/>
          </w:tcPr>
          <w:p w14:paraId="74C035D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455.10</w:t>
            </w:r>
          </w:p>
        </w:tc>
        <w:tc>
          <w:tcPr>
            <w:tcW w:w="198" w:type="pct"/>
            <w:vMerge/>
            <w:tcBorders>
              <w:left w:val="single" w:sz="4" w:space="0" w:color="auto"/>
            </w:tcBorders>
            <w:vAlign w:val="center"/>
            <w:hideMark/>
          </w:tcPr>
          <w:p w14:paraId="0CDE68FA"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4B6DF9A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37.83</w:t>
            </w:r>
          </w:p>
        </w:tc>
        <w:tc>
          <w:tcPr>
            <w:tcW w:w="257" w:type="pct"/>
            <w:tcBorders>
              <w:right w:val="single" w:sz="4" w:space="0" w:color="auto"/>
            </w:tcBorders>
            <w:shd w:val="clear" w:color="auto" w:fill="auto"/>
            <w:noWrap/>
            <w:vAlign w:val="center"/>
            <w:hideMark/>
          </w:tcPr>
          <w:p w14:paraId="550ED29B"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62.83</w:t>
            </w:r>
          </w:p>
        </w:tc>
        <w:tc>
          <w:tcPr>
            <w:tcW w:w="198" w:type="pct"/>
            <w:vMerge/>
            <w:tcBorders>
              <w:left w:val="single" w:sz="4" w:space="0" w:color="auto"/>
            </w:tcBorders>
            <w:vAlign w:val="center"/>
            <w:hideMark/>
          </w:tcPr>
          <w:p w14:paraId="34B26FD5" w14:textId="77777777" w:rsidR="009F4C66" w:rsidRPr="00B53E53" w:rsidRDefault="009F4C66" w:rsidP="00AD758B">
            <w:pPr>
              <w:spacing w:after="0"/>
              <w:jc w:val="right"/>
              <w:rPr>
                <w:rFonts w:eastAsia="Times New Roman" w:cs="Times New Roman"/>
                <w:color w:val="000000"/>
                <w:sz w:val="20"/>
                <w:szCs w:val="20"/>
                <w:lang w:eastAsia="en-GB"/>
              </w:rPr>
            </w:pPr>
          </w:p>
        </w:tc>
        <w:tc>
          <w:tcPr>
            <w:tcW w:w="256" w:type="pct"/>
            <w:shd w:val="clear" w:color="auto" w:fill="auto"/>
            <w:noWrap/>
            <w:vAlign w:val="center"/>
            <w:hideMark/>
          </w:tcPr>
          <w:p w14:paraId="3C790AF5"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69.12</w:t>
            </w:r>
          </w:p>
        </w:tc>
        <w:tc>
          <w:tcPr>
            <w:tcW w:w="256" w:type="pct"/>
            <w:shd w:val="clear" w:color="auto" w:fill="auto"/>
            <w:noWrap/>
            <w:vAlign w:val="bottom"/>
            <w:hideMark/>
          </w:tcPr>
          <w:p w14:paraId="0AA624E9"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92.33</w:t>
            </w:r>
          </w:p>
        </w:tc>
      </w:tr>
      <w:tr w:rsidR="009F4C66" w:rsidRPr="00B53E53" w14:paraId="5EEAB667" w14:textId="77777777" w:rsidTr="0008153A">
        <w:trPr>
          <w:trHeight w:val="170"/>
        </w:trPr>
        <w:tc>
          <w:tcPr>
            <w:tcW w:w="731" w:type="pct"/>
            <w:gridSpan w:val="2"/>
            <w:tcBorders>
              <w:top w:val="single" w:sz="4" w:space="0" w:color="auto"/>
              <w:bottom w:val="single" w:sz="4" w:space="0" w:color="auto"/>
            </w:tcBorders>
            <w:shd w:val="clear" w:color="auto" w:fill="auto"/>
            <w:noWrap/>
            <w:vAlign w:val="bottom"/>
            <w:hideMark/>
          </w:tcPr>
          <w:p w14:paraId="6DDB00CD" w14:textId="77777777" w:rsidR="009F4C66" w:rsidRPr="00B53E53" w:rsidRDefault="009F4C66"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Average</w:t>
            </w:r>
          </w:p>
        </w:tc>
        <w:tc>
          <w:tcPr>
            <w:tcW w:w="160" w:type="pct"/>
            <w:tcBorders>
              <w:bottom w:val="single" w:sz="4" w:space="0" w:color="auto"/>
            </w:tcBorders>
            <w:shd w:val="clear" w:color="auto" w:fill="auto"/>
            <w:noWrap/>
            <w:vAlign w:val="bottom"/>
            <w:hideMark/>
          </w:tcPr>
          <w:p w14:paraId="05BAB41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40</w:t>
            </w:r>
          </w:p>
        </w:tc>
        <w:tc>
          <w:tcPr>
            <w:tcW w:w="295" w:type="pct"/>
            <w:tcBorders>
              <w:bottom w:val="single" w:sz="4" w:space="0" w:color="auto"/>
            </w:tcBorders>
            <w:shd w:val="clear" w:color="auto" w:fill="auto"/>
            <w:noWrap/>
            <w:vAlign w:val="bottom"/>
            <w:hideMark/>
          </w:tcPr>
          <w:p w14:paraId="669C3E8E"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29</w:t>
            </w:r>
          </w:p>
        </w:tc>
        <w:tc>
          <w:tcPr>
            <w:tcW w:w="295" w:type="pct"/>
            <w:tcBorders>
              <w:bottom w:val="single" w:sz="4" w:space="0" w:color="auto"/>
              <w:right w:val="single" w:sz="4" w:space="0" w:color="auto"/>
            </w:tcBorders>
            <w:shd w:val="clear" w:color="auto" w:fill="auto"/>
            <w:noWrap/>
            <w:vAlign w:val="bottom"/>
            <w:hideMark/>
          </w:tcPr>
          <w:p w14:paraId="1318CA1F"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100.20</w:t>
            </w:r>
          </w:p>
        </w:tc>
        <w:tc>
          <w:tcPr>
            <w:tcW w:w="160" w:type="pct"/>
            <w:tcBorders>
              <w:left w:val="single" w:sz="4" w:space="0" w:color="auto"/>
              <w:bottom w:val="single" w:sz="4" w:space="0" w:color="auto"/>
            </w:tcBorders>
            <w:shd w:val="clear" w:color="FF0000" w:fill="FF0000"/>
            <w:noWrap/>
            <w:vAlign w:val="bottom"/>
            <w:hideMark/>
          </w:tcPr>
          <w:p w14:paraId="390EB664"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153</w:t>
            </w:r>
          </w:p>
        </w:tc>
        <w:tc>
          <w:tcPr>
            <w:tcW w:w="256" w:type="pct"/>
            <w:tcBorders>
              <w:bottom w:val="single" w:sz="4" w:space="0" w:color="auto"/>
            </w:tcBorders>
            <w:shd w:val="clear" w:color="auto" w:fill="auto"/>
            <w:noWrap/>
            <w:vAlign w:val="bottom"/>
            <w:hideMark/>
          </w:tcPr>
          <w:p w14:paraId="0477FDD6"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29</w:t>
            </w:r>
          </w:p>
        </w:tc>
        <w:tc>
          <w:tcPr>
            <w:tcW w:w="257" w:type="pct"/>
            <w:tcBorders>
              <w:bottom w:val="single" w:sz="4" w:space="0" w:color="auto"/>
              <w:right w:val="single" w:sz="4" w:space="0" w:color="auto"/>
            </w:tcBorders>
            <w:shd w:val="clear" w:color="auto" w:fill="auto"/>
            <w:noWrap/>
            <w:vAlign w:val="bottom"/>
            <w:hideMark/>
          </w:tcPr>
          <w:p w14:paraId="0A51B69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72.43</w:t>
            </w:r>
          </w:p>
        </w:tc>
        <w:tc>
          <w:tcPr>
            <w:tcW w:w="198" w:type="pct"/>
            <w:tcBorders>
              <w:left w:val="single" w:sz="4" w:space="0" w:color="auto"/>
              <w:bottom w:val="single" w:sz="4" w:space="0" w:color="auto"/>
            </w:tcBorders>
            <w:shd w:val="clear" w:color="auto" w:fill="auto"/>
            <w:noWrap/>
            <w:vAlign w:val="bottom"/>
            <w:hideMark/>
          </w:tcPr>
          <w:p w14:paraId="7BD75D87"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76</w:t>
            </w:r>
          </w:p>
        </w:tc>
        <w:tc>
          <w:tcPr>
            <w:tcW w:w="256" w:type="pct"/>
            <w:tcBorders>
              <w:bottom w:val="single" w:sz="4" w:space="0" w:color="auto"/>
            </w:tcBorders>
            <w:shd w:val="clear" w:color="auto" w:fill="auto"/>
            <w:noWrap/>
            <w:vAlign w:val="bottom"/>
            <w:hideMark/>
          </w:tcPr>
          <w:p w14:paraId="102C029A"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87</w:t>
            </w:r>
          </w:p>
        </w:tc>
        <w:tc>
          <w:tcPr>
            <w:tcW w:w="257" w:type="pct"/>
            <w:tcBorders>
              <w:bottom w:val="single" w:sz="4" w:space="0" w:color="auto"/>
              <w:right w:val="single" w:sz="4" w:space="0" w:color="auto"/>
            </w:tcBorders>
            <w:shd w:val="clear" w:color="auto" w:fill="auto"/>
            <w:noWrap/>
            <w:vAlign w:val="bottom"/>
            <w:hideMark/>
          </w:tcPr>
          <w:p w14:paraId="036C797C"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163.73</w:t>
            </w:r>
          </w:p>
        </w:tc>
        <w:tc>
          <w:tcPr>
            <w:tcW w:w="198" w:type="pct"/>
            <w:tcBorders>
              <w:left w:val="single" w:sz="4" w:space="0" w:color="auto"/>
              <w:bottom w:val="single" w:sz="4" w:space="0" w:color="auto"/>
            </w:tcBorders>
            <w:shd w:val="clear" w:color="FF0000" w:fill="FF0000"/>
            <w:noWrap/>
            <w:vAlign w:val="bottom"/>
            <w:hideMark/>
          </w:tcPr>
          <w:p w14:paraId="737D2B9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533</w:t>
            </w:r>
          </w:p>
        </w:tc>
        <w:tc>
          <w:tcPr>
            <w:tcW w:w="256" w:type="pct"/>
            <w:tcBorders>
              <w:bottom w:val="single" w:sz="4" w:space="0" w:color="auto"/>
            </w:tcBorders>
            <w:shd w:val="clear" w:color="auto" w:fill="auto"/>
            <w:noWrap/>
            <w:vAlign w:val="bottom"/>
            <w:hideMark/>
          </w:tcPr>
          <w:p w14:paraId="23FF0E43"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101</w:t>
            </w:r>
          </w:p>
        </w:tc>
        <w:tc>
          <w:tcPr>
            <w:tcW w:w="260" w:type="pct"/>
            <w:tcBorders>
              <w:bottom w:val="single" w:sz="4" w:space="0" w:color="auto"/>
              <w:right w:val="single" w:sz="4" w:space="0" w:color="auto"/>
            </w:tcBorders>
            <w:shd w:val="clear" w:color="auto" w:fill="auto"/>
            <w:noWrap/>
            <w:vAlign w:val="bottom"/>
            <w:hideMark/>
          </w:tcPr>
          <w:p w14:paraId="0AD2ED4B"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137.97</w:t>
            </w:r>
          </w:p>
        </w:tc>
        <w:tc>
          <w:tcPr>
            <w:tcW w:w="198" w:type="pct"/>
            <w:tcBorders>
              <w:left w:val="single" w:sz="4" w:space="0" w:color="auto"/>
              <w:bottom w:val="single" w:sz="4" w:space="0" w:color="auto"/>
            </w:tcBorders>
            <w:shd w:val="clear" w:color="auto" w:fill="auto"/>
            <w:noWrap/>
            <w:vAlign w:val="bottom"/>
            <w:hideMark/>
          </w:tcPr>
          <w:p w14:paraId="58E61EA0"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49</w:t>
            </w:r>
          </w:p>
        </w:tc>
        <w:tc>
          <w:tcPr>
            <w:tcW w:w="256" w:type="pct"/>
            <w:tcBorders>
              <w:bottom w:val="single" w:sz="4" w:space="0" w:color="auto"/>
            </w:tcBorders>
            <w:shd w:val="clear" w:color="auto" w:fill="auto"/>
            <w:noWrap/>
            <w:vAlign w:val="bottom"/>
            <w:hideMark/>
          </w:tcPr>
          <w:p w14:paraId="0F31CBC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21</w:t>
            </w:r>
          </w:p>
        </w:tc>
        <w:tc>
          <w:tcPr>
            <w:tcW w:w="257" w:type="pct"/>
            <w:tcBorders>
              <w:bottom w:val="single" w:sz="4" w:space="0" w:color="auto"/>
              <w:right w:val="single" w:sz="4" w:space="0" w:color="auto"/>
            </w:tcBorders>
            <w:shd w:val="clear" w:color="auto" w:fill="auto"/>
            <w:noWrap/>
            <w:vAlign w:val="bottom"/>
            <w:hideMark/>
          </w:tcPr>
          <w:p w14:paraId="04642BA0"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39.89</w:t>
            </w:r>
          </w:p>
        </w:tc>
        <w:tc>
          <w:tcPr>
            <w:tcW w:w="198" w:type="pct"/>
            <w:tcBorders>
              <w:left w:val="single" w:sz="4" w:space="0" w:color="auto"/>
              <w:bottom w:val="single" w:sz="4" w:space="0" w:color="auto"/>
            </w:tcBorders>
            <w:shd w:val="clear" w:color="auto" w:fill="auto"/>
            <w:noWrap/>
            <w:vAlign w:val="bottom"/>
            <w:hideMark/>
          </w:tcPr>
          <w:p w14:paraId="11EA5CCA"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165</w:t>
            </w:r>
          </w:p>
        </w:tc>
        <w:tc>
          <w:tcPr>
            <w:tcW w:w="256" w:type="pct"/>
            <w:tcBorders>
              <w:bottom w:val="single" w:sz="4" w:space="0" w:color="auto"/>
            </w:tcBorders>
            <w:shd w:val="clear" w:color="auto" w:fill="auto"/>
            <w:noWrap/>
            <w:vAlign w:val="bottom"/>
            <w:hideMark/>
          </w:tcPr>
          <w:p w14:paraId="66F665AE"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47</w:t>
            </w:r>
          </w:p>
        </w:tc>
        <w:tc>
          <w:tcPr>
            <w:tcW w:w="256" w:type="pct"/>
            <w:tcBorders>
              <w:bottom w:val="single" w:sz="4" w:space="0" w:color="auto"/>
            </w:tcBorders>
            <w:shd w:val="clear" w:color="auto" w:fill="auto"/>
            <w:noWrap/>
            <w:vAlign w:val="bottom"/>
            <w:hideMark/>
          </w:tcPr>
          <w:p w14:paraId="15A7BC2D" w14:textId="77777777" w:rsidR="009F4C66" w:rsidRPr="00B53E53" w:rsidRDefault="009F4C66" w:rsidP="00AD758B">
            <w:pPr>
              <w:spacing w:after="0"/>
              <w:jc w:val="right"/>
              <w:rPr>
                <w:rFonts w:eastAsia="Times New Roman" w:cs="Times New Roman"/>
                <w:color w:val="000000"/>
                <w:sz w:val="20"/>
                <w:szCs w:val="20"/>
                <w:lang w:eastAsia="en-GB"/>
              </w:rPr>
            </w:pPr>
            <w:r w:rsidRPr="00B53E53">
              <w:rPr>
                <w:rFonts w:eastAsia="Times New Roman" w:cs="Times New Roman"/>
                <w:color w:val="000000"/>
                <w:sz w:val="20"/>
                <w:szCs w:val="20"/>
                <w:lang w:eastAsia="en-GB"/>
              </w:rPr>
              <w:t>77.86</w:t>
            </w:r>
          </w:p>
        </w:tc>
      </w:tr>
      <w:tr w:rsidR="000920EC" w:rsidRPr="00B53E53" w14:paraId="681DFDC8" w14:textId="77777777" w:rsidTr="00336CF6">
        <w:trPr>
          <w:trHeight w:val="170"/>
        </w:trPr>
        <w:tc>
          <w:tcPr>
            <w:tcW w:w="731" w:type="pct"/>
            <w:gridSpan w:val="2"/>
            <w:tcBorders>
              <w:top w:val="single" w:sz="4" w:space="0" w:color="auto"/>
              <w:bottom w:val="single" w:sz="4" w:space="0" w:color="auto"/>
            </w:tcBorders>
            <w:shd w:val="clear" w:color="auto" w:fill="auto"/>
            <w:noWrap/>
            <w:vAlign w:val="bottom"/>
          </w:tcPr>
          <w:p w14:paraId="22150923" w14:textId="327C64E2" w:rsidR="000920EC" w:rsidRDefault="000920EC" w:rsidP="0008153A">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Total fires</w:t>
            </w:r>
          </w:p>
        </w:tc>
        <w:tc>
          <w:tcPr>
            <w:tcW w:w="160" w:type="pct"/>
            <w:tcBorders>
              <w:bottom w:val="single" w:sz="4" w:space="0" w:color="auto"/>
            </w:tcBorders>
            <w:shd w:val="clear" w:color="auto" w:fill="auto"/>
            <w:noWrap/>
            <w:vAlign w:val="bottom"/>
          </w:tcPr>
          <w:p w14:paraId="1C0C3E3D" w14:textId="77777777" w:rsidR="000920EC" w:rsidRPr="00B53E53" w:rsidRDefault="000920EC" w:rsidP="00AD758B">
            <w:pPr>
              <w:spacing w:after="0"/>
              <w:jc w:val="right"/>
              <w:rPr>
                <w:rFonts w:eastAsia="Times New Roman" w:cs="Times New Roman"/>
                <w:color w:val="000000"/>
                <w:sz w:val="20"/>
                <w:szCs w:val="20"/>
                <w:lang w:eastAsia="en-GB"/>
              </w:rPr>
            </w:pPr>
          </w:p>
        </w:tc>
        <w:tc>
          <w:tcPr>
            <w:tcW w:w="295" w:type="pct"/>
            <w:tcBorders>
              <w:bottom w:val="single" w:sz="4" w:space="0" w:color="auto"/>
            </w:tcBorders>
            <w:shd w:val="clear" w:color="auto" w:fill="auto"/>
            <w:noWrap/>
            <w:vAlign w:val="bottom"/>
          </w:tcPr>
          <w:p w14:paraId="1CBC5852" w14:textId="0A82EEDB" w:rsidR="000920EC" w:rsidRPr="00B53E53" w:rsidRDefault="000920EC"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198</w:t>
            </w:r>
          </w:p>
        </w:tc>
        <w:tc>
          <w:tcPr>
            <w:tcW w:w="295" w:type="pct"/>
            <w:tcBorders>
              <w:bottom w:val="single" w:sz="4" w:space="0" w:color="auto"/>
              <w:right w:val="single" w:sz="4" w:space="0" w:color="auto"/>
            </w:tcBorders>
            <w:shd w:val="clear" w:color="auto" w:fill="auto"/>
            <w:noWrap/>
            <w:vAlign w:val="bottom"/>
          </w:tcPr>
          <w:p w14:paraId="0094F113" w14:textId="5156520A" w:rsidR="000920EC" w:rsidRPr="00B53E53" w:rsidRDefault="000920EC"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198</w:t>
            </w:r>
          </w:p>
        </w:tc>
        <w:tc>
          <w:tcPr>
            <w:tcW w:w="160" w:type="pct"/>
            <w:tcBorders>
              <w:left w:val="single" w:sz="4" w:space="0" w:color="auto"/>
              <w:bottom w:val="single" w:sz="4" w:space="0" w:color="auto"/>
            </w:tcBorders>
            <w:shd w:val="clear" w:color="auto" w:fill="auto"/>
            <w:noWrap/>
            <w:vAlign w:val="bottom"/>
          </w:tcPr>
          <w:p w14:paraId="6CF10A9D" w14:textId="77777777" w:rsidR="000920EC" w:rsidRPr="00B53E53" w:rsidRDefault="000920EC" w:rsidP="00AD758B">
            <w:pPr>
              <w:spacing w:after="0"/>
              <w:jc w:val="right"/>
              <w:rPr>
                <w:rFonts w:eastAsia="Times New Roman" w:cs="Times New Roman"/>
                <w:color w:val="000000"/>
                <w:sz w:val="20"/>
                <w:szCs w:val="20"/>
                <w:lang w:eastAsia="en-GB"/>
              </w:rPr>
            </w:pPr>
          </w:p>
        </w:tc>
        <w:tc>
          <w:tcPr>
            <w:tcW w:w="256" w:type="pct"/>
            <w:tcBorders>
              <w:bottom w:val="single" w:sz="4" w:space="0" w:color="auto"/>
            </w:tcBorders>
            <w:shd w:val="clear" w:color="auto" w:fill="auto"/>
            <w:noWrap/>
            <w:vAlign w:val="bottom"/>
          </w:tcPr>
          <w:p w14:paraId="76312963" w14:textId="5268B25F"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2124</w:t>
            </w:r>
          </w:p>
        </w:tc>
        <w:tc>
          <w:tcPr>
            <w:tcW w:w="257" w:type="pct"/>
            <w:tcBorders>
              <w:bottom w:val="single" w:sz="4" w:space="0" w:color="auto"/>
              <w:right w:val="single" w:sz="4" w:space="0" w:color="auto"/>
            </w:tcBorders>
            <w:shd w:val="clear" w:color="auto" w:fill="auto"/>
            <w:noWrap/>
            <w:vAlign w:val="bottom"/>
          </w:tcPr>
          <w:p w14:paraId="570DA630" w14:textId="36C14825"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2124</w:t>
            </w:r>
          </w:p>
        </w:tc>
        <w:tc>
          <w:tcPr>
            <w:tcW w:w="198" w:type="pct"/>
            <w:tcBorders>
              <w:left w:val="single" w:sz="4" w:space="0" w:color="auto"/>
              <w:bottom w:val="single" w:sz="4" w:space="0" w:color="auto"/>
            </w:tcBorders>
            <w:shd w:val="clear" w:color="auto" w:fill="auto"/>
            <w:noWrap/>
            <w:vAlign w:val="bottom"/>
          </w:tcPr>
          <w:p w14:paraId="41AD5694" w14:textId="77777777" w:rsidR="000920EC" w:rsidRPr="00B53E53" w:rsidRDefault="000920EC" w:rsidP="00AD758B">
            <w:pPr>
              <w:spacing w:after="0"/>
              <w:jc w:val="right"/>
              <w:rPr>
                <w:rFonts w:eastAsia="Times New Roman" w:cs="Times New Roman"/>
                <w:color w:val="000000"/>
                <w:sz w:val="20"/>
                <w:szCs w:val="20"/>
                <w:lang w:eastAsia="en-GB"/>
              </w:rPr>
            </w:pPr>
          </w:p>
        </w:tc>
        <w:tc>
          <w:tcPr>
            <w:tcW w:w="256" w:type="pct"/>
            <w:tcBorders>
              <w:bottom w:val="single" w:sz="4" w:space="0" w:color="auto"/>
            </w:tcBorders>
            <w:shd w:val="clear" w:color="auto" w:fill="auto"/>
            <w:noWrap/>
            <w:vAlign w:val="bottom"/>
          </w:tcPr>
          <w:p w14:paraId="31DF4F1F" w14:textId="23C10D2B"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11</w:t>
            </w:r>
          </w:p>
        </w:tc>
        <w:tc>
          <w:tcPr>
            <w:tcW w:w="257" w:type="pct"/>
            <w:tcBorders>
              <w:bottom w:val="single" w:sz="4" w:space="0" w:color="auto"/>
              <w:right w:val="single" w:sz="4" w:space="0" w:color="auto"/>
            </w:tcBorders>
            <w:shd w:val="clear" w:color="auto" w:fill="auto"/>
            <w:noWrap/>
            <w:vAlign w:val="bottom"/>
          </w:tcPr>
          <w:p w14:paraId="5EEB2C8E" w14:textId="7B65221B"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11</w:t>
            </w:r>
          </w:p>
        </w:tc>
        <w:tc>
          <w:tcPr>
            <w:tcW w:w="198" w:type="pct"/>
            <w:tcBorders>
              <w:left w:val="single" w:sz="4" w:space="0" w:color="auto"/>
              <w:bottom w:val="single" w:sz="4" w:space="0" w:color="auto"/>
            </w:tcBorders>
            <w:shd w:val="clear" w:color="auto" w:fill="auto"/>
            <w:noWrap/>
            <w:vAlign w:val="bottom"/>
          </w:tcPr>
          <w:p w14:paraId="7F192AAF" w14:textId="77777777" w:rsidR="000920EC" w:rsidRPr="00B53E53" w:rsidRDefault="000920EC" w:rsidP="00AD758B">
            <w:pPr>
              <w:spacing w:after="0"/>
              <w:jc w:val="right"/>
              <w:rPr>
                <w:rFonts w:eastAsia="Times New Roman" w:cs="Times New Roman"/>
                <w:color w:val="000000"/>
                <w:sz w:val="20"/>
                <w:szCs w:val="20"/>
                <w:lang w:eastAsia="en-GB"/>
              </w:rPr>
            </w:pPr>
          </w:p>
        </w:tc>
        <w:tc>
          <w:tcPr>
            <w:tcW w:w="256" w:type="pct"/>
            <w:tcBorders>
              <w:bottom w:val="single" w:sz="4" w:space="0" w:color="auto"/>
            </w:tcBorders>
            <w:shd w:val="clear" w:color="auto" w:fill="auto"/>
            <w:noWrap/>
            <w:vAlign w:val="bottom"/>
          </w:tcPr>
          <w:p w14:paraId="03877962" w14:textId="36E4A388"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172</w:t>
            </w:r>
          </w:p>
        </w:tc>
        <w:tc>
          <w:tcPr>
            <w:tcW w:w="260" w:type="pct"/>
            <w:tcBorders>
              <w:bottom w:val="single" w:sz="4" w:space="0" w:color="auto"/>
              <w:right w:val="single" w:sz="4" w:space="0" w:color="auto"/>
            </w:tcBorders>
            <w:shd w:val="clear" w:color="auto" w:fill="auto"/>
            <w:noWrap/>
            <w:vAlign w:val="bottom"/>
          </w:tcPr>
          <w:p w14:paraId="7F48572D" w14:textId="0DB67F15"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172</w:t>
            </w:r>
          </w:p>
        </w:tc>
        <w:tc>
          <w:tcPr>
            <w:tcW w:w="198" w:type="pct"/>
            <w:tcBorders>
              <w:left w:val="single" w:sz="4" w:space="0" w:color="auto"/>
              <w:bottom w:val="single" w:sz="4" w:space="0" w:color="auto"/>
            </w:tcBorders>
            <w:shd w:val="clear" w:color="auto" w:fill="auto"/>
            <w:noWrap/>
            <w:vAlign w:val="bottom"/>
          </w:tcPr>
          <w:p w14:paraId="15454A7E" w14:textId="77777777" w:rsidR="000920EC" w:rsidRPr="00B53E53" w:rsidRDefault="000920EC" w:rsidP="00AD758B">
            <w:pPr>
              <w:spacing w:after="0"/>
              <w:jc w:val="right"/>
              <w:rPr>
                <w:rFonts w:eastAsia="Times New Roman" w:cs="Times New Roman"/>
                <w:color w:val="000000"/>
                <w:sz w:val="20"/>
                <w:szCs w:val="20"/>
                <w:lang w:eastAsia="en-GB"/>
              </w:rPr>
            </w:pPr>
          </w:p>
        </w:tc>
        <w:tc>
          <w:tcPr>
            <w:tcW w:w="256" w:type="pct"/>
            <w:tcBorders>
              <w:bottom w:val="single" w:sz="4" w:space="0" w:color="auto"/>
            </w:tcBorders>
            <w:shd w:val="clear" w:color="auto" w:fill="auto"/>
            <w:noWrap/>
            <w:vAlign w:val="bottom"/>
          </w:tcPr>
          <w:p w14:paraId="1E47820B" w14:textId="26FA45D0"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94</w:t>
            </w:r>
          </w:p>
        </w:tc>
        <w:tc>
          <w:tcPr>
            <w:tcW w:w="257" w:type="pct"/>
            <w:tcBorders>
              <w:bottom w:val="single" w:sz="4" w:space="0" w:color="auto"/>
              <w:right w:val="single" w:sz="4" w:space="0" w:color="auto"/>
            </w:tcBorders>
            <w:shd w:val="clear" w:color="auto" w:fill="auto"/>
            <w:noWrap/>
            <w:vAlign w:val="bottom"/>
          </w:tcPr>
          <w:p w14:paraId="3854914D" w14:textId="30D04931"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94</w:t>
            </w:r>
          </w:p>
        </w:tc>
        <w:tc>
          <w:tcPr>
            <w:tcW w:w="198" w:type="pct"/>
            <w:tcBorders>
              <w:left w:val="single" w:sz="4" w:space="0" w:color="auto"/>
              <w:bottom w:val="single" w:sz="4" w:space="0" w:color="auto"/>
            </w:tcBorders>
            <w:shd w:val="clear" w:color="auto" w:fill="auto"/>
            <w:noWrap/>
            <w:vAlign w:val="bottom"/>
          </w:tcPr>
          <w:p w14:paraId="1F56FE62" w14:textId="77777777" w:rsidR="000920EC" w:rsidRPr="00B53E53" w:rsidRDefault="000920EC" w:rsidP="00AD758B">
            <w:pPr>
              <w:spacing w:after="0"/>
              <w:jc w:val="right"/>
              <w:rPr>
                <w:rFonts w:eastAsia="Times New Roman" w:cs="Times New Roman"/>
                <w:color w:val="000000"/>
                <w:sz w:val="20"/>
                <w:szCs w:val="20"/>
                <w:lang w:eastAsia="en-GB"/>
              </w:rPr>
            </w:pPr>
          </w:p>
        </w:tc>
        <w:tc>
          <w:tcPr>
            <w:tcW w:w="256" w:type="pct"/>
            <w:tcBorders>
              <w:bottom w:val="single" w:sz="4" w:space="0" w:color="auto"/>
            </w:tcBorders>
            <w:shd w:val="clear" w:color="auto" w:fill="auto"/>
            <w:noWrap/>
            <w:vAlign w:val="bottom"/>
          </w:tcPr>
          <w:p w14:paraId="6769AD0C" w14:textId="6699E5F9"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1800</w:t>
            </w:r>
          </w:p>
        </w:tc>
        <w:tc>
          <w:tcPr>
            <w:tcW w:w="256" w:type="pct"/>
            <w:tcBorders>
              <w:bottom w:val="single" w:sz="4" w:space="0" w:color="auto"/>
            </w:tcBorders>
            <w:shd w:val="clear" w:color="auto" w:fill="auto"/>
            <w:noWrap/>
            <w:vAlign w:val="bottom"/>
          </w:tcPr>
          <w:p w14:paraId="5C208F15" w14:textId="5713FC54" w:rsidR="000920EC" w:rsidRPr="00B53E53" w:rsidRDefault="0039195E" w:rsidP="00AD758B">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1800</w:t>
            </w:r>
          </w:p>
        </w:tc>
      </w:tr>
      <w:tr w:rsidR="009F4C66" w:rsidRPr="00B53E53" w14:paraId="447A6B5E" w14:textId="77777777" w:rsidTr="0008153A">
        <w:trPr>
          <w:trHeight w:val="170"/>
        </w:trPr>
        <w:tc>
          <w:tcPr>
            <w:tcW w:w="5000" w:type="pct"/>
            <w:gridSpan w:val="20"/>
            <w:tcBorders>
              <w:top w:val="single" w:sz="4" w:space="0" w:color="auto"/>
              <w:right w:val="single" w:sz="4" w:space="0" w:color="auto"/>
            </w:tcBorders>
            <w:shd w:val="clear" w:color="auto" w:fill="auto"/>
            <w:noWrap/>
            <w:vAlign w:val="bottom"/>
            <w:hideMark/>
          </w:tcPr>
          <w:p w14:paraId="6D648620" w14:textId="77777777" w:rsidR="009F4C66" w:rsidRPr="00B53E53" w:rsidRDefault="009F4C66" w:rsidP="0008153A">
            <w:pPr>
              <w:spacing w:after="0"/>
              <w:rPr>
                <w:rFonts w:eastAsia="Times New Roman" w:cs="Times New Roman"/>
                <w:color w:val="000000"/>
                <w:sz w:val="20"/>
                <w:szCs w:val="20"/>
                <w:lang w:eastAsia="en-GB"/>
              </w:rPr>
            </w:pPr>
          </w:p>
        </w:tc>
      </w:tr>
      <w:bookmarkEnd w:id="38"/>
    </w:tbl>
    <w:p w14:paraId="4AAE2E85" w14:textId="0CC7FAB3" w:rsidR="0039330D" w:rsidRDefault="0039330D" w:rsidP="00AA2E53">
      <w:pPr>
        <w:rPr>
          <w:rFonts w:cs="Times New Roman"/>
          <w:szCs w:val="24"/>
        </w:rPr>
        <w:sectPr w:rsidR="0039330D" w:rsidSect="00EA15CB">
          <w:pgSz w:w="15840" w:h="12240" w:orient="landscape"/>
          <w:pgMar w:top="1440" w:right="1440" w:bottom="1440" w:left="1440" w:header="720" w:footer="720" w:gutter="0"/>
          <w:lnNumType w:countBy="1" w:restart="continuous"/>
          <w:cols w:space="720"/>
          <w:docGrid w:linePitch="360"/>
        </w:sectPr>
      </w:pPr>
    </w:p>
    <w:p w14:paraId="5EC59380" w14:textId="77777777" w:rsidR="000E79B2" w:rsidRDefault="000E79B2" w:rsidP="000E79B2">
      <w:pPr>
        <w:rPr>
          <w:rFonts w:cs="Times New Roman"/>
          <w:b/>
          <w:szCs w:val="24"/>
        </w:rPr>
      </w:pPr>
      <w:r>
        <w:rPr>
          <w:rFonts w:cs="Times New Roman"/>
          <w:b/>
          <w:szCs w:val="24"/>
        </w:rPr>
        <w:lastRenderedPageBreak/>
        <w:t>6. Area damage and percentage of fires</w:t>
      </w:r>
    </w:p>
    <w:p w14:paraId="2C63590F" w14:textId="10551C4A" w:rsidR="000E79B2" w:rsidRDefault="000E79B2" w:rsidP="00B7469E">
      <w:pPr>
        <w:rPr>
          <w:rFonts w:cs="Times New Roman"/>
          <w:szCs w:val="24"/>
        </w:rPr>
      </w:pPr>
      <w:r>
        <w:rPr>
          <w:rFonts w:cs="Times New Roman"/>
          <w:szCs w:val="24"/>
        </w:rPr>
        <w:t xml:space="preserve">Table A.4 and Table A.5 of PD 7974-7 </w:t>
      </w:r>
      <w:r w:rsidR="00A47A7B">
        <w:rPr>
          <w:rFonts w:cs="Times New Roman"/>
          <w:szCs w:val="24"/>
        </w:rPr>
        <w:t>describe</w:t>
      </w:r>
      <w:r>
        <w:rPr>
          <w:rFonts w:cs="Times New Roman"/>
          <w:szCs w:val="24"/>
        </w:rPr>
        <w:t xml:space="preserve"> the area damage in m</w:t>
      </w:r>
      <w:r w:rsidRPr="00002D82">
        <w:rPr>
          <w:rFonts w:cs="Times New Roman"/>
          <w:szCs w:val="24"/>
          <w:vertAlign w:val="superscript"/>
        </w:rPr>
        <w:t>2</w:t>
      </w:r>
      <w:r>
        <w:rPr>
          <w:rFonts w:cs="Times New Roman"/>
          <w:szCs w:val="24"/>
        </w:rPr>
        <w:t xml:space="preserve"> according to </w:t>
      </w:r>
      <w:r w:rsidR="00A93A44">
        <w:rPr>
          <w:rFonts w:cs="Times New Roman"/>
          <w:szCs w:val="24"/>
        </w:rPr>
        <w:t xml:space="preserve">a </w:t>
      </w:r>
      <w:r>
        <w:rPr>
          <w:rFonts w:cs="Times New Roman"/>
          <w:szCs w:val="24"/>
        </w:rPr>
        <w:t xml:space="preserve">specific class of fire spread and the related percentage of fires respectively in </w:t>
      </w:r>
      <w:r w:rsidRPr="00002D82">
        <w:rPr>
          <w:rFonts w:cs="Times New Roman"/>
          <w:i/>
          <w:szCs w:val="24"/>
        </w:rPr>
        <w:t>Textile industry</w:t>
      </w:r>
      <w:r>
        <w:rPr>
          <w:rFonts w:cs="Times New Roman"/>
          <w:szCs w:val="24"/>
        </w:rPr>
        <w:t xml:space="preserve"> and </w:t>
      </w:r>
      <w:r w:rsidRPr="00002D82">
        <w:rPr>
          <w:rFonts w:cs="Times New Roman"/>
          <w:i/>
          <w:szCs w:val="24"/>
        </w:rPr>
        <w:t>Pubs, clubs and restaurant</w:t>
      </w:r>
      <w:r>
        <w:rPr>
          <w:rFonts w:cs="Times New Roman"/>
          <w:szCs w:val="24"/>
        </w:rPr>
        <w:t xml:space="preserve"> with different fire origin locations. These tables have been updated using the </w:t>
      </w:r>
      <w:r w:rsidRPr="008A5BB7">
        <w:rPr>
          <w:rFonts w:cs="Times New Roman"/>
          <w:i/>
          <w:iCs/>
          <w:szCs w:val="24"/>
        </w:rPr>
        <w:t>Other buildings</w:t>
      </w:r>
      <w:r>
        <w:rPr>
          <w:rFonts w:cs="Times New Roman"/>
          <w:szCs w:val="24"/>
        </w:rPr>
        <w:t xml:space="preserve"> dataset published by the Home Office, considering </w:t>
      </w:r>
      <w:r w:rsidRPr="00B71A94">
        <w:rPr>
          <w:rFonts w:cs="Times New Roman"/>
          <w:i/>
          <w:szCs w:val="24"/>
        </w:rPr>
        <w:t>Industrial manufacturing</w:t>
      </w:r>
      <w:r>
        <w:rPr>
          <w:rFonts w:cs="Times New Roman"/>
          <w:szCs w:val="24"/>
        </w:rPr>
        <w:t xml:space="preserve"> (not including Factory) for Table A.4 and </w:t>
      </w:r>
      <w:r w:rsidRPr="00B71A94">
        <w:rPr>
          <w:rFonts w:cs="Times New Roman"/>
          <w:i/>
          <w:szCs w:val="24"/>
        </w:rPr>
        <w:t xml:space="preserve">Pub, wine bar, bar; Casino, club, nightclub; Restaurant, cafe and Takeaway, fast food </w:t>
      </w:r>
      <w:r>
        <w:rPr>
          <w:rFonts w:cs="Times New Roman"/>
          <w:szCs w:val="24"/>
        </w:rPr>
        <w:t>for Table A.5. In Table A.4, th</w:t>
      </w:r>
      <w:r w:rsidR="00A47A7B">
        <w:rPr>
          <w:rFonts w:cs="Times New Roman"/>
          <w:szCs w:val="24"/>
        </w:rPr>
        <w:t>e</w:t>
      </w:r>
      <w:r>
        <w:rPr>
          <w:rFonts w:cs="Times New Roman"/>
          <w:szCs w:val="24"/>
        </w:rPr>
        <w:t xml:space="preserve"> fire origin locations investigated in UK statistics </w:t>
      </w:r>
      <w:r w:rsidR="00A47A7B">
        <w:rPr>
          <w:rFonts w:cs="Times New Roman"/>
          <w:szCs w:val="24"/>
        </w:rPr>
        <w:t>are</w:t>
      </w:r>
      <w:r>
        <w:rPr>
          <w:rFonts w:cs="Times New Roman"/>
          <w:szCs w:val="24"/>
        </w:rPr>
        <w:t>:</w:t>
      </w:r>
      <w:r w:rsidRPr="00B7469E">
        <w:rPr>
          <w:rFonts w:cs="Times New Roman"/>
          <w:szCs w:val="24"/>
        </w:rPr>
        <w:t xml:space="preserve"> </w:t>
      </w:r>
      <w:r w:rsidRPr="00D41D9F">
        <w:rPr>
          <w:rFonts w:cs="Times New Roman"/>
          <w:szCs w:val="24"/>
          <w:u w:val="single"/>
        </w:rPr>
        <w:t>Production areas</w:t>
      </w:r>
      <w:r w:rsidRPr="00D41D9F">
        <w:rPr>
          <w:rFonts w:cs="Times New Roman"/>
          <w:szCs w:val="24"/>
        </w:rPr>
        <w:t xml:space="preserve"> </w:t>
      </w:r>
      <w:r w:rsidR="00A47A7B">
        <w:rPr>
          <w:rFonts w:cs="Times New Roman"/>
          <w:szCs w:val="24"/>
        </w:rPr>
        <w:t>as</w:t>
      </w:r>
      <w:r w:rsidRPr="00D41D9F">
        <w:rPr>
          <w:rFonts w:cs="Times New Roman"/>
          <w:szCs w:val="24"/>
        </w:rPr>
        <w:t xml:space="preserve"> Process/Production room</w:t>
      </w:r>
      <w:r w:rsidRPr="00B7469E">
        <w:rPr>
          <w:rFonts w:cs="Times New Roman"/>
          <w:szCs w:val="24"/>
        </w:rPr>
        <w:t xml:space="preserve">; </w:t>
      </w:r>
      <w:r w:rsidRPr="00D41D9F">
        <w:rPr>
          <w:rFonts w:cs="Times New Roman"/>
          <w:szCs w:val="24"/>
          <w:u w:val="single"/>
        </w:rPr>
        <w:t>Storage areas</w:t>
      </w:r>
      <w:r w:rsidRPr="00D41D9F">
        <w:rPr>
          <w:rFonts w:cs="Times New Roman"/>
          <w:szCs w:val="24"/>
        </w:rPr>
        <w:t xml:space="preserve"> as Store room/Laundry room/Cloakroom</w:t>
      </w:r>
      <w:r w:rsidR="00A47A7B">
        <w:rPr>
          <w:rFonts w:cs="Times New Roman"/>
          <w:szCs w:val="24"/>
        </w:rPr>
        <w:t>,</w:t>
      </w:r>
      <w:r w:rsidRPr="00D41D9F">
        <w:rPr>
          <w:rFonts w:cs="Times New Roman"/>
          <w:szCs w:val="24"/>
        </w:rPr>
        <w:t xml:space="preserve"> Refuse store</w:t>
      </w:r>
      <w:r w:rsidRPr="00B7469E">
        <w:rPr>
          <w:rFonts w:cs="Times New Roman"/>
          <w:szCs w:val="24"/>
        </w:rPr>
        <w:t xml:space="preserve">; </w:t>
      </w:r>
      <w:proofErr w:type="gramStart"/>
      <w:r w:rsidRPr="00D41D9F">
        <w:rPr>
          <w:rFonts w:cs="Times New Roman"/>
          <w:szCs w:val="24"/>
          <w:u w:val="single"/>
        </w:rPr>
        <w:t>Other</w:t>
      </w:r>
      <w:proofErr w:type="gramEnd"/>
      <w:r w:rsidRPr="00D41D9F">
        <w:rPr>
          <w:rFonts w:cs="Times New Roman"/>
          <w:szCs w:val="24"/>
          <w:u w:val="single"/>
        </w:rPr>
        <w:t xml:space="preserve"> areas</w:t>
      </w:r>
      <w:r w:rsidRPr="00D41D9F">
        <w:rPr>
          <w:rFonts w:cs="Times New Roman"/>
          <w:szCs w:val="24"/>
        </w:rPr>
        <w:t xml:space="preserve"> as </w:t>
      </w:r>
      <w:r w:rsidR="00A47A7B">
        <w:rPr>
          <w:rFonts w:cs="Times New Roman"/>
          <w:szCs w:val="24"/>
        </w:rPr>
        <w:t xml:space="preserve">all the </w:t>
      </w:r>
      <w:r w:rsidRPr="00D41D9F">
        <w:rPr>
          <w:rFonts w:cs="Times New Roman"/>
          <w:szCs w:val="24"/>
        </w:rPr>
        <w:t>other fire origin locations</w:t>
      </w:r>
      <w:r>
        <w:rPr>
          <w:rFonts w:cs="Times New Roman"/>
          <w:szCs w:val="24"/>
        </w:rPr>
        <w:t>.</w:t>
      </w:r>
    </w:p>
    <w:p w14:paraId="7A5C4EE4" w14:textId="14415021" w:rsidR="000E79B2" w:rsidRPr="00395B50" w:rsidRDefault="000E79B2" w:rsidP="00B7469E">
      <w:pPr>
        <w:rPr>
          <w:rFonts w:cs="Times New Roman"/>
          <w:szCs w:val="24"/>
        </w:rPr>
      </w:pPr>
      <w:r w:rsidRPr="00395B50">
        <w:rPr>
          <w:rFonts w:cs="Times New Roman"/>
          <w:szCs w:val="24"/>
        </w:rPr>
        <w:t>The tw</w:t>
      </w:r>
      <w:r w:rsidRPr="002222BF">
        <w:t xml:space="preserve">o PD 7974-7 tables are analysed for the presence or absence of sprinklers and the area damage has been further classified in UK statistics according to </w:t>
      </w:r>
      <w:r w:rsidRPr="00B7469E">
        <w:rPr>
          <w:i/>
          <w:iCs/>
        </w:rPr>
        <w:t>fire</w:t>
      </w:r>
      <w:r w:rsidRPr="002222BF">
        <w:t xml:space="preserve"> and </w:t>
      </w:r>
      <w:r w:rsidRPr="00B7469E">
        <w:rPr>
          <w:i/>
          <w:iCs/>
        </w:rPr>
        <w:t>total</w:t>
      </w:r>
      <w:r w:rsidRPr="002222BF">
        <w:t xml:space="preserve"> </w:t>
      </w:r>
      <w:r w:rsidRPr="00B7469E">
        <w:rPr>
          <w:i/>
          <w:iCs/>
        </w:rPr>
        <w:t>damage</w:t>
      </w:r>
      <w:r w:rsidR="006D1489">
        <w:t>;</w:t>
      </w:r>
      <w:r w:rsidRPr="002222BF">
        <w:t xml:space="preserve"> where </w:t>
      </w:r>
      <w:r w:rsidRPr="00B7469E">
        <w:rPr>
          <w:i/>
          <w:iCs/>
        </w:rPr>
        <w:t>fire damage</w:t>
      </w:r>
      <w:r w:rsidRPr="002222BF">
        <w:t xml:space="preserve"> is defined as the total horizontal area damaged by the flame and heat in m</w:t>
      </w:r>
      <w:r w:rsidRPr="00B7469E">
        <w:rPr>
          <w:vertAlign w:val="superscript"/>
        </w:rPr>
        <w:t>2</w:t>
      </w:r>
      <w:r w:rsidRPr="002222BF">
        <w:t xml:space="preserve"> at the stop of the fire</w:t>
      </w:r>
      <w:r w:rsidR="006D1489">
        <w:t>;</w:t>
      </w:r>
      <w:r w:rsidRPr="002222BF">
        <w:t xml:space="preserve"> and </w:t>
      </w:r>
      <w:r w:rsidRPr="00B7469E">
        <w:rPr>
          <w:i/>
          <w:iCs/>
        </w:rPr>
        <w:t>total damage</w:t>
      </w:r>
      <w:r w:rsidRPr="002222BF">
        <w:t xml:space="preserve"> as the area damaged by the flame, heat, smoke and water in m</w:t>
      </w:r>
      <w:r w:rsidRPr="00B7469E">
        <w:rPr>
          <w:vertAlign w:val="superscript"/>
        </w:rPr>
        <w:t>2</w:t>
      </w:r>
      <w:r w:rsidR="006D1489">
        <w:t>.</w:t>
      </w:r>
      <w:r w:rsidRPr="002222BF">
        <w:t xml:space="preserve"> </w:t>
      </w:r>
      <w:r w:rsidR="006D1489">
        <w:t>I</w:t>
      </w:r>
      <w:r w:rsidRPr="002222BF">
        <w:t>n USA</w:t>
      </w:r>
      <w:r w:rsidR="00F6010C">
        <w:t>,</w:t>
      </w:r>
      <w:r w:rsidRPr="002222BF">
        <w:t xml:space="preserve"> only </w:t>
      </w:r>
      <w:r w:rsidRPr="00B7469E">
        <w:rPr>
          <w:i/>
          <w:iCs/>
        </w:rPr>
        <w:t>fire damage</w:t>
      </w:r>
      <w:r w:rsidRPr="002222BF">
        <w:t xml:space="preserve"> is recorded which does not include areas receiving only heat, smoke, or water damage</w:t>
      </w:r>
      <w:r>
        <w:t xml:space="preserve">. </w:t>
      </w:r>
      <w:r w:rsidR="00E736A9">
        <w:fldChar w:fldCharType="begin"/>
      </w:r>
      <w:r w:rsidR="00E736A9">
        <w:instrText xml:space="preserve"> REF _Ref18319168 \h </w:instrText>
      </w:r>
      <w:r w:rsidR="00E736A9">
        <w:fldChar w:fldCharType="separate"/>
      </w:r>
      <w:r w:rsidR="00250859">
        <w:t xml:space="preserve">Table </w:t>
      </w:r>
      <w:r w:rsidR="00250859">
        <w:rPr>
          <w:noProof/>
        </w:rPr>
        <w:t>5</w:t>
      </w:r>
      <w:r w:rsidR="00E736A9">
        <w:fldChar w:fldCharType="end"/>
      </w:r>
      <w:r w:rsidR="00E736A9">
        <w:t xml:space="preserve"> </w:t>
      </w:r>
      <w:r w:rsidRPr="00395B50">
        <w:rPr>
          <w:rFonts w:cs="Times New Roman"/>
          <w:szCs w:val="24"/>
        </w:rPr>
        <w:t xml:space="preserve">presents the legend for </w:t>
      </w:r>
      <w:r>
        <w:rPr>
          <w:rFonts w:cs="Times New Roman"/>
          <w:szCs w:val="24"/>
        </w:rPr>
        <w:fldChar w:fldCharType="begin"/>
      </w:r>
      <w:r>
        <w:rPr>
          <w:rFonts w:cs="Times New Roman"/>
          <w:szCs w:val="24"/>
        </w:rPr>
        <w:instrText xml:space="preserve"> REF _Ref17300947 \h </w:instrText>
      </w:r>
      <w:r>
        <w:rPr>
          <w:rFonts w:cs="Times New Roman"/>
          <w:szCs w:val="24"/>
        </w:rPr>
      </w:r>
      <w:r>
        <w:rPr>
          <w:rFonts w:cs="Times New Roman"/>
          <w:szCs w:val="24"/>
        </w:rPr>
        <w:fldChar w:fldCharType="separate"/>
      </w:r>
      <w:r w:rsidR="00250859">
        <w:t xml:space="preserve">Table </w:t>
      </w:r>
      <w:r w:rsidR="00250859">
        <w:rPr>
          <w:noProof/>
        </w:rPr>
        <w:t>4</w:t>
      </w:r>
      <w:r>
        <w:rPr>
          <w:rFonts w:cs="Times New Roman"/>
          <w:szCs w:val="24"/>
        </w:rPr>
        <w:fldChar w:fldCharType="end"/>
      </w:r>
      <w:r w:rsidRPr="000D4F95">
        <w:rPr>
          <w:rFonts w:cs="Times New Roman"/>
          <w:szCs w:val="24"/>
        </w:rPr>
        <w:t xml:space="preserve">, </w:t>
      </w:r>
      <w:r w:rsidRPr="000D4F95">
        <w:rPr>
          <w:rFonts w:cs="Times New Roman"/>
          <w:szCs w:val="24"/>
        </w:rPr>
        <w:fldChar w:fldCharType="begin"/>
      </w:r>
      <w:r w:rsidRPr="00225634">
        <w:rPr>
          <w:rFonts w:cs="Times New Roman"/>
          <w:szCs w:val="24"/>
        </w:rPr>
        <w:instrText xml:space="preserve"> REF _Ref14354560 \h </w:instrText>
      </w:r>
      <w:r w:rsidRPr="000D4F95">
        <w:rPr>
          <w:rFonts w:cs="Times New Roman"/>
          <w:szCs w:val="24"/>
        </w:rPr>
      </w:r>
      <w:r w:rsidRPr="000D4F95">
        <w:rPr>
          <w:rFonts w:cs="Times New Roman"/>
          <w:szCs w:val="24"/>
        </w:rPr>
        <w:fldChar w:fldCharType="separate"/>
      </w:r>
      <w:r w:rsidR="00250859">
        <w:t xml:space="preserve">Table </w:t>
      </w:r>
      <w:r w:rsidR="00250859">
        <w:rPr>
          <w:noProof/>
        </w:rPr>
        <w:t>6</w:t>
      </w:r>
      <w:r w:rsidRPr="000D4F95">
        <w:rPr>
          <w:rFonts w:cs="Times New Roman"/>
          <w:szCs w:val="24"/>
        </w:rPr>
        <w:fldChar w:fldCharType="end"/>
      </w:r>
      <w:r w:rsidRPr="000D4F95">
        <w:rPr>
          <w:rFonts w:cs="Times New Roman"/>
          <w:szCs w:val="24"/>
        </w:rPr>
        <w:t xml:space="preserve"> and </w:t>
      </w:r>
      <w:r w:rsidRPr="008F2B05">
        <w:rPr>
          <w:rFonts w:cs="Times New Roman"/>
          <w:szCs w:val="24"/>
        </w:rPr>
        <w:fldChar w:fldCharType="begin"/>
      </w:r>
      <w:r w:rsidRPr="00225634">
        <w:rPr>
          <w:rFonts w:cs="Times New Roman"/>
          <w:szCs w:val="24"/>
        </w:rPr>
        <w:instrText xml:space="preserve"> REF _Ref14354568 \h </w:instrText>
      </w:r>
      <w:r w:rsidRPr="008F2B05">
        <w:rPr>
          <w:rFonts w:cs="Times New Roman"/>
          <w:szCs w:val="24"/>
        </w:rPr>
      </w:r>
      <w:r w:rsidRPr="008F2B05">
        <w:rPr>
          <w:rFonts w:cs="Times New Roman"/>
          <w:szCs w:val="24"/>
        </w:rPr>
        <w:fldChar w:fldCharType="separate"/>
      </w:r>
      <w:r w:rsidR="00250859">
        <w:t xml:space="preserve">Table </w:t>
      </w:r>
      <w:r w:rsidR="00250859">
        <w:rPr>
          <w:noProof/>
        </w:rPr>
        <w:t>7</w:t>
      </w:r>
      <w:r w:rsidRPr="008F2B05">
        <w:rPr>
          <w:rFonts w:cs="Times New Roman"/>
          <w:szCs w:val="24"/>
        </w:rPr>
        <w:fldChar w:fldCharType="end"/>
      </w:r>
      <w:r w:rsidRPr="00D41D9F">
        <w:rPr>
          <w:rFonts w:cs="Times New Roman"/>
          <w:szCs w:val="24"/>
        </w:rPr>
        <w:t xml:space="preserve">. The </w:t>
      </w:r>
      <w:r w:rsidR="00A47A7B">
        <w:rPr>
          <w:rFonts w:cs="Times New Roman"/>
          <w:szCs w:val="24"/>
        </w:rPr>
        <w:t>fire spread classes</w:t>
      </w:r>
      <w:r w:rsidRPr="00D41D9F">
        <w:rPr>
          <w:rFonts w:cs="Times New Roman"/>
          <w:szCs w:val="24"/>
        </w:rPr>
        <w:t xml:space="preserve"> </w:t>
      </w:r>
      <w:r>
        <w:rPr>
          <w:rFonts w:cs="Times New Roman"/>
          <w:szCs w:val="24"/>
        </w:rPr>
        <w:t>in</w:t>
      </w:r>
      <w:r w:rsidRPr="00395B50">
        <w:rPr>
          <w:rFonts w:cs="Times New Roman"/>
          <w:szCs w:val="24"/>
        </w:rPr>
        <w:t xml:space="preserve"> PD 7974-7 have a distinction when the fire con</w:t>
      </w:r>
      <w:r>
        <w:rPr>
          <w:rFonts w:cs="Times New Roman"/>
          <w:szCs w:val="24"/>
        </w:rPr>
        <w:t xml:space="preserve">fined to the room of origin </w:t>
      </w:r>
      <w:r w:rsidRPr="00395B50">
        <w:rPr>
          <w:rFonts w:cs="Times New Roman"/>
          <w:szCs w:val="24"/>
        </w:rPr>
        <w:t>affects only the contents or</w:t>
      </w:r>
      <w:r>
        <w:rPr>
          <w:rFonts w:cs="Times New Roman"/>
          <w:szCs w:val="24"/>
        </w:rPr>
        <w:t xml:space="preserve"> involve</w:t>
      </w:r>
      <w:r w:rsidRPr="00395B50">
        <w:rPr>
          <w:rFonts w:cs="Times New Roman"/>
          <w:szCs w:val="24"/>
        </w:rPr>
        <w:t xml:space="preserve"> the structure </w:t>
      </w:r>
      <w:r>
        <w:rPr>
          <w:rFonts w:cs="Times New Roman"/>
          <w:szCs w:val="24"/>
        </w:rPr>
        <w:t xml:space="preserve">whereas current </w:t>
      </w:r>
      <w:r w:rsidRPr="00395B50">
        <w:rPr>
          <w:rFonts w:cs="Times New Roman"/>
          <w:szCs w:val="24"/>
        </w:rPr>
        <w:t>fire statistics have a detailed classification if the fire spreads beyond the room of origin (</w:t>
      </w:r>
      <w:r w:rsidR="00A47A7B">
        <w:rPr>
          <w:rFonts w:cs="Times New Roman"/>
          <w:szCs w:val="24"/>
        </w:rPr>
        <w:t xml:space="preserve">e.g. </w:t>
      </w:r>
      <w:r w:rsidRPr="00395B50">
        <w:rPr>
          <w:rFonts w:cs="Times New Roman"/>
          <w:szCs w:val="24"/>
        </w:rPr>
        <w:t>confined to the</w:t>
      </w:r>
      <w:r w:rsidR="00322FD8">
        <w:rPr>
          <w:rFonts w:cs="Times New Roman"/>
          <w:szCs w:val="24"/>
        </w:rPr>
        <w:t xml:space="preserve"> </w:t>
      </w:r>
      <w:r w:rsidRPr="00395B50">
        <w:rPr>
          <w:rFonts w:cs="Times New Roman"/>
          <w:szCs w:val="24"/>
        </w:rPr>
        <w:t>origin</w:t>
      </w:r>
      <w:r w:rsidR="00322FD8">
        <w:rPr>
          <w:rFonts w:cs="Times New Roman"/>
          <w:szCs w:val="24"/>
        </w:rPr>
        <w:t xml:space="preserve"> floor</w:t>
      </w:r>
      <w:r w:rsidRPr="00395B50">
        <w:rPr>
          <w:rFonts w:cs="Times New Roman"/>
          <w:szCs w:val="24"/>
        </w:rPr>
        <w:t>, to two floors, involve the whole building/more than two floors or roofs/roof spaces).</w:t>
      </w:r>
      <w:r w:rsidR="0020147E">
        <w:rPr>
          <w:rFonts w:cs="Times New Roman"/>
          <w:szCs w:val="24"/>
        </w:rPr>
        <w:t xml:space="preserve"> </w:t>
      </w:r>
      <w:r w:rsidR="00A47A7B">
        <w:rPr>
          <w:rFonts w:cs="Times New Roman"/>
          <w:szCs w:val="24"/>
        </w:rPr>
        <w:t xml:space="preserve">Unfortunately, </w:t>
      </w:r>
      <w:r w:rsidR="0020147E">
        <w:rPr>
          <w:rFonts w:cs="Times New Roman"/>
          <w:szCs w:val="24"/>
        </w:rPr>
        <w:t>total number of fire</w:t>
      </w:r>
      <w:r w:rsidR="007D694C">
        <w:rPr>
          <w:rFonts w:cs="Times New Roman"/>
          <w:szCs w:val="24"/>
        </w:rPr>
        <w:t>s</w:t>
      </w:r>
      <w:r w:rsidR="0020147E">
        <w:rPr>
          <w:rFonts w:cs="Times New Roman"/>
          <w:szCs w:val="24"/>
        </w:rPr>
        <w:t xml:space="preserve"> in PD 7974-7 is not provided for </w:t>
      </w:r>
      <w:r w:rsidR="00936A7A">
        <w:rPr>
          <w:rFonts w:cs="Times New Roman"/>
          <w:szCs w:val="24"/>
        </w:rPr>
        <w:t xml:space="preserve">Table A.4 </w:t>
      </w:r>
      <w:r w:rsidR="0020147E">
        <w:rPr>
          <w:rFonts w:cs="Times New Roman"/>
          <w:szCs w:val="24"/>
        </w:rPr>
        <w:t>and</w:t>
      </w:r>
      <w:r w:rsidR="00936A7A">
        <w:rPr>
          <w:rFonts w:cs="Times New Roman"/>
          <w:szCs w:val="24"/>
        </w:rPr>
        <w:t xml:space="preserve"> Table A</w:t>
      </w:r>
      <w:r w:rsidR="008B0226">
        <w:rPr>
          <w:rFonts w:cs="Times New Roman"/>
          <w:szCs w:val="24"/>
        </w:rPr>
        <w:t>.5</w:t>
      </w:r>
      <w:r w:rsidR="0020147E">
        <w:rPr>
          <w:rFonts w:cs="Times New Roman"/>
          <w:szCs w:val="24"/>
        </w:rPr>
        <w:t>.</w:t>
      </w:r>
    </w:p>
    <w:p w14:paraId="424B74BE" w14:textId="287FD71A" w:rsidR="000E79B2" w:rsidRDefault="000E79B2" w:rsidP="00B7469E">
      <w:pPr>
        <w:pStyle w:val="Caption"/>
        <w:rPr>
          <w:szCs w:val="24"/>
        </w:rPr>
      </w:pPr>
      <w:bookmarkStart w:id="40" w:name="_Ref18319168"/>
      <w:r>
        <w:t xml:space="preserve">Table </w:t>
      </w:r>
      <w:r>
        <w:fldChar w:fldCharType="begin"/>
      </w:r>
      <w:r>
        <w:instrText xml:space="preserve"> SEQ Table \* ARABIC </w:instrText>
      </w:r>
      <w:r>
        <w:fldChar w:fldCharType="separate"/>
      </w:r>
      <w:r w:rsidR="00250859">
        <w:rPr>
          <w:noProof/>
        </w:rPr>
        <w:t>5</w:t>
      </w:r>
      <w:r>
        <w:fldChar w:fldCharType="end"/>
      </w:r>
      <w:bookmarkEnd w:id="40"/>
      <w:r>
        <w:t xml:space="preserve">: Legend for </w:t>
      </w:r>
      <w:r>
        <w:fldChar w:fldCharType="begin"/>
      </w:r>
      <w:r>
        <w:instrText xml:space="preserve"> REF _Ref17300947 \h </w:instrText>
      </w:r>
      <w:r>
        <w:fldChar w:fldCharType="separate"/>
      </w:r>
      <w:r w:rsidR="00250859">
        <w:t xml:space="preserve">Table </w:t>
      </w:r>
      <w:r w:rsidR="00250859">
        <w:rPr>
          <w:noProof/>
        </w:rPr>
        <w:t>4</w:t>
      </w:r>
      <w:r>
        <w:fldChar w:fldCharType="end"/>
      </w:r>
      <w:r w:rsidR="00E736A9">
        <w:t>,</w:t>
      </w:r>
      <w:r>
        <w:t xml:space="preserve"> </w:t>
      </w:r>
      <w:r>
        <w:fldChar w:fldCharType="begin"/>
      </w:r>
      <w:r>
        <w:instrText xml:space="preserve"> REF _Ref14354560 \h </w:instrText>
      </w:r>
      <w:r>
        <w:fldChar w:fldCharType="separate"/>
      </w:r>
      <w:r w:rsidR="00250859">
        <w:t xml:space="preserve">Table </w:t>
      </w:r>
      <w:r w:rsidR="00250859">
        <w:rPr>
          <w:noProof/>
        </w:rPr>
        <w:t>6</w:t>
      </w:r>
      <w:r>
        <w:fldChar w:fldCharType="end"/>
      </w:r>
      <w:r>
        <w:t xml:space="preserve"> and </w:t>
      </w:r>
      <w:r>
        <w:fldChar w:fldCharType="begin"/>
      </w:r>
      <w:r>
        <w:instrText xml:space="preserve"> REF _Ref14354568 \h </w:instrText>
      </w:r>
      <w:r>
        <w:fldChar w:fldCharType="separate"/>
      </w:r>
      <w:r w:rsidR="00250859">
        <w:t xml:space="preserve">Table </w:t>
      </w:r>
      <w:r w:rsidR="00250859">
        <w:rPr>
          <w:noProof/>
        </w:rPr>
        <w:t>7</w:t>
      </w:r>
      <w:r>
        <w:fldChar w:fldCharType="end"/>
      </w:r>
    </w:p>
    <w:tbl>
      <w:tblPr>
        <w:tblStyle w:val="TableGrid"/>
        <w:tblW w:w="0" w:type="auto"/>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05"/>
        <w:gridCol w:w="2081"/>
        <w:gridCol w:w="2455"/>
        <w:gridCol w:w="2075"/>
      </w:tblGrid>
      <w:tr w:rsidR="0042635C" w:rsidRPr="0039330D" w14:paraId="10924420" w14:textId="77777777" w:rsidTr="00336CF6">
        <w:trPr>
          <w:trHeight w:val="113"/>
        </w:trPr>
        <w:tc>
          <w:tcPr>
            <w:tcW w:w="2405" w:type="dxa"/>
          </w:tcPr>
          <w:p w14:paraId="63CA76DC" w14:textId="77777777" w:rsidR="000E79B2" w:rsidRPr="00524A6C" w:rsidRDefault="000E79B2" w:rsidP="00336CF6">
            <w:pPr>
              <w:jc w:val="left"/>
              <w:rPr>
                <w:rFonts w:cs="Times New Roman"/>
                <w:sz w:val="20"/>
              </w:rPr>
            </w:pPr>
            <w:r w:rsidRPr="00524A6C">
              <w:rPr>
                <w:rFonts w:cs="Times New Roman"/>
                <w:sz w:val="20"/>
              </w:rPr>
              <w:t>A. No fire damage</w:t>
            </w:r>
          </w:p>
        </w:tc>
        <w:tc>
          <w:tcPr>
            <w:tcW w:w="2081" w:type="dxa"/>
          </w:tcPr>
          <w:p w14:paraId="693ECDF4" w14:textId="77777777" w:rsidR="000E79B2" w:rsidRPr="000274B7" w:rsidRDefault="000E79B2" w:rsidP="00336CF6">
            <w:pPr>
              <w:jc w:val="left"/>
              <w:rPr>
                <w:rFonts w:cs="Times New Roman"/>
                <w:sz w:val="20"/>
              </w:rPr>
            </w:pPr>
            <w:r w:rsidRPr="000274B7">
              <w:rPr>
                <w:rFonts w:cs="Times New Roman"/>
                <w:sz w:val="20"/>
              </w:rPr>
              <w:t>C1. Contents only</w:t>
            </w:r>
          </w:p>
        </w:tc>
        <w:tc>
          <w:tcPr>
            <w:tcW w:w="2455" w:type="dxa"/>
          </w:tcPr>
          <w:p w14:paraId="29700965" w14:textId="28ABB47E" w:rsidR="000E79B2" w:rsidRPr="00524A6C" w:rsidRDefault="000E79B2" w:rsidP="00336CF6">
            <w:pPr>
              <w:jc w:val="left"/>
              <w:rPr>
                <w:rFonts w:cs="Times New Roman"/>
                <w:sz w:val="20"/>
              </w:rPr>
            </w:pPr>
            <w:r w:rsidRPr="00125627">
              <w:rPr>
                <w:rFonts w:cs="Times New Roman"/>
                <w:sz w:val="20"/>
              </w:rPr>
              <w:t xml:space="preserve">D1. Confined to </w:t>
            </w:r>
            <w:r w:rsidR="0042635C">
              <w:rPr>
                <w:rFonts w:cs="Times New Roman"/>
                <w:sz w:val="20"/>
              </w:rPr>
              <w:t>origin floor</w:t>
            </w:r>
          </w:p>
        </w:tc>
        <w:tc>
          <w:tcPr>
            <w:tcW w:w="2075" w:type="dxa"/>
          </w:tcPr>
          <w:p w14:paraId="4A2535EB" w14:textId="77777777" w:rsidR="000E79B2" w:rsidRPr="000274B7" w:rsidRDefault="000E79B2" w:rsidP="00336CF6">
            <w:pPr>
              <w:jc w:val="left"/>
              <w:rPr>
                <w:rFonts w:cs="Times New Roman"/>
                <w:sz w:val="20"/>
              </w:rPr>
            </w:pPr>
            <w:r w:rsidRPr="000274B7">
              <w:rPr>
                <w:rFonts w:cs="Times New Roman"/>
                <w:sz w:val="20"/>
              </w:rPr>
              <w:t>D4. Roofs/Roof spaces</w:t>
            </w:r>
          </w:p>
        </w:tc>
      </w:tr>
      <w:tr w:rsidR="0042635C" w:rsidRPr="0039330D" w14:paraId="14CC9697" w14:textId="77777777" w:rsidTr="00336CF6">
        <w:trPr>
          <w:trHeight w:val="113"/>
        </w:trPr>
        <w:tc>
          <w:tcPr>
            <w:tcW w:w="2405" w:type="dxa"/>
          </w:tcPr>
          <w:p w14:paraId="564C4B9A" w14:textId="4181AC4A" w:rsidR="000E79B2" w:rsidRPr="00125627" w:rsidRDefault="000E79B2" w:rsidP="00336CF6">
            <w:pPr>
              <w:jc w:val="left"/>
              <w:rPr>
                <w:rFonts w:cs="Times New Roman"/>
                <w:sz w:val="20"/>
              </w:rPr>
            </w:pPr>
            <w:r w:rsidRPr="00524A6C">
              <w:rPr>
                <w:rFonts w:cs="Times New Roman"/>
                <w:sz w:val="20"/>
              </w:rPr>
              <w:t>B. Confined to item</w:t>
            </w:r>
            <w:r w:rsidRPr="000274B7">
              <w:rPr>
                <w:rFonts w:cs="Times New Roman"/>
                <w:sz w:val="20"/>
              </w:rPr>
              <w:t xml:space="preserve"> ignited</w:t>
            </w:r>
          </w:p>
        </w:tc>
        <w:tc>
          <w:tcPr>
            <w:tcW w:w="2081" w:type="dxa"/>
          </w:tcPr>
          <w:p w14:paraId="47FD33D4" w14:textId="77777777" w:rsidR="000E79B2" w:rsidRPr="00431364" w:rsidRDefault="000E79B2" w:rsidP="00336CF6">
            <w:pPr>
              <w:jc w:val="left"/>
              <w:rPr>
                <w:rFonts w:cs="Times New Roman"/>
                <w:sz w:val="20"/>
              </w:rPr>
            </w:pPr>
            <w:r w:rsidRPr="00431364">
              <w:rPr>
                <w:rFonts w:cs="Times New Roman"/>
                <w:sz w:val="20"/>
              </w:rPr>
              <w:t>C2. Structure involved</w:t>
            </w:r>
          </w:p>
        </w:tc>
        <w:tc>
          <w:tcPr>
            <w:tcW w:w="2455" w:type="dxa"/>
          </w:tcPr>
          <w:p w14:paraId="57BA2089" w14:textId="77777777" w:rsidR="000E79B2" w:rsidRPr="00194D62" w:rsidRDefault="000E79B2" w:rsidP="00336CF6">
            <w:pPr>
              <w:jc w:val="left"/>
              <w:rPr>
                <w:rFonts w:cs="Times New Roman"/>
                <w:sz w:val="20"/>
              </w:rPr>
            </w:pPr>
            <w:r w:rsidRPr="00194D62">
              <w:rPr>
                <w:rFonts w:cs="Times New Roman"/>
                <w:sz w:val="20"/>
              </w:rPr>
              <w:t>D2. Confined to two floors</w:t>
            </w:r>
          </w:p>
        </w:tc>
        <w:tc>
          <w:tcPr>
            <w:tcW w:w="2075" w:type="dxa"/>
          </w:tcPr>
          <w:p w14:paraId="1A7EFD6A" w14:textId="77777777" w:rsidR="000E79B2" w:rsidRPr="00194D62" w:rsidRDefault="000E79B2" w:rsidP="00336CF6">
            <w:pPr>
              <w:jc w:val="left"/>
              <w:rPr>
                <w:rFonts w:cs="Times New Roman"/>
                <w:sz w:val="20"/>
              </w:rPr>
            </w:pPr>
            <w:r w:rsidRPr="00194D62">
              <w:rPr>
                <w:rFonts w:cs="Times New Roman"/>
                <w:sz w:val="20"/>
              </w:rPr>
              <w:t>F. Fire Damage</w:t>
            </w:r>
          </w:p>
        </w:tc>
      </w:tr>
      <w:tr w:rsidR="0042635C" w:rsidRPr="0039330D" w14:paraId="2D0DC7B4" w14:textId="77777777" w:rsidTr="00336CF6">
        <w:trPr>
          <w:trHeight w:val="113"/>
        </w:trPr>
        <w:tc>
          <w:tcPr>
            <w:tcW w:w="2405" w:type="dxa"/>
          </w:tcPr>
          <w:p w14:paraId="07B9D27C" w14:textId="26BB660E" w:rsidR="000E79B2" w:rsidRPr="00524A6C" w:rsidRDefault="000E79B2" w:rsidP="00336CF6">
            <w:pPr>
              <w:jc w:val="left"/>
              <w:rPr>
                <w:rFonts w:cs="Times New Roman"/>
                <w:sz w:val="20"/>
              </w:rPr>
            </w:pPr>
            <w:r w:rsidRPr="00524A6C">
              <w:rPr>
                <w:rFonts w:cs="Times New Roman"/>
                <w:sz w:val="20"/>
              </w:rPr>
              <w:t xml:space="preserve">C. Confined to </w:t>
            </w:r>
            <w:r w:rsidR="0042635C">
              <w:rPr>
                <w:rFonts w:cs="Times New Roman"/>
                <w:sz w:val="20"/>
              </w:rPr>
              <w:t>origin room</w:t>
            </w:r>
          </w:p>
        </w:tc>
        <w:tc>
          <w:tcPr>
            <w:tcW w:w="2081" w:type="dxa"/>
          </w:tcPr>
          <w:p w14:paraId="7ECC984A" w14:textId="77777777" w:rsidR="000E79B2" w:rsidRPr="000274B7" w:rsidRDefault="000E79B2" w:rsidP="00336CF6">
            <w:pPr>
              <w:jc w:val="left"/>
              <w:rPr>
                <w:rFonts w:cs="Times New Roman"/>
                <w:sz w:val="20"/>
              </w:rPr>
            </w:pPr>
            <w:r w:rsidRPr="000274B7">
              <w:rPr>
                <w:rFonts w:cs="Times New Roman"/>
                <w:sz w:val="20"/>
              </w:rPr>
              <w:t>D. Spread beyond room</w:t>
            </w:r>
          </w:p>
        </w:tc>
        <w:tc>
          <w:tcPr>
            <w:tcW w:w="2455" w:type="dxa"/>
          </w:tcPr>
          <w:p w14:paraId="09FB4666" w14:textId="77777777" w:rsidR="000E79B2" w:rsidRPr="00125627" w:rsidRDefault="000E79B2" w:rsidP="00336CF6">
            <w:pPr>
              <w:jc w:val="left"/>
              <w:rPr>
                <w:rFonts w:cs="Times New Roman"/>
                <w:sz w:val="20"/>
              </w:rPr>
            </w:pPr>
            <w:r w:rsidRPr="00125627">
              <w:rPr>
                <w:rFonts w:cs="Times New Roman"/>
                <w:sz w:val="20"/>
              </w:rPr>
              <w:t>D3. Whole building</w:t>
            </w:r>
          </w:p>
        </w:tc>
        <w:tc>
          <w:tcPr>
            <w:tcW w:w="2075" w:type="dxa"/>
          </w:tcPr>
          <w:p w14:paraId="07C85FBF" w14:textId="77777777" w:rsidR="000E79B2" w:rsidRPr="00431364" w:rsidRDefault="000E79B2" w:rsidP="00336CF6">
            <w:pPr>
              <w:jc w:val="left"/>
              <w:rPr>
                <w:rFonts w:cs="Times New Roman"/>
                <w:sz w:val="20"/>
              </w:rPr>
            </w:pPr>
            <w:r w:rsidRPr="00431364">
              <w:rPr>
                <w:rFonts w:cs="Times New Roman"/>
                <w:sz w:val="20"/>
              </w:rPr>
              <w:t>T. Total Damage</w:t>
            </w:r>
          </w:p>
        </w:tc>
      </w:tr>
    </w:tbl>
    <w:p w14:paraId="504FB2D9" w14:textId="77777777" w:rsidR="0067063D" w:rsidRDefault="0067063D" w:rsidP="00002D82">
      <w:pPr>
        <w:rPr>
          <w:rFonts w:cs="Times New Roman"/>
          <w:b/>
          <w:szCs w:val="24"/>
        </w:rPr>
      </w:pPr>
    </w:p>
    <w:p w14:paraId="23B1ED2D" w14:textId="27BA012B" w:rsidR="000E7BF2" w:rsidRDefault="00D41D9F" w:rsidP="00002D82">
      <w:pPr>
        <w:rPr>
          <w:rFonts w:cs="Times New Roman"/>
          <w:szCs w:val="24"/>
        </w:rPr>
      </w:pPr>
      <w:r>
        <w:rPr>
          <w:rFonts w:cs="Times New Roman"/>
          <w:b/>
          <w:szCs w:val="24"/>
        </w:rPr>
        <w:fldChar w:fldCharType="begin"/>
      </w:r>
      <w:r>
        <w:rPr>
          <w:rFonts w:cs="Times New Roman"/>
          <w:b/>
          <w:szCs w:val="24"/>
        </w:rPr>
        <w:instrText xml:space="preserve"> REF _Ref17300947 \h </w:instrText>
      </w:r>
      <w:r>
        <w:rPr>
          <w:rFonts w:cs="Times New Roman"/>
          <w:b/>
          <w:szCs w:val="24"/>
        </w:rPr>
      </w:r>
      <w:r>
        <w:rPr>
          <w:rFonts w:cs="Times New Roman"/>
          <w:b/>
          <w:szCs w:val="24"/>
        </w:rPr>
        <w:fldChar w:fldCharType="separate"/>
      </w:r>
      <w:r w:rsidR="00250859">
        <w:t xml:space="preserve">Table </w:t>
      </w:r>
      <w:r w:rsidR="00250859">
        <w:rPr>
          <w:noProof/>
        </w:rPr>
        <w:t>4</w:t>
      </w:r>
      <w:r>
        <w:rPr>
          <w:rFonts w:cs="Times New Roman"/>
          <w:b/>
          <w:szCs w:val="24"/>
        </w:rPr>
        <w:fldChar w:fldCharType="end"/>
      </w:r>
      <w:r w:rsidR="000C2A20">
        <w:rPr>
          <w:rFonts w:cs="Times New Roman"/>
          <w:szCs w:val="24"/>
        </w:rPr>
        <w:t xml:space="preserve"> and </w:t>
      </w:r>
      <w:r w:rsidR="000C2A20">
        <w:rPr>
          <w:rFonts w:cs="Times New Roman"/>
          <w:szCs w:val="24"/>
        </w:rPr>
        <w:fldChar w:fldCharType="begin"/>
      </w:r>
      <w:r w:rsidR="000C2A20">
        <w:rPr>
          <w:rFonts w:cs="Times New Roman"/>
          <w:szCs w:val="24"/>
        </w:rPr>
        <w:instrText xml:space="preserve"> REF _Ref14354560 \h </w:instrText>
      </w:r>
      <w:r w:rsidR="000C2A20">
        <w:rPr>
          <w:rFonts w:cs="Times New Roman"/>
          <w:szCs w:val="24"/>
        </w:rPr>
      </w:r>
      <w:r w:rsidR="000C2A20">
        <w:rPr>
          <w:rFonts w:cs="Times New Roman"/>
          <w:szCs w:val="24"/>
        </w:rPr>
        <w:fldChar w:fldCharType="separate"/>
      </w:r>
      <w:r w:rsidR="00250859">
        <w:t xml:space="preserve">Table </w:t>
      </w:r>
      <w:r w:rsidR="00250859">
        <w:rPr>
          <w:noProof/>
        </w:rPr>
        <w:t>6</w:t>
      </w:r>
      <w:r w:rsidR="000C2A20">
        <w:rPr>
          <w:rFonts w:cs="Times New Roman"/>
          <w:szCs w:val="24"/>
        </w:rPr>
        <w:fldChar w:fldCharType="end"/>
      </w:r>
      <w:r w:rsidR="000C2A20">
        <w:rPr>
          <w:rFonts w:cs="Times New Roman"/>
          <w:szCs w:val="24"/>
        </w:rPr>
        <w:t xml:space="preserve">, present respectively the area damage and frequency for </w:t>
      </w:r>
      <w:r w:rsidR="000C2A20" w:rsidRPr="000C2A20">
        <w:rPr>
          <w:rFonts w:cs="Times New Roman"/>
          <w:i/>
          <w:szCs w:val="24"/>
        </w:rPr>
        <w:t>Industrial manufacturing</w:t>
      </w:r>
      <w:r w:rsidR="000C2A20">
        <w:rPr>
          <w:rFonts w:cs="Times New Roman"/>
          <w:szCs w:val="24"/>
        </w:rPr>
        <w:t xml:space="preserve">. In </w:t>
      </w:r>
      <w:r w:rsidR="00F70014">
        <w:rPr>
          <w:rFonts w:cs="Times New Roman"/>
          <w:szCs w:val="24"/>
          <w:u w:val="single"/>
        </w:rPr>
        <w:t>P</w:t>
      </w:r>
      <w:r w:rsidR="000C2A20" w:rsidRPr="00726DAA">
        <w:rPr>
          <w:rFonts w:cs="Times New Roman"/>
          <w:szCs w:val="24"/>
          <w:u w:val="single"/>
        </w:rPr>
        <w:t>roduction areas</w:t>
      </w:r>
      <w:r w:rsidR="000C2A20">
        <w:rPr>
          <w:rFonts w:cs="Times New Roman"/>
          <w:szCs w:val="24"/>
        </w:rPr>
        <w:t xml:space="preserve">, the total number of fires for sprinklers </w:t>
      </w:r>
      <w:r w:rsidR="009E34F2">
        <w:rPr>
          <w:rFonts w:cs="Times New Roman"/>
          <w:szCs w:val="24"/>
        </w:rPr>
        <w:t>is</w:t>
      </w:r>
      <w:r w:rsidR="000C2A20">
        <w:rPr>
          <w:rFonts w:cs="Times New Roman"/>
          <w:szCs w:val="24"/>
        </w:rPr>
        <w:t xml:space="preserve"> 198</w:t>
      </w:r>
      <w:r w:rsidR="00BC6942">
        <w:rPr>
          <w:rFonts w:cs="Times New Roman"/>
          <w:szCs w:val="24"/>
        </w:rPr>
        <w:t>,</w:t>
      </w:r>
      <w:r w:rsidR="000C2A20">
        <w:rPr>
          <w:rFonts w:cs="Times New Roman"/>
          <w:szCs w:val="24"/>
        </w:rPr>
        <w:t xml:space="preserve"> while for no sprinklers 2</w:t>
      </w:r>
      <w:r w:rsidR="009F5389">
        <w:rPr>
          <w:rFonts w:cs="Times New Roman"/>
          <w:szCs w:val="24"/>
        </w:rPr>
        <w:t>,</w:t>
      </w:r>
      <w:r w:rsidR="000C2A20">
        <w:rPr>
          <w:rFonts w:cs="Times New Roman"/>
          <w:szCs w:val="24"/>
        </w:rPr>
        <w:t>124</w:t>
      </w:r>
      <w:r w:rsidR="00D62D6A">
        <w:rPr>
          <w:rFonts w:cs="Times New Roman"/>
          <w:szCs w:val="24"/>
        </w:rPr>
        <w:t xml:space="preserve"> in UK</w:t>
      </w:r>
      <w:r w:rsidR="000C2A20">
        <w:rPr>
          <w:rFonts w:cs="Times New Roman"/>
          <w:szCs w:val="24"/>
        </w:rPr>
        <w:t>. The average area damage</w:t>
      </w:r>
      <w:r w:rsidR="00BC6942">
        <w:rPr>
          <w:rFonts w:cs="Times New Roman"/>
          <w:szCs w:val="24"/>
        </w:rPr>
        <w:t>d</w:t>
      </w:r>
      <w:r w:rsidR="000C2A20">
        <w:rPr>
          <w:rFonts w:cs="Times New Roman"/>
          <w:szCs w:val="24"/>
        </w:rPr>
        <w:t xml:space="preserve"> in </w:t>
      </w:r>
      <w:r w:rsidR="00E736A9">
        <w:rPr>
          <w:rFonts w:cs="Times New Roman"/>
          <w:szCs w:val="24"/>
        </w:rPr>
        <w:fldChar w:fldCharType="begin"/>
      </w:r>
      <w:r w:rsidR="00E736A9">
        <w:rPr>
          <w:rFonts w:cs="Times New Roman"/>
          <w:szCs w:val="24"/>
        </w:rPr>
        <w:instrText xml:space="preserve"> REF _Ref17300947 \h </w:instrText>
      </w:r>
      <w:r w:rsidR="00E736A9">
        <w:rPr>
          <w:rFonts w:cs="Times New Roman"/>
          <w:szCs w:val="24"/>
        </w:rPr>
      </w:r>
      <w:r w:rsidR="00E736A9">
        <w:rPr>
          <w:rFonts w:cs="Times New Roman"/>
          <w:szCs w:val="24"/>
        </w:rPr>
        <w:fldChar w:fldCharType="separate"/>
      </w:r>
      <w:r w:rsidR="00250859">
        <w:t xml:space="preserve">Table </w:t>
      </w:r>
      <w:r w:rsidR="00250859">
        <w:rPr>
          <w:noProof/>
        </w:rPr>
        <w:t>4</w:t>
      </w:r>
      <w:r w:rsidR="00E736A9">
        <w:rPr>
          <w:rFonts w:cs="Times New Roman"/>
          <w:szCs w:val="24"/>
        </w:rPr>
        <w:fldChar w:fldCharType="end"/>
      </w:r>
      <w:r w:rsidR="00E736A9">
        <w:rPr>
          <w:rFonts w:cs="Times New Roman"/>
          <w:szCs w:val="24"/>
        </w:rPr>
        <w:t xml:space="preserve"> </w:t>
      </w:r>
      <w:r w:rsidR="000C2A20">
        <w:rPr>
          <w:rFonts w:cs="Times New Roman"/>
          <w:szCs w:val="24"/>
        </w:rPr>
        <w:t xml:space="preserve">for PD 7974-7 </w:t>
      </w:r>
      <w:r w:rsidR="00BC6942">
        <w:rPr>
          <w:rFonts w:cs="Times New Roman"/>
          <w:szCs w:val="24"/>
        </w:rPr>
        <w:t>when sprinklers are present</w:t>
      </w:r>
      <w:r w:rsidR="000C2A20">
        <w:rPr>
          <w:rFonts w:cs="Times New Roman"/>
          <w:szCs w:val="24"/>
        </w:rPr>
        <w:t xml:space="preserve"> is 40 m</w:t>
      </w:r>
      <w:r w:rsidR="000C2A20" w:rsidRPr="000C2A20">
        <w:rPr>
          <w:rFonts w:cs="Times New Roman"/>
          <w:szCs w:val="24"/>
          <w:vertAlign w:val="superscript"/>
        </w:rPr>
        <w:t>2</w:t>
      </w:r>
      <w:r w:rsidR="000C2A20">
        <w:rPr>
          <w:rFonts w:cs="Times New Roman"/>
          <w:szCs w:val="24"/>
        </w:rPr>
        <w:t xml:space="preserve"> and </w:t>
      </w:r>
      <w:r w:rsidR="00BC6942">
        <w:rPr>
          <w:rFonts w:cs="Times New Roman"/>
          <w:szCs w:val="24"/>
        </w:rPr>
        <w:t xml:space="preserve">is </w:t>
      </w:r>
      <w:r w:rsidR="000C2A20">
        <w:rPr>
          <w:rFonts w:cs="Times New Roman"/>
          <w:szCs w:val="24"/>
        </w:rPr>
        <w:t>similar to the UK</w:t>
      </w:r>
      <w:r w:rsidR="00BC6942">
        <w:rPr>
          <w:rFonts w:cs="Times New Roman"/>
          <w:szCs w:val="24"/>
        </w:rPr>
        <w:t xml:space="preserve"> statistics</w:t>
      </w:r>
      <w:r w:rsidR="000C2A20">
        <w:rPr>
          <w:rFonts w:cs="Times New Roman"/>
          <w:szCs w:val="24"/>
        </w:rPr>
        <w:t xml:space="preserve"> for </w:t>
      </w:r>
      <w:r w:rsidR="000C2A20" w:rsidRPr="00336CF6">
        <w:rPr>
          <w:rFonts w:cs="Times New Roman"/>
          <w:i/>
          <w:szCs w:val="24"/>
        </w:rPr>
        <w:t>fire damage</w:t>
      </w:r>
      <w:r w:rsidR="000C2A20">
        <w:rPr>
          <w:rFonts w:cs="Times New Roman"/>
          <w:szCs w:val="24"/>
        </w:rPr>
        <w:t xml:space="preserve"> of 29 m</w:t>
      </w:r>
      <w:r w:rsidR="000C2A20" w:rsidRPr="000C2A20">
        <w:rPr>
          <w:rFonts w:cs="Times New Roman"/>
          <w:szCs w:val="24"/>
          <w:vertAlign w:val="superscript"/>
        </w:rPr>
        <w:t>2</w:t>
      </w:r>
      <w:r w:rsidR="00BC6942">
        <w:rPr>
          <w:rFonts w:cs="Times New Roman"/>
          <w:szCs w:val="24"/>
        </w:rPr>
        <w:t xml:space="preserve">, </w:t>
      </w:r>
      <w:r w:rsidR="000C2A20">
        <w:rPr>
          <w:rFonts w:cs="Times New Roman"/>
          <w:szCs w:val="24"/>
        </w:rPr>
        <w:t>while no sprinklers in PD 7974-7 present</w:t>
      </w:r>
      <w:r w:rsidR="00691588">
        <w:rPr>
          <w:rFonts w:cs="Times New Roman"/>
          <w:szCs w:val="24"/>
        </w:rPr>
        <w:t>s</w:t>
      </w:r>
      <w:r w:rsidR="000C2A20">
        <w:rPr>
          <w:rFonts w:cs="Times New Roman"/>
          <w:szCs w:val="24"/>
        </w:rPr>
        <w:t xml:space="preserve"> a</w:t>
      </w:r>
      <w:r w:rsidR="006101F4">
        <w:rPr>
          <w:rFonts w:cs="Times New Roman"/>
          <w:szCs w:val="24"/>
        </w:rPr>
        <w:t xml:space="preserve"> typo</w:t>
      </w:r>
      <w:r w:rsidR="00691588">
        <w:rPr>
          <w:rFonts w:cs="Times New Roman"/>
          <w:szCs w:val="24"/>
        </w:rPr>
        <w:t xml:space="preserve">: </w:t>
      </w:r>
      <w:r w:rsidR="00E03C39">
        <w:rPr>
          <w:rFonts w:cs="Times New Roman"/>
          <w:szCs w:val="24"/>
        </w:rPr>
        <w:t>153</w:t>
      </w:r>
      <w:r w:rsidR="000C2A20">
        <w:rPr>
          <w:rFonts w:cs="Times New Roman"/>
          <w:szCs w:val="24"/>
        </w:rPr>
        <w:t xml:space="preserve"> </w:t>
      </w:r>
      <w:r w:rsidR="00691588">
        <w:rPr>
          <w:rFonts w:cs="Times New Roman"/>
          <w:szCs w:val="24"/>
        </w:rPr>
        <w:t xml:space="preserve">instead of </w:t>
      </w:r>
      <w:r w:rsidR="000C2A20">
        <w:rPr>
          <w:rFonts w:cs="Times New Roman"/>
          <w:szCs w:val="24"/>
        </w:rPr>
        <w:t>152 m</w:t>
      </w:r>
      <w:r w:rsidR="000C2A20" w:rsidRPr="000C2A20">
        <w:rPr>
          <w:rFonts w:cs="Times New Roman"/>
          <w:szCs w:val="24"/>
          <w:vertAlign w:val="superscript"/>
        </w:rPr>
        <w:t>2</w:t>
      </w:r>
      <w:r w:rsidR="000C2A20">
        <w:rPr>
          <w:rFonts w:cs="Times New Roman"/>
          <w:szCs w:val="24"/>
        </w:rPr>
        <w:t xml:space="preserve">. </w:t>
      </w:r>
      <w:r w:rsidR="00691588">
        <w:rPr>
          <w:rFonts w:cs="Times New Roman"/>
          <w:szCs w:val="24"/>
        </w:rPr>
        <w:t>W</w:t>
      </w:r>
      <w:r w:rsidR="00E03C39">
        <w:rPr>
          <w:rFonts w:cs="Times New Roman"/>
          <w:szCs w:val="24"/>
        </w:rPr>
        <w:t>hen the spread affect</w:t>
      </w:r>
      <w:r w:rsidR="0094727D">
        <w:rPr>
          <w:rFonts w:cs="Times New Roman"/>
          <w:szCs w:val="24"/>
        </w:rPr>
        <w:t>s</w:t>
      </w:r>
      <w:r w:rsidR="00E03C39">
        <w:rPr>
          <w:rFonts w:cs="Times New Roman"/>
          <w:szCs w:val="24"/>
        </w:rPr>
        <w:t xml:space="preserve"> the whole building</w:t>
      </w:r>
      <w:r w:rsidR="00691588">
        <w:rPr>
          <w:rFonts w:cs="Times New Roman"/>
          <w:szCs w:val="24"/>
        </w:rPr>
        <w:t xml:space="preserve"> in UK</w:t>
      </w:r>
      <w:r w:rsidR="00E03C39">
        <w:rPr>
          <w:rFonts w:cs="Times New Roman"/>
          <w:szCs w:val="24"/>
        </w:rPr>
        <w:t xml:space="preserve">, one fire </w:t>
      </w:r>
      <w:r w:rsidR="00691588">
        <w:rPr>
          <w:rFonts w:cs="Times New Roman"/>
          <w:szCs w:val="24"/>
        </w:rPr>
        <w:t xml:space="preserve">with </w:t>
      </w:r>
      <w:r w:rsidR="00E03C39">
        <w:rPr>
          <w:rFonts w:cs="Times New Roman"/>
          <w:szCs w:val="24"/>
        </w:rPr>
        <w:t>1</w:t>
      </w:r>
      <w:r w:rsidR="001E1BEA">
        <w:rPr>
          <w:rFonts w:cs="Times New Roman"/>
          <w:szCs w:val="24"/>
        </w:rPr>
        <w:t>,</w:t>
      </w:r>
      <w:r w:rsidR="00E03C39">
        <w:rPr>
          <w:rFonts w:cs="Times New Roman"/>
          <w:szCs w:val="24"/>
        </w:rPr>
        <w:t>000 m</w:t>
      </w:r>
      <w:r w:rsidR="00E03C39" w:rsidRPr="00E03C39">
        <w:rPr>
          <w:rFonts w:cs="Times New Roman"/>
          <w:szCs w:val="24"/>
          <w:vertAlign w:val="superscript"/>
        </w:rPr>
        <w:t>2</w:t>
      </w:r>
      <w:r w:rsidR="00E03C39">
        <w:rPr>
          <w:rFonts w:cs="Times New Roman"/>
          <w:szCs w:val="24"/>
        </w:rPr>
        <w:t xml:space="preserve"> </w:t>
      </w:r>
      <w:r w:rsidR="002725EB">
        <w:rPr>
          <w:rFonts w:cs="Times New Roman"/>
          <w:szCs w:val="24"/>
        </w:rPr>
        <w:t xml:space="preserve">is recorded </w:t>
      </w:r>
      <w:r w:rsidR="00691588">
        <w:rPr>
          <w:rFonts w:cs="Times New Roman"/>
          <w:szCs w:val="24"/>
        </w:rPr>
        <w:t xml:space="preserve">and </w:t>
      </w:r>
      <w:r w:rsidR="00BC6942">
        <w:rPr>
          <w:rFonts w:cs="Times New Roman"/>
          <w:szCs w:val="24"/>
        </w:rPr>
        <w:t>may</w:t>
      </w:r>
      <w:r w:rsidR="00691588">
        <w:rPr>
          <w:rFonts w:cs="Times New Roman"/>
          <w:szCs w:val="24"/>
        </w:rPr>
        <w:t xml:space="preserve"> </w:t>
      </w:r>
      <w:r w:rsidR="00E03C39">
        <w:rPr>
          <w:rFonts w:cs="Times New Roman"/>
          <w:szCs w:val="24"/>
        </w:rPr>
        <w:t>not represent the real scenario</w:t>
      </w:r>
      <w:r w:rsidR="00CC6DD5">
        <w:rPr>
          <w:rFonts w:cs="Times New Roman"/>
          <w:szCs w:val="24"/>
        </w:rPr>
        <w:t xml:space="preserve"> for presence of sprinklers</w:t>
      </w:r>
      <w:r w:rsidR="0094727D">
        <w:rPr>
          <w:rFonts w:cs="Times New Roman"/>
          <w:szCs w:val="24"/>
        </w:rPr>
        <w:t>.</w:t>
      </w:r>
      <w:r w:rsidR="00E03C39">
        <w:rPr>
          <w:rFonts w:cs="Times New Roman"/>
          <w:szCs w:val="24"/>
        </w:rPr>
        <w:t xml:space="preserve"> In </w:t>
      </w:r>
      <w:r w:rsidR="00E03C39">
        <w:rPr>
          <w:rFonts w:cs="Times New Roman"/>
          <w:szCs w:val="24"/>
        </w:rPr>
        <w:fldChar w:fldCharType="begin"/>
      </w:r>
      <w:r w:rsidR="00E03C39">
        <w:rPr>
          <w:rFonts w:cs="Times New Roman"/>
          <w:szCs w:val="24"/>
        </w:rPr>
        <w:instrText xml:space="preserve"> REF _Ref14354560 \h </w:instrText>
      </w:r>
      <w:r w:rsidR="00E03C39">
        <w:rPr>
          <w:rFonts w:cs="Times New Roman"/>
          <w:szCs w:val="24"/>
        </w:rPr>
      </w:r>
      <w:r w:rsidR="00E03C39">
        <w:rPr>
          <w:rFonts w:cs="Times New Roman"/>
          <w:szCs w:val="24"/>
        </w:rPr>
        <w:fldChar w:fldCharType="separate"/>
      </w:r>
      <w:r w:rsidR="00250859">
        <w:t xml:space="preserve">Table </w:t>
      </w:r>
      <w:r w:rsidR="00250859">
        <w:rPr>
          <w:noProof/>
        </w:rPr>
        <w:t>6</w:t>
      </w:r>
      <w:r w:rsidR="00E03C39">
        <w:rPr>
          <w:rFonts w:cs="Times New Roman"/>
          <w:szCs w:val="24"/>
        </w:rPr>
        <w:fldChar w:fldCharType="end"/>
      </w:r>
      <w:r w:rsidR="00E03C39">
        <w:rPr>
          <w:rFonts w:cs="Times New Roman"/>
          <w:szCs w:val="24"/>
        </w:rPr>
        <w:t xml:space="preserve">, fire frequency appears confined </w:t>
      </w:r>
      <w:r w:rsidR="00EE22ED">
        <w:rPr>
          <w:rFonts w:cs="Times New Roman"/>
          <w:szCs w:val="24"/>
        </w:rPr>
        <w:t xml:space="preserve">up </w:t>
      </w:r>
      <w:r w:rsidR="00E03C39">
        <w:rPr>
          <w:rFonts w:cs="Times New Roman"/>
          <w:szCs w:val="24"/>
        </w:rPr>
        <w:t xml:space="preserve">to the room of origin for </w:t>
      </w:r>
      <w:r w:rsidR="001E1BEA">
        <w:rPr>
          <w:rFonts w:cs="Times New Roman"/>
          <w:szCs w:val="24"/>
        </w:rPr>
        <w:t>more than 80%</w:t>
      </w:r>
      <w:r w:rsidR="00CC6920">
        <w:rPr>
          <w:rFonts w:cs="Times New Roman"/>
          <w:szCs w:val="24"/>
        </w:rPr>
        <w:t xml:space="preserve"> for both </w:t>
      </w:r>
      <w:proofErr w:type="spellStart"/>
      <w:r w:rsidR="00CC6920">
        <w:rPr>
          <w:rFonts w:cs="Times New Roman"/>
          <w:szCs w:val="24"/>
        </w:rPr>
        <w:t>sprinklered</w:t>
      </w:r>
      <w:proofErr w:type="spellEnd"/>
      <w:r w:rsidR="00CC6920">
        <w:rPr>
          <w:rFonts w:cs="Times New Roman"/>
          <w:szCs w:val="24"/>
        </w:rPr>
        <w:t xml:space="preserve"> and non-</w:t>
      </w:r>
      <w:proofErr w:type="spellStart"/>
      <w:r w:rsidR="00CC6920">
        <w:rPr>
          <w:rFonts w:cs="Times New Roman"/>
          <w:szCs w:val="24"/>
        </w:rPr>
        <w:t>sprinklered</w:t>
      </w:r>
      <w:proofErr w:type="spellEnd"/>
      <w:r w:rsidR="00CC6920">
        <w:rPr>
          <w:rFonts w:cs="Times New Roman"/>
          <w:szCs w:val="24"/>
        </w:rPr>
        <w:t xml:space="preserve"> production areas.</w:t>
      </w:r>
    </w:p>
    <w:p w14:paraId="12C1F4E7" w14:textId="5DCFA0DC" w:rsidR="0018352D" w:rsidRDefault="00726DAA" w:rsidP="00AA2E53">
      <w:pPr>
        <w:rPr>
          <w:rFonts w:cs="Times New Roman"/>
          <w:szCs w:val="24"/>
        </w:rPr>
      </w:pPr>
      <w:r>
        <w:rPr>
          <w:rFonts w:cs="Times New Roman"/>
          <w:szCs w:val="24"/>
        </w:rPr>
        <w:t xml:space="preserve">In </w:t>
      </w:r>
      <w:r w:rsidR="00F70014">
        <w:rPr>
          <w:rFonts w:cs="Times New Roman"/>
          <w:szCs w:val="24"/>
          <w:u w:val="single"/>
        </w:rPr>
        <w:t>S</w:t>
      </w:r>
      <w:r w:rsidRPr="00726DAA">
        <w:rPr>
          <w:rFonts w:cs="Times New Roman"/>
          <w:szCs w:val="24"/>
          <w:u w:val="single"/>
        </w:rPr>
        <w:t>torage areas</w:t>
      </w:r>
      <w:r>
        <w:rPr>
          <w:rFonts w:cs="Times New Roman"/>
          <w:szCs w:val="24"/>
        </w:rPr>
        <w:t xml:space="preserve">, </w:t>
      </w:r>
      <w:r w:rsidR="00004CD6">
        <w:rPr>
          <w:rFonts w:cs="Times New Roman"/>
          <w:szCs w:val="24"/>
        </w:rPr>
        <w:t>11 fires are reported for the presence of sprinklers and 172 for the absence in UK fire statistics</w:t>
      </w:r>
      <w:r w:rsidR="00CC6920">
        <w:rPr>
          <w:rFonts w:cs="Times New Roman"/>
          <w:szCs w:val="24"/>
        </w:rPr>
        <w:t>, thus the</w:t>
      </w:r>
      <w:r w:rsidR="00004CD6">
        <w:rPr>
          <w:rFonts w:cs="Times New Roman"/>
          <w:szCs w:val="24"/>
        </w:rPr>
        <w:t xml:space="preserve"> focus</w:t>
      </w:r>
      <w:r w:rsidR="00CC6920">
        <w:rPr>
          <w:rFonts w:cs="Times New Roman"/>
          <w:szCs w:val="24"/>
        </w:rPr>
        <w:t xml:space="preserve"> will be </w:t>
      </w:r>
      <w:r w:rsidR="00004CD6">
        <w:rPr>
          <w:rFonts w:cs="Times New Roman"/>
          <w:szCs w:val="24"/>
        </w:rPr>
        <w:t xml:space="preserve">on </w:t>
      </w:r>
      <w:r w:rsidR="0094727D">
        <w:rPr>
          <w:rFonts w:cs="Times New Roman"/>
          <w:szCs w:val="24"/>
        </w:rPr>
        <w:t>those fires</w:t>
      </w:r>
      <w:r w:rsidR="00004CD6">
        <w:rPr>
          <w:rFonts w:cs="Times New Roman"/>
          <w:szCs w:val="24"/>
        </w:rPr>
        <w:t xml:space="preserve"> where no sprinklers are present. </w:t>
      </w:r>
      <w:r w:rsidR="00CC6920">
        <w:rPr>
          <w:rFonts w:cs="Times New Roman"/>
          <w:szCs w:val="24"/>
        </w:rPr>
        <w:t xml:space="preserve">[NB: </w:t>
      </w:r>
      <w:r w:rsidR="00AA4C7A">
        <w:rPr>
          <w:rFonts w:cs="Times New Roman"/>
          <w:szCs w:val="24"/>
        </w:rPr>
        <w:t xml:space="preserve">In PD 7974-7 for presence of sprinklers and fire </w:t>
      </w:r>
      <w:r w:rsidR="004848F5">
        <w:rPr>
          <w:rFonts w:cs="Times New Roman"/>
          <w:szCs w:val="24"/>
        </w:rPr>
        <w:t>confined to room of origin, the area damage of 19 m</w:t>
      </w:r>
      <w:r w:rsidR="004848F5" w:rsidRPr="004848F5">
        <w:rPr>
          <w:rFonts w:cs="Times New Roman"/>
          <w:szCs w:val="24"/>
          <w:vertAlign w:val="superscript"/>
        </w:rPr>
        <w:t>2</w:t>
      </w:r>
      <w:r w:rsidR="004848F5">
        <w:rPr>
          <w:rFonts w:cs="Times New Roman"/>
          <w:szCs w:val="24"/>
        </w:rPr>
        <w:t xml:space="preserve"> and </w:t>
      </w:r>
      <w:r w:rsidR="0094727D">
        <w:rPr>
          <w:rFonts w:cs="Times New Roman"/>
          <w:szCs w:val="24"/>
        </w:rPr>
        <w:t xml:space="preserve">fire </w:t>
      </w:r>
      <w:r w:rsidR="00D6424E">
        <w:rPr>
          <w:rFonts w:cs="Times New Roman"/>
          <w:szCs w:val="24"/>
        </w:rPr>
        <w:t xml:space="preserve">frequency </w:t>
      </w:r>
      <w:r w:rsidR="0094727D">
        <w:rPr>
          <w:rFonts w:cs="Times New Roman"/>
          <w:szCs w:val="24"/>
        </w:rPr>
        <w:t xml:space="preserve">of 24% </w:t>
      </w:r>
      <w:r w:rsidR="00CC6920">
        <w:rPr>
          <w:rFonts w:cs="Times New Roman"/>
          <w:szCs w:val="24"/>
        </w:rPr>
        <w:t>are corrected values</w:t>
      </w:r>
      <w:r w:rsidR="006101F4">
        <w:rPr>
          <w:rFonts w:cs="Times New Roman"/>
          <w:szCs w:val="24"/>
        </w:rPr>
        <w:t xml:space="preserve"> not repeated twice as in PD 7974-7</w:t>
      </w:r>
      <w:r w:rsidR="00CC6920">
        <w:rPr>
          <w:rFonts w:cs="Times New Roman"/>
          <w:szCs w:val="24"/>
        </w:rPr>
        <w:t xml:space="preserve"> </w:t>
      </w:r>
      <w:r w:rsidR="00CC6920">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CC6920">
        <w:rPr>
          <w:rFonts w:cs="Times New Roman"/>
          <w:szCs w:val="24"/>
        </w:rPr>
        <w:fldChar w:fldCharType="separate"/>
      </w:r>
      <w:r w:rsidR="00524A6C" w:rsidRPr="00524A6C">
        <w:rPr>
          <w:rFonts w:cs="Times New Roman"/>
          <w:noProof/>
          <w:szCs w:val="24"/>
        </w:rPr>
        <w:t>[15]</w:t>
      </w:r>
      <w:r w:rsidR="00CC6920">
        <w:rPr>
          <w:rFonts w:cs="Times New Roman"/>
          <w:szCs w:val="24"/>
        </w:rPr>
        <w:fldChar w:fldCharType="end"/>
      </w:r>
      <w:r w:rsidR="00F6010C">
        <w:rPr>
          <w:rFonts w:cs="Times New Roman"/>
          <w:szCs w:val="24"/>
        </w:rPr>
        <w:t>]</w:t>
      </w:r>
      <w:r w:rsidR="004848F5">
        <w:rPr>
          <w:rFonts w:cs="Times New Roman"/>
          <w:szCs w:val="24"/>
        </w:rPr>
        <w:t>. The average area damage in PD 7974-7 for absence of sprinklers is equal to 533 m</w:t>
      </w:r>
      <w:r w:rsidR="004848F5" w:rsidRPr="004848F5">
        <w:rPr>
          <w:rFonts w:cs="Times New Roman"/>
          <w:szCs w:val="24"/>
          <w:vertAlign w:val="superscript"/>
        </w:rPr>
        <w:t>2</w:t>
      </w:r>
      <w:r w:rsidR="00C306F1">
        <w:rPr>
          <w:rFonts w:cs="Times New Roman"/>
          <w:szCs w:val="24"/>
        </w:rPr>
        <w:t xml:space="preserve"> (not 539 m</w:t>
      </w:r>
      <w:r w:rsidR="00C306F1" w:rsidRPr="00C306F1">
        <w:rPr>
          <w:rFonts w:cs="Times New Roman"/>
          <w:szCs w:val="24"/>
          <w:vertAlign w:val="superscript"/>
        </w:rPr>
        <w:t>2</w:t>
      </w:r>
      <w:r w:rsidR="00C306F1">
        <w:rPr>
          <w:rFonts w:cs="Times New Roman"/>
          <w:szCs w:val="24"/>
        </w:rPr>
        <w:t xml:space="preserve"> as </w:t>
      </w:r>
      <w:r w:rsidR="006101F4">
        <w:rPr>
          <w:rFonts w:cs="Times New Roman"/>
          <w:szCs w:val="24"/>
        </w:rPr>
        <w:t xml:space="preserve">wrongly evaluated </w:t>
      </w:r>
      <w:r w:rsidR="00C306F1">
        <w:rPr>
          <w:rFonts w:cs="Times New Roman"/>
          <w:szCs w:val="24"/>
        </w:rPr>
        <w:t>in Table A.4)</w:t>
      </w:r>
      <w:r w:rsidR="004848F5">
        <w:rPr>
          <w:rFonts w:cs="Times New Roman"/>
          <w:szCs w:val="24"/>
        </w:rPr>
        <w:t xml:space="preserve"> </w:t>
      </w:r>
      <w:r w:rsidR="00616607">
        <w:rPr>
          <w:rFonts w:cs="Times New Roman"/>
          <w:szCs w:val="24"/>
        </w:rPr>
        <w:t xml:space="preserve">and it appears approximately four times greater than the one obtained for </w:t>
      </w:r>
      <w:r w:rsidR="00616607" w:rsidRPr="00336CF6">
        <w:rPr>
          <w:rFonts w:cs="Times New Roman"/>
          <w:i/>
          <w:szCs w:val="24"/>
        </w:rPr>
        <w:t>total damage</w:t>
      </w:r>
      <w:r w:rsidR="00616607">
        <w:rPr>
          <w:rFonts w:cs="Times New Roman"/>
          <w:szCs w:val="24"/>
        </w:rPr>
        <w:t xml:space="preserve"> in UK given by 137.97 m</w:t>
      </w:r>
      <w:r w:rsidR="00616607" w:rsidRPr="00616607">
        <w:rPr>
          <w:rFonts w:cs="Times New Roman"/>
          <w:szCs w:val="24"/>
          <w:vertAlign w:val="superscript"/>
        </w:rPr>
        <w:t>2</w:t>
      </w:r>
      <w:r w:rsidR="00616607">
        <w:rPr>
          <w:rFonts w:cs="Times New Roman"/>
          <w:szCs w:val="24"/>
        </w:rPr>
        <w:t xml:space="preserve"> (</w:t>
      </w:r>
      <w:r w:rsidR="00D41D9F">
        <w:rPr>
          <w:rFonts w:cs="Times New Roman"/>
          <w:szCs w:val="24"/>
        </w:rPr>
        <w:fldChar w:fldCharType="begin"/>
      </w:r>
      <w:r w:rsidR="00D41D9F">
        <w:rPr>
          <w:rFonts w:cs="Times New Roman"/>
          <w:szCs w:val="24"/>
        </w:rPr>
        <w:instrText xml:space="preserve"> REF _Ref17300947 \h </w:instrText>
      </w:r>
      <w:r w:rsidR="00D41D9F">
        <w:rPr>
          <w:rFonts w:cs="Times New Roman"/>
          <w:szCs w:val="24"/>
        </w:rPr>
      </w:r>
      <w:r w:rsidR="00D41D9F">
        <w:rPr>
          <w:rFonts w:cs="Times New Roman"/>
          <w:szCs w:val="24"/>
        </w:rPr>
        <w:fldChar w:fldCharType="separate"/>
      </w:r>
      <w:r w:rsidR="00250859">
        <w:t xml:space="preserve">Table </w:t>
      </w:r>
      <w:r w:rsidR="00250859">
        <w:rPr>
          <w:noProof/>
        </w:rPr>
        <w:t>4</w:t>
      </w:r>
      <w:r w:rsidR="00D41D9F">
        <w:rPr>
          <w:rFonts w:cs="Times New Roman"/>
          <w:szCs w:val="24"/>
        </w:rPr>
        <w:fldChar w:fldCharType="end"/>
      </w:r>
      <w:r w:rsidR="00616607">
        <w:rPr>
          <w:rFonts w:cs="Times New Roman"/>
          <w:szCs w:val="24"/>
        </w:rPr>
        <w:t xml:space="preserve">). </w:t>
      </w:r>
      <w:r w:rsidR="00A35AAC">
        <w:rPr>
          <w:rFonts w:cs="Times New Roman"/>
          <w:szCs w:val="24"/>
        </w:rPr>
        <w:t>Fire freq</w:t>
      </w:r>
      <w:r w:rsidR="009F5389">
        <w:rPr>
          <w:rFonts w:cs="Times New Roman"/>
          <w:szCs w:val="24"/>
        </w:rPr>
        <w:t xml:space="preserve">uency </w:t>
      </w:r>
      <w:r w:rsidR="00CC6920">
        <w:rPr>
          <w:rFonts w:cs="Times New Roman"/>
          <w:szCs w:val="24"/>
        </w:rPr>
        <w:t xml:space="preserve">in UK statistics with </w:t>
      </w:r>
      <w:r w:rsidR="009F5389">
        <w:rPr>
          <w:rFonts w:cs="Times New Roman"/>
          <w:szCs w:val="24"/>
        </w:rPr>
        <w:t>no sprinklers</w:t>
      </w:r>
      <w:r w:rsidR="00A35AAC">
        <w:rPr>
          <w:rFonts w:cs="Times New Roman"/>
          <w:szCs w:val="24"/>
        </w:rPr>
        <w:t xml:space="preserve"> is con</w:t>
      </w:r>
      <w:r w:rsidR="009F5389">
        <w:rPr>
          <w:rFonts w:cs="Times New Roman"/>
          <w:szCs w:val="24"/>
        </w:rPr>
        <w:t xml:space="preserve">fined </w:t>
      </w:r>
      <w:r w:rsidR="00CC6920">
        <w:rPr>
          <w:rFonts w:cs="Times New Roman"/>
          <w:szCs w:val="24"/>
        </w:rPr>
        <w:t xml:space="preserve">to </w:t>
      </w:r>
      <w:r w:rsidR="009F5389">
        <w:rPr>
          <w:rFonts w:cs="Times New Roman"/>
          <w:szCs w:val="24"/>
        </w:rPr>
        <w:t xml:space="preserve">the room of origin in </w:t>
      </w:r>
      <w:r w:rsidR="00A35AAC">
        <w:rPr>
          <w:rFonts w:cs="Times New Roman"/>
          <w:szCs w:val="24"/>
        </w:rPr>
        <w:t xml:space="preserve">65% of cases with a 13.95% affecting </w:t>
      </w:r>
      <w:r w:rsidR="009F5389">
        <w:rPr>
          <w:rFonts w:cs="Times New Roman"/>
          <w:szCs w:val="24"/>
        </w:rPr>
        <w:t>the whole building (</w:t>
      </w:r>
      <w:r w:rsidR="00A35AAC">
        <w:rPr>
          <w:rFonts w:cs="Times New Roman"/>
          <w:szCs w:val="24"/>
        </w:rPr>
        <w:fldChar w:fldCharType="begin"/>
      </w:r>
      <w:r w:rsidR="00A35AAC">
        <w:rPr>
          <w:rFonts w:cs="Times New Roman"/>
          <w:szCs w:val="24"/>
        </w:rPr>
        <w:instrText xml:space="preserve"> REF _Ref14354560 \h </w:instrText>
      </w:r>
      <w:r w:rsidR="00A35AAC">
        <w:rPr>
          <w:rFonts w:cs="Times New Roman"/>
          <w:szCs w:val="24"/>
        </w:rPr>
      </w:r>
      <w:r w:rsidR="00A35AAC">
        <w:rPr>
          <w:rFonts w:cs="Times New Roman"/>
          <w:szCs w:val="24"/>
        </w:rPr>
        <w:fldChar w:fldCharType="separate"/>
      </w:r>
      <w:r w:rsidR="00250859">
        <w:t xml:space="preserve">Table </w:t>
      </w:r>
      <w:r w:rsidR="00250859">
        <w:rPr>
          <w:noProof/>
        </w:rPr>
        <w:t>6</w:t>
      </w:r>
      <w:r w:rsidR="00A35AAC">
        <w:rPr>
          <w:rFonts w:cs="Times New Roman"/>
          <w:szCs w:val="24"/>
        </w:rPr>
        <w:fldChar w:fldCharType="end"/>
      </w:r>
      <w:r w:rsidR="009F5389">
        <w:rPr>
          <w:rFonts w:cs="Times New Roman"/>
          <w:szCs w:val="24"/>
        </w:rPr>
        <w:t>)</w:t>
      </w:r>
      <w:r w:rsidR="00A35AAC">
        <w:rPr>
          <w:rFonts w:cs="Times New Roman"/>
          <w:szCs w:val="24"/>
        </w:rPr>
        <w:t>.</w:t>
      </w:r>
    </w:p>
    <w:p w14:paraId="0A92B483" w14:textId="1D2F8704" w:rsidR="00AA4C7A" w:rsidRPr="00AA4C7A" w:rsidRDefault="009F5389" w:rsidP="00AA2E53">
      <w:pPr>
        <w:rPr>
          <w:rFonts w:cs="Times New Roman"/>
          <w:szCs w:val="24"/>
        </w:rPr>
      </w:pPr>
      <w:r>
        <w:rPr>
          <w:rFonts w:cs="Times New Roman"/>
          <w:szCs w:val="24"/>
        </w:rPr>
        <w:t xml:space="preserve">In </w:t>
      </w:r>
      <w:r w:rsidR="00D41D9F">
        <w:rPr>
          <w:rFonts w:cs="Times New Roman"/>
          <w:szCs w:val="24"/>
        </w:rPr>
        <w:fldChar w:fldCharType="begin"/>
      </w:r>
      <w:r w:rsidR="00D41D9F">
        <w:rPr>
          <w:rFonts w:cs="Times New Roman"/>
          <w:szCs w:val="24"/>
        </w:rPr>
        <w:instrText xml:space="preserve"> REF _Ref17300947 \h </w:instrText>
      </w:r>
      <w:r w:rsidR="00D41D9F">
        <w:rPr>
          <w:rFonts w:cs="Times New Roman"/>
          <w:szCs w:val="24"/>
        </w:rPr>
      </w:r>
      <w:r w:rsidR="00D41D9F">
        <w:rPr>
          <w:rFonts w:cs="Times New Roman"/>
          <w:szCs w:val="24"/>
        </w:rPr>
        <w:fldChar w:fldCharType="separate"/>
      </w:r>
      <w:r w:rsidR="00250859">
        <w:t xml:space="preserve">Table </w:t>
      </w:r>
      <w:r w:rsidR="00250859">
        <w:rPr>
          <w:noProof/>
        </w:rPr>
        <w:t>4</w:t>
      </w:r>
      <w:r w:rsidR="00D41D9F">
        <w:rPr>
          <w:rFonts w:cs="Times New Roman"/>
          <w:szCs w:val="24"/>
        </w:rPr>
        <w:fldChar w:fldCharType="end"/>
      </w:r>
      <w:r>
        <w:rPr>
          <w:rFonts w:cs="Times New Roman"/>
          <w:szCs w:val="24"/>
        </w:rPr>
        <w:t>, w</w:t>
      </w:r>
      <w:r w:rsidR="00C306F1">
        <w:rPr>
          <w:rFonts w:cs="Times New Roman"/>
          <w:szCs w:val="24"/>
        </w:rPr>
        <w:t xml:space="preserve">hen </w:t>
      </w:r>
      <w:proofErr w:type="gramStart"/>
      <w:r w:rsidR="00F70014">
        <w:rPr>
          <w:rFonts w:cs="Times New Roman"/>
          <w:szCs w:val="24"/>
          <w:u w:val="single"/>
        </w:rPr>
        <w:t>O</w:t>
      </w:r>
      <w:r w:rsidR="00C306F1" w:rsidRPr="00C306F1">
        <w:rPr>
          <w:rFonts w:cs="Times New Roman"/>
          <w:szCs w:val="24"/>
          <w:u w:val="single"/>
        </w:rPr>
        <w:t>ther</w:t>
      </w:r>
      <w:proofErr w:type="gramEnd"/>
      <w:r w:rsidR="00C306F1" w:rsidRPr="00C306F1">
        <w:rPr>
          <w:rFonts w:cs="Times New Roman"/>
          <w:szCs w:val="24"/>
          <w:u w:val="single"/>
        </w:rPr>
        <w:t xml:space="preserve"> areas</w:t>
      </w:r>
      <w:r w:rsidR="00C306F1">
        <w:rPr>
          <w:rFonts w:cs="Times New Roman"/>
          <w:szCs w:val="24"/>
        </w:rPr>
        <w:t xml:space="preserve"> are evaluated, </w:t>
      </w:r>
      <w:r>
        <w:rPr>
          <w:rFonts w:cs="Times New Roman"/>
          <w:szCs w:val="24"/>
        </w:rPr>
        <w:t>94 fires are reported for sprinklers and 1,800 for no sprinklers</w:t>
      </w:r>
      <w:r w:rsidR="003F2BB5">
        <w:rPr>
          <w:rFonts w:cs="Times New Roman"/>
          <w:szCs w:val="24"/>
        </w:rPr>
        <w:t xml:space="preserve"> in UK</w:t>
      </w:r>
      <w:r>
        <w:rPr>
          <w:rFonts w:cs="Times New Roman"/>
          <w:szCs w:val="24"/>
        </w:rPr>
        <w:t xml:space="preserve">. In the latter case, the average area damage in PD 7974-7 is two times bigger than the one of </w:t>
      </w:r>
      <w:r w:rsidRPr="00336CF6">
        <w:rPr>
          <w:rFonts w:cs="Times New Roman"/>
          <w:i/>
          <w:szCs w:val="24"/>
        </w:rPr>
        <w:t>total damage</w:t>
      </w:r>
      <w:r w:rsidR="007A61B0">
        <w:rPr>
          <w:rFonts w:cs="Times New Roman"/>
          <w:szCs w:val="24"/>
        </w:rPr>
        <w:t xml:space="preserve"> in UK</w:t>
      </w:r>
      <w:r>
        <w:rPr>
          <w:rFonts w:cs="Times New Roman"/>
          <w:szCs w:val="24"/>
        </w:rPr>
        <w:t xml:space="preserve"> (77.86 m</w:t>
      </w:r>
      <w:r w:rsidRPr="009F5389">
        <w:rPr>
          <w:rFonts w:cs="Times New Roman"/>
          <w:szCs w:val="24"/>
          <w:vertAlign w:val="superscript"/>
        </w:rPr>
        <w:t>2</w:t>
      </w:r>
      <w:r>
        <w:rPr>
          <w:rFonts w:cs="Times New Roman"/>
          <w:szCs w:val="24"/>
        </w:rPr>
        <w:t xml:space="preserve">) with frequency confined </w:t>
      </w:r>
      <w:r w:rsidR="007A61B0">
        <w:rPr>
          <w:rFonts w:cs="Times New Roman"/>
          <w:szCs w:val="24"/>
        </w:rPr>
        <w:t>within</w:t>
      </w:r>
      <w:r w:rsidR="00EE22ED">
        <w:rPr>
          <w:rFonts w:cs="Times New Roman"/>
          <w:szCs w:val="24"/>
        </w:rPr>
        <w:t xml:space="preserve"> </w:t>
      </w:r>
      <w:r>
        <w:rPr>
          <w:rFonts w:cs="Times New Roman"/>
          <w:szCs w:val="24"/>
        </w:rPr>
        <w:t xml:space="preserve">room of origin for 70% of cases </w:t>
      </w:r>
      <w:r w:rsidR="001E1BEA">
        <w:rPr>
          <w:rFonts w:cs="Times New Roman"/>
          <w:szCs w:val="24"/>
        </w:rPr>
        <w:t>and</w:t>
      </w:r>
      <w:r>
        <w:rPr>
          <w:rFonts w:cs="Times New Roman"/>
          <w:szCs w:val="24"/>
        </w:rPr>
        <w:t xml:space="preserve"> 13.72% confined to floor of origin</w:t>
      </w:r>
      <w:r w:rsidR="00B40B18">
        <w:rPr>
          <w:rFonts w:cs="Times New Roman"/>
          <w:szCs w:val="24"/>
        </w:rPr>
        <w:t xml:space="preserve"> in UK fire statistics</w:t>
      </w:r>
      <w:r>
        <w:rPr>
          <w:rFonts w:cs="Times New Roman"/>
          <w:szCs w:val="24"/>
        </w:rPr>
        <w:t xml:space="preserve"> (</w:t>
      </w:r>
      <w:r>
        <w:rPr>
          <w:rFonts w:cs="Times New Roman"/>
          <w:szCs w:val="24"/>
        </w:rPr>
        <w:fldChar w:fldCharType="begin"/>
      </w:r>
      <w:r>
        <w:rPr>
          <w:rFonts w:cs="Times New Roman"/>
          <w:szCs w:val="24"/>
        </w:rPr>
        <w:instrText xml:space="preserve"> REF _Ref14354560 \h </w:instrText>
      </w:r>
      <w:r>
        <w:rPr>
          <w:rFonts w:cs="Times New Roman"/>
          <w:szCs w:val="24"/>
        </w:rPr>
      </w:r>
      <w:r>
        <w:rPr>
          <w:rFonts w:cs="Times New Roman"/>
          <w:szCs w:val="24"/>
        </w:rPr>
        <w:fldChar w:fldCharType="separate"/>
      </w:r>
      <w:r w:rsidR="00250859">
        <w:t xml:space="preserve">Table </w:t>
      </w:r>
      <w:r w:rsidR="00250859">
        <w:rPr>
          <w:noProof/>
        </w:rPr>
        <w:t>6</w:t>
      </w:r>
      <w:r>
        <w:rPr>
          <w:rFonts w:cs="Times New Roman"/>
          <w:szCs w:val="24"/>
        </w:rPr>
        <w:fldChar w:fldCharType="end"/>
      </w:r>
      <w:r>
        <w:rPr>
          <w:rFonts w:cs="Times New Roman"/>
          <w:szCs w:val="24"/>
        </w:rPr>
        <w:t>).</w:t>
      </w:r>
    </w:p>
    <w:p w14:paraId="75A3813B" w14:textId="4B746E98" w:rsidR="00366DDF" w:rsidRDefault="00A26405" w:rsidP="00657C14">
      <w:pPr>
        <w:pStyle w:val="Caption"/>
        <w:keepNext/>
        <w:rPr>
          <w:b/>
          <w:szCs w:val="24"/>
        </w:rPr>
      </w:pPr>
      <w:bookmarkStart w:id="41" w:name="_Ref14354560"/>
      <w:r>
        <w:lastRenderedPageBreak/>
        <w:t xml:space="preserve">Table </w:t>
      </w:r>
      <w:r>
        <w:fldChar w:fldCharType="begin"/>
      </w:r>
      <w:r>
        <w:instrText xml:space="preserve"> SEQ Table \* ARABIC </w:instrText>
      </w:r>
      <w:r>
        <w:fldChar w:fldCharType="separate"/>
      </w:r>
      <w:r w:rsidR="00250859">
        <w:rPr>
          <w:noProof/>
        </w:rPr>
        <w:t>6</w:t>
      </w:r>
      <w:r>
        <w:fldChar w:fldCharType="end"/>
      </w:r>
      <w:bookmarkEnd w:id="41"/>
      <w:r>
        <w:t xml:space="preserve">: </w:t>
      </w:r>
      <w:r w:rsidR="00016628">
        <w:t>P</w:t>
      </w:r>
      <w:r>
        <w:t>ercentages</w:t>
      </w:r>
      <w:r w:rsidR="00136117">
        <w:t xml:space="preserve"> of fires </w:t>
      </w:r>
      <w:r>
        <w:t xml:space="preserve">for </w:t>
      </w:r>
      <w:r w:rsidRPr="00136117">
        <w:rPr>
          <w:i/>
        </w:rPr>
        <w:t>Industrial manufacturing</w:t>
      </w:r>
      <w:r>
        <w:t xml:space="preserve"> in PD 7974-7 and UK statistics</w:t>
      </w:r>
      <w:r w:rsidR="00016628">
        <w:t xml:space="preserve"> related to </w:t>
      </w:r>
      <w:r w:rsidR="006A2005">
        <w:fldChar w:fldCharType="begin"/>
      </w:r>
      <w:r w:rsidR="006A2005">
        <w:instrText xml:space="preserve"> REF _Ref17300947 \h </w:instrText>
      </w:r>
      <w:r w:rsidR="006A2005">
        <w:fldChar w:fldCharType="separate"/>
      </w:r>
      <w:r w:rsidR="00250859">
        <w:t xml:space="preserve">Table </w:t>
      </w:r>
      <w:r w:rsidR="00250859">
        <w:rPr>
          <w:noProof/>
        </w:rPr>
        <w:t>4</w:t>
      </w:r>
      <w:r w:rsidR="006A2005">
        <w:fldChar w:fldCharType="end"/>
      </w:r>
    </w:p>
    <w:tbl>
      <w:tblPr>
        <w:tblW w:w="5000" w:type="pct"/>
        <w:tblBorders>
          <w:bottom w:val="single" w:sz="4" w:space="0" w:color="auto"/>
        </w:tblBorders>
        <w:tblCellMar>
          <w:left w:w="57" w:type="dxa"/>
          <w:right w:w="57" w:type="dxa"/>
        </w:tblCellMar>
        <w:tblLook w:val="04A0" w:firstRow="1" w:lastRow="0" w:firstColumn="1" w:lastColumn="0" w:noHBand="0" w:noVBand="1"/>
      </w:tblPr>
      <w:tblGrid>
        <w:gridCol w:w="259"/>
        <w:gridCol w:w="602"/>
        <w:gridCol w:w="560"/>
        <w:gridCol w:w="801"/>
        <w:gridCol w:w="560"/>
        <w:gridCol w:w="801"/>
        <w:gridCol w:w="560"/>
        <w:gridCol w:w="801"/>
        <w:gridCol w:w="560"/>
        <w:gridCol w:w="802"/>
        <w:gridCol w:w="561"/>
        <w:gridCol w:w="802"/>
        <w:gridCol w:w="561"/>
        <w:gridCol w:w="796"/>
      </w:tblGrid>
      <w:tr w:rsidR="003A5CFF" w:rsidRPr="000463E3" w14:paraId="2DB6B017" w14:textId="77777777" w:rsidTr="003A5CFF">
        <w:trPr>
          <w:trHeight w:val="170"/>
        </w:trPr>
        <w:tc>
          <w:tcPr>
            <w:tcW w:w="139" w:type="pct"/>
            <w:shd w:val="clear" w:color="auto" w:fill="auto"/>
            <w:noWrap/>
            <w:vAlign w:val="center"/>
          </w:tcPr>
          <w:p w14:paraId="6DA3F16F" w14:textId="77777777" w:rsidR="003A5CFF" w:rsidRPr="000463E3" w:rsidRDefault="003A5CFF" w:rsidP="003A5CFF">
            <w:pPr>
              <w:spacing w:after="0"/>
              <w:jc w:val="center"/>
              <w:rPr>
                <w:rFonts w:eastAsia="Times New Roman" w:cs="Times New Roman"/>
                <w:sz w:val="20"/>
                <w:szCs w:val="20"/>
                <w:lang w:eastAsia="en-GB"/>
              </w:rPr>
            </w:pPr>
          </w:p>
        </w:tc>
        <w:tc>
          <w:tcPr>
            <w:tcW w:w="334" w:type="pct"/>
            <w:shd w:val="clear" w:color="auto" w:fill="auto"/>
            <w:noWrap/>
            <w:vAlign w:val="center"/>
          </w:tcPr>
          <w:p w14:paraId="457233F3" w14:textId="77777777" w:rsidR="003A5CFF" w:rsidRPr="000463E3" w:rsidRDefault="003A5CFF" w:rsidP="003A5CFF">
            <w:pPr>
              <w:spacing w:after="0"/>
              <w:jc w:val="center"/>
              <w:rPr>
                <w:rFonts w:eastAsia="Times New Roman" w:cs="Times New Roman"/>
                <w:sz w:val="20"/>
                <w:szCs w:val="20"/>
                <w:lang w:eastAsia="en-GB"/>
              </w:rPr>
            </w:pPr>
          </w:p>
        </w:tc>
        <w:tc>
          <w:tcPr>
            <w:tcW w:w="4527" w:type="pct"/>
            <w:gridSpan w:val="12"/>
            <w:tcBorders>
              <w:top w:val="single" w:sz="4" w:space="0" w:color="auto"/>
              <w:bottom w:val="single" w:sz="4" w:space="0" w:color="auto"/>
            </w:tcBorders>
            <w:shd w:val="clear" w:color="auto" w:fill="auto"/>
            <w:noWrap/>
            <w:vAlign w:val="center"/>
          </w:tcPr>
          <w:p w14:paraId="05F1F0FC" w14:textId="7CD51283" w:rsidR="003A5CFF" w:rsidRPr="003A5CFF" w:rsidRDefault="003A5CFF" w:rsidP="003A5CFF">
            <w:pPr>
              <w:spacing w:after="0"/>
              <w:jc w:val="center"/>
              <w:rPr>
                <w:rFonts w:eastAsia="Times New Roman" w:cs="Times New Roman"/>
                <w:b/>
                <w:color w:val="000000"/>
                <w:sz w:val="20"/>
                <w:szCs w:val="20"/>
                <w:lang w:eastAsia="en-GB"/>
              </w:rPr>
            </w:pPr>
            <w:r>
              <w:rPr>
                <w:rFonts w:eastAsia="Times New Roman" w:cs="Times New Roman"/>
                <w:b/>
                <w:color w:val="000000"/>
                <w:sz w:val="20"/>
                <w:szCs w:val="20"/>
                <w:lang w:eastAsia="en-GB"/>
              </w:rPr>
              <w:t>Frequency</w:t>
            </w:r>
          </w:p>
        </w:tc>
      </w:tr>
      <w:tr w:rsidR="000463E3" w:rsidRPr="000463E3" w14:paraId="6F5ECA32" w14:textId="77777777" w:rsidTr="003A5CFF">
        <w:trPr>
          <w:trHeight w:val="170"/>
        </w:trPr>
        <w:tc>
          <w:tcPr>
            <w:tcW w:w="139" w:type="pct"/>
            <w:shd w:val="clear" w:color="auto" w:fill="auto"/>
            <w:noWrap/>
            <w:vAlign w:val="center"/>
            <w:hideMark/>
          </w:tcPr>
          <w:p w14:paraId="01D9F554" w14:textId="77777777" w:rsidR="000463E3" w:rsidRPr="000463E3" w:rsidRDefault="000463E3" w:rsidP="003A5CFF">
            <w:pPr>
              <w:spacing w:after="0"/>
              <w:jc w:val="center"/>
              <w:rPr>
                <w:rFonts w:eastAsia="Times New Roman" w:cs="Times New Roman"/>
                <w:sz w:val="20"/>
                <w:szCs w:val="20"/>
                <w:lang w:eastAsia="en-GB"/>
              </w:rPr>
            </w:pPr>
          </w:p>
        </w:tc>
        <w:tc>
          <w:tcPr>
            <w:tcW w:w="334" w:type="pct"/>
            <w:shd w:val="clear" w:color="auto" w:fill="auto"/>
            <w:noWrap/>
            <w:vAlign w:val="center"/>
            <w:hideMark/>
          </w:tcPr>
          <w:p w14:paraId="21A53F28" w14:textId="77777777" w:rsidR="000463E3" w:rsidRPr="000463E3" w:rsidRDefault="000463E3" w:rsidP="003A5CFF">
            <w:pPr>
              <w:spacing w:after="0"/>
              <w:jc w:val="center"/>
              <w:rPr>
                <w:rFonts w:eastAsia="Times New Roman" w:cs="Times New Roman"/>
                <w:sz w:val="20"/>
                <w:szCs w:val="20"/>
                <w:lang w:eastAsia="en-GB"/>
              </w:rPr>
            </w:pPr>
          </w:p>
        </w:tc>
        <w:tc>
          <w:tcPr>
            <w:tcW w:w="1510" w:type="pct"/>
            <w:gridSpan w:val="4"/>
            <w:tcBorders>
              <w:top w:val="single" w:sz="4" w:space="0" w:color="auto"/>
              <w:bottom w:val="single" w:sz="4" w:space="0" w:color="auto"/>
              <w:right w:val="single" w:sz="4" w:space="0" w:color="auto"/>
            </w:tcBorders>
            <w:shd w:val="clear" w:color="auto" w:fill="auto"/>
            <w:noWrap/>
            <w:vAlign w:val="center"/>
            <w:hideMark/>
          </w:tcPr>
          <w:p w14:paraId="5B749861" w14:textId="328117F9" w:rsidR="000463E3" w:rsidRPr="003A5CFF" w:rsidRDefault="003A5CFF" w:rsidP="003A5CFF">
            <w:pPr>
              <w:spacing w:after="0"/>
              <w:jc w:val="center"/>
              <w:rPr>
                <w:rFonts w:eastAsia="Times New Roman" w:cs="Times New Roman"/>
                <w:b/>
                <w:color w:val="000000"/>
                <w:sz w:val="20"/>
                <w:szCs w:val="20"/>
                <w:lang w:eastAsia="en-GB"/>
              </w:rPr>
            </w:pPr>
            <w:r w:rsidRPr="003A5CFF">
              <w:rPr>
                <w:rFonts w:eastAsia="Times New Roman" w:cs="Times New Roman"/>
                <w:b/>
                <w:color w:val="000000"/>
                <w:sz w:val="20"/>
                <w:szCs w:val="20"/>
                <w:lang w:eastAsia="en-GB"/>
              </w:rPr>
              <w:t>Production areas</w:t>
            </w:r>
          </w:p>
        </w:tc>
        <w:tc>
          <w:tcPr>
            <w:tcW w:w="151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6B095" w14:textId="33B6D599" w:rsidR="000463E3" w:rsidRPr="003A5CFF" w:rsidRDefault="003A5CFF" w:rsidP="003A5CFF">
            <w:pPr>
              <w:spacing w:after="0"/>
              <w:jc w:val="center"/>
              <w:rPr>
                <w:rFonts w:eastAsia="Times New Roman" w:cs="Times New Roman"/>
                <w:b/>
                <w:color w:val="000000"/>
                <w:sz w:val="20"/>
                <w:szCs w:val="20"/>
                <w:lang w:eastAsia="en-GB"/>
              </w:rPr>
            </w:pPr>
            <w:r w:rsidRPr="003A5CFF">
              <w:rPr>
                <w:rFonts w:eastAsia="Times New Roman" w:cs="Times New Roman"/>
                <w:b/>
                <w:color w:val="000000"/>
                <w:sz w:val="20"/>
                <w:szCs w:val="20"/>
                <w:lang w:eastAsia="en-GB"/>
              </w:rPr>
              <w:t>Storage areas</w:t>
            </w:r>
          </w:p>
        </w:tc>
        <w:tc>
          <w:tcPr>
            <w:tcW w:w="1507" w:type="pct"/>
            <w:gridSpan w:val="4"/>
            <w:tcBorders>
              <w:top w:val="single" w:sz="4" w:space="0" w:color="auto"/>
              <w:left w:val="single" w:sz="4" w:space="0" w:color="auto"/>
              <w:bottom w:val="single" w:sz="4" w:space="0" w:color="auto"/>
            </w:tcBorders>
            <w:shd w:val="clear" w:color="auto" w:fill="auto"/>
            <w:noWrap/>
            <w:vAlign w:val="center"/>
            <w:hideMark/>
          </w:tcPr>
          <w:p w14:paraId="52B11AD2" w14:textId="7BDF66F6" w:rsidR="000463E3" w:rsidRPr="003A5CFF" w:rsidRDefault="003A5CFF" w:rsidP="003A5CFF">
            <w:pPr>
              <w:spacing w:after="0"/>
              <w:jc w:val="center"/>
              <w:rPr>
                <w:rFonts w:eastAsia="Times New Roman" w:cs="Times New Roman"/>
                <w:b/>
                <w:color w:val="000000"/>
                <w:sz w:val="20"/>
                <w:szCs w:val="20"/>
                <w:lang w:eastAsia="en-GB"/>
              </w:rPr>
            </w:pPr>
            <w:r w:rsidRPr="003A5CFF">
              <w:rPr>
                <w:rFonts w:eastAsia="Times New Roman" w:cs="Times New Roman"/>
                <w:b/>
                <w:color w:val="000000"/>
                <w:sz w:val="20"/>
                <w:szCs w:val="20"/>
                <w:lang w:eastAsia="en-GB"/>
              </w:rPr>
              <w:t>Other areas</w:t>
            </w:r>
          </w:p>
        </w:tc>
      </w:tr>
      <w:tr w:rsidR="000463E3" w:rsidRPr="000463E3" w14:paraId="569E1038" w14:textId="77777777" w:rsidTr="003A5CFF">
        <w:trPr>
          <w:trHeight w:val="170"/>
        </w:trPr>
        <w:tc>
          <w:tcPr>
            <w:tcW w:w="139" w:type="pct"/>
            <w:shd w:val="clear" w:color="auto" w:fill="auto"/>
            <w:noWrap/>
            <w:vAlign w:val="center"/>
            <w:hideMark/>
          </w:tcPr>
          <w:p w14:paraId="227FCD30" w14:textId="77777777" w:rsidR="000463E3" w:rsidRPr="000463E3" w:rsidRDefault="000463E3" w:rsidP="003A5CFF">
            <w:pPr>
              <w:spacing w:after="0"/>
              <w:jc w:val="center"/>
              <w:rPr>
                <w:rFonts w:eastAsia="Times New Roman" w:cs="Times New Roman"/>
                <w:color w:val="000000"/>
                <w:sz w:val="20"/>
                <w:szCs w:val="20"/>
                <w:lang w:eastAsia="en-GB"/>
              </w:rPr>
            </w:pPr>
          </w:p>
        </w:tc>
        <w:tc>
          <w:tcPr>
            <w:tcW w:w="334" w:type="pct"/>
            <w:shd w:val="clear" w:color="auto" w:fill="auto"/>
            <w:noWrap/>
            <w:vAlign w:val="center"/>
            <w:hideMark/>
          </w:tcPr>
          <w:p w14:paraId="1BEF6901" w14:textId="77777777" w:rsidR="000463E3" w:rsidRPr="000463E3" w:rsidRDefault="000463E3" w:rsidP="003A5CFF">
            <w:pPr>
              <w:spacing w:after="0"/>
              <w:jc w:val="center"/>
              <w:rPr>
                <w:rFonts w:eastAsia="Times New Roman" w:cs="Times New Roman"/>
                <w:sz w:val="20"/>
                <w:szCs w:val="20"/>
                <w:lang w:eastAsia="en-GB"/>
              </w:rPr>
            </w:pPr>
          </w:p>
        </w:tc>
        <w:tc>
          <w:tcPr>
            <w:tcW w:w="755" w:type="pct"/>
            <w:gridSpan w:val="2"/>
            <w:tcBorders>
              <w:top w:val="single" w:sz="4" w:space="0" w:color="auto"/>
              <w:bottom w:val="single" w:sz="4" w:space="0" w:color="auto"/>
            </w:tcBorders>
            <w:shd w:val="clear" w:color="auto" w:fill="auto"/>
            <w:noWrap/>
            <w:vAlign w:val="center"/>
            <w:hideMark/>
          </w:tcPr>
          <w:p w14:paraId="4A9C188A" w14:textId="288F0833" w:rsidR="000463E3" w:rsidRPr="000463E3" w:rsidRDefault="003A5CFF"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Sprinklers</w:t>
            </w:r>
          </w:p>
        </w:tc>
        <w:tc>
          <w:tcPr>
            <w:tcW w:w="755" w:type="pct"/>
            <w:gridSpan w:val="2"/>
            <w:tcBorders>
              <w:top w:val="single" w:sz="4" w:space="0" w:color="auto"/>
              <w:bottom w:val="single" w:sz="4" w:space="0" w:color="auto"/>
              <w:right w:val="single" w:sz="4" w:space="0" w:color="auto"/>
            </w:tcBorders>
            <w:shd w:val="clear" w:color="auto" w:fill="auto"/>
            <w:noWrap/>
            <w:vAlign w:val="center"/>
            <w:hideMark/>
          </w:tcPr>
          <w:p w14:paraId="6166436B" w14:textId="12D6D01C" w:rsidR="000463E3" w:rsidRPr="000463E3" w:rsidRDefault="003A5CFF"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No Sprinklers</w:t>
            </w:r>
          </w:p>
        </w:tc>
        <w:tc>
          <w:tcPr>
            <w:tcW w:w="755" w:type="pct"/>
            <w:gridSpan w:val="2"/>
            <w:tcBorders>
              <w:top w:val="single" w:sz="4" w:space="0" w:color="auto"/>
              <w:left w:val="single" w:sz="4" w:space="0" w:color="auto"/>
              <w:bottom w:val="single" w:sz="4" w:space="0" w:color="auto"/>
            </w:tcBorders>
            <w:shd w:val="clear" w:color="auto" w:fill="auto"/>
            <w:noWrap/>
            <w:vAlign w:val="center"/>
            <w:hideMark/>
          </w:tcPr>
          <w:p w14:paraId="2B353F2E" w14:textId="114BB750"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S</w:t>
            </w:r>
            <w:r w:rsidR="003A5CFF">
              <w:rPr>
                <w:rFonts w:eastAsia="Times New Roman" w:cs="Times New Roman"/>
                <w:color w:val="000000"/>
                <w:sz w:val="20"/>
                <w:szCs w:val="20"/>
                <w:lang w:eastAsia="en-GB"/>
              </w:rPr>
              <w:t>prinklers</w:t>
            </w:r>
          </w:p>
        </w:tc>
        <w:tc>
          <w:tcPr>
            <w:tcW w:w="755" w:type="pct"/>
            <w:gridSpan w:val="2"/>
            <w:tcBorders>
              <w:top w:val="single" w:sz="4" w:space="0" w:color="auto"/>
              <w:bottom w:val="single" w:sz="4" w:space="0" w:color="auto"/>
              <w:right w:val="single" w:sz="4" w:space="0" w:color="auto"/>
            </w:tcBorders>
            <w:shd w:val="clear" w:color="auto" w:fill="auto"/>
            <w:noWrap/>
            <w:vAlign w:val="center"/>
            <w:hideMark/>
          </w:tcPr>
          <w:p w14:paraId="34C5A359" w14:textId="025DF45F" w:rsidR="000463E3" w:rsidRPr="000463E3" w:rsidRDefault="003A5CFF"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No Sprinklers</w:t>
            </w:r>
          </w:p>
        </w:tc>
        <w:tc>
          <w:tcPr>
            <w:tcW w:w="755" w:type="pct"/>
            <w:gridSpan w:val="2"/>
            <w:tcBorders>
              <w:top w:val="single" w:sz="4" w:space="0" w:color="auto"/>
              <w:left w:val="single" w:sz="4" w:space="0" w:color="auto"/>
              <w:bottom w:val="single" w:sz="4" w:space="0" w:color="auto"/>
            </w:tcBorders>
            <w:shd w:val="clear" w:color="auto" w:fill="auto"/>
            <w:noWrap/>
            <w:vAlign w:val="center"/>
            <w:hideMark/>
          </w:tcPr>
          <w:p w14:paraId="1D186CCB" w14:textId="3CC961F0"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S</w:t>
            </w:r>
            <w:r w:rsidR="003A5CFF">
              <w:rPr>
                <w:rFonts w:eastAsia="Times New Roman" w:cs="Times New Roman"/>
                <w:color w:val="000000"/>
                <w:sz w:val="20"/>
                <w:szCs w:val="20"/>
                <w:lang w:eastAsia="en-GB"/>
              </w:rPr>
              <w:t>prinklers</w:t>
            </w:r>
          </w:p>
        </w:tc>
        <w:tc>
          <w:tcPr>
            <w:tcW w:w="753" w:type="pct"/>
            <w:gridSpan w:val="2"/>
            <w:tcBorders>
              <w:top w:val="single" w:sz="4" w:space="0" w:color="auto"/>
              <w:bottom w:val="single" w:sz="4" w:space="0" w:color="auto"/>
            </w:tcBorders>
            <w:shd w:val="clear" w:color="auto" w:fill="auto"/>
            <w:noWrap/>
            <w:vAlign w:val="center"/>
            <w:hideMark/>
          </w:tcPr>
          <w:p w14:paraId="4D126AF5" w14:textId="3A07CA23" w:rsidR="000463E3" w:rsidRPr="000463E3" w:rsidRDefault="003A5CFF"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No Sprinklers</w:t>
            </w:r>
          </w:p>
        </w:tc>
      </w:tr>
      <w:tr w:rsidR="003A5CFF" w:rsidRPr="000463E3" w14:paraId="393F50C2" w14:textId="77777777" w:rsidTr="003A5CFF">
        <w:trPr>
          <w:trHeight w:val="170"/>
        </w:trPr>
        <w:tc>
          <w:tcPr>
            <w:tcW w:w="139" w:type="pct"/>
            <w:shd w:val="clear" w:color="auto" w:fill="auto"/>
            <w:noWrap/>
            <w:vAlign w:val="center"/>
            <w:hideMark/>
          </w:tcPr>
          <w:p w14:paraId="08E11EAC" w14:textId="77777777" w:rsidR="000463E3" w:rsidRPr="000463E3" w:rsidRDefault="000463E3" w:rsidP="003A5CFF">
            <w:pPr>
              <w:spacing w:after="0"/>
              <w:jc w:val="center"/>
              <w:rPr>
                <w:rFonts w:eastAsia="Times New Roman" w:cs="Times New Roman"/>
                <w:color w:val="000000"/>
                <w:sz w:val="20"/>
                <w:szCs w:val="20"/>
                <w:lang w:eastAsia="en-GB"/>
              </w:rPr>
            </w:pPr>
          </w:p>
        </w:tc>
        <w:tc>
          <w:tcPr>
            <w:tcW w:w="334" w:type="pct"/>
            <w:shd w:val="clear" w:color="auto" w:fill="auto"/>
            <w:noWrap/>
            <w:vAlign w:val="center"/>
            <w:hideMark/>
          </w:tcPr>
          <w:p w14:paraId="3F62564B" w14:textId="77777777" w:rsidR="000463E3" w:rsidRPr="000463E3" w:rsidRDefault="000463E3" w:rsidP="003A5CFF">
            <w:pPr>
              <w:spacing w:after="0"/>
              <w:jc w:val="center"/>
              <w:rPr>
                <w:rFonts w:eastAsia="Times New Roman" w:cs="Times New Roman"/>
                <w:sz w:val="20"/>
                <w:szCs w:val="20"/>
                <w:lang w:eastAsia="en-GB"/>
              </w:rPr>
            </w:pPr>
          </w:p>
        </w:tc>
        <w:tc>
          <w:tcPr>
            <w:tcW w:w="311" w:type="pct"/>
            <w:vMerge w:val="restart"/>
            <w:tcBorders>
              <w:top w:val="single" w:sz="4" w:space="0" w:color="auto"/>
              <w:bottom w:val="single" w:sz="4" w:space="0" w:color="auto"/>
            </w:tcBorders>
            <w:shd w:val="clear" w:color="auto" w:fill="auto"/>
            <w:noWrap/>
            <w:vAlign w:val="center"/>
            <w:hideMark/>
          </w:tcPr>
          <w:p w14:paraId="3A9562B9"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PD</w:t>
            </w:r>
          </w:p>
        </w:tc>
        <w:tc>
          <w:tcPr>
            <w:tcW w:w="444" w:type="pct"/>
            <w:vMerge w:val="restart"/>
            <w:tcBorders>
              <w:top w:val="single" w:sz="4" w:space="0" w:color="auto"/>
              <w:bottom w:val="single" w:sz="4" w:space="0" w:color="auto"/>
            </w:tcBorders>
            <w:shd w:val="clear" w:color="auto" w:fill="auto"/>
            <w:noWrap/>
            <w:vAlign w:val="center"/>
            <w:hideMark/>
          </w:tcPr>
          <w:p w14:paraId="0FF92721"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UK</w:t>
            </w:r>
          </w:p>
        </w:tc>
        <w:tc>
          <w:tcPr>
            <w:tcW w:w="311" w:type="pct"/>
            <w:vMerge w:val="restart"/>
            <w:tcBorders>
              <w:top w:val="single" w:sz="4" w:space="0" w:color="auto"/>
              <w:bottom w:val="single" w:sz="4" w:space="0" w:color="auto"/>
            </w:tcBorders>
            <w:shd w:val="clear" w:color="auto" w:fill="auto"/>
            <w:noWrap/>
            <w:vAlign w:val="center"/>
            <w:hideMark/>
          </w:tcPr>
          <w:p w14:paraId="645EE13F"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PD</w:t>
            </w:r>
          </w:p>
        </w:tc>
        <w:tc>
          <w:tcPr>
            <w:tcW w:w="444" w:type="pct"/>
            <w:vMerge w:val="restart"/>
            <w:tcBorders>
              <w:top w:val="single" w:sz="4" w:space="0" w:color="auto"/>
              <w:bottom w:val="single" w:sz="4" w:space="0" w:color="auto"/>
              <w:right w:val="single" w:sz="4" w:space="0" w:color="auto"/>
            </w:tcBorders>
            <w:shd w:val="clear" w:color="auto" w:fill="auto"/>
            <w:noWrap/>
            <w:vAlign w:val="center"/>
            <w:hideMark/>
          </w:tcPr>
          <w:p w14:paraId="26F419EF"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UK</w:t>
            </w:r>
          </w:p>
        </w:tc>
        <w:tc>
          <w:tcPr>
            <w:tcW w:w="311" w:type="pct"/>
            <w:vMerge w:val="restart"/>
            <w:tcBorders>
              <w:top w:val="single" w:sz="4" w:space="0" w:color="auto"/>
              <w:left w:val="single" w:sz="4" w:space="0" w:color="auto"/>
              <w:bottom w:val="single" w:sz="4" w:space="0" w:color="auto"/>
            </w:tcBorders>
            <w:shd w:val="clear" w:color="auto" w:fill="auto"/>
            <w:noWrap/>
            <w:vAlign w:val="center"/>
            <w:hideMark/>
          </w:tcPr>
          <w:p w14:paraId="7D93BCD0"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PD</w:t>
            </w:r>
          </w:p>
        </w:tc>
        <w:tc>
          <w:tcPr>
            <w:tcW w:w="444" w:type="pct"/>
            <w:vMerge w:val="restart"/>
            <w:tcBorders>
              <w:top w:val="single" w:sz="4" w:space="0" w:color="auto"/>
              <w:bottom w:val="single" w:sz="4" w:space="0" w:color="auto"/>
            </w:tcBorders>
            <w:shd w:val="clear" w:color="auto" w:fill="auto"/>
            <w:noWrap/>
            <w:vAlign w:val="center"/>
            <w:hideMark/>
          </w:tcPr>
          <w:p w14:paraId="27BF7359"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UK</w:t>
            </w:r>
          </w:p>
        </w:tc>
        <w:tc>
          <w:tcPr>
            <w:tcW w:w="311" w:type="pct"/>
            <w:vMerge w:val="restart"/>
            <w:tcBorders>
              <w:top w:val="single" w:sz="4" w:space="0" w:color="auto"/>
              <w:bottom w:val="single" w:sz="4" w:space="0" w:color="auto"/>
            </w:tcBorders>
            <w:shd w:val="clear" w:color="auto" w:fill="auto"/>
            <w:noWrap/>
            <w:vAlign w:val="center"/>
            <w:hideMark/>
          </w:tcPr>
          <w:p w14:paraId="76B8D381"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PD</w:t>
            </w:r>
          </w:p>
        </w:tc>
        <w:tc>
          <w:tcPr>
            <w:tcW w:w="444" w:type="pct"/>
            <w:vMerge w:val="restart"/>
            <w:tcBorders>
              <w:top w:val="single" w:sz="4" w:space="0" w:color="auto"/>
              <w:bottom w:val="single" w:sz="4" w:space="0" w:color="auto"/>
              <w:right w:val="single" w:sz="4" w:space="0" w:color="auto"/>
            </w:tcBorders>
            <w:shd w:val="clear" w:color="auto" w:fill="auto"/>
            <w:noWrap/>
            <w:vAlign w:val="center"/>
            <w:hideMark/>
          </w:tcPr>
          <w:p w14:paraId="2B96E238"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UK</w:t>
            </w:r>
          </w:p>
        </w:tc>
        <w:tc>
          <w:tcPr>
            <w:tcW w:w="311" w:type="pct"/>
            <w:vMerge w:val="restart"/>
            <w:tcBorders>
              <w:top w:val="single" w:sz="4" w:space="0" w:color="auto"/>
              <w:left w:val="single" w:sz="4" w:space="0" w:color="auto"/>
              <w:bottom w:val="single" w:sz="4" w:space="0" w:color="auto"/>
            </w:tcBorders>
            <w:shd w:val="clear" w:color="auto" w:fill="auto"/>
            <w:noWrap/>
            <w:vAlign w:val="center"/>
            <w:hideMark/>
          </w:tcPr>
          <w:p w14:paraId="5671369D"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PD</w:t>
            </w:r>
          </w:p>
        </w:tc>
        <w:tc>
          <w:tcPr>
            <w:tcW w:w="444" w:type="pct"/>
            <w:vMerge w:val="restart"/>
            <w:tcBorders>
              <w:top w:val="single" w:sz="4" w:space="0" w:color="auto"/>
              <w:bottom w:val="single" w:sz="4" w:space="0" w:color="auto"/>
            </w:tcBorders>
            <w:shd w:val="clear" w:color="auto" w:fill="auto"/>
            <w:noWrap/>
            <w:vAlign w:val="center"/>
            <w:hideMark/>
          </w:tcPr>
          <w:p w14:paraId="50490EAF"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UK</w:t>
            </w:r>
          </w:p>
        </w:tc>
        <w:tc>
          <w:tcPr>
            <w:tcW w:w="311" w:type="pct"/>
            <w:vMerge w:val="restart"/>
            <w:tcBorders>
              <w:top w:val="single" w:sz="4" w:space="0" w:color="auto"/>
              <w:bottom w:val="single" w:sz="4" w:space="0" w:color="auto"/>
            </w:tcBorders>
            <w:shd w:val="clear" w:color="auto" w:fill="auto"/>
            <w:noWrap/>
            <w:vAlign w:val="center"/>
            <w:hideMark/>
          </w:tcPr>
          <w:p w14:paraId="1DC52DC3"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PD</w:t>
            </w:r>
          </w:p>
        </w:tc>
        <w:tc>
          <w:tcPr>
            <w:tcW w:w="442" w:type="pct"/>
            <w:vMerge w:val="restart"/>
            <w:tcBorders>
              <w:top w:val="single" w:sz="4" w:space="0" w:color="auto"/>
              <w:bottom w:val="single" w:sz="4" w:space="0" w:color="auto"/>
            </w:tcBorders>
            <w:shd w:val="clear" w:color="auto" w:fill="auto"/>
            <w:noWrap/>
            <w:vAlign w:val="center"/>
            <w:hideMark/>
          </w:tcPr>
          <w:p w14:paraId="307951AE" w14:textId="77777777" w:rsidR="000463E3" w:rsidRPr="000463E3" w:rsidRDefault="000463E3" w:rsidP="003A5CFF">
            <w:pPr>
              <w:spacing w:after="0"/>
              <w:jc w:val="center"/>
              <w:rPr>
                <w:rFonts w:eastAsia="Times New Roman" w:cs="Times New Roman"/>
                <w:color w:val="000000"/>
                <w:sz w:val="20"/>
                <w:szCs w:val="20"/>
                <w:lang w:eastAsia="en-GB"/>
              </w:rPr>
            </w:pPr>
            <w:r w:rsidRPr="000463E3">
              <w:rPr>
                <w:rFonts w:eastAsia="Times New Roman" w:cs="Times New Roman"/>
                <w:color w:val="000000"/>
                <w:sz w:val="20"/>
                <w:szCs w:val="20"/>
                <w:lang w:eastAsia="en-GB"/>
              </w:rPr>
              <w:t>UK</w:t>
            </w:r>
          </w:p>
        </w:tc>
      </w:tr>
      <w:tr w:rsidR="003A5CFF" w:rsidRPr="000463E3" w14:paraId="0B37ED1E" w14:textId="77777777" w:rsidTr="003A5CFF">
        <w:trPr>
          <w:trHeight w:val="170"/>
        </w:trPr>
        <w:tc>
          <w:tcPr>
            <w:tcW w:w="139" w:type="pct"/>
            <w:tcBorders>
              <w:bottom w:val="single" w:sz="4" w:space="0" w:color="auto"/>
            </w:tcBorders>
            <w:shd w:val="clear" w:color="auto" w:fill="auto"/>
            <w:noWrap/>
            <w:vAlign w:val="center"/>
            <w:hideMark/>
          </w:tcPr>
          <w:p w14:paraId="4D0A066E" w14:textId="77777777" w:rsidR="000463E3" w:rsidRPr="000463E3" w:rsidRDefault="000463E3" w:rsidP="003A5CFF">
            <w:pPr>
              <w:spacing w:after="0"/>
              <w:jc w:val="center"/>
              <w:rPr>
                <w:rFonts w:eastAsia="Times New Roman" w:cs="Times New Roman"/>
                <w:color w:val="000000"/>
                <w:sz w:val="20"/>
                <w:szCs w:val="20"/>
                <w:lang w:eastAsia="en-GB"/>
              </w:rPr>
            </w:pPr>
          </w:p>
        </w:tc>
        <w:tc>
          <w:tcPr>
            <w:tcW w:w="334" w:type="pct"/>
            <w:tcBorders>
              <w:bottom w:val="single" w:sz="4" w:space="0" w:color="auto"/>
            </w:tcBorders>
            <w:shd w:val="clear" w:color="auto" w:fill="auto"/>
            <w:noWrap/>
            <w:vAlign w:val="center"/>
            <w:hideMark/>
          </w:tcPr>
          <w:p w14:paraId="14A58FA4" w14:textId="77777777" w:rsidR="000463E3" w:rsidRPr="000463E3" w:rsidRDefault="000463E3" w:rsidP="003A5CFF">
            <w:pPr>
              <w:spacing w:after="0"/>
              <w:jc w:val="center"/>
              <w:rPr>
                <w:rFonts w:eastAsia="Times New Roman" w:cs="Times New Roman"/>
                <w:sz w:val="20"/>
                <w:szCs w:val="20"/>
                <w:lang w:eastAsia="en-GB"/>
              </w:rPr>
            </w:pPr>
          </w:p>
        </w:tc>
        <w:tc>
          <w:tcPr>
            <w:tcW w:w="311" w:type="pct"/>
            <w:vMerge/>
            <w:tcBorders>
              <w:bottom w:val="single" w:sz="4" w:space="0" w:color="auto"/>
            </w:tcBorders>
            <w:vAlign w:val="center"/>
            <w:hideMark/>
          </w:tcPr>
          <w:p w14:paraId="2E844CB6" w14:textId="77777777" w:rsidR="000463E3" w:rsidRPr="000463E3" w:rsidRDefault="000463E3" w:rsidP="003A5CFF">
            <w:pPr>
              <w:spacing w:after="0"/>
              <w:jc w:val="center"/>
              <w:rPr>
                <w:rFonts w:eastAsia="Times New Roman" w:cs="Times New Roman"/>
                <w:color w:val="000000"/>
                <w:sz w:val="20"/>
                <w:szCs w:val="20"/>
                <w:lang w:eastAsia="en-GB"/>
              </w:rPr>
            </w:pPr>
          </w:p>
        </w:tc>
        <w:tc>
          <w:tcPr>
            <w:tcW w:w="444" w:type="pct"/>
            <w:vMerge/>
            <w:tcBorders>
              <w:bottom w:val="single" w:sz="4" w:space="0" w:color="auto"/>
            </w:tcBorders>
            <w:vAlign w:val="center"/>
            <w:hideMark/>
          </w:tcPr>
          <w:p w14:paraId="247FBC8F" w14:textId="77777777" w:rsidR="000463E3" w:rsidRPr="000463E3" w:rsidRDefault="000463E3" w:rsidP="003A5CFF">
            <w:pPr>
              <w:spacing w:after="0"/>
              <w:jc w:val="center"/>
              <w:rPr>
                <w:rFonts w:eastAsia="Times New Roman" w:cs="Times New Roman"/>
                <w:color w:val="000000"/>
                <w:sz w:val="20"/>
                <w:szCs w:val="20"/>
                <w:lang w:eastAsia="en-GB"/>
              </w:rPr>
            </w:pPr>
          </w:p>
        </w:tc>
        <w:tc>
          <w:tcPr>
            <w:tcW w:w="311" w:type="pct"/>
            <w:vMerge/>
            <w:tcBorders>
              <w:bottom w:val="single" w:sz="4" w:space="0" w:color="auto"/>
            </w:tcBorders>
            <w:vAlign w:val="center"/>
            <w:hideMark/>
          </w:tcPr>
          <w:p w14:paraId="537176A4" w14:textId="77777777" w:rsidR="000463E3" w:rsidRPr="000463E3" w:rsidRDefault="000463E3" w:rsidP="003A5CFF">
            <w:pPr>
              <w:spacing w:after="0"/>
              <w:jc w:val="center"/>
              <w:rPr>
                <w:rFonts w:eastAsia="Times New Roman" w:cs="Times New Roman"/>
                <w:color w:val="000000"/>
                <w:sz w:val="20"/>
                <w:szCs w:val="20"/>
                <w:lang w:eastAsia="en-GB"/>
              </w:rPr>
            </w:pPr>
          </w:p>
        </w:tc>
        <w:tc>
          <w:tcPr>
            <w:tcW w:w="444" w:type="pct"/>
            <w:vMerge/>
            <w:tcBorders>
              <w:bottom w:val="single" w:sz="4" w:space="0" w:color="auto"/>
              <w:right w:val="single" w:sz="4" w:space="0" w:color="auto"/>
            </w:tcBorders>
            <w:vAlign w:val="center"/>
            <w:hideMark/>
          </w:tcPr>
          <w:p w14:paraId="42E1505D" w14:textId="77777777" w:rsidR="000463E3" w:rsidRPr="000463E3" w:rsidRDefault="000463E3" w:rsidP="003A5CFF">
            <w:pPr>
              <w:spacing w:after="0"/>
              <w:jc w:val="center"/>
              <w:rPr>
                <w:rFonts w:eastAsia="Times New Roman" w:cs="Times New Roman"/>
                <w:color w:val="000000"/>
                <w:sz w:val="20"/>
                <w:szCs w:val="20"/>
                <w:lang w:eastAsia="en-GB"/>
              </w:rPr>
            </w:pPr>
          </w:p>
        </w:tc>
        <w:tc>
          <w:tcPr>
            <w:tcW w:w="311" w:type="pct"/>
            <w:vMerge/>
            <w:tcBorders>
              <w:left w:val="single" w:sz="4" w:space="0" w:color="auto"/>
              <w:bottom w:val="single" w:sz="4" w:space="0" w:color="auto"/>
            </w:tcBorders>
            <w:vAlign w:val="center"/>
            <w:hideMark/>
          </w:tcPr>
          <w:p w14:paraId="58D4D102" w14:textId="77777777" w:rsidR="000463E3" w:rsidRPr="000463E3" w:rsidRDefault="000463E3" w:rsidP="003A5CFF">
            <w:pPr>
              <w:spacing w:after="0"/>
              <w:jc w:val="center"/>
              <w:rPr>
                <w:rFonts w:eastAsia="Times New Roman" w:cs="Times New Roman"/>
                <w:color w:val="000000"/>
                <w:sz w:val="20"/>
                <w:szCs w:val="20"/>
                <w:lang w:eastAsia="en-GB"/>
              </w:rPr>
            </w:pPr>
          </w:p>
        </w:tc>
        <w:tc>
          <w:tcPr>
            <w:tcW w:w="444" w:type="pct"/>
            <w:vMerge/>
            <w:tcBorders>
              <w:bottom w:val="single" w:sz="4" w:space="0" w:color="auto"/>
            </w:tcBorders>
            <w:vAlign w:val="center"/>
            <w:hideMark/>
          </w:tcPr>
          <w:p w14:paraId="77630FAB" w14:textId="77777777" w:rsidR="000463E3" w:rsidRPr="000463E3" w:rsidRDefault="000463E3" w:rsidP="003A5CFF">
            <w:pPr>
              <w:spacing w:after="0"/>
              <w:jc w:val="center"/>
              <w:rPr>
                <w:rFonts w:eastAsia="Times New Roman" w:cs="Times New Roman"/>
                <w:color w:val="000000"/>
                <w:sz w:val="20"/>
                <w:szCs w:val="20"/>
                <w:lang w:eastAsia="en-GB"/>
              </w:rPr>
            </w:pPr>
          </w:p>
        </w:tc>
        <w:tc>
          <w:tcPr>
            <w:tcW w:w="311" w:type="pct"/>
            <w:vMerge/>
            <w:tcBorders>
              <w:bottom w:val="single" w:sz="4" w:space="0" w:color="auto"/>
            </w:tcBorders>
            <w:vAlign w:val="center"/>
            <w:hideMark/>
          </w:tcPr>
          <w:p w14:paraId="2E5CFA13" w14:textId="77777777" w:rsidR="000463E3" w:rsidRPr="000463E3" w:rsidRDefault="000463E3" w:rsidP="003A5CFF">
            <w:pPr>
              <w:spacing w:after="0"/>
              <w:jc w:val="center"/>
              <w:rPr>
                <w:rFonts w:eastAsia="Times New Roman" w:cs="Times New Roman"/>
                <w:color w:val="000000"/>
                <w:sz w:val="20"/>
                <w:szCs w:val="20"/>
                <w:lang w:eastAsia="en-GB"/>
              </w:rPr>
            </w:pPr>
          </w:p>
        </w:tc>
        <w:tc>
          <w:tcPr>
            <w:tcW w:w="444" w:type="pct"/>
            <w:vMerge/>
            <w:tcBorders>
              <w:bottom w:val="single" w:sz="4" w:space="0" w:color="auto"/>
              <w:right w:val="single" w:sz="4" w:space="0" w:color="auto"/>
            </w:tcBorders>
            <w:vAlign w:val="center"/>
            <w:hideMark/>
          </w:tcPr>
          <w:p w14:paraId="3FF2748F" w14:textId="77777777" w:rsidR="000463E3" w:rsidRPr="000463E3" w:rsidRDefault="000463E3" w:rsidP="003A5CFF">
            <w:pPr>
              <w:spacing w:after="0"/>
              <w:jc w:val="center"/>
              <w:rPr>
                <w:rFonts w:eastAsia="Times New Roman" w:cs="Times New Roman"/>
                <w:color w:val="000000"/>
                <w:sz w:val="20"/>
                <w:szCs w:val="20"/>
                <w:lang w:eastAsia="en-GB"/>
              </w:rPr>
            </w:pPr>
          </w:p>
        </w:tc>
        <w:tc>
          <w:tcPr>
            <w:tcW w:w="311" w:type="pct"/>
            <w:vMerge/>
            <w:tcBorders>
              <w:left w:val="single" w:sz="4" w:space="0" w:color="auto"/>
              <w:bottom w:val="single" w:sz="4" w:space="0" w:color="auto"/>
            </w:tcBorders>
            <w:vAlign w:val="center"/>
            <w:hideMark/>
          </w:tcPr>
          <w:p w14:paraId="536E5AA1" w14:textId="77777777" w:rsidR="000463E3" w:rsidRPr="000463E3" w:rsidRDefault="000463E3" w:rsidP="003A5CFF">
            <w:pPr>
              <w:spacing w:after="0"/>
              <w:jc w:val="center"/>
              <w:rPr>
                <w:rFonts w:eastAsia="Times New Roman" w:cs="Times New Roman"/>
                <w:color w:val="000000"/>
                <w:sz w:val="20"/>
                <w:szCs w:val="20"/>
                <w:lang w:eastAsia="en-GB"/>
              </w:rPr>
            </w:pPr>
          </w:p>
        </w:tc>
        <w:tc>
          <w:tcPr>
            <w:tcW w:w="444" w:type="pct"/>
            <w:vMerge/>
            <w:tcBorders>
              <w:bottom w:val="single" w:sz="4" w:space="0" w:color="auto"/>
            </w:tcBorders>
            <w:vAlign w:val="center"/>
            <w:hideMark/>
          </w:tcPr>
          <w:p w14:paraId="4B97B3AB" w14:textId="77777777" w:rsidR="000463E3" w:rsidRPr="000463E3" w:rsidRDefault="000463E3" w:rsidP="003A5CFF">
            <w:pPr>
              <w:spacing w:after="0"/>
              <w:jc w:val="center"/>
              <w:rPr>
                <w:rFonts w:eastAsia="Times New Roman" w:cs="Times New Roman"/>
                <w:color w:val="000000"/>
                <w:sz w:val="20"/>
                <w:szCs w:val="20"/>
                <w:lang w:eastAsia="en-GB"/>
              </w:rPr>
            </w:pPr>
          </w:p>
        </w:tc>
        <w:tc>
          <w:tcPr>
            <w:tcW w:w="311" w:type="pct"/>
            <w:vMerge/>
            <w:tcBorders>
              <w:bottom w:val="single" w:sz="4" w:space="0" w:color="auto"/>
            </w:tcBorders>
            <w:vAlign w:val="center"/>
            <w:hideMark/>
          </w:tcPr>
          <w:p w14:paraId="15D49784" w14:textId="77777777" w:rsidR="000463E3" w:rsidRPr="000463E3" w:rsidRDefault="000463E3" w:rsidP="003A5CFF">
            <w:pPr>
              <w:spacing w:after="0"/>
              <w:jc w:val="center"/>
              <w:rPr>
                <w:rFonts w:eastAsia="Times New Roman" w:cs="Times New Roman"/>
                <w:color w:val="000000"/>
                <w:sz w:val="20"/>
                <w:szCs w:val="20"/>
                <w:lang w:eastAsia="en-GB"/>
              </w:rPr>
            </w:pPr>
          </w:p>
        </w:tc>
        <w:tc>
          <w:tcPr>
            <w:tcW w:w="442" w:type="pct"/>
            <w:vMerge/>
            <w:tcBorders>
              <w:bottom w:val="single" w:sz="4" w:space="0" w:color="auto"/>
            </w:tcBorders>
            <w:vAlign w:val="center"/>
            <w:hideMark/>
          </w:tcPr>
          <w:p w14:paraId="17C5681D" w14:textId="77777777" w:rsidR="000463E3" w:rsidRPr="000463E3" w:rsidRDefault="000463E3" w:rsidP="003A5CFF">
            <w:pPr>
              <w:spacing w:after="0"/>
              <w:jc w:val="center"/>
              <w:rPr>
                <w:rFonts w:eastAsia="Times New Roman" w:cs="Times New Roman"/>
                <w:color w:val="000000"/>
                <w:sz w:val="20"/>
                <w:szCs w:val="20"/>
                <w:lang w:eastAsia="en-GB"/>
              </w:rPr>
            </w:pPr>
          </w:p>
        </w:tc>
      </w:tr>
      <w:tr w:rsidR="003A5CFF" w:rsidRPr="000463E3" w14:paraId="652F1253" w14:textId="77777777" w:rsidTr="003A5CFF">
        <w:trPr>
          <w:trHeight w:val="170"/>
        </w:trPr>
        <w:tc>
          <w:tcPr>
            <w:tcW w:w="473" w:type="pct"/>
            <w:gridSpan w:val="2"/>
            <w:tcBorders>
              <w:top w:val="single" w:sz="4" w:space="0" w:color="auto"/>
              <w:bottom w:val="single" w:sz="4" w:space="0" w:color="auto"/>
            </w:tcBorders>
            <w:shd w:val="clear" w:color="auto" w:fill="auto"/>
            <w:noWrap/>
            <w:vAlign w:val="center"/>
            <w:hideMark/>
          </w:tcPr>
          <w:p w14:paraId="7B903D6F" w14:textId="5CC550FC"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A</w:t>
            </w:r>
          </w:p>
        </w:tc>
        <w:tc>
          <w:tcPr>
            <w:tcW w:w="311" w:type="pct"/>
            <w:tcBorders>
              <w:top w:val="single" w:sz="4" w:space="0" w:color="auto"/>
            </w:tcBorders>
            <w:shd w:val="clear" w:color="auto" w:fill="auto"/>
            <w:noWrap/>
            <w:vAlign w:val="center"/>
            <w:hideMark/>
          </w:tcPr>
          <w:p w14:paraId="6791CB99"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w:t>
            </w:r>
          </w:p>
        </w:tc>
        <w:tc>
          <w:tcPr>
            <w:tcW w:w="444" w:type="pct"/>
            <w:tcBorders>
              <w:top w:val="single" w:sz="4" w:space="0" w:color="auto"/>
            </w:tcBorders>
            <w:shd w:val="clear" w:color="auto" w:fill="auto"/>
            <w:noWrap/>
            <w:vAlign w:val="center"/>
            <w:hideMark/>
          </w:tcPr>
          <w:p w14:paraId="5F3CAB95"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19.70%</w:t>
            </w:r>
          </w:p>
        </w:tc>
        <w:tc>
          <w:tcPr>
            <w:tcW w:w="311" w:type="pct"/>
            <w:tcBorders>
              <w:top w:val="single" w:sz="4" w:space="0" w:color="auto"/>
            </w:tcBorders>
            <w:shd w:val="clear" w:color="auto" w:fill="auto"/>
            <w:noWrap/>
            <w:vAlign w:val="center"/>
            <w:hideMark/>
          </w:tcPr>
          <w:p w14:paraId="358F6EC3"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w:t>
            </w:r>
          </w:p>
        </w:tc>
        <w:tc>
          <w:tcPr>
            <w:tcW w:w="444" w:type="pct"/>
            <w:tcBorders>
              <w:top w:val="single" w:sz="4" w:space="0" w:color="auto"/>
              <w:right w:val="single" w:sz="4" w:space="0" w:color="auto"/>
            </w:tcBorders>
            <w:shd w:val="clear" w:color="auto" w:fill="auto"/>
            <w:noWrap/>
            <w:vAlign w:val="center"/>
            <w:hideMark/>
          </w:tcPr>
          <w:p w14:paraId="5A98FD70"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24.86%</w:t>
            </w:r>
          </w:p>
        </w:tc>
        <w:tc>
          <w:tcPr>
            <w:tcW w:w="311" w:type="pct"/>
            <w:tcBorders>
              <w:top w:val="single" w:sz="4" w:space="0" w:color="auto"/>
              <w:left w:val="single" w:sz="4" w:space="0" w:color="auto"/>
            </w:tcBorders>
            <w:shd w:val="clear" w:color="auto" w:fill="auto"/>
            <w:noWrap/>
            <w:vAlign w:val="center"/>
            <w:hideMark/>
          </w:tcPr>
          <w:p w14:paraId="3A3FA048"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w:t>
            </w:r>
          </w:p>
        </w:tc>
        <w:tc>
          <w:tcPr>
            <w:tcW w:w="444" w:type="pct"/>
            <w:tcBorders>
              <w:top w:val="single" w:sz="4" w:space="0" w:color="auto"/>
            </w:tcBorders>
            <w:shd w:val="clear" w:color="auto" w:fill="auto"/>
            <w:noWrap/>
            <w:vAlign w:val="center"/>
            <w:hideMark/>
          </w:tcPr>
          <w:p w14:paraId="35F4C7E4"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18.18%</w:t>
            </w:r>
          </w:p>
        </w:tc>
        <w:tc>
          <w:tcPr>
            <w:tcW w:w="311" w:type="pct"/>
            <w:tcBorders>
              <w:top w:val="single" w:sz="4" w:space="0" w:color="auto"/>
            </w:tcBorders>
            <w:shd w:val="clear" w:color="auto" w:fill="auto"/>
            <w:noWrap/>
            <w:vAlign w:val="center"/>
            <w:hideMark/>
          </w:tcPr>
          <w:p w14:paraId="0AA55896"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w:t>
            </w:r>
          </w:p>
        </w:tc>
        <w:tc>
          <w:tcPr>
            <w:tcW w:w="444" w:type="pct"/>
            <w:tcBorders>
              <w:top w:val="single" w:sz="4" w:space="0" w:color="auto"/>
              <w:right w:val="single" w:sz="4" w:space="0" w:color="auto"/>
            </w:tcBorders>
            <w:shd w:val="clear" w:color="auto" w:fill="auto"/>
            <w:noWrap/>
            <w:vAlign w:val="center"/>
            <w:hideMark/>
          </w:tcPr>
          <w:p w14:paraId="04443568"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20.93%</w:t>
            </w:r>
          </w:p>
        </w:tc>
        <w:tc>
          <w:tcPr>
            <w:tcW w:w="311" w:type="pct"/>
            <w:tcBorders>
              <w:top w:val="single" w:sz="4" w:space="0" w:color="auto"/>
              <w:left w:val="single" w:sz="4" w:space="0" w:color="auto"/>
            </w:tcBorders>
            <w:shd w:val="clear" w:color="auto" w:fill="auto"/>
            <w:noWrap/>
            <w:vAlign w:val="center"/>
            <w:hideMark/>
          </w:tcPr>
          <w:p w14:paraId="47C19220"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w:t>
            </w:r>
          </w:p>
        </w:tc>
        <w:tc>
          <w:tcPr>
            <w:tcW w:w="444" w:type="pct"/>
            <w:tcBorders>
              <w:top w:val="single" w:sz="4" w:space="0" w:color="auto"/>
            </w:tcBorders>
            <w:shd w:val="clear" w:color="auto" w:fill="auto"/>
            <w:noWrap/>
            <w:vAlign w:val="center"/>
            <w:hideMark/>
          </w:tcPr>
          <w:p w14:paraId="680FAA11"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24.47%</w:t>
            </w:r>
          </w:p>
        </w:tc>
        <w:tc>
          <w:tcPr>
            <w:tcW w:w="311" w:type="pct"/>
            <w:tcBorders>
              <w:top w:val="single" w:sz="4" w:space="0" w:color="auto"/>
            </w:tcBorders>
            <w:shd w:val="clear" w:color="auto" w:fill="auto"/>
            <w:noWrap/>
            <w:vAlign w:val="center"/>
            <w:hideMark/>
          </w:tcPr>
          <w:p w14:paraId="3BFC4337"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w:t>
            </w:r>
          </w:p>
        </w:tc>
        <w:tc>
          <w:tcPr>
            <w:tcW w:w="442" w:type="pct"/>
            <w:tcBorders>
              <w:top w:val="single" w:sz="4" w:space="0" w:color="auto"/>
            </w:tcBorders>
            <w:shd w:val="clear" w:color="auto" w:fill="auto"/>
            <w:noWrap/>
            <w:vAlign w:val="center"/>
            <w:hideMark/>
          </w:tcPr>
          <w:p w14:paraId="57AB642E"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22.50%</w:t>
            </w:r>
          </w:p>
        </w:tc>
      </w:tr>
      <w:tr w:rsidR="003A5CFF" w:rsidRPr="000463E3" w14:paraId="60CDA556" w14:textId="77777777" w:rsidTr="003A5CFF">
        <w:trPr>
          <w:trHeight w:val="170"/>
        </w:trPr>
        <w:tc>
          <w:tcPr>
            <w:tcW w:w="473" w:type="pct"/>
            <w:gridSpan w:val="2"/>
            <w:tcBorders>
              <w:top w:val="single" w:sz="4" w:space="0" w:color="auto"/>
              <w:bottom w:val="single" w:sz="4" w:space="0" w:color="auto"/>
            </w:tcBorders>
            <w:shd w:val="clear" w:color="auto" w:fill="auto"/>
            <w:noWrap/>
            <w:vAlign w:val="center"/>
            <w:hideMark/>
          </w:tcPr>
          <w:p w14:paraId="59DEDD48" w14:textId="5463C4C0"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B</w:t>
            </w:r>
          </w:p>
        </w:tc>
        <w:tc>
          <w:tcPr>
            <w:tcW w:w="311" w:type="pct"/>
            <w:shd w:val="clear" w:color="auto" w:fill="auto"/>
            <w:noWrap/>
            <w:vAlign w:val="center"/>
            <w:hideMark/>
          </w:tcPr>
          <w:p w14:paraId="55DBF8E8"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72%</w:t>
            </w:r>
          </w:p>
        </w:tc>
        <w:tc>
          <w:tcPr>
            <w:tcW w:w="444" w:type="pct"/>
            <w:shd w:val="clear" w:color="auto" w:fill="auto"/>
            <w:noWrap/>
            <w:vAlign w:val="center"/>
            <w:hideMark/>
          </w:tcPr>
          <w:p w14:paraId="72E8CFBE"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35.86%</w:t>
            </w:r>
          </w:p>
        </w:tc>
        <w:tc>
          <w:tcPr>
            <w:tcW w:w="311" w:type="pct"/>
            <w:shd w:val="clear" w:color="auto" w:fill="auto"/>
            <w:noWrap/>
            <w:vAlign w:val="center"/>
            <w:hideMark/>
          </w:tcPr>
          <w:p w14:paraId="6876A8B4"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43%</w:t>
            </w:r>
          </w:p>
        </w:tc>
        <w:tc>
          <w:tcPr>
            <w:tcW w:w="444" w:type="pct"/>
            <w:tcBorders>
              <w:right w:val="single" w:sz="4" w:space="0" w:color="auto"/>
            </w:tcBorders>
            <w:shd w:val="clear" w:color="auto" w:fill="auto"/>
            <w:noWrap/>
            <w:vAlign w:val="center"/>
            <w:hideMark/>
          </w:tcPr>
          <w:p w14:paraId="2B32E4D2"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38.94%</w:t>
            </w:r>
          </w:p>
        </w:tc>
        <w:tc>
          <w:tcPr>
            <w:tcW w:w="311" w:type="pct"/>
            <w:tcBorders>
              <w:left w:val="single" w:sz="4" w:space="0" w:color="auto"/>
            </w:tcBorders>
            <w:shd w:val="clear" w:color="auto" w:fill="auto"/>
            <w:noWrap/>
            <w:vAlign w:val="center"/>
            <w:hideMark/>
          </w:tcPr>
          <w:p w14:paraId="5A81278D"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72%</w:t>
            </w:r>
          </w:p>
        </w:tc>
        <w:tc>
          <w:tcPr>
            <w:tcW w:w="444" w:type="pct"/>
            <w:shd w:val="clear" w:color="auto" w:fill="auto"/>
            <w:noWrap/>
            <w:vAlign w:val="center"/>
            <w:hideMark/>
          </w:tcPr>
          <w:p w14:paraId="27D72F34"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27.27%</w:t>
            </w:r>
          </w:p>
        </w:tc>
        <w:tc>
          <w:tcPr>
            <w:tcW w:w="311" w:type="pct"/>
            <w:shd w:val="clear" w:color="auto" w:fill="auto"/>
            <w:noWrap/>
            <w:vAlign w:val="center"/>
            <w:hideMark/>
          </w:tcPr>
          <w:p w14:paraId="053AB5B6"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19%</w:t>
            </w:r>
          </w:p>
        </w:tc>
        <w:tc>
          <w:tcPr>
            <w:tcW w:w="444" w:type="pct"/>
            <w:tcBorders>
              <w:right w:val="single" w:sz="4" w:space="0" w:color="auto"/>
            </w:tcBorders>
            <w:shd w:val="clear" w:color="auto" w:fill="auto"/>
            <w:noWrap/>
            <w:vAlign w:val="center"/>
            <w:hideMark/>
          </w:tcPr>
          <w:p w14:paraId="3859B619"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17.44%</w:t>
            </w:r>
          </w:p>
        </w:tc>
        <w:tc>
          <w:tcPr>
            <w:tcW w:w="311" w:type="pct"/>
            <w:tcBorders>
              <w:left w:val="single" w:sz="4" w:space="0" w:color="auto"/>
            </w:tcBorders>
            <w:shd w:val="clear" w:color="auto" w:fill="auto"/>
            <w:noWrap/>
            <w:vAlign w:val="center"/>
            <w:hideMark/>
          </w:tcPr>
          <w:p w14:paraId="64ABB2A6"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66%</w:t>
            </w:r>
          </w:p>
        </w:tc>
        <w:tc>
          <w:tcPr>
            <w:tcW w:w="444" w:type="pct"/>
            <w:shd w:val="clear" w:color="auto" w:fill="auto"/>
            <w:noWrap/>
            <w:vAlign w:val="center"/>
            <w:hideMark/>
          </w:tcPr>
          <w:p w14:paraId="29F174C8"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26.60%</w:t>
            </w:r>
          </w:p>
        </w:tc>
        <w:tc>
          <w:tcPr>
            <w:tcW w:w="311" w:type="pct"/>
            <w:shd w:val="clear" w:color="auto" w:fill="auto"/>
            <w:noWrap/>
            <w:vAlign w:val="center"/>
            <w:hideMark/>
          </w:tcPr>
          <w:p w14:paraId="2F19D467"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42%</w:t>
            </w:r>
          </w:p>
        </w:tc>
        <w:tc>
          <w:tcPr>
            <w:tcW w:w="442" w:type="pct"/>
            <w:shd w:val="clear" w:color="auto" w:fill="auto"/>
            <w:noWrap/>
            <w:vAlign w:val="center"/>
            <w:hideMark/>
          </w:tcPr>
          <w:p w14:paraId="0CF652A8"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30.61%</w:t>
            </w:r>
          </w:p>
        </w:tc>
      </w:tr>
      <w:tr w:rsidR="003A5CFF" w:rsidRPr="000463E3" w14:paraId="0C1A8CAE" w14:textId="77777777" w:rsidTr="003A5CFF">
        <w:trPr>
          <w:trHeight w:val="170"/>
        </w:trPr>
        <w:tc>
          <w:tcPr>
            <w:tcW w:w="139" w:type="pct"/>
            <w:vMerge w:val="restart"/>
            <w:tcBorders>
              <w:top w:val="single" w:sz="4" w:space="0" w:color="auto"/>
              <w:bottom w:val="nil"/>
            </w:tcBorders>
            <w:shd w:val="clear" w:color="auto" w:fill="auto"/>
            <w:noWrap/>
            <w:vAlign w:val="center"/>
            <w:hideMark/>
          </w:tcPr>
          <w:p w14:paraId="4C4CB7D2" w14:textId="13D51A88"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C</w:t>
            </w:r>
          </w:p>
        </w:tc>
        <w:tc>
          <w:tcPr>
            <w:tcW w:w="334" w:type="pct"/>
            <w:tcBorders>
              <w:top w:val="single" w:sz="4" w:space="0" w:color="auto"/>
              <w:bottom w:val="single" w:sz="4" w:space="0" w:color="auto"/>
            </w:tcBorders>
            <w:shd w:val="clear" w:color="auto" w:fill="auto"/>
            <w:noWrap/>
            <w:vAlign w:val="center"/>
            <w:hideMark/>
          </w:tcPr>
          <w:p w14:paraId="3634DC7D" w14:textId="04B5502C"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C1</w:t>
            </w:r>
          </w:p>
        </w:tc>
        <w:tc>
          <w:tcPr>
            <w:tcW w:w="311" w:type="pct"/>
            <w:shd w:val="clear" w:color="auto" w:fill="auto"/>
            <w:noWrap/>
            <w:vAlign w:val="center"/>
            <w:hideMark/>
          </w:tcPr>
          <w:p w14:paraId="24FB8226"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18%</w:t>
            </w:r>
          </w:p>
        </w:tc>
        <w:tc>
          <w:tcPr>
            <w:tcW w:w="444" w:type="pct"/>
            <w:vMerge w:val="restart"/>
            <w:shd w:val="clear" w:color="auto" w:fill="auto"/>
            <w:noWrap/>
            <w:vAlign w:val="center"/>
            <w:hideMark/>
          </w:tcPr>
          <w:p w14:paraId="5FBCC45E"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29.29%</w:t>
            </w:r>
          </w:p>
        </w:tc>
        <w:tc>
          <w:tcPr>
            <w:tcW w:w="311" w:type="pct"/>
            <w:shd w:val="clear" w:color="auto" w:fill="auto"/>
            <w:noWrap/>
            <w:vAlign w:val="center"/>
            <w:hideMark/>
          </w:tcPr>
          <w:p w14:paraId="67C63ECF"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32%</w:t>
            </w:r>
          </w:p>
        </w:tc>
        <w:tc>
          <w:tcPr>
            <w:tcW w:w="444" w:type="pct"/>
            <w:vMerge w:val="restart"/>
            <w:tcBorders>
              <w:right w:val="single" w:sz="4" w:space="0" w:color="auto"/>
            </w:tcBorders>
            <w:shd w:val="clear" w:color="auto" w:fill="auto"/>
            <w:noWrap/>
            <w:vAlign w:val="center"/>
            <w:hideMark/>
          </w:tcPr>
          <w:p w14:paraId="3B648449"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22.36%</w:t>
            </w:r>
          </w:p>
        </w:tc>
        <w:tc>
          <w:tcPr>
            <w:tcW w:w="311" w:type="pct"/>
            <w:vMerge w:val="restart"/>
            <w:tcBorders>
              <w:left w:val="single" w:sz="4" w:space="0" w:color="auto"/>
            </w:tcBorders>
            <w:shd w:val="clear" w:color="FF0000" w:fill="FF0000"/>
            <w:noWrap/>
            <w:vAlign w:val="center"/>
            <w:hideMark/>
          </w:tcPr>
          <w:p w14:paraId="1A33AC61"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24%</w:t>
            </w:r>
          </w:p>
        </w:tc>
        <w:tc>
          <w:tcPr>
            <w:tcW w:w="444" w:type="pct"/>
            <w:vMerge w:val="restart"/>
            <w:shd w:val="clear" w:color="auto" w:fill="auto"/>
            <w:noWrap/>
            <w:vAlign w:val="center"/>
            <w:hideMark/>
          </w:tcPr>
          <w:p w14:paraId="4B68C022"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18.18%</w:t>
            </w:r>
          </w:p>
        </w:tc>
        <w:tc>
          <w:tcPr>
            <w:tcW w:w="311" w:type="pct"/>
            <w:shd w:val="clear" w:color="auto" w:fill="auto"/>
            <w:noWrap/>
            <w:vAlign w:val="center"/>
            <w:hideMark/>
          </w:tcPr>
          <w:p w14:paraId="0C9FA95A"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18%</w:t>
            </w:r>
          </w:p>
        </w:tc>
        <w:tc>
          <w:tcPr>
            <w:tcW w:w="444" w:type="pct"/>
            <w:vMerge w:val="restart"/>
            <w:tcBorders>
              <w:right w:val="single" w:sz="4" w:space="0" w:color="auto"/>
            </w:tcBorders>
            <w:shd w:val="clear" w:color="auto" w:fill="auto"/>
            <w:noWrap/>
            <w:vAlign w:val="center"/>
            <w:hideMark/>
          </w:tcPr>
          <w:p w14:paraId="6430A2BB"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26.74%</w:t>
            </w:r>
          </w:p>
        </w:tc>
        <w:tc>
          <w:tcPr>
            <w:tcW w:w="311" w:type="pct"/>
            <w:tcBorders>
              <w:left w:val="single" w:sz="4" w:space="0" w:color="auto"/>
            </w:tcBorders>
            <w:shd w:val="clear" w:color="auto" w:fill="auto"/>
            <w:noWrap/>
            <w:vAlign w:val="center"/>
            <w:hideMark/>
          </w:tcPr>
          <w:p w14:paraId="38DFD340"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22%</w:t>
            </w:r>
          </w:p>
        </w:tc>
        <w:tc>
          <w:tcPr>
            <w:tcW w:w="444" w:type="pct"/>
            <w:vMerge w:val="restart"/>
            <w:shd w:val="clear" w:color="auto" w:fill="auto"/>
            <w:noWrap/>
            <w:vAlign w:val="center"/>
            <w:hideMark/>
          </w:tcPr>
          <w:p w14:paraId="7DB806A1"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31.91%</w:t>
            </w:r>
          </w:p>
        </w:tc>
        <w:tc>
          <w:tcPr>
            <w:tcW w:w="311" w:type="pct"/>
            <w:shd w:val="clear" w:color="auto" w:fill="auto"/>
            <w:noWrap/>
            <w:vAlign w:val="center"/>
            <w:hideMark/>
          </w:tcPr>
          <w:p w14:paraId="17E33A2A"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25%</w:t>
            </w:r>
          </w:p>
        </w:tc>
        <w:tc>
          <w:tcPr>
            <w:tcW w:w="442" w:type="pct"/>
            <w:vMerge w:val="restart"/>
            <w:shd w:val="clear" w:color="auto" w:fill="auto"/>
            <w:noWrap/>
            <w:vAlign w:val="center"/>
            <w:hideMark/>
          </w:tcPr>
          <w:p w14:paraId="033B117D"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18.50%</w:t>
            </w:r>
          </w:p>
        </w:tc>
      </w:tr>
      <w:tr w:rsidR="003A5CFF" w:rsidRPr="000463E3" w14:paraId="47CCBBB7" w14:textId="77777777" w:rsidTr="003A5CFF">
        <w:trPr>
          <w:trHeight w:val="170"/>
        </w:trPr>
        <w:tc>
          <w:tcPr>
            <w:tcW w:w="139" w:type="pct"/>
            <w:vMerge/>
            <w:tcBorders>
              <w:top w:val="nil"/>
              <w:bottom w:val="single" w:sz="4" w:space="0" w:color="auto"/>
            </w:tcBorders>
            <w:vAlign w:val="center"/>
            <w:hideMark/>
          </w:tcPr>
          <w:p w14:paraId="71939F64" w14:textId="77777777" w:rsidR="000463E3" w:rsidRPr="000463E3" w:rsidRDefault="000463E3" w:rsidP="003A5CFF">
            <w:pPr>
              <w:spacing w:after="0"/>
              <w:jc w:val="center"/>
              <w:rPr>
                <w:rFonts w:eastAsia="Times New Roman" w:cs="Times New Roman"/>
                <w:color w:val="000000"/>
                <w:sz w:val="20"/>
                <w:szCs w:val="20"/>
                <w:lang w:eastAsia="en-GB"/>
              </w:rPr>
            </w:pPr>
          </w:p>
        </w:tc>
        <w:tc>
          <w:tcPr>
            <w:tcW w:w="334" w:type="pct"/>
            <w:tcBorders>
              <w:top w:val="single" w:sz="4" w:space="0" w:color="auto"/>
              <w:bottom w:val="single" w:sz="4" w:space="0" w:color="auto"/>
            </w:tcBorders>
            <w:shd w:val="clear" w:color="auto" w:fill="auto"/>
            <w:noWrap/>
            <w:vAlign w:val="center"/>
            <w:hideMark/>
          </w:tcPr>
          <w:p w14:paraId="4756A84B" w14:textId="633E1967"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C2</w:t>
            </w:r>
          </w:p>
        </w:tc>
        <w:tc>
          <w:tcPr>
            <w:tcW w:w="311" w:type="pct"/>
            <w:shd w:val="clear" w:color="auto" w:fill="auto"/>
            <w:noWrap/>
            <w:vAlign w:val="center"/>
            <w:hideMark/>
          </w:tcPr>
          <w:p w14:paraId="6283223B"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6%</w:t>
            </w:r>
          </w:p>
        </w:tc>
        <w:tc>
          <w:tcPr>
            <w:tcW w:w="444" w:type="pct"/>
            <w:vMerge/>
            <w:vAlign w:val="center"/>
            <w:hideMark/>
          </w:tcPr>
          <w:p w14:paraId="5BC51B3B" w14:textId="77777777" w:rsidR="000463E3" w:rsidRPr="000463E3" w:rsidRDefault="000463E3" w:rsidP="00336CF6">
            <w:pPr>
              <w:spacing w:after="0"/>
              <w:jc w:val="right"/>
              <w:rPr>
                <w:rFonts w:eastAsia="Times New Roman" w:cs="Times New Roman"/>
                <w:color w:val="000000"/>
                <w:sz w:val="20"/>
                <w:szCs w:val="20"/>
                <w:lang w:eastAsia="en-GB"/>
              </w:rPr>
            </w:pPr>
          </w:p>
        </w:tc>
        <w:tc>
          <w:tcPr>
            <w:tcW w:w="311" w:type="pct"/>
            <w:shd w:val="clear" w:color="auto" w:fill="auto"/>
            <w:noWrap/>
            <w:vAlign w:val="center"/>
            <w:hideMark/>
          </w:tcPr>
          <w:p w14:paraId="33B2928E"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13%</w:t>
            </w:r>
          </w:p>
        </w:tc>
        <w:tc>
          <w:tcPr>
            <w:tcW w:w="444" w:type="pct"/>
            <w:vMerge/>
            <w:tcBorders>
              <w:right w:val="single" w:sz="4" w:space="0" w:color="auto"/>
            </w:tcBorders>
            <w:vAlign w:val="center"/>
            <w:hideMark/>
          </w:tcPr>
          <w:p w14:paraId="64AD2F8B" w14:textId="77777777" w:rsidR="000463E3" w:rsidRPr="000463E3" w:rsidRDefault="000463E3" w:rsidP="00336CF6">
            <w:pPr>
              <w:spacing w:after="0"/>
              <w:jc w:val="right"/>
              <w:rPr>
                <w:rFonts w:eastAsia="Times New Roman" w:cs="Times New Roman"/>
                <w:color w:val="000000"/>
                <w:sz w:val="20"/>
                <w:szCs w:val="20"/>
                <w:lang w:eastAsia="en-GB"/>
              </w:rPr>
            </w:pPr>
          </w:p>
        </w:tc>
        <w:tc>
          <w:tcPr>
            <w:tcW w:w="311" w:type="pct"/>
            <w:vMerge/>
            <w:tcBorders>
              <w:left w:val="single" w:sz="4" w:space="0" w:color="auto"/>
            </w:tcBorders>
            <w:vAlign w:val="center"/>
            <w:hideMark/>
          </w:tcPr>
          <w:p w14:paraId="6305DF28"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vMerge/>
            <w:vAlign w:val="center"/>
            <w:hideMark/>
          </w:tcPr>
          <w:p w14:paraId="734EDE71" w14:textId="77777777" w:rsidR="000463E3" w:rsidRPr="000463E3" w:rsidRDefault="000463E3" w:rsidP="00336CF6">
            <w:pPr>
              <w:spacing w:after="0"/>
              <w:jc w:val="right"/>
              <w:rPr>
                <w:rFonts w:eastAsia="Times New Roman" w:cs="Times New Roman"/>
                <w:color w:val="000000"/>
                <w:sz w:val="20"/>
                <w:szCs w:val="20"/>
                <w:lang w:eastAsia="en-GB"/>
              </w:rPr>
            </w:pPr>
          </w:p>
        </w:tc>
        <w:tc>
          <w:tcPr>
            <w:tcW w:w="311" w:type="pct"/>
            <w:shd w:val="clear" w:color="auto" w:fill="auto"/>
            <w:noWrap/>
            <w:vAlign w:val="center"/>
            <w:hideMark/>
          </w:tcPr>
          <w:p w14:paraId="33B877E2"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38%</w:t>
            </w:r>
          </w:p>
        </w:tc>
        <w:tc>
          <w:tcPr>
            <w:tcW w:w="444" w:type="pct"/>
            <w:vMerge/>
            <w:tcBorders>
              <w:right w:val="single" w:sz="4" w:space="0" w:color="auto"/>
            </w:tcBorders>
            <w:vAlign w:val="center"/>
            <w:hideMark/>
          </w:tcPr>
          <w:p w14:paraId="46DBE30E" w14:textId="77777777" w:rsidR="000463E3" w:rsidRPr="000463E3" w:rsidRDefault="000463E3" w:rsidP="00336CF6">
            <w:pPr>
              <w:spacing w:after="0"/>
              <w:jc w:val="right"/>
              <w:rPr>
                <w:rFonts w:eastAsia="Times New Roman" w:cs="Times New Roman"/>
                <w:color w:val="000000"/>
                <w:sz w:val="20"/>
                <w:szCs w:val="20"/>
                <w:lang w:eastAsia="en-GB"/>
              </w:rPr>
            </w:pPr>
          </w:p>
        </w:tc>
        <w:tc>
          <w:tcPr>
            <w:tcW w:w="311" w:type="pct"/>
            <w:tcBorders>
              <w:left w:val="single" w:sz="4" w:space="0" w:color="auto"/>
            </w:tcBorders>
            <w:shd w:val="clear" w:color="auto" w:fill="auto"/>
            <w:noWrap/>
            <w:vAlign w:val="center"/>
            <w:hideMark/>
          </w:tcPr>
          <w:p w14:paraId="7CA274A3"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8%</w:t>
            </w:r>
          </w:p>
        </w:tc>
        <w:tc>
          <w:tcPr>
            <w:tcW w:w="444" w:type="pct"/>
            <w:vMerge/>
            <w:vAlign w:val="center"/>
            <w:hideMark/>
          </w:tcPr>
          <w:p w14:paraId="7F618846" w14:textId="77777777" w:rsidR="000463E3" w:rsidRPr="000463E3" w:rsidRDefault="000463E3" w:rsidP="00336CF6">
            <w:pPr>
              <w:spacing w:after="0"/>
              <w:jc w:val="right"/>
              <w:rPr>
                <w:rFonts w:eastAsia="Times New Roman" w:cs="Times New Roman"/>
                <w:color w:val="000000"/>
                <w:sz w:val="20"/>
                <w:szCs w:val="20"/>
                <w:lang w:eastAsia="en-GB"/>
              </w:rPr>
            </w:pPr>
          </w:p>
        </w:tc>
        <w:tc>
          <w:tcPr>
            <w:tcW w:w="311" w:type="pct"/>
            <w:shd w:val="clear" w:color="auto" w:fill="auto"/>
            <w:noWrap/>
            <w:vAlign w:val="center"/>
            <w:hideMark/>
          </w:tcPr>
          <w:p w14:paraId="5BB5D765"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18%</w:t>
            </w:r>
          </w:p>
        </w:tc>
        <w:tc>
          <w:tcPr>
            <w:tcW w:w="442" w:type="pct"/>
            <w:vMerge/>
            <w:vAlign w:val="center"/>
            <w:hideMark/>
          </w:tcPr>
          <w:p w14:paraId="6A15222B" w14:textId="77777777" w:rsidR="000463E3" w:rsidRPr="000463E3" w:rsidRDefault="000463E3" w:rsidP="00336CF6">
            <w:pPr>
              <w:spacing w:after="0"/>
              <w:jc w:val="right"/>
              <w:rPr>
                <w:rFonts w:eastAsia="Times New Roman" w:cs="Times New Roman"/>
                <w:color w:val="000000"/>
                <w:sz w:val="20"/>
                <w:szCs w:val="20"/>
                <w:lang w:eastAsia="en-GB"/>
              </w:rPr>
            </w:pPr>
          </w:p>
        </w:tc>
      </w:tr>
      <w:tr w:rsidR="003A5CFF" w:rsidRPr="000463E3" w14:paraId="62C7FFD4" w14:textId="77777777" w:rsidTr="003A5CFF">
        <w:trPr>
          <w:trHeight w:val="105"/>
        </w:trPr>
        <w:tc>
          <w:tcPr>
            <w:tcW w:w="139" w:type="pct"/>
            <w:vMerge w:val="restart"/>
            <w:tcBorders>
              <w:top w:val="single" w:sz="4" w:space="0" w:color="auto"/>
              <w:bottom w:val="nil"/>
            </w:tcBorders>
            <w:shd w:val="clear" w:color="auto" w:fill="auto"/>
            <w:noWrap/>
            <w:vAlign w:val="center"/>
            <w:hideMark/>
          </w:tcPr>
          <w:p w14:paraId="144A2B22" w14:textId="7E4E4761"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p>
        </w:tc>
        <w:tc>
          <w:tcPr>
            <w:tcW w:w="334" w:type="pct"/>
            <w:tcBorders>
              <w:top w:val="single" w:sz="4" w:space="0" w:color="auto"/>
              <w:bottom w:val="single" w:sz="4" w:space="0" w:color="auto"/>
            </w:tcBorders>
            <w:shd w:val="clear" w:color="auto" w:fill="auto"/>
            <w:noWrap/>
            <w:vAlign w:val="center"/>
            <w:hideMark/>
          </w:tcPr>
          <w:p w14:paraId="7C656E0C" w14:textId="6BAC42EF"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D1</w:t>
            </w:r>
          </w:p>
        </w:tc>
        <w:tc>
          <w:tcPr>
            <w:tcW w:w="311" w:type="pct"/>
            <w:vMerge w:val="restart"/>
            <w:shd w:val="clear" w:color="auto" w:fill="auto"/>
            <w:noWrap/>
            <w:vAlign w:val="center"/>
            <w:hideMark/>
          </w:tcPr>
          <w:p w14:paraId="5A3BB320"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4%</w:t>
            </w:r>
          </w:p>
        </w:tc>
        <w:tc>
          <w:tcPr>
            <w:tcW w:w="444" w:type="pct"/>
            <w:shd w:val="clear" w:color="auto" w:fill="auto"/>
            <w:noWrap/>
            <w:vAlign w:val="center"/>
            <w:hideMark/>
          </w:tcPr>
          <w:p w14:paraId="3F53BAB3"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9.60%</w:t>
            </w:r>
          </w:p>
        </w:tc>
        <w:tc>
          <w:tcPr>
            <w:tcW w:w="311" w:type="pct"/>
            <w:vMerge w:val="restart"/>
            <w:shd w:val="clear" w:color="auto" w:fill="auto"/>
            <w:noWrap/>
            <w:vAlign w:val="center"/>
            <w:hideMark/>
          </w:tcPr>
          <w:p w14:paraId="0A2E4A56"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12%</w:t>
            </w:r>
          </w:p>
        </w:tc>
        <w:tc>
          <w:tcPr>
            <w:tcW w:w="444" w:type="pct"/>
            <w:tcBorders>
              <w:right w:val="single" w:sz="4" w:space="0" w:color="auto"/>
            </w:tcBorders>
            <w:shd w:val="clear" w:color="auto" w:fill="auto"/>
            <w:noWrap/>
            <w:vAlign w:val="center"/>
            <w:hideMark/>
          </w:tcPr>
          <w:p w14:paraId="2CE66889"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8.00%</w:t>
            </w:r>
          </w:p>
        </w:tc>
        <w:tc>
          <w:tcPr>
            <w:tcW w:w="311" w:type="pct"/>
            <w:vMerge w:val="restart"/>
            <w:tcBorders>
              <w:left w:val="single" w:sz="4" w:space="0" w:color="auto"/>
            </w:tcBorders>
            <w:shd w:val="clear" w:color="auto" w:fill="auto"/>
            <w:noWrap/>
            <w:vAlign w:val="center"/>
            <w:hideMark/>
          </w:tcPr>
          <w:p w14:paraId="1E451874"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4%</w:t>
            </w:r>
          </w:p>
        </w:tc>
        <w:tc>
          <w:tcPr>
            <w:tcW w:w="444" w:type="pct"/>
            <w:shd w:val="clear" w:color="auto" w:fill="auto"/>
            <w:noWrap/>
            <w:vAlign w:val="center"/>
            <w:hideMark/>
          </w:tcPr>
          <w:p w14:paraId="5BC7D4F5"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18.18%</w:t>
            </w:r>
          </w:p>
        </w:tc>
        <w:tc>
          <w:tcPr>
            <w:tcW w:w="311" w:type="pct"/>
            <w:vMerge w:val="restart"/>
            <w:shd w:val="clear" w:color="auto" w:fill="auto"/>
            <w:noWrap/>
            <w:vAlign w:val="center"/>
            <w:hideMark/>
          </w:tcPr>
          <w:p w14:paraId="1C41AB66"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25%</w:t>
            </w:r>
          </w:p>
        </w:tc>
        <w:tc>
          <w:tcPr>
            <w:tcW w:w="444" w:type="pct"/>
            <w:tcBorders>
              <w:right w:val="single" w:sz="4" w:space="0" w:color="auto"/>
            </w:tcBorders>
            <w:shd w:val="clear" w:color="auto" w:fill="auto"/>
            <w:noWrap/>
            <w:vAlign w:val="center"/>
            <w:hideMark/>
          </w:tcPr>
          <w:p w14:paraId="1E592D37"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10.47%</w:t>
            </w:r>
          </w:p>
        </w:tc>
        <w:tc>
          <w:tcPr>
            <w:tcW w:w="311" w:type="pct"/>
            <w:vMerge w:val="restart"/>
            <w:tcBorders>
              <w:left w:val="single" w:sz="4" w:space="0" w:color="auto"/>
            </w:tcBorders>
            <w:shd w:val="clear" w:color="auto" w:fill="auto"/>
            <w:noWrap/>
            <w:vAlign w:val="center"/>
            <w:hideMark/>
          </w:tcPr>
          <w:p w14:paraId="5E28638E"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4%</w:t>
            </w:r>
          </w:p>
        </w:tc>
        <w:tc>
          <w:tcPr>
            <w:tcW w:w="444" w:type="pct"/>
            <w:shd w:val="clear" w:color="auto" w:fill="auto"/>
            <w:noWrap/>
            <w:vAlign w:val="center"/>
            <w:hideMark/>
          </w:tcPr>
          <w:p w14:paraId="4E8030DA"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9.57%</w:t>
            </w:r>
          </w:p>
        </w:tc>
        <w:tc>
          <w:tcPr>
            <w:tcW w:w="311" w:type="pct"/>
            <w:vMerge w:val="restart"/>
            <w:shd w:val="clear" w:color="auto" w:fill="auto"/>
            <w:noWrap/>
            <w:vAlign w:val="center"/>
            <w:hideMark/>
          </w:tcPr>
          <w:p w14:paraId="26DEF51C"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15%</w:t>
            </w:r>
          </w:p>
        </w:tc>
        <w:tc>
          <w:tcPr>
            <w:tcW w:w="442" w:type="pct"/>
            <w:shd w:val="clear" w:color="auto" w:fill="auto"/>
            <w:noWrap/>
            <w:vAlign w:val="center"/>
            <w:hideMark/>
          </w:tcPr>
          <w:p w14:paraId="526E0BD0"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13.72%</w:t>
            </w:r>
          </w:p>
        </w:tc>
      </w:tr>
      <w:tr w:rsidR="003A5CFF" w:rsidRPr="000463E3" w14:paraId="7EBE95DA" w14:textId="77777777" w:rsidTr="003A5CFF">
        <w:trPr>
          <w:trHeight w:val="170"/>
        </w:trPr>
        <w:tc>
          <w:tcPr>
            <w:tcW w:w="139" w:type="pct"/>
            <w:vMerge/>
            <w:tcBorders>
              <w:top w:val="nil"/>
            </w:tcBorders>
            <w:vAlign w:val="center"/>
            <w:hideMark/>
          </w:tcPr>
          <w:p w14:paraId="2DAE5CFB" w14:textId="77777777" w:rsidR="000463E3" w:rsidRPr="000463E3" w:rsidRDefault="000463E3" w:rsidP="003A5CFF">
            <w:pPr>
              <w:spacing w:after="0"/>
              <w:jc w:val="center"/>
              <w:rPr>
                <w:rFonts w:eastAsia="Times New Roman" w:cs="Times New Roman"/>
                <w:color w:val="000000"/>
                <w:sz w:val="20"/>
                <w:szCs w:val="20"/>
                <w:lang w:eastAsia="en-GB"/>
              </w:rPr>
            </w:pPr>
          </w:p>
        </w:tc>
        <w:tc>
          <w:tcPr>
            <w:tcW w:w="334" w:type="pct"/>
            <w:tcBorders>
              <w:top w:val="single" w:sz="4" w:space="0" w:color="auto"/>
              <w:bottom w:val="single" w:sz="4" w:space="0" w:color="auto"/>
            </w:tcBorders>
            <w:shd w:val="clear" w:color="auto" w:fill="auto"/>
            <w:noWrap/>
            <w:vAlign w:val="center"/>
            <w:hideMark/>
          </w:tcPr>
          <w:p w14:paraId="1531D16B" w14:textId="7AF7DE33"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D2</w:t>
            </w:r>
          </w:p>
        </w:tc>
        <w:tc>
          <w:tcPr>
            <w:tcW w:w="311" w:type="pct"/>
            <w:vMerge/>
            <w:vAlign w:val="center"/>
            <w:hideMark/>
          </w:tcPr>
          <w:p w14:paraId="333BAD3F"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13720648"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2.53%</w:t>
            </w:r>
          </w:p>
        </w:tc>
        <w:tc>
          <w:tcPr>
            <w:tcW w:w="311" w:type="pct"/>
            <w:vMerge/>
            <w:vAlign w:val="center"/>
            <w:hideMark/>
          </w:tcPr>
          <w:p w14:paraId="1867BB12"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tcBorders>
              <w:right w:val="single" w:sz="4" w:space="0" w:color="auto"/>
            </w:tcBorders>
            <w:shd w:val="clear" w:color="auto" w:fill="auto"/>
            <w:noWrap/>
            <w:vAlign w:val="center"/>
            <w:hideMark/>
          </w:tcPr>
          <w:p w14:paraId="5E805CE1"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1.51%</w:t>
            </w:r>
          </w:p>
        </w:tc>
        <w:tc>
          <w:tcPr>
            <w:tcW w:w="311" w:type="pct"/>
            <w:vMerge/>
            <w:tcBorders>
              <w:left w:val="single" w:sz="4" w:space="0" w:color="auto"/>
            </w:tcBorders>
            <w:vAlign w:val="center"/>
            <w:hideMark/>
          </w:tcPr>
          <w:p w14:paraId="7D781E8B"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0438AF8A"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9.09%</w:t>
            </w:r>
          </w:p>
        </w:tc>
        <w:tc>
          <w:tcPr>
            <w:tcW w:w="311" w:type="pct"/>
            <w:vMerge/>
            <w:vAlign w:val="center"/>
            <w:hideMark/>
          </w:tcPr>
          <w:p w14:paraId="0DB2EA1F"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tcBorders>
              <w:right w:val="single" w:sz="4" w:space="0" w:color="auto"/>
            </w:tcBorders>
            <w:shd w:val="clear" w:color="auto" w:fill="auto"/>
            <w:noWrap/>
            <w:vAlign w:val="center"/>
            <w:hideMark/>
          </w:tcPr>
          <w:p w14:paraId="23CC6874"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4.65%</w:t>
            </w:r>
          </w:p>
        </w:tc>
        <w:tc>
          <w:tcPr>
            <w:tcW w:w="311" w:type="pct"/>
            <w:vMerge/>
            <w:tcBorders>
              <w:left w:val="single" w:sz="4" w:space="0" w:color="auto"/>
            </w:tcBorders>
            <w:vAlign w:val="center"/>
            <w:hideMark/>
          </w:tcPr>
          <w:p w14:paraId="73CFDEAA"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089E0643"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2.13%</w:t>
            </w:r>
          </w:p>
        </w:tc>
        <w:tc>
          <w:tcPr>
            <w:tcW w:w="311" w:type="pct"/>
            <w:vMerge/>
            <w:vAlign w:val="center"/>
            <w:hideMark/>
          </w:tcPr>
          <w:p w14:paraId="3162FE66" w14:textId="77777777" w:rsidR="000463E3" w:rsidRPr="000463E3" w:rsidRDefault="000463E3" w:rsidP="00336CF6">
            <w:pPr>
              <w:spacing w:after="0"/>
              <w:jc w:val="right"/>
              <w:rPr>
                <w:rFonts w:eastAsia="Times New Roman" w:cs="Times New Roman"/>
                <w:color w:val="000000"/>
                <w:sz w:val="20"/>
                <w:szCs w:val="20"/>
                <w:lang w:eastAsia="en-GB"/>
              </w:rPr>
            </w:pPr>
          </w:p>
        </w:tc>
        <w:tc>
          <w:tcPr>
            <w:tcW w:w="442" w:type="pct"/>
            <w:shd w:val="clear" w:color="auto" w:fill="auto"/>
            <w:noWrap/>
            <w:vAlign w:val="center"/>
            <w:hideMark/>
          </w:tcPr>
          <w:p w14:paraId="3DC66286"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2.33%</w:t>
            </w:r>
          </w:p>
        </w:tc>
      </w:tr>
      <w:tr w:rsidR="003A5CFF" w:rsidRPr="000463E3" w14:paraId="6C683992" w14:textId="77777777" w:rsidTr="003A5CFF">
        <w:trPr>
          <w:trHeight w:val="170"/>
        </w:trPr>
        <w:tc>
          <w:tcPr>
            <w:tcW w:w="139" w:type="pct"/>
            <w:vMerge/>
            <w:vAlign w:val="center"/>
            <w:hideMark/>
          </w:tcPr>
          <w:p w14:paraId="7087D0F7" w14:textId="77777777" w:rsidR="000463E3" w:rsidRPr="000463E3" w:rsidRDefault="000463E3" w:rsidP="003A5CFF">
            <w:pPr>
              <w:spacing w:after="0"/>
              <w:jc w:val="center"/>
              <w:rPr>
                <w:rFonts w:eastAsia="Times New Roman" w:cs="Times New Roman"/>
                <w:color w:val="000000"/>
                <w:sz w:val="20"/>
                <w:szCs w:val="20"/>
                <w:lang w:eastAsia="en-GB"/>
              </w:rPr>
            </w:pPr>
          </w:p>
        </w:tc>
        <w:tc>
          <w:tcPr>
            <w:tcW w:w="334" w:type="pct"/>
            <w:tcBorders>
              <w:top w:val="single" w:sz="4" w:space="0" w:color="auto"/>
              <w:bottom w:val="single" w:sz="4" w:space="0" w:color="auto"/>
            </w:tcBorders>
            <w:shd w:val="clear" w:color="auto" w:fill="auto"/>
            <w:noWrap/>
            <w:vAlign w:val="center"/>
            <w:hideMark/>
          </w:tcPr>
          <w:p w14:paraId="25688ED7" w14:textId="312EA95E"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D3</w:t>
            </w:r>
          </w:p>
        </w:tc>
        <w:tc>
          <w:tcPr>
            <w:tcW w:w="311" w:type="pct"/>
            <w:vMerge/>
            <w:vAlign w:val="center"/>
            <w:hideMark/>
          </w:tcPr>
          <w:p w14:paraId="373C925E"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29C7E5D5"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0.51%</w:t>
            </w:r>
          </w:p>
        </w:tc>
        <w:tc>
          <w:tcPr>
            <w:tcW w:w="311" w:type="pct"/>
            <w:vMerge/>
            <w:vAlign w:val="center"/>
            <w:hideMark/>
          </w:tcPr>
          <w:p w14:paraId="74C8F35E"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tcBorders>
              <w:right w:val="single" w:sz="4" w:space="0" w:color="auto"/>
            </w:tcBorders>
            <w:shd w:val="clear" w:color="auto" w:fill="auto"/>
            <w:noWrap/>
            <w:vAlign w:val="center"/>
            <w:hideMark/>
          </w:tcPr>
          <w:p w14:paraId="5C2D58EE"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3.67%</w:t>
            </w:r>
          </w:p>
        </w:tc>
        <w:tc>
          <w:tcPr>
            <w:tcW w:w="311" w:type="pct"/>
            <w:vMerge/>
            <w:tcBorders>
              <w:left w:val="single" w:sz="4" w:space="0" w:color="auto"/>
            </w:tcBorders>
            <w:vAlign w:val="center"/>
            <w:hideMark/>
          </w:tcPr>
          <w:p w14:paraId="52B97EFF"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3149E2FD"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9.09%</w:t>
            </w:r>
          </w:p>
        </w:tc>
        <w:tc>
          <w:tcPr>
            <w:tcW w:w="311" w:type="pct"/>
            <w:vMerge/>
            <w:vAlign w:val="center"/>
            <w:hideMark/>
          </w:tcPr>
          <w:p w14:paraId="7A95E264"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tcBorders>
              <w:right w:val="single" w:sz="4" w:space="0" w:color="auto"/>
            </w:tcBorders>
            <w:shd w:val="clear" w:color="auto" w:fill="auto"/>
            <w:noWrap/>
            <w:vAlign w:val="center"/>
            <w:hideMark/>
          </w:tcPr>
          <w:p w14:paraId="631B1867"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13.95%</w:t>
            </w:r>
          </w:p>
        </w:tc>
        <w:tc>
          <w:tcPr>
            <w:tcW w:w="311" w:type="pct"/>
            <w:vMerge/>
            <w:tcBorders>
              <w:left w:val="single" w:sz="4" w:space="0" w:color="auto"/>
            </w:tcBorders>
            <w:vAlign w:val="center"/>
            <w:hideMark/>
          </w:tcPr>
          <w:p w14:paraId="21840DD9"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6213FCEB"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2.13%</w:t>
            </w:r>
          </w:p>
        </w:tc>
        <w:tc>
          <w:tcPr>
            <w:tcW w:w="311" w:type="pct"/>
            <w:vMerge/>
            <w:vAlign w:val="center"/>
            <w:hideMark/>
          </w:tcPr>
          <w:p w14:paraId="33DAC154" w14:textId="77777777" w:rsidR="000463E3" w:rsidRPr="000463E3" w:rsidRDefault="000463E3" w:rsidP="00336CF6">
            <w:pPr>
              <w:spacing w:after="0"/>
              <w:jc w:val="right"/>
              <w:rPr>
                <w:rFonts w:eastAsia="Times New Roman" w:cs="Times New Roman"/>
                <w:color w:val="000000"/>
                <w:sz w:val="20"/>
                <w:szCs w:val="20"/>
                <w:lang w:eastAsia="en-GB"/>
              </w:rPr>
            </w:pPr>
          </w:p>
        </w:tc>
        <w:tc>
          <w:tcPr>
            <w:tcW w:w="442" w:type="pct"/>
            <w:shd w:val="clear" w:color="auto" w:fill="auto"/>
            <w:noWrap/>
            <w:vAlign w:val="center"/>
            <w:hideMark/>
          </w:tcPr>
          <w:p w14:paraId="6A3773F4"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8.17%</w:t>
            </w:r>
          </w:p>
        </w:tc>
      </w:tr>
      <w:tr w:rsidR="003A5CFF" w:rsidRPr="000463E3" w14:paraId="13271191" w14:textId="77777777" w:rsidTr="003A5CFF">
        <w:trPr>
          <w:trHeight w:val="170"/>
        </w:trPr>
        <w:tc>
          <w:tcPr>
            <w:tcW w:w="139" w:type="pct"/>
            <w:vMerge/>
            <w:vAlign w:val="center"/>
            <w:hideMark/>
          </w:tcPr>
          <w:p w14:paraId="75757F63" w14:textId="77777777" w:rsidR="000463E3" w:rsidRPr="000463E3" w:rsidRDefault="000463E3" w:rsidP="003A5CFF">
            <w:pPr>
              <w:spacing w:after="0"/>
              <w:jc w:val="center"/>
              <w:rPr>
                <w:rFonts w:eastAsia="Times New Roman" w:cs="Times New Roman"/>
                <w:color w:val="000000"/>
                <w:sz w:val="20"/>
                <w:szCs w:val="20"/>
                <w:lang w:eastAsia="en-GB"/>
              </w:rPr>
            </w:pPr>
          </w:p>
        </w:tc>
        <w:tc>
          <w:tcPr>
            <w:tcW w:w="334" w:type="pct"/>
            <w:tcBorders>
              <w:top w:val="single" w:sz="4" w:space="0" w:color="auto"/>
              <w:bottom w:val="single" w:sz="4" w:space="0" w:color="auto"/>
            </w:tcBorders>
            <w:shd w:val="clear" w:color="auto" w:fill="auto"/>
            <w:noWrap/>
            <w:vAlign w:val="center"/>
            <w:hideMark/>
          </w:tcPr>
          <w:p w14:paraId="37A4E1CA" w14:textId="1ECE8767" w:rsidR="000463E3" w:rsidRPr="000463E3" w:rsidRDefault="000463E3" w:rsidP="003A5CFF">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D4</w:t>
            </w:r>
          </w:p>
        </w:tc>
        <w:tc>
          <w:tcPr>
            <w:tcW w:w="311" w:type="pct"/>
            <w:vMerge/>
            <w:vAlign w:val="center"/>
            <w:hideMark/>
          </w:tcPr>
          <w:p w14:paraId="4B76E0B8"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2A97C09F"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2.53%</w:t>
            </w:r>
          </w:p>
        </w:tc>
        <w:tc>
          <w:tcPr>
            <w:tcW w:w="311" w:type="pct"/>
            <w:vMerge/>
            <w:tcBorders>
              <w:bottom w:val="single" w:sz="4" w:space="0" w:color="auto"/>
            </w:tcBorders>
            <w:vAlign w:val="center"/>
            <w:hideMark/>
          </w:tcPr>
          <w:p w14:paraId="1AC55C12"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tcBorders>
              <w:bottom w:val="single" w:sz="4" w:space="0" w:color="auto"/>
              <w:right w:val="single" w:sz="4" w:space="0" w:color="auto"/>
            </w:tcBorders>
            <w:shd w:val="clear" w:color="auto" w:fill="auto"/>
            <w:noWrap/>
            <w:vAlign w:val="center"/>
            <w:hideMark/>
          </w:tcPr>
          <w:p w14:paraId="2069DCE2"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0.66%</w:t>
            </w:r>
          </w:p>
        </w:tc>
        <w:tc>
          <w:tcPr>
            <w:tcW w:w="311" w:type="pct"/>
            <w:vMerge/>
            <w:tcBorders>
              <w:left w:val="single" w:sz="4" w:space="0" w:color="auto"/>
            </w:tcBorders>
            <w:vAlign w:val="center"/>
            <w:hideMark/>
          </w:tcPr>
          <w:p w14:paraId="184B8260"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23D5602A"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0.00%</w:t>
            </w:r>
          </w:p>
        </w:tc>
        <w:tc>
          <w:tcPr>
            <w:tcW w:w="311" w:type="pct"/>
            <w:vMerge/>
            <w:tcBorders>
              <w:bottom w:val="single" w:sz="4" w:space="0" w:color="auto"/>
            </w:tcBorders>
            <w:vAlign w:val="center"/>
            <w:hideMark/>
          </w:tcPr>
          <w:p w14:paraId="4BD6E314"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tcBorders>
              <w:bottom w:val="single" w:sz="4" w:space="0" w:color="auto"/>
              <w:right w:val="single" w:sz="4" w:space="0" w:color="auto"/>
            </w:tcBorders>
            <w:shd w:val="clear" w:color="auto" w:fill="auto"/>
            <w:noWrap/>
            <w:vAlign w:val="center"/>
            <w:hideMark/>
          </w:tcPr>
          <w:p w14:paraId="0DD25C79"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5.81%</w:t>
            </w:r>
          </w:p>
        </w:tc>
        <w:tc>
          <w:tcPr>
            <w:tcW w:w="311" w:type="pct"/>
            <w:vMerge/>
            <w:tcBorders>
              <w:left w:val="single" w:sz="4" w:space="0" w:color="auto"/>
            </w:tcBorders>
            <w:vAlign w:val="center"/>
            <w:hideMark/>
          </w:tcPr>
          <w:p w14:paraId="5A323824" w14:textId="77777777" w:rsidR="000463E3" w:rsidRPr="000463E3" w:rsidRDefault="000463E3" w:rsidP="00336CF6">
            <w:pPr>
              <w:spacing w:after="0"/>
              <w:jc w:val="right"/>
              <w:rPr>
                <w:rFonts w:eastAsia="Times New Roman" w:cs="Times New Roman"/>
                <w:color w:val="000000"/>
                <w:sz w:val="20"/>
                <w:szCs w:val="20"/>
                <w:lang w:eastAsia="en-GB"/>
              </w:rPr>
            </w:pPr>
          </w:p>
        </w:tc>
        <w:tc>
          <w:tcPr>
            <w:tcW w:w="444" w:type="pct"/>
            <w:shd w:val="clear" w:color="auto" w:fill="auto"/>
            <w:noWrap/>
            <w:vAlign w:val="center"/>
            <w:hideMark/>
          </w:tcPr>
          <w:p w14:paraId="53A0A108"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3.19%</w:t>
            </w:r>
          </w:p>
        </w:tc>
        <w:tc>
          <w:tcPr>
            <w:tcW w:w="311" w:type="pct"/>
            <w:vMerge/>
            <w:vAlign w:val="center"/>
            <w:hideMark/>
          </w:tcPr>
          <w:p w14:paraId="544E9595" w14:textId="77777777" w:rsidR="000463E3" w:rsidRPr="000463E3" w:rsidRDefault="000463E3" w:rsidP="00336CF6">
            <w:pPr>
              <w:spacing w:after="0"/>
              <w:jc w:val="right"/>
              <w:rPr>
                <w:rFonts w:eastAsia="Times New Roman" w:cs="Times New Roman"/>
                <w:color w:val="000000"/>
                <w:sz w:val="20"/>
                <w:szCs w:val="20"/>
                <w:lang w:eastAsia="en-GB"/>
              </w:rPr>
            </w:pPr>
          </w:p>
        </w:tc>
        <w:tc>
          <w:tcPr>
            <w:tcW w:w="442" w:type="pct"/>
            <w:shd w:val="clear" w:color="auto" w:fill="auto"/>
            <w:noWrap/>
            <w:vAlign w:val="center"/>
            <w:hideMark/>
          </w:tcPr>
          <w:p w14:paraId="65CD61A0" w14:textId="77777777" w:rsidR="000463E3" w:rsidRPr="000463E3" w:rsidRDefault="000463E3" w:rsidP="00336CF6">
            <w:pPr>
              <w:spacing w:after="0"/>
              <w:jc w:val="right"/>
              <w:rPr>
                <w:rFonts w:eastAsia="Times New Roman" w:cs="Times New Roman"/>
                <w:color w:val="000000"/>
                <w:sz w:val="20"/>
                <w:szCs w:val="20"/>
                <w:lang w:eastAsia="en-GB"/>
              </w:rPr>
            </w:pPr>
            <w:r w:rsidRPr="000463E3">
              <w:rPr>
                <w:rFonts w:eastAsia="Times New Roman" w:cs="Times New Roman"/>
                <w:color w:val="000000"/>
                <w:sz w:val="20"/>
                <w:szCs w:val="20"/>
                <w:lang w:eastAsia="en-GB"/>
              </w:rPr>
              <w:t>4.17%</w:t>
            </w:r>
          </w:p>
        </w:tc>
      </w:tr>
    </w:tbl>
    <w:p w14:paraId="06E14A3D" w14:textId="77777777" w:rsidR="0020147E" w:rsidRDefault="0020147E" w:rsidP="00AA2E53">
      <w:pPr>
        <w:rPr>
          <w:rFonts w:cs="Times New Roman"/>
          <w:szCs w:val="24"/>
        </w:rPr>
      </w:pPr>
    </w:p>
    <w:p w14:paraId="52A586EB" w14:textId="56161773" w:rsidR="00D7771B" w:rsidRPr="00D62D33" w:rsidRDefault="00493537" w:rsidP="00AA2E53">
      <w:pPr>
        <w:rPr>
          <w:rFonts w:cs="Times New Roman"/>
          <w:szCs w:val="24"/>
        </w:rPr>
      </w:pPr>
      <w:r>
        <w:rPr>
          <w:rFonts w:cs="Times New Roman"/>
          <w:szCs w:val="24"/>
        </w:rPr>
        <w:t xml:space="preserve">In </w:t>
      </w:r>
      <w:r w:rsidRPr="00493537">
        <w:rPr>
          <w:rFonts w:cs="Times New Roman"/>
          <w:i/>
          <w:szCs w:val="24"/>
        </w:rPr>
        <w:t>Pubs, clubs, restaurants</w:t>
      </w:r>
      <w:r>
        <w:rPr>
          <w:rFonts w:cs="Times New Roman"/>
          <w:szCs w:val="24"/>
        </w:rPr>
        <w:t>, all fire origin location</w:t>
      </w:r>
      <w:r w:rsidR="00B60E85">
        <w:rPr>
          <w:rFonts w:cs="Times New Roman"/>
          <w:szCs w:val="24"/>
        </w:rPr>
        <w:t>s</w:t>
      </w:r>
      <w:r>
        <w:rPr>
          <w:rFonts w:cs="Times New Roman"/>
          <w:szCs w:val="24"/>
        </w:rPr>
        <w:t xml:space="preserve"> are considered and </w:t>
      </w:r>
      <w:r w:rsidR="00986837">
        <w:rPr>
          <w:rFonts w:cs="Times New Roman"/>
          <w:szCs w:val="24"/>
        </w:rPr>
        <w:t>in UK</w:t>
      </w:r>
      <w:r w:rsidR="00B60E85">
        <w:rPr>
          <w:rFonts w:cs="Times New Roman"/>
          <w:szCs w:val="24"/>
        </w:rPr>
        <w:t>,</w:t>
      </w:r>
      <w:r w:rsidR="00986837">
        <w:rPr>
          <w:rFonts w:cs="Times New Roman"/>
          <w:szCs w:val="24"/>
        </w:rPr>
        <w:t xml:space="preserve"> </w:t>
      </w:r>
      <w:r>
        <w:rPr>
          <w:rFonts w:cs="Times New Roman"/>
          <w:szCs w:val="24"/>
        </w:rPr>
        <w:t xml:space="preserve">96 fires are reported when sprinklers are present and 11,429 when they are absent. </w:t>
      </w:r>
      <w:r w:rsidR="001E318E">
        <w:rPr>
          <w:rFonts w:cs="Times New Roman"/>
          <w:szCs w:val="24"/>
        </w:rPr>
        <w:t>Again, consideration</w:t>
      </w:r>
      <w:r w:rsidR="007B37A2">
        <w:rPr>
          <w:rFonts w:cs="Times New Roman"/>
          <w:szCs w:val="24"/>
        </w:rPr>
        <w:t>s</w:t>
      </w:r>
      <w:r w:rsidR="001E318E">
        <w:rPr>
          <w:rFonts w:cs="Times New Roman"/>
          <w:szCs w:val="24"/>
        </w:rPr>
        <w:t xml:space="preserve"> on fires with presence of sprinklers will be avoided. In </w:t>
      </w:r>
      <w:r w:rsidR="001E318E">
        <w:rPr>
          <w:rFonts w:cs="Times New Roman"/>
          <w:szCs w:val="24"/>
        </w:rPr>
        <w:fldChar w:fldCharType="begin"/>
      </w:r>
      <w:r w:rsidR="001E318E">
        <w:rPr>
          <w:rFonts w:cs="Times New Roman"/>
          <w:szCs w:val="24"/>
        </w:rPr>
        <w:instrText xml:space="preserve"> REF _Ref14354568 \h </w:instrText>
      </w:r>
      <w:r w:rsidR="001E318E">
        <w:rPr>
          <w:rFonts w:cs="Times New Roman"/>
          <w:szCs w:val="24"/>
        </w:rPr>
      </w:r>
      <w:r w:rsidR="001E318E">
        <w:rPr>
          <w:rFonts w:cs="Times New Roman"/>
          <w:szCs w:val="24"/>
        </w:rPr>
        <w:fldChar w:fldCharType="separate"/>
      </w:r>
      <w:r w:rsidR="00250859">
        <w:t xml:space="preserve">Table </w:t>
      </w:r>
      <w:r w:rsidR="00250859">
        <w:rPr>
          <w:noProof/>
        </w:rPr>
        <w:t>7</w:t>
      </w:r>
      <w:r w:rsidR="001E318E">
        <w:rPr>
          <w:rFonts w:cs="Times New Roman"/>
          <w:szCs w:val="24"/>
        </w:rPr>
        <w:fldChar w:fldCharType="end"/>
      </w:r>
      <w:r w:rsidR="001E318E">
        <w:rPr>
          <w:rFonts w:cs="Times New Roman"/>
          <w:szCs w:val="24"/>
        </w:rPr>
        <w:t>, both area damage</w:t>
      </w:r>
      <w:r w:rsidR="00B60E85">
        <w:rPr>
          <w:rFonts w:cs="Times New Roman"/>
          <w:szCs w:val="24"/>
        </w:rPr>
        <w:t>d</w:t>
      </w:r>
      <w:r w:rsidR="001E318E">
        <w:rPr>
          <w:rFonts w:cs="Times New Roman"/>
          <w:szCs w:val="24"/>
        </w:rPr>
        <w:t xml:space="preserve"> and frequency are described for PD 7</w:t>
      </w:r>
      <w:r w:rsidR="00EE22ED">
        <w:rPr>
          <w:rFonts w:cs="Times New Roman"/>
          <w:szCs w:val="24"/>
        </w:rPr>
        <w:t>9</w:t>
      </w:r>
      <w:r w:rsidR="001E318E">
        <w:rPr>
          <w:rFonts w:cs="Times New Roman"/>
          <w:szCs w:val="24"/>
        </w:rPr>
        <w:t xml:space="preserve">74-7 and UK statistics. In this property type, </w:t>
      </w:r>
      <w:r w:rsidR="00B60E85">
        <w:rPr>
          <w:rFonts w:cs="Times New Roman"/>
          <w:szCs w:val="24"/>
        </w:rPr>
        <w:t xml:space="preserve">in the absence of sprinklers, </w:t>
      </w:r>
      <w:r w:rsidR="001E318E">
        <w:rPr>
          <w:rFonts w:cs="Times New Roman"/>
          <w:szCs w:val="24"/>
        </w:rPr>
        <w:t>the average area damage</w:t>
      </w:r>
      <w:r w:rsidR="00B60E85">
        <w:rPr>
          <w:rFonts w:cs="Times New Roman"/>
          <w:szCs w:val="24"/>
        </w:rPr>
        <w:t>d</w:t>
      </w:r>
      <w:r w:rsidR="001E318E">
        <w:rPr>
          <w:rFonts w:cs="Times New Roman"/>
          <w:szCs w:val="24"/>
        </w:rPr>
        <w:t xml:space="preserve"> for PD 7974-7</w:t>
      </w:r>
      <w:r w:rsidR="00511611">
        <w:rPr>
          <w:rFonts w:cs="Times New Roman"/>
          <w:szCs w:val="24"/>
        </w:rPr>
        <w:t xml:space="preserve"> </w:t>
      </w:r>
      <w:r w:rsidR="00B60E85">
        <w:rPr>
          <w:rFonts w:cs="Times New Roman"/>
          <w:szCs w:val="24"/>
        </w:rPr>
        <w:t>(24 m</w:t>
      </w:r>
      <w:r w:rsidR="00B60E85" w:rsidRPr="001E318E">
        <w:rPr>
          <w:rFonts w:cs="Times New Roman"/>
          <w:szCs w:val="24"/>
          <w:vertAlign w:val="superscript"/>
        </w:rPr>
        <w:t>2</w:t>
      </w:r>
      <w:r w:rsidR="00B60E85">
        <w:rPr>
          <w:rFonts w:cs="Times New Roman"/>
          <w:szCs w:val="24"/>
        </w:rPr>
        <w:t xml:space="preserve">) </w:t>
      </w:r>
      <w:r w:rsidR="001E318E">
        <w:rPr>
          <w:rFonts w:cs="Times New Roman"/>
          <w:szCs w:val="24"/>
        </w:rPr>
        <w:t xml:space="preserve">is </w:t>
      </w:r>
      <w:r w:rsidR="00B60E85">
        <w:rPr>
          <w:rFonts w:cs="Times New Roman"/>
          <w:szCs w:val="24"/>
        </w:rPr>
        <w:t xml:space="preserve">almost half of the value found for the </w:t>
      </w:r>
      <w:r w:rsidR="001E318E" w:rsidRPr="00D14CF9">
        <w:rPr>
          <w:rFonts w:cs="Times New Roman"/>
          <w:i/>
          <w:iCs/>
          <w:szCs w:val="24"/>
        </w:rPr>
        <w:t>total damage</w:t>
      </w:r>
      <w:r w:rsidR="001E318E">
        <w:rPr>
          <w:rFonts w:cs="Times New Roman"/>
          <w:szCs w:val="24"/>
        </w:rPr>
        <w:t xml:space="preserve"> (41.25 m</w:t>
      </w:r>
      <w:r w:rsidR="001E318E" w:rsidRPr="001E318E">
        <w:rPr>
          <w:rFonts w:cs="Times New Roman"/>
          <w:szCs w:val="24"/>
          <w:vertAlign w:val="superscript"/>
        </w:rPr>
        <w:t>2</w:t>
      </w:r>
      <w:r w:rsidR="00571039">
        <w:rPr>
          <w:rFonts w:cs="Times New Roman"/>
          <w:szCs w:val="24"/>
        </w:rPr>
        <w:t>)</w:t>
      </w:r>
      <w:r w:rsidR="001E318E">
        <w:rPr>
          <w:rFonts w:cs="Times New Roman"/>
          <w:szCs w:val="24"/>
        </w:rPr>
        <w:t xml:space="preserve">. </w:t>
      </w:r>
      <w:r w:rsidR="00D62D33" w:rsidRPr="00D14CF9">
        <w:rPr>
          <w:rFonts w:cs="Times New Roman"/>
          <w:i/>
          <w:iCs/>
          <w:szCs w:val="24"/>
        </w:rPr>
        <w:t>Total damage</w:t>
      </w:r>
      <w:r w:rsidR="00D62D33">
        <w:rPr>
          <w:rFonts w:cs="Times New Roman"/>
          <w:szCs w:val="24"/>
        </w:rPr>
        <w:t xml:space="preserve"> </w:t>
      </w:r>
      <w:r w:rsidR="00F1246E">
        <w:rPr>
          <w:rFonts w:cs="Times New Roman"/>
          <w:szCs w:val="24"/>
        </w:rPr>
        <w:t>for</w:t>
      </w:r>
      <w:r w:rsidR="00D62D33">
        <w:rPr>
          <w:rFonts w:cs="Times New Roman"/>
          <w:szCs w:val="24"/>
        </w:rPr>
        <w:t xml:space="preserve"> absence of sprinklers appea</w:t>
      </w:r>
      <w:r w:rsidR="00511611">
        <w:rPr>
          <w:rFonts w:cs="Times New Roman"/>
          <w:szCs w:val="24"/>
        </w:rPr>
        <w:t xml:space="preserve">rs approximately three times greater than </w:t>
      </w:r>
      <w:r w:rsidR="00511611" w:rsidRPr="006A2005">
        <w:rPr>
          <w:rFonts w:cs="Times New Roman"/>
          <w:i/>
          <w:iCs/>
          <w:szCs w:val="24"/>
        </w:rPr>
        <w:t>fire</w:t>
      </w:r>
      <w:r w:rsidR="00D62D33" w:rsidRPr="006A2005">
        <w:rPr>
          <w:rFonts w:cs="Times New Roman"/>
          <w:i/>
          <w:iCs/>
          <w:szCs w:val="24"/>
        </w:rPr>
        <w:t xml:space="preserve"> damage</w:t>
      </w:r>
      <w:r w:rsidR="00D62D33">
        <w:rPr>
          <w:rFonts w:cs="Times New Roman"/>
          <w:szCs w:val="24"/>
        </w:rPr>
        <w:t xml:space="preserve"> in the various classes of fire spread that </w:t>
      </w:r>
      <w:r w:rsidR="00B60E85">
        <w:rPr>
          <w:rFonts w:cs="Times New Roman"/>
          <w:szCs w:val="24"/>
        </w:rPr>
        <w:t xml:space="preserve">could indicate </w:t>
      </w:r>
      <w:r w:rsidR="00D62D33">
        <w:rPr>
          <w:rFonts w:cs="Times New Roman"/>
          <w:szCs w:val="24"/>
        </w:rPr>
        <w:t>firefight</w:t>
      </w:r>
      <w:r w:rsidR="00B60E85">
        <w:rPr>
          <w:rFonts w:cs="Times New Roman"/>
          <w:szCs w:val="24"/>
        </w:rPr>
        <w:t>ing</w:t>
      </w:r>
      <w:r w:rsidR="00D62D33">
        <w:rPr>
          <w:rFonts w:cs="Times New Roman"/>
          <w:szCs w:val="24"/>
        </w:rPr>
        <w:t xml:space="preserve"> activities to extinguish the fire </w:t>
      </w:r>
      <w:r w:rsidR="00B60E85">
        <w:rPr>
          <w:rFonts w:cs="Times New Roman"/>
          <w:szCs w:val="24"/>
        </w:rPr>
        <w:t xml:space="preserve">having </w:t>
      </w:r>
      <w:r w:rsidR="00D62D33">
        <w:rPr>
          <w:rFonts w:cs="Times New Roman"/>
          <w:szCs w:val="24"/>
        </w:rPr>
        <w:t>a</w:t>
      </w:r>
      <w:r w:rsidR="00B60E85">
        <w:rPr>
          <w:rFonts w:cs="Times New Roman"/>
          <w:szCs w:val="24"/>
        </w:rPr>
        <w:t>n</w:t>
      </w:r>
      <w:r w:rsidR="00D62D33">
        <w:rPr>
          <w:rFonts w:cs="Times New Roman"/>
          <w:szCs w:val="24"/>
        </w:rPr>
        <w:t xml:space="preserve"> impact</w:t>
      </w:r>
      <w:r w:rsidR="00511611">
        <w:rPr>
          <w:rFonts w:cs="Times New Roman"/>
          <w:szCs w:val="24"/>
        </w:rPr>
        <w:t xml:space="preserve"> on the damage of</w:t>
      </w:r>
      <w:r w:rsidR="00542ED8">
        <w:rPr>
          <w:rFonts w:cs="Times New Roman"/>
          <w:szCs w:val="24"/>
        </w:rPr>
        <w:t xml:space="preserve"> the building. </w:t>
      </w:r>
      <w:r w:rsidR="00F1246E">
        <w:rPr>
          <w:rFonts w:cs="Times New Roman"/>
          <w:szCs w:val="24"/>
        </w:rPr>
        <w:t>F</w:t>
      </w:r>
      <w:r w:rsidR="001E318E">
        <w:rPr>
          <w:rFonts w:cs="Times New Roman"/>
          <w:szCs w:val="24"/>
        </w:rPr>
        <w:t xml:space="preserve">ire frequency which spreads beyond the room of origin in absence of sprinklers is equal to 17% </w:t>
      </w:r>
      <w:r w:rsidR="0080627D">
        <w:rPr>
          <w:rFonts w:cs="Times New Roman"/>
          <w:szCs w:val="24"/>
        </w:rPr>
        <w:t>and 21.5</w:t>
      </w:r>
      <w:r w:rsidR="001E318E">
        <w:rPr>
          <w:rFonts w:cs="Times New Roman"/>
          <w:szCs w:val="24"/>
        </w:rPr>
        <w:t>% f</w:t>
      </w:r>
      <w:r w:rsidR="00D7771B">
        <w:rPr>
          <w:rFonts w:cs="Times New Roman"/>
          <w:szCs w:val="24"/>
        </w:rPr>
        <w:t>or PD 7974-7 and UK statistics</w:t>
      </w:r>
      <w:r w:rsidR="00B60E85">
        <w:rPr>
          <w:rFonts w:cs="Times New Roman"/>
          <w:szCs w:val="24"/>
        </w:rPr>
        <w:t>,</w:t>
      </w:r>
      <w:r w:rsidR="00F1246E">
        <w:rPr>
          <w:rFonts w:cs="Times New Roman"/>
          <w:szCs w:val="24"/>
        </w:rPr>
        <w:t xml:space="preserve"> </w:t>
      </w:r>
      <w:r w:rsidR="00B60E85">
        <w:rPr>
          <w:rFonts w:cs="Times New Roman"/>
          <w:szCs w:val="24"/>
        </w:rPr>
        <w:t xml:space="preserve">respectively; </w:t>
      </w:r>
      <w:r w:rsidR="00F1246E">
        <w:rPr>
          <w:rFonts w:cs="Times New Roman"/>
          <w:szCs w:val="24"/>
        </w:rPr>
        <w:t xml:space="preserve">and </w:t>
      </w:r>
      <w:r w:rsidR="00D7771B">
        <w:rPr>
          <w:rFonts w:cs="Times New Roman"/>
          <w:szCs w:val="24"/>
        </w:rPr>
        <w:t xml:space="preserve">is approximately 30% confined to item first ignited and 25% for no fire damage in UK fire statistics for both presence and absence of </w:t>
      </w:r>
      <w:r w:rsidR="00B60E85">
        <w:rPr>
          <w:rFonts w:cs="Times New Roman"/>
          <w:szCs w:val="24"/>
        </w:rPr>
        <w:t>sprinklers</w:t>
      </w:r>
      <w:r w:rsidR="007B37A2">
        <w:rPr>
          <w:rFonts w:cs="Times New Roman"/>
          <w:szCs w:val="24"/>
        </w:rPr>
        <w:t xml:space="preserve"> showing similar trends</w:t>
      </w:r>
      <w:r w:rsidR="00D7771B">
        <w:rPr>
          <w:rFonts w:cs="Times New Roman"/>
          <w:szCs w:val="24"/>
        </w:rPr>
        <w:t xml:space="preserve"> in fire frequency despite the difference in number of fires (</w:t>
      </w:r>
      <w:r w:rsidR="00D7771B">
        <w:rPr>
          <w:rFonts w:cs="Times New Roman"/>
          <w:szCs w:val="24"/>
        </w:rPr>
        <w:fldChar w:fldCharType="begin"/>
      </w:r>
      <w:r w:rsidR="00D7771B">
        <w:rPr>
          <w:rFonts w:cs="Times New Roman"/>
          <w:szCs w:val="24"/>
        </w:rPr>
        <w:instrText xml:space="preserve"> REF _Ref14354568 \h </w:instrText>
      </w:r>
      <w:r w:rsidR="00D7771B">
        <w:rPr>
          <w:rFonts w:cs="Times New Roman"/>
          <w:szCs w:val="24"/>
        </w:rPr>
      </w:r>
      <w:r w:rsidR="00D7771B">
        <w:rPr>
          <w:rFonts w:cs="Times New Roman"/>
          <w:szCs w:val="24"/>
        </w:rPr>
        <w:fldChar w:fldCharType="separate"/>
      </w:r>
      <w:r w:rsidR="00250859">
        <w:t xml:space="preserve">Table </w:t>
      </w:r>
      <w:r w:rsidR="00250859">
        <w:rPr>
          <w:noProof/>
        </w:rPr>
        <w:t>7</w:t>
      </w:r>
      <w:r w:rsidR="00D7771B">
        <w:rPr>
          <w:rFonts w:cs="Times New Roman"/>
          <w:szCs w:val="24"/>
        </w:rPr>
        <w:fldChar w:fldCharType="end"/>
      </w:r>
      <w:r w:rsidR="00D7771B">
        <w:rPr>
          <w:rFonts w:cs="Times New Roman"/>
          <w:szCs w:val="24"/>
        </w:rPr>
        <w:t>).</w:t>
      </w:r>
    </w:p>
    <w:p w14:paraId="4C4B4166" w14:textId="6DA652CA" w:rsidR="006F3ED7" w:rsidRPr="00165C0B" w:rsidRDefault="00136117" w:rsidP="00136117">
      <w:pPr>
        <w:pStyle w:val="Caption"/>
        <w:rPr>
          <w:b/>
          <w:szCs w:val="24"/>
        </w:rPr>
      </w:pPr>
      <w:bookmarkStart w:id="42" w:name="_Ref14354568"/>
      <w:r>
        <w:t xml:space="preserve">Table </w:t>
      </w:r>
      <w:r>
        <w:fldChar w:fldCharType="begin"/>
      </w:r>
      <w:r>
        <w:instrText xml:space="preserve"> SEQ Table \* ARABIC </w:instrText>
      </w:r>
      <w:r>
        <w:fldChar w:fldCharType="separate"/>
      </w:r>
      <w:r w:rsidR="00250859">
        <w:rPr>
          <w:noProof/>
        </w:rPr>
        <w:t>7</w:t>
      </w:r>
      <w:r>
        <w:fldChar w:fldCharType="end"/>
      </w:r>
      <w:bookmarkEnd w:id="42"/>
      <w:r>
        <w:t>: Area damage</w:t>
      </w:r>
      <w:r w:rsidR="00422E1B">
        <w:t xml:space="preserve">, </w:t>
      </w:r>
      <w:r>
        <w:t xml:space="preserve">percentages of fires for </w:t>
      </w:r>
      <w:r w:rsidRPr="00136117">
        <w:rPr>
          <w:i/>
        </w:rPr>
        <w:t>Pubs, clubs, restaurants</w:t>
      </w:r>
      <w:r>
        <w:t xml:space="preserve"> in PD 7974-7 and UK statistics</w:t>
      </w:r>
      <w:r w:rsidR="00C72E1E">
        <w:t xml:space="preserve"> [F=Fire, T=Total]</w:t>
      </w:r>
    </w:p>
    <w:tbl>
      <w:tblPr>
        <w:tblW w:w="5000" w:type="pct"/>
        <w:tblBorders>
          <w:top w:val="single" w:sz="4" w:space="0" w:color="auto"/>
          <w:bottom w:val="single" w:sz="4" w:space="0" w:color="auto"/>
        </w:tblBorders>
        <w:tblCellMar>
          <w:left w:w="57" w:type="dxa"/>
          <w:right w:w="57" w:type="dxa"/>
        </w:tblCellMar>
        <w:tblLook w:val="04A0" w:firstRow="1" w:lastRow="0" w:firstColumn="1" w:lastColumn="0" w:noHBand="0" w:noVBand="1"/>
      </w:tblPr>
      <w:tblGrid>
        <w:gridCol w:w="396"/>
        <w:gridCol w:w="547"/>
        <w:gridCol w:w="471"/>
        <w:gridCol w:w="856"/>
        <w:gridCol w:w="861"/>
        <w:gridCol w:w="531"/>
        <w:gridCol w:w="857"/>
        <w:gridCol w:w="859"/>
        <w:gridCol w:w="749"/>
        <w:gridCol w:w="1078"/>
        <w:gridCol w:w="749"/>
        <w:gridCol w:w="1072"/>
      </w:tblGrid>
      <w:tr w:rsidR="0057566D" w:rsidRPr="0057566D" w14:paraId="723A840C" w14:textId="77777777" w:rsidTr="00336CF6">
        <w:trPr>
          <w:trHeight w:val="113"/>
        </w:trPr>
        <w:tc>
          <w:tcPr>
            <w:tcW w:w="219" w:type="pct"/>
            <w:shd w:val="clear" w:color="auto" w:fill="auto"/>
            <w:noWrap/>
            <w:vAlign w:val="bottom"/>
            <w:hideMark/>
          </w:tcPr>
          <w:p w14:paraId="02C12643" w14:textId="77777777" w:rsidR="0057566D" w:rsidRPr="0057566D" w:rsidRDefault="0057566D" w:rsidP="0057566D">
            <w:pPr>
              <w:spacing w:after="0"/>
              <w:jc w:val="left"/>
              <w:rPr>
                <w:rFonts w:eastAsia="Times New Roman" w:cs="Times New Roman"/>
                <w:sz w:val="20"/>
                <w:szCs w:val="20"/>
                <w:lang w:eastAsia="en-GB"/>
              </w:rPr>
            </w:pPr>
          </w:p>
        </w:tc>
        <w:tc>
          <w:tcPr>
            <w:tcW w:w="303" w:type="pct"/>
            <w:shd w:val="clear" w:color="auto" w:fill="auto"/>
            <w:noWrap/>
            <w:vAlign w:val="bottom"/>
            <w:hideMark/>
          </w:tcPr>
          <w:p w14:paraId="46E59688" w14:textId="77777777" w:rsidR="0057566D" w:rsidRPr="0057566D" w:rsidRDefault="0057566D" w:rsidP="0057566D">
            <w:pPr>
              <w:spacing w:after="0"/>
              <w:jc w:val="left"/>
              <w:rPr>
                <w:rFonts w:eastAsia="Times New Roman" w:cs="Times New Roman"/>
                <w:sz w:val="20"/>
                <w:szCs w:val="20"/>
                <w:lang w:eastAsia="en-GB"/>
              </w:rPr>
            </w:pPr>
          </w:p>
        </w:tc>
        <w:tc>
          <w:tcPr>
            <w:tcW w:w="2457" w:type="pct"/>
            <w:gridSpan w:val="6"/>
            <w:tcBorders>
              <w:top w:val="single" w:sz="4" w:space="0" w:color="auto"/>
              <w:bottom w:val="single" w:sz="4" w:space="0" w:color="auto"/>
              <w:right w:val="single" w:sz="4" w:space="0" w:color="auto"/>
            </w:tcBorders>
            <w:shd w:val="clear" w:color="auto" w:fill="auto"/>
            <w:noWrap/>
            <w:vAlign w:val="bottom"/>
            <w:hideMark/>
          </w:tcPr>
          <w:p w14:paraId="70CCB01B" w14:textId="704BAABF" w:rsidR="0057566D" w:rsidRPr="0057566D" w:rsidRDefault="0057566D" w:rsidP="0057566D">
            <w:pPr>
              <w:spacing w:after="0"/>
              <w:jc w:val="center"/>
              <w:rPr>
                <w:rFonts w:eastAsia="Times New Roman" w:cs="Times New Roman"/>
                <w:b/>
                <w:color w:val="000000"/>
                <w:sz w:val="20"/>
                <w:szCs w:val="20"/>
                <w:lang w:eastAsia="en-GB"/>
              </w:rPr>
            </w:pPr>
            <w:r w:rsidRPr="0057566D">
              <w:rPr>
                <w:rFonts w:eastAsia="Times New Roman" w:cs="Times New Roman"/>
                <w:b/>
                <w:color w:val="000000"/>
                <w:sz w:val="20"/>
                <w:szCs w:val="20"/>
                <w:lang w:eastAsia="en-GB"/>
              </w:rPr>
              <w:t>Area damaged [m</w:t>
            </w:r>
            <w:r w:rsidRPr="0057566D">
              <w:rPr>
                <w:rFonts w:eastAsia="Times New Roman" w:cs="Times New Roman"/>
                <w:b/>
                <w:color w:val="000000"/>
                <w:sz w:val="20"/>
                <w:szCs w:val="20"/>
                <w:vertAlign w:val="superscript"/>
                <w:lang w:eastAsia="en-GB"/>
              </w:rPr>
              <w:t>2</w:t>
            </w:r>
            <w:r w:rsidRPr="0057566D">
              <w:rPr>
                <w:rFonts w:eastAsia="Times New Roman" w:cs="Times New Roman"/>
                <w:b/>
                <w:color w:val="000000"/>
                <w:sz w:val="20"/>
                <w:szCs w:val="20"/>
                <w:lang w:eastAsia="en-GB"/>
              </w:rPr>
              <w:t>]</w:t>
            </w:r>
          </w:p>
        </w:tc>
        <w:tc>
          <w:tcPr>
            <w:tcW w:w="2021" w:type="pct"/>
            <w:gridSpan w:val="4"/>
            <w:tcBorders>
              <w:top w:val="single" w:sz="4" w:space="0" w:color="auto"/>
              <w:left w:val="single" w:sz="4" w:space="0" w:color="auto"/>
              <w:bottom w:val="single" w:sz="4" w:space="0" w:color="auto"/>
            </w:tcBorders>
            <w:shd w:val="clear" w:color="auto" w:fill="auto"/>
            <w:noWrap/>
            <w:vAlign w:val="bottom"/>
            <w:hideMark/>
          </w:tcPr>
          <w:p w14:paraId="778CDE56" w14:textId="77777777" w:rsidR="0057566D" w:rsidRPr="0057566D" w:rsidRDefault="0057566D" w:rsidP="0057566D">
            <w:pPr>
              <w:spacing w:after="0"/>
              <w:jc w:val="center"/>
              <w:rPr>
                <w:rFonts w:eastAsia="Times New Roman" w:cs="Times New Roman"/>
                <w:b/>
                <w:color w:val="000000"/>
                <w:sz w:val="20"/>
                <w:szCs w:val="20"/>
                <w:lang w:eastAsia="en-GB"/>
              </w:rPr>
            </w:pPr>
            <w:r w:rsidRPr="0057566D">
              <w:rPr>
                <w:rFonts w:eastAsia="Times New Roman" w:cs="Times New Roman"/>
                <w:b/>
                <w:color w:val="000000"/>
                <w:sz w:val="20"/>
                <w:szCs w:val="20"/>
                <w:lang w:eastAsia="en-GB"/>
              </w:rPr>
              <w:t>Frequency</w:t>
            </w:r>
          </w:p>
        </w:tc>
      </w:tr>
      <w:tr w:rsidR="0057566D" w:rsidRPr="0057566D" w14:paraId="60190CA6" w14:textId="77777777" w:rsidTr="00336CF6">
        <w:trPr>
          <w:trHeight w:val="113"/>
        </w:trPr>
        <w:tc>
          <w:tcPr>
            <w:tcW w:w="219" w:type="pct"/>
            <w:tcBorders>
              <w:bottom w:val="nil"/>
            </w:tcBorders>
            <w:shd w:val="clear" w:color="auto" w:fill="auto"/>
            <w:noWrap/>
            <w:vAlign w:val="bottom"/>
            <w:hideMark/>
          </w:tcPr>
          <w:p w14:paraId="49E8B579" w14:textId="77777777" w:rsidR="0057566D" w:rsidRPr="0057566D" w:rsidRDefault="0057566D" w:rsidP="0057566D">
            <w:pPr>
              <w:spacing w:after="0"/>
              <w:jc w:val="center"/>
              <w:rPr>
                <w:rFonts w:eastAsia="Times New Roman" w:cs="Times New Roman"/>
                <w:color w:val="000000"/>
                <w:sz w:val="20"/>
                <w:szCs w:val="20"/>
                <w:lang w:eastAsia="en-GB"/>
              </w:rPr>
            </w:pPr>
          </w:p>
        </w:tc>
        <w:tc>
          <w:tcPr>
            <w:tcW w:w="303" w:type="pct"/>
            <w:tcBorders>
              <w:bottom w:val="nil"/>
            </w:tcBorders>
            <w:shd w:val="clear" w:color="auto" w:fill="auto"/>
            <w:noWrap/>
            <w:vAlign w:val="bottom"/>
            <w:hideMark/>
          </w:tcPr>
          <w:p w14:paraId="7F86B932" w14:textId="77777777" w:rsidR="0057566D" w:rsidRPr="0057566D" w:rsidRDefault="0057566D" w:rsidP="0057566D">
            <w:pPr>
              <w:spacing w:after="0"/>
              <w:jc w:val="left"/>
              <w:rPr>
                <w:rFonts w:eastAsia="Times New Roman" w:cs="Times New Roman"/>
                <w:sz w:val="20"/>
                <w:szCs w:val="20"/>
                <w:lang w:eastAsia="en-GB"/>
              </w:rPr>
            </w:pPr>
          </w:p>
        </w:tc>
        <w:tc>
          <w:tcPr>
            <w:tcW w:w="1212" w:type="pct"/>
            <w:gridSpan w:val="3"/>
            <w:tcBorders>
              <w:top w:val="single" w:sz="4" w:space="0" w:color="auto"/>
              <w:bottom w:val="single" w:sz="4" w:space="0" w:color="auto"/>
              <w:right w:val="single" w:sz="4" w:space="0" w:color="auto"/>
            </w:tcBorders>
            <w:shd w:val="clear" w:color="auto" w:fill="auto"/>
            <w:noWrap/>
            <w:vAlign w:val="bottom"/>
            <w:hideMark/>
          </w:tcPr>
          <w:p w14:paraId="6E7BB5FD" w14:textId="63450721" w:rsidR="0057566D" w:rsidRPr="0057566D" w:rsidRDefault="0057566D" w:rsidP="0057566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Sprinklers</w:t>
            </w:r>
          </w:p>
        </w:tc>
        <w:tc>
          <w:tcPr>
            <w:tcW w:w="124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18A72" w14:textId="2C166BAD" w:rsidR="0057566D" w:rsidRPr="0057566D" w:rsidRDefault="0057566D" w:rsidP="0057566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No Sprinklers</w:t>
            </w:r>
          </w:p>
        </w:tc>
        <w:tc>
          <w:tcPr>
            <w:tcW w:w="101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901AC" w14:textId="533D246F" w:rsidR="0057566D" w:rsidRPr="0057566D" w:rsidRDefault="0057566D" w:rsidP="0057566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Sprinklers</w:t>
            </w:r>
          </w:p>
        </w:tc>
        <w:tc>
          <w:tcPr>
            <w:tcW w:w="1009" w:type="pct"/>
            <w:gridSpan w:val="2"/>
            <w:tcBorders>
              <w:top w:val="single" w:sz="4" w:space="0" w:color="auto"/>
              <w:left w:val="single" w:sz="4" w:space="0" w:color="auto"/>
              <w:bottom w:val="single" w:sz="4" w:space="0" w:color="auto"/>
            </w:tcBorders>
            <w:shd w:val="clear" w:color="auto" w:fill="auto"/>
            <w:noWrap/>
            <w:vAlign w:val="bottom"/>
            <w:hideMark/>
          </w:tcPr>
          <w:p w14:paraId="3131D730" w14:textId="74714BCD" w:rsidR="0057566D" w:rsidRPr="0057566D" w:rsidRDefault="0057566D" w:rsidP="0057566D">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No Sprinklers</w:t>
            </w:r>
          </w:p>
        </w:tc>
      </w:tr>
      <w:tr w:rsidR="006E0B94" w:rsidRPr="0057566D" w14:paraId="0D134CD3" w14:textId="77777777" w:rsidTr="00336CF6">
        <w:trPr>
          <w:trHeight w:val="113"/>
        </w:trPr>
        <w:tc>
          <w:tcPr>
            <w:tcW w:w="522" w:type="pct"/>
            <w:gridSpan w:val="2"/>
            <w:tcBorders>
              <w:top w:val="nil"/>
              <w:bottom w:val="single" w:sz="4" w:space="0" w:color="auto"/>
            </w:tcBorders>
            <w:shd w:val="clear" w:color="auto" w:fill="auto"/>
            <w:noWrap/>
            <w:vAlign w:val="bottom"/>
          </w:tcPr>
          <w:p w14:paraId="6538B4F3" w14:textId="77777777" w:rsidR="006E0B94" w:rsidRDefault="006E0B94" w:rsidP="006E0B94">
            <w:pPr>
              <w:spacing w:after="0"/>
              <w:jc w:val="center"/>
              <w:rPr>
                <w:rFonts w:eastAsia="Times New Roman" w:cs="Times New Roman"/>
                <w:color w:val="000000"/>
                <w:sz w:val="20"/>
                <w:szCs w:val="20"/>
                <w:lang w:eastAsia="en-GB"/>
              </w:rPr>
            </w:pPr>
          </w:p>
        </w:tc>
        <w:tc>
          <w:tcPr>
            <w:tcW w:w="261" w:type="pct"/>
            <w:tcBorders>
              <w:bottom w:val="single" w:sz="4" w:space="0" w:color="auto"/>
            </w:tcBorders>
            <w:shd w:val="clear" w:color="auto" w:fill="auto"/>
            <w:noWrap/>
            <w:vAlign w:val="center"/>
          </w:tcPr>
          <w:p w14:paraId="4B82C2DE" w14:textId="450D30D2"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474" w:type="pct"/>
            <w:tcBorders>
              <w:top w:val="single" w:sz="4" w:space="0" w:color="auto"/>
              <w:bottom w:val="single" w:sz="4" w:space="0" w:color="auto"/>
            </w:tcBorders>
            <w:shd w:val="clear" w:color="auto" w:fill="auto"/>
            <w:noWrap/>
            <w:vAlign w:val="bottom"/>
          </w:tcPr>
          <w:p w14:paraId="727AA167" w14:textId="2616B1A5"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UK F</w:t>
            </w:r>
          </w:p>
        </w:tc>
        <w:tc>
          <w:tcPr>
            <w:tcW w:w="477" w:type="pct"/>
            <w:tcBorders>
              <w:top w:val="single" w:sz="4" w:space="0" w:color="auto"/>
              <w:right w:val="single" w:sz="4" w:space="0" w:color="auto"/>
            </w:tcBorders>
            <w:shd w:val="clear" w:color="auto" w:fill="auto"/>
            <w:noWrap/>
            <w:vAlign w:val="bottom"/>
          </w:tcPr>
          <w:p w14:paraId="658ED5B1" w14:textId="4FA9DA1C"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UK T</w:t>
            </w:r>
          </w:p>
        </w:tc>
        <w:tc>
          <w:tcPr>
            <w:tcW w:w="294" w:type="pct"/>
            <w:tcBorders>
              <w:top w:val="single" w:sz="4" w:space="0" w:color="auto"/>
              <w:left w:val="single" w:sz="4" w:space="0" w:color="auto"/>
            </w:tcBorders>
            <w:shd w:val="clear" w:color="auto" w:fill="auto"/>
            <w:noWrap/>
            <w:vAlign w:val="center"/>
          </w:tcPr>
          <w:p w14:paraId="33A8C915" w14:textId="2CE298E9"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475" w:type="pct"/>
            <w:tcBorders>
              <w:top w:val="single" w:sz="4" w:space="0" w:color="auto"/>
            </w:tcBorders>
            <w:shd w:val="clear" w:color="auto" w:fill="auto"/>
            <w:noWrap/>
            <w:vAlign w:val="bottom"/>
          </w:tcPr>
          <w:p w14:paraId="6D37060A" w14:textId="0C10F512"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UK F</w:t>
            </w:r>
          </w:p>
        </w:tc>
        <w:tc>
          <w:tcPr>
            <w:tcW w:w="476" w:type="pct"/>
            <w:tcBorders>
              <w:top w:val="single" w:sz="4" w:space="0" w:color="auto"/>
              <w:right w:val="single" w:sz="4" w:space="0" w:color="auto"/>
            </w:tcBorders>
            <w:shd w:val="clear" w:color="auto" w:fill="auto"/>
            <w:noWrap/>
            <w:vAlign w:val="bottom"/>
          </w:tcPr>
          <w:p w14:paraId="72EF9E8C" w14:textId="01965F87"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UK T</w:t>
            </w:r>
          </w:p>
        </w:tc>
        <w:tc>
          <w:tcPr>
            <w:tcW w:w="415" w:type="pct"/>
            <w:tcBorders>
              <w:top w:val="single" w:sz="4" w:space="0" w:color="auto"/>
              <w:left w:val="single" w:sz="4" w:space="0" w:color="auto"/>
            </w:tcBorders>
            <w:shd w:val="clear" w:color="auto" w:fill="auto"/>
            <w:noWrap/>
            <w:vAlign w:val="bottom"/>
          </w:tcPr>
          <w:p w14:paraId="6DA256DE" w14:textId="56FB682D"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597" w:type="pct"/>
            <w:tcBorders>
              <w:top w:val="single" w:sz="4" w:space="0" w:color="auto"/>
              <w:right w:val="single" w:sz="4" w:space="0" w:color="auto"/>
            </w:tcBorders>
            <w:shd w:val="clear" w:color="auto" w:fill="auto"/>
            <w:noWrap/>
            <w:vAlign w:val="bottom"/>
          </w:tcPr>
          <w:p w14:paraId="07EB8627" w14:textId="09BC7243"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UK</w:t>
            </w:r>
          </w:p>
        </w:tc>
        <w:tc>
          <w:tcPr>
            <w:tcW w:w="415" w:type="pct"/>
            <w:tcBorders>
              <w:top w:val="single" w:sz="4" w:space="0" w:color="auto"/>
              <w:left w:val="single" w:sz="4" w:space="0" w:color="auto"/>
            </w:tcBorders>
            <w:shd w:val="clear" w:color="auto" w:fill="auto"/>
            <w:noWrap/>
            <w:vAlign w:val="bottom"/>
          </w:tcPr>
          <w:p w14:paraId="71863140" w14:textId="07E9469C"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PD</w:t>
            </w:r>
          </w:p>
        </w:tc>
        <w:tc>
          <w:tcPr>
            <w:tcW w:w="594" w:type="pct"/>
            <w:tcBorders>
              <w:top w:val="single" w:sz="4" w:space="0" w:color="auto"/>
            </w:tcBorders>
            <w:shd w:val="clear" w:color="auto" w:fill="auto"/>
            <w:noWrap/>
            <w:vAlign w:val="bottom"/>
          </w:tcPr>
          <w:p w14:paraId="441C4F19" w14:textId="254FF983"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UK</w:t>
            </w:r>
          </w:p>
        </w:tc>
      </w:tr>
      <w:tr w:rsidR="006E0B94" w:rsidRPr="0057566D" w14:paraId="141A3E15" w14:textId="77777777" w:rsidTr="00336CF6">
        <w:trPr>
          <w:trHeight w:val="113"/>
        </w:trPr>
        <w:tc>
          <w:tcPr>
            <w:tcW w:w="522" w:type="pct"/>
            <w:gridSpan w:val="2"/>
            <w:tcBorders>
              <w:top w:val="single" w:sz="4" w:space="0" w:color="auto"/>
              <w:bottom w:val="single" w:sz="4" w:space="0" w:color="auto"/>
            </w:tcBorders>
            <w:shd w:val="clear" w:color="auto" w:fill="auto"/>
            <w:noWrap/>
            <w:vAlign w:val="bottom"/>
            <w:hideMark/>
          </w:tcPr>
          <w:p w14:paraId="0C3EFAD8" w14:textId="086DDE90"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A</w:t>
            </w:r>
          </w:p>
        </w:tc>
        <w:tc>
          <w:tcPr>
            <w:tcW w:w="261" w:type="pct"/>
            <w:tcBorders>
              <w:top w:val="single" w:sz="4" w:space="0" w:color="auto"/>
            </w:tcBorders>
            <w:shd w:val="clear" w:color="auto" w:fill="auto"/>
            <w:noWrap/>
            <w:vAlign w:val="bottom"/>
            <w:hideMark/>
          </w:tcPr>
          <w:p w14:paraId="6729EC2F"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w:t>
            </w:r>
          </w:p>
        </w:tc>
        <w:tc>
          <w:tcPr>
            <w:tcW w:w="474" w:type="pct"/>
            <w:tcBorders>
              <w:top w:val="single" w:sz="4" w:space="0" w:color="auto"/>
            </w:tcBorders>
            <w:shd w:val="clear" w:color="auto" w:fill="auto"/>
            <w:noWrap/>
            <w:vAlign w:val="bottom"/>
            <w:hideMark/>
          </w:tcPr>
          <w:p w14:paraId="4E56BE5C"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2.24</w:t>
            </w:r>
          </w:p>
        </w:tc>
        <w:tc>
          <w:tcPr>
            <w:tcW w:w="477" w:type="pct"/>
            <w:tcBorders>
              <w:top w:val="single" w:sz="4" w:space="0" w:color="auto"/>
              <w:right w:val="single" w:sz="4" w:space="0" w:color="auto"/>
            </w:tcBorders>
            <w:shd w:val="clear" w:color="auto" w:fill="auto"/>
            <w:noWrap/>
            <w:vAlign w:val="bottom"/>
            <w:hideMark/>
          </w:tcPr>
          <w:p w14:paraId="70D1AFDA"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16.26</w:t>
            </w:r>
          </w:p>
        </w:tc>
        <w:tc>
          <w:tcPr>
            <w:tcW w:w="294" w:type="pct"/>
            <w:tcBorders>
              <w:top w:val="single" w:sz="4" w:space="0" w:color="auto"/>
              <w:left w:val="single" w:sz="4" w:space="0" w:color="auto"/>
            </w:tcBorders>
            <w:shd w:val="clear" w:color="auto" w:fill="auto"/>
            <w:noWrap/>
            <w:vAlign w:val="bottom"/>
            <w:hideMark/>
          </w:tcPr>
          <w:p w14:paraId="375435A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w:t>
            </w:r>
          </w:p>
        </w:tc>
        <w:tc>
          <w:tcPr>
            <w:tcW w:w="475" w:type="pct"/>
            <w:tcBorders>
              <w:top w:val="single" w:sz="4" w:space="0" w:color="auto"/>
            </w:tcBorders>
            <w:shd w:val="clear" w:color="auto" w:fill="auto"/>
            <w:noWrap/>
            <w:vAlign w:val="bottom"/>
            <w:hideMark/>
          </w:tcPr>
          <w:p w14:paraId="349A500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3.92</w:t>
            </w:r>
          </w:p>
        </w:tc>
        <w:tc>
          <w:tcPr>
            <w:tcW w:w="476" w:type="pct"/>
            <w:tcBorders>
              <w:top w:val="single" w:sz="4" w:space="0" w:color="auto"/>
              <w:right w:val="single" w:sz="4" w:space="0" w:color="auto"/>
            </w:tcBorders>
            <w:shd w:val="clear" w:color="auto" w:fill="auto"/>
            <w:noWrap/>
            <w:vAlign w:val="bottom"/>
            <w:hideMark/>
          </w:tcPr>
          <w:p w14:paraId="1EFC337F"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12.43</w:t>
            </w:r>
          </w:p>
        </w:tc>
        <w:tc>
          <w:tcPr>
            <w:tcW w:w="415" w:type="pct"/>
            <w:tcBorders>
              <w:top w:val="single" w:sz="4" w:space="0" w:color="auto"/>
              <w:left w:val="single" w:sz="4" w:space="0" w:color="auto"/>
            </w:tcBorders>
            <w:shd w:val="clear" w:color="auto" w:fill="auto"/>
            <w:noWrap/>
            <w:vAlign w:val="bottom"/>
            <w:hideMark/>
          </w:tcPr>
          <w:p w14:paraId="4C504FA6"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w:t>
            </w:r>
          </w:p>
        </w:tc>
        <w:tc>
          <w:tcPr>
            <w:tcW w:w="597" w:type="pct"/>
            <w:tcBorders>
              <w:top w:val="single" w:sz="4" w:space="0" w:color="auto"/>
              <w:right w:val="single" w:sz="4" w:space="0" w:color="auto"/>
            </w:tcBorders>
            <w:shd w:val="clear" w:color="auto" w:fill="auto"/>
            <w:noWrap/>
            <w:vAlign w:val="bottom"/>
            <w:hideMark/>
          </w:tcPr>
          <w:p w14:paraId="400C7C34"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28.13%</w:t>
            </w:r>
          </w:p>
        </w:tc>
        <w:tc>
          <w:tcPr>
            <w:tcW w:w="415" w:type="pct"/>
            <w:tcBorders>
              <w:top w:val="single" w:sz="4" w:space="0" w:color="auto"/>
              <w:left w:val="single" w:sz="4" w:space="0" w:color="auto"/>
            </w:tcBorders>
            <w:shd w:val="clear" w:color="auto" w:fill="auto"/>
            <w:noWrap/>
            <w:vAlign w:val="bottom"/>
            <w:hideMark/>
          </w:tcPr>
          <w:p w14:paraId="3A05BC1F"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w:t>
            </w:r>
          </w:p>
        </w:tc>
        <w:tc>
          <w:tcPr>
            <w:tcW w:w="594" w:type="pct"/>
            <w:tcBorders>
              <w:top w:val="single" w:sz="4" w:space="0" w:color="auto"/>
            </w:tcBorders>
            <w:shd w:val="clear" w:color="auto" w:fill="auto"/>
            <w:noWrap/>
            <w:vAlign w:val="bottom"/>
            <w:hideMark/>
          </w:tcPr>
          <w:p w14:paraId="090EB3F4"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22.85%</w:t>
            </w:r>
          </w:p>
        </w:tc>
      </w:tr>
      <w:tr w:rsidR="006E0B94" w:rsidRPr="0057566D" w14:paraId="33FB47CD" w14:textId="77777777" w:rsidTr="00336CF6">
        <w:trPr>
          <w:trHeight w:val="113"/>
        </w:trPr>
        <w:tc>
          <w:tcPr>
            <w:tcW w:w="522" w:type="pct"/>
            <w:gridSpan w:val="2"/>
            <w:tcBorders>
              <w:top w:val="single" w:sz="4" w:space="0" w:color="auto"/>
              <w:bottom w:val="single" w:sz="4" w:space="0" w:color="auto"/>
            </w:tcBorders>
            <w:shd w:val="clear" w:color="auto" w:fill="auto"/>
            <w:noWrap/>
            <w:vAlign w:val="bottom"/>
            <w:hideMark/>
          </w:tcPr>
          <w:p w14:paraId="4DCC6613" w14:textId="51BFDDD4"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B</w:t>
            </w:r>
          </w:p>
        </w:tc>
        <w:tc>
          <w:tcPr>
            <w:tcW w:w="261" w:type="pct"/>
            <w:shd w:val="clear" w:color="auto" w:fill="auto"/>
            <w:noWrap/>
            <w:vAlign w:val="bottom"/>
            <w:hideMark/>
          </w:tcPr>
          <w:p w14:paraId="3574B474"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w:t>
            </w:r>
          </w:p>
        </w:tc>
        <w:tc>
          <w:tcPr>
            <w:tcW w:w="474" w:type="pct"/>
            <w:shd w:val="clear" w:color="auto" w:fill="auto"/>
            <w:noWrap/>
            <w:vAlign w:val="bottom"/>
            <w:hideMark/>
          </w:tcPr>
          <w:p w14:paraId="593B9FE7"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3.48</w:t>
            </w:r>
          </w:p>
        </w:tc>
        <w:tc>
          <w:tcPr>
            <w:tcW w:w="477" w:type="pct"/>
            <w:tcBorders>
              <w:right w:val="single" w:sz="4" w:space="0" w:color="auto"/>
            </w:tcBorders>
            <w:shd w:val="clear" w:color="auto" w:fill="auto"/>
            <w:noWrap/>
            <w:vAlign w:val="bottom"/>
            <w:hideMark/>
          </w:tcPr>
          <w:p w14:paraId="5F7251FC"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93.82</w:t>
            </w:r>
          </w:p>
        </w:tc>
        <w:tc>
          <w:tcPr>
            <w:tcW w:w="294" w:type="pct"/>
            <w:tcBorders>
              <w:left w:val="single" w:sz="4" w:space="0" w:color="auto"/>
            </w:tcBorders>
            <w:shd w:val="clear" w:color="auto" w:fill="auto"/>
            <w:noWrap/>
            <w:vAlign w:val="bottom"/>
            <w:hideMark/>
          </w:tcPr>
          <w:p w14:paraId="3FC00E0F"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w:t>
            </w:r>
          </w:p>
        </w:tc>
        <w:tc>
          <w:tcPr>
            <w:tcW w:w="475" w:type="pct"/>
            <w:shd w:val="clear" w:color="auto" w:fill="auto"/>
            <w:noWrap/>
            <w:vAlign w:val="bottom"/>
            <w:hideMark/>
          </w:tcPr>
          <w:p w14:paraId="45E8234D"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2.21</w:t>
            </w:r>
          </w:p>
        </w:tc>
        <w:tc>
          <w:tcPr>
            <w:tcW w:w="476" w:type="pct"/>
            <w:tcBorders>
              <w:right w:val="single" w:sz="4" w:space="0" w:color="auto"/>
            </w:tcBorders>
            <w:shd w:val="clear" w:color="auto" w:fill="auto"/>
            <w:noWrap/>
            <w:vAlign w:val="bottom"/>
            <w:hideMark/>
          </w:tcPr>
          <w:p w14:paraId="759F103E"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9.11</w:t>
            </w:r>
          </w:p>
        </w:tc>
        <w:tc>
          <w:tcPr>
            <w:tcW w:w="415" w:type="pct"/>
            <w:tcBorders>
              <w:left w:val="single" w:sz="4" w:space="0" w:color="auto"/>
            </w:tcBorders>
            <w:shd w:val="clear" w:color="auto" w:fill="auto"/>
            <w:noWrap/>
            <w:vAlign w:val="bottom"/>
            <w:hideMark/>
          </w:tcPr>
          <w:p w14:paraId="723F2177"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59%</w:t>
            </w:r>
          </w:p>
        </w:tc>
        <w:tc>
          <w:tcPr>
            <w:tcW w:w="597" w:type="pct"/>
            <w:tcBorders>
              <w:right w:val="single" w:sz="4" w:space="0" w:color="auto"/>
            </w:tcBorders>
            <w:shd w:val="clear" w:color="auto" w:fill="auto"/>
            <w:noWrap/>
            <w:vAlign w:val="bottom"/>
            <w:hideMark/>
          </w:tcPr>
          <w:p w14:paraId="7AF3D7AD"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31.25%</w:t>
            </w:r>
          </w:p>
        </w:tc>
        <w:tc>
          <w:tcPr>
            <w:tcW w:w="415" w:type="pct"/>
            <w:tcBorders>
              <w:left w:val="single" w:sz="4" w:space="0" w:color="auto"/>
            </w:tcBorders>
            <w:shd w:val="clear" w:color="auto" w:fill="auto"/>
            <w:noWrap/>
            <w:vAlign w:val="bottom"/>
            <w:hideMark/>
          </w:tcPr>
          <w:p w14:paraId="77A5F504"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26%</w:t>
            </w:r>
          </w:p>
        </w:tc>
        <w:tc>
          <w:tcPr>
            <w:tcW w:w="594" w:type="pct"/>
            <w:shd w:val="clear" w:color="auto" w:fill="auto"/>
            <w:noWrap/>
            <w:vAlign w:val="bottom"/>
            <w:hideMark/>
          </w:tcPr>
          <w:p w14:paraId="34B58D5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32.71%</w:t>
            </w:r>
          </w:p>
        </w:tc>
      </w:tr>
      <w:tr w:rsidR="006E0B94" w:rsidRPr="0057566D" w14:paraId="2486391E" w14:textId="77777777" w:rsidTr="00336CF6">
        <w:trPr>
          <w:trHeight w:val="113"/>
        </w:trPr>
        <w:tc>
          <w:tcPr>
            <w:tcW w:w="219" w:type="pct"/>
            <w:vMerge w:val="restart"/>
            <w:tcBorders>
              <w:top w:val="single" w:sz="4" w:space="0" w:color="auto"/>
              <w:bottom w:val="single" w:sz="4" w:space="0" w:color="auto"/>
            </w:tcBorders>
            <w:shd w:val="clear" w:color="auto" w:fill="auto"/>
            <w:noWrap/>
            <w:vAlign w:val="center"/>
            <w:hideMark/>
          </w:tcPr>
          <w:p w14:paraId="49FE421D" w14:textId="3DF2BC9E"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C</w:t>
            </w:r>
          </w:p>
        </w:tc>
        <w:tc>
          <w:tcPr>
            <w:tcW w:w="303" w:type="pct"/>
            <w:tcBorders>
              <w:top w:val="single" w:sz="4" w:space="0" w:color="auto"/>
              <w:bottom w:val="single" w:sz="4" w:space="0" w:color="auto"/>
            </w:tcBorders>
            <w:shd w:val="clear" w:color="auto" w:fill="auto"/>
            <w:noWrap/>
            <w:vAlign w:val="bottom"/>
            <w:hideMark/>
          </w:tcPr>
          <w:p w14:paraId="3A3B26AE" w14:textId="106BAFDC" w:rsidR="006E0B94" w:rsidRPr="0057566D" w:rsidRDefault="006E0B94" w:rsidP="006E0B94">
            <w:pPr>
              <w:spacing w:after="0"/>
              <w:jc w:val="left"/>
              <w:rPr>
                <w:rFonts w:eastAsia="Times New Roman" w:cs="Times New Roman"/>
                <w:color w:val="000000"/>
                <w:sz w:val="20"/>
                <w:szCs w:val="20"/>
                <w:lang w:eastAsia="en-GB"/>
              </w:rPr>
            </w:pPr>
            <w:r>
              <w:rPr>
                <w:rFonts w:eastAsia="Times New Roman" w:cs="Times New Roman"/>
                <w:color w:val="000000"/>
                <w:sz w:val="20"/>
                <w:szCs w:val="20"/>
                <w:lang w:eastAsia="en-GB"/>
              </w:rPr>
              <w:t>C1</w:t>
            </w:r>
          </w:p>
        </w:tc>
        <w:tc>
          <w:tcPr>
            <w:tcW w:w="261" w:type="pct"/>
            <w:shd w:val="clear" w:color="auto" w:fill="auto"/>
            <w:noWrap/>
            <w:vAlign w:val="center"/>
            <w:hideMark/>
          </w:tcPr>
          <w:p w14:paraId="0A47BA61"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w:t>
            </w:r>
          </w:p>
        </w:tc>
        <w:tc>
          <w:tcPr>
            <w:tcW w:w="474" w:type="pct"/>
            <w:vMerge w:val="restart"/>
            <w:shd w:val="clear" w:color="auto" w:fill="auto"/>
            <w:noWrap/>
            <w:vAlign w:val="center"/>
            <w:hideMark/>
          </w:tcPr>
          <w:p w14:paraId="7CC5D48E"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7.27</w:t>
            </w:r>
          </w:p>
        </w:tc>
        <w:tc>
          <w:tcPr>
            <w:tcW w:w="477" w:type="pct"/>
            <w:vMerge w:val="restart"/>
            <w:tcBorders>
              <w:right w:val="single" w:sz="4" w:space="0" w:color="auto"/>
            </w:tcBorders>
            <w:shd w:val="clear" w:color="auto" w:fill="auto"/>
            <w:noWrap/>
            <w:vAlign w:val="center"/>
            <w:hideMark/>
          </w:tcPr>
          <w:p w14:paraId="4C784A11"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34.50</w:t>
            </w:r>
          </w:p>
        </w:tc>
        <w:tc>
          <w:tcPr>
            <w:tcW w:w="294" w:type="pct"/>
            <w:tcBorders>
              <w:left w:val="single" w:sz="4" w:space="0" w:color="auto"/>
            </w:tcBorders>
            <w:shd w:val="clear" w:color="auto" w:fill="auto"/>
            <w:noWrap/>
            <w:vAlign w:val="center"/>
            <w:hideMark/>
          </w:tcPr>
          <w:p w14:paraId="3DBE3908"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w:t>
            </w:r>
          </w:p>
        </w:tc>
        <w:tc>
          <w:tcPr>
            <w:tcW w:w="475" w:type="pct"/>
            <w:vMerge w:val="restart"/>
            <w:shd w:val="clear" w:color="auto" w:fill="auto"/>
            <w:noWrap/>
            <w:vAlign w:val="center"/>
            <w:hideMark/>
          </w:tcPr>
          <w:p w14:paraId="459EACFD"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8.08</w:t>
            </w:r>
          </w:p>
        </w:tc>
        <w:tc>
          <w:tcPr>
            <w:tcW w:w="476" w:type="pct"/>
            <w:vMerge w:val="restart"/>
            <w:tcBorders>
              <w:right w:val="single" w:sz="4" w:space="0" w:color="auto"/>
            </w:tcBorders>
            <w:shd w:val="clear" w:color="auto" w:fill="auto"/>
            <w:noWrap/>
            <w:vAlign w:val="center"/>
            <w:hideMark/>
          </w:tcPr>
          <w:p w14:paraId="735F51E1"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44.50</w:t>
            </w:r>
          </w:p>
        </w:tc>
        <w:tc>
          <w:tcPr>
            <w:tcW w:w="415" w:type="pct"/>
            <w:tcBorders>
              <w:left w:val="single" w:sz="4" w:space="0" w:color="auto"/>
            </w:tcBorders>
            <w:shd w:val="clear" w:color="auto" w:fill="auto"/>
            <w:noWrap/>
            <w:vAlign w:val="center"/>
            <w:hideMark/>
          </w:tcPr>
          <w:p w14:paraId="2AD51B2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15%</w:t>
            </w:r>
          </w:p>
        </w:tc>
        <w:tc>
          <w:tcPr>
            <w:tcW w:w="597" w:type="pct"/>
            <w:vMerge w:val="restart"/>
            <w:tcBorders>
              <w:right w:val="single" w:sz="4" w:space="0" w:color="auto"/>
            </w:tcBorders>
            <w:shd w:val="clear" w:color="auto" w:fill="auto"/>
            <w:noWrap/>
            <w:vAlign w:val="center"/>
            <w:hideMark/>
          </w:tcPr>
          <w:p w14:paraId="4C7E742A"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27.08%</w:t>
            </w:r>
          </w:p>
        </w:tc>
        <w:tc>
          <w:tcPr>
            <w:tcW w:w="415" w:type="pct"/>
            <w:tcBorders>
              <w:left w:val="single" w:sz="4" w:space="0" w:color="auto"/>
            </w:tcBorders>
            <w:shd w:val="clear" w:color="auto" w:fill="auto"/>
            <w:noWrap/>
            <w:vAlign w:val="bottom"/>
            <w:hideMark/>
          </w:tcPr>
          <w:p w14:paraId="2A3B4B6C"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12%</w:t>
            </w:r>
          </w:p>
        </w:tc>
        <w:tc>
          <w:tcPr>
            <w:tcW w:w="594" w:type="pct"/>
            <w:vMerge w:val="restart"/>
            <w:shd w:val="clear" w:color="auto" w:fill="auto"/>
            <w:noWrap/>
            <w:vAlign w:val="center"/>
            <w:hideMark/>
          </w:tcPr>
          <w:p w14:paraId="3FC931BF"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22.94%</w:t>
            </w:r>
          </w:p>
        </w:tc>
      </w:tr>
      <w:tr w:rsidR="006E0B94" w:rsidRPr="0057566D" w14:paraId="7521266B" w14:textId="77777777" w:rsidTr="00336CF6">
        <w:trPr>
          <w:trHeight w:val="113"/>
        </w:trPr>
        <w:tc>
          <w:tcPr>
            <w:tcW w:w="219" w:type="pct"/>
            <w:vMerge/>
            <w:tcBorders>
              <w:top w:val="single" w:sz="4" w:space="0" w:color="auto"/>
              <w:bottom w:val="single" w:sz="4" w:space="0" w:color="auto"/>
            </w:tcBorders>
            <w:vAlign w:val="center"/>
            <w:hideMark/>
          </w:tcPr>
          <w:p w14:paraId="4C49E760" w14:textId="77777777" w:rsidR="006E0B94" w:rsidRPr="0057566D" w:rsidRDefault="006E0B94" w:rsidP="006E0B94">
            <w:pPr>
              <w:spacing w:after="0"/>
              <w:jc w:val="left"/>
              <w:rPr>
                <w:rFonts w:eastAsia="Times New Roman" w:cs="Times New Roman"/>
                <w:color w:val="000000"/>
                <w:sz w:val="20"/>
                <w:szCs w:val="20"/>
                <w:lang w:eastAsia="en-GB"/>
              </w:rPr>
            </w:pPr>
          </w:p>
        </w:tc>
        <w:tc>
          <w:tcPr>
            <w:tcW w:w="303" w:type="pct"/>
            <w:tcBorders>
              <w:top w:val="single" w:sz="4" w:space="0" w:color="auto"/>
              <w:bottom w:val="single" w:sz="4" w:space="0" w:color="auto"/>
            </w:tcBorders>
            <w:shd w:val="clear" w:color="auto" w:fill="auto"/>
            <w:noWrap/>
            <w:vAlign w:val="bottom"/>
            <w:hideMark/>
          </w:tcPr>
          <w:p w14:paraId="4A3E1F8C" w14:textId="0F84E3E8" w:rsidR="006E0B94" w:rsidRPr="0057566D" w:rsidRDefault="006E0B94" w:rsidP="006E0B94">
            <w:pPr>
              <w:spacing w:after="0"/>
              <w:jc w:val="left"/>
              <w:rPr>
                <w:rFonts w:eastAsia="Times New Roman" w:cs="Times New Roman"/>
                <w:color w:val="000000"/>
                <w:sz w:val="20"/>
                <w:szCs w:val="20"/>
                <w:lang w:eastAsia="en-GB"/>
              </w:rPr>
            </w:pPr>
            <w:r>
              <w:rPr>
                <w:rFonts w:eastAsia="Times New Roman" w:cs="Times New Roman"/>
                <w:color w:val="000000"/>
                <w:sz w:val="20"/>
                <w:szCs w:val="20"/>
                <w:lang w:eastAsia="en-GB"/>
              </w:rPr>
              <w:t>C2</w:t>
            </w:r>
          </w:p>
        </w:tc>
        <w:tc>
          <w:tcPr>
            <w:tcW w:w="261" w:type="pct"/>
            <w:shd w:val="clear" w:color="auto" w:fill="auto"/>
            <w:noWrap/>
            <w:vAlign w:val="center"/>
            <w:hideMark/>
          </w:tcPr>
          <w:p w14:paraId="4C4D174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w:t>
            </w:r>
          </w:p>
        </w:tc>
        <w:tc>
          <w:tcPr>
            <w:tcW w:w="474" w:type="pct"/>
            <w:vMerge/>
            <w:vAlign w:val="center"/>
            <w:hideMark/>
          </w:tcPr>
          <w:p w14:paraId="4481C07A" w14:textId="77777777" w:rsidR="006E0B94" w:rsidRPr="0057566D" w:rsidRDefault="006E0B94" w:rsidP="00336CF6">
            <w:pPr>
              <w:spacing w:after="0"/>
              <w:jc w:val="right"/>
              <w:rPr>
                <w:rFonts w:eastAsia="Times New Roman" w:cs="Times New Roman"/>
                <w:color w:val="000000"/>
                <w:sz w:val="20"/>
                <w:szCs w:val="20"/>
                <w:lang w:eastAsia="en-GB"/>
              </w:rPr>
            </w:pPr>
          </w:p>
        </w:tc>
        <w:tc>
          <w:tcPr>
            <w:tcW w:w="477" w:type="pct"/>
            <w:vMerge/>
            <w:tcBorders>
              <w:right w:val="single" w:sz="4" w:space="0" w:color="auto"/>
            </w:tcBorders>
            <w:vAlign w:val="center"/>
            <w:hideMark/>
          </w:tcPr>
          <w:p w14:paraId="40C1D413" w14:textId="77777777" w:rsidR="006E0B94" w:rsidRPr="0057566D" w:rsidRDefault="006E0B94" w:rsidP="00336CF6">
            <w:pPr>
              <w:spacing w:after="0"/>
              <w:jc w:val="right"/>
              <w:rPr>
                <w:rFonts w:eastAsia="Times New Roman" w:cs="Times New Roman"/>
                <w:color w:val="000000"/>
                <w:sz w:val="20"/>
                <w:szCs w:val="20"/>
                <w:lang w:eastAsia="en-GB"/>
              </w:rPr>
            </w:pPr>
          </w:p>
        </w:tc>
        <w:tc>
          <w:tcPr>
            <w:tcW w:w="294" w:type="pct"/>
            <w:tcBorders>
              <w:left w:val="single" w:sz="4" w:space="0" w:color="auto"/>
            </w:tcBorders>
            <w:shd w:val="clear" w:color="auto" w:fill="auto"/>
            <w:noWrap/>
            <w:vAlign w:val="center"/>
            <w:hideMark/>
          </w:tcPr>
          <w:p w14:paraId="66F1A8E1"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15</w:t>
            </w:r>
          </w:p>
        </w:tc>
        <w:tc>
          <w:tcPr>
            <w:tcW w:w="475" w:type="pct"/>
            <w:vMerge/>
            <w:vAlign w:val="center"/>
            <w:hideMark/>
          </w:tcPr>
          <w:p w14:paraId="5FE8A09E" w14:textId="77777777" w:rsidR="006E0B94" w:rsidRPr="0057566D" w:rsidRDefault="006E0B94" w:rsidP="00336CF6">
            <w:pPr>
              <w:spacing w:after="0"/>
              <w:jc w:val="right"/>
              <w:rPr>
                <w:rFonts w:eastAsia="Times New Roman" w:cs="Times New Roman"/>
                <w:color w:val="000000"/>
                <w:sz w:val="20"/>
                <w:szCs w:val="20"/>
                <w:lang w:eastAsia="en-GB"/>
              </w:rPr>
            </w:pPr>
          </w:p>
        </w:tc>
        <w:tc>
          <w:tcPr>
            <w:tcW w:w="476" w:type="pct"/>
            <w:vMerge/>
            <w:tcBorders>
              <w:right w:val="single" w:sz="4" w:space="0" w:color="auto"/>
            </w:tcBorders>
            <w:vAlign w:val="center"/>
            <w:hideMark/>
          </w:tcPr>
          <w:p w14:paraId="7A66C847" w14:textId="77777777" w:rsidR="006E0B94" w:rsidRPr="0057566D" w:rsidRDefault="006E0B94" w:rsidP="00336CF6">
            <w:pPr>
              <w:spacing w:after="0"/>
              <w:jc w:val="right"/>
              <w:rPr>
                <w:rFonts w:eastAsia="Times New Roman" w:cs="Times New Roman"/>
                <w:color w:val="000000"/>
                <w:sz w:val="20"/>
                <w:szCs w:val="20"/>
                <w:lang w:eastAsia="en-GB"/>
              </w:rPr>
            </w:pPr>
          </w:p>
        </w:tc>
        <w:tc>
          <w:tcPr>
            <w:tcW w:w="415" w:type="pct"/>
            <w:tcBorders>
              <w:left w:val="single" w:sz="4" w:space="0" w:color="auto"/>
            </w:tcBorders>
            <w:shd w:val="clear" w:color="auto" w:fill="auto"/>
            <w:noWrap/>
            <w:vAlign w:val="center"/>
            <w:hideMark/>
          </w:tcPr>
          <w:p w14:paraId="541E47CC"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19%</w:t>
            </w:r>
          </w:p>
        </w:tc>
        <w:tc>
          <w:tcPr>
            <w:tcW w:w="597" w:type="pct"/>
            <w:vMerge/>
            <w:tcBorders>
              <w:right w:val="single" w:sz="4" w:space="0" w:color="auto"/>
            </w:tcBorders>
            <w:vAlign w:val="center"/>
            <w:hideMark/>
          </w:tcPr>
          <w:p w14:paraId="28B54EA1" w14:textId="77777777" w:rsidR="006E0B94" w:rsidRPr="0057566D" w:rsidRDefault="006E0B94" w:rsidP="00336CF6">
            <w:pPr>
              <w:spacing w:after="0"/>
              <w:jc w:val="right"/>
              <w:rPr>
                <w:rFonts w:eastAsia="Times New Roman" w:cs="Times New Roman"/>
                <w:color w:val="000000"/>
                <w:sz w:val="20"/>
                <w:szCs w:val="20"/>
                <w:lang w:eastAsia="en-GB"/>
              </w:rPr>
            </w:pPr>
          </w:p>
        </w:tc>
        <w:tc>
          <w:tcPr>
            <w:tcW w:w="415" w:type="pct"/>
            <w:tcBorders>
              <w:left w:val="single" w:sz="4" w:space="0" w:color="auto"/>
            </w:tcBorders>
            <w:shd w:val="clear" w:color="auto" w:fill="auto"/>
            <w:noWrap/>
            <w:vAlign w:val="bottom"/>
            <w:hideMark/>
          </w:tcPr>
          <w:p w14:paraId="4E963115"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45%</w:t>
            </w:r>
          </w:p>
        </w:tc>
        <w:tc>
          <w:tcPr>
            <w:tcW w:w="594" w:type="pct"/>
            <w:vMerge/>
            <w:vAlign w:val="center"/>
            <w:hideMark/>
          </w:tcPr>
          <w:p w14:paraId="72E5CE1D" w14:textId="77777777" w:rsidR="006E0B94" w:rsidRPr="0057566D" w:rsidRDefault="006E0B94" w:rsidP="00336CF6">
            <w:pPr>
              <w:spacing w:after="0"/>
              <w:jc w:val="right"/>
              <w:rPr>
                <w:rFonts w:eastAsia="Times New Roman" w:cs="Times New Roman"/>
                <w:color w:val="000000"/>
                <w:sz w:val="20"/>
                <w:szCs w:val="20"/>
                <w:lang w:eastAsia="en-GB"/>
              </w:rPr>
            </w:pPr>
          </w:p>
        </w:tc>
      </w:tr>
      <w:tr w:rsidR="006E0B94" w:rsidRPr="0057566D" w14:paraId="0FB5848E" w14:textId="77777777" w:rsidTr="00336CF6">
        <w:trPr>
          <w:trHeight w:val="113"/>
        </w:trPr>
        <w:tc>
          <w:tcPr>
            <w:tcW w:w="219" w:type="pct"/>
            <w:vMerge w:val="restart"/>
            <w:tcBorders>
              <w:top w:val="single" w:sz="4" w:space="0" w:color="auto"/>
              <w:bottom w:val="single" w:sz="4" w:space="0" w:color="auto"/>
            </w:tcBorders>
            <w:shd w:val="clear" w:color="auto" w:fill="auto"/>
            <w:noWrap/>
            <w:vAlign w:val="center"/>
            <w:hideMark/>
          </w:tcPr>
          <w:p w14:paraId="13CBC8B1" w14:textId="2F19B5AF"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D</w:t>
            </w:r>
          </w:p>
        </w:tc>
        <w:tc>
          <w:tcPr>
            <w:tcW w:w="303" w:type="pct"/>
            <w:tcBorders>
              <w:top w:val="single" w:sz="4" w:space="0" w:color="auto"/>
              <w:bottom w:val="single" w:sz="4" w:space="0" w:color="auto"/>
            </w:tcBorders>
            <w:shd w:val="clear" w:color="auto" w:fill="auto"/>
            <w:noWrap/>
            <w:vAlign w:val="bottom"/>
            <w:hideMark/>
          </w:tcPr>
          <w:p w14:paraId="0BDEDE7C" w14:textId="76A77730" w:rsidR="006E0B94" w:rsidRPr="0057566D" w:rsidRDefault="006E0B94" w:rsidP="006E0B94">
            <w:pPr>
              <w:spacing w:after="0"/>
              <w:jc w:val="left"/>
              <w:rPr>
                <w:rFonts w:eastAsia="Times New Roman" w:cs="Times New Roman"/>
                <w:color w:val="000000"/>
                <w:sz w:val="20"/>
                <w:szCs w:val="20"/>
                <w:lang w:eastAsia="en-GB"/>
              </w:rPr>
            </w:pPr>
            <w:r>
              <w:rPr>
                <w:rFonts w:eastAsia="Times New Roman" w:cs="Times New Roman"/>
                <w:color w:val="000000"/>
                <w:sz w:val="20"/>
                <w:szCs w:val="20"/>
                <w:lang w:eastAsia="en-GB"/>
              </w:rPr>
              <w:t>D1</w:t>
            </w:r>
          </w:p>
        </w:tc>
        <w:tc>
          <w:tcPr>
            <w:tcW w:w="261" w:type="pct"/>
            <w:vMerge w:val="restart"/>
            <w:shd w:val="clear" w:color="auto" w:fill="auto"/>
            <w:noWrap/>
            <w:vAlign w:val="center"/>
            <w:hideMark/>
          </w:tcPr>
          <w:p w14:paraId="0009E6A9"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50</w:t>
            </w:r>
          </w:p>
        </w:tc>
        <w:tc>
          <w:tcPr>
            <w:tcW w:w="474" w:type="pct"/>
            <w:shd w:val="clear" w:color="auto" w:fill="auto"/>
            <w:noWrap/>
            <w:vAlign w:val="center"/>
            <w:hideMark/>
          </w:tcPr>
          <w:p w14:paraId="16E289EF"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1.88</w:t>
            </w:r>
          </w:p>
        </w:tc>
        <w:tc>
          <w:tcPr>
            <w:tcW w:w="477" w:type="pct"/>
            <w:tcBorders>
              <w:right w:val="single" w:sz="4" w:space="0" w:color="auto"/>
            </w:tcBorders>
            <w:shd w:val="clear" w:color="auto" w:fill="auto"/>
            <w:noWrap/>
            <w:vAlign w:val="center"/>
            <w:hideMark/>
          </w:tcPr>
          <w:p w14:paraId="0BD2539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188.88</w:t>
            </w:r>
          </w:p>
        </w:tc>
        <w:tc>
          <w:tcPr>
            <w:tcW w:w="294" w:type="pct"/>
            <w:vMerge w:val="restart"/>
            <w:tcBorders>
              <w:left w:val="single" w:sz="4" w:space="0" w:color="auto"/>
            </w:tcBorders>
            <w:shd w:val="clear" w:color="auto" w:fill="auto"/>
            <w:noWrap/>
            <w:vAlign w:val="center"/>
            <w:hideMark/>
          </w:tcPr>
          <w:p w14:paraId="1EDCBC96"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101</w:t>
            </w:r>
          </w:p>
        </w:tc>
        <w:tc>
          <w:tcPr>
            <w:tcW w:w="475" w:type="pct"/>
            <w:shd w:val="clear" w:color="auto" w:fill="auto"/>
            <w:noWrap/>
            <w:vAlign w:val="center"/>
            <w:hideMark/>
          </w:tcPr>
          <w:p w14:paraId="153B7EC9"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25.72</w:t>
            </w:r>
          </w:p>
        </w:tc>
        <w:tc>
          <w:tcPr>
            <w:tcW w:w="476" w:type="pct"/>
            <w:tcBorders>
              <w:right w:val="single" w:sz="4" w:space="0" w:color="auto"/>
            </w:tcBorders>
            <w:shd w:val="clear" w:color="auto" w:fill="auto"/>
            <w:noWrap/>
            <w:vAlign w:val="bottom"/>
            <w:hideMark/>
          </w:tcPr>
          <w:p w14:paraId="267BA071"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73.53</w:t>
            </w:r>
          </w:p>
        </w:tc>
        <w:tc>
          <w:tcPr>
            <w:tcW w:w="415" w:type="pct"/>
            <w:vMerge w:val="restart"/>
            <w:tcBorders>
              <w:left w:val="single" w:sz="4" w:space="0" w:color="auto"/>
            </w:tcBorders>
            <w:shd w:val="clear" w:color="auto" w:fill="auto"/>
            <w:noWrap/>
            <w:vAlign w:val="center"/>
            <w:hideMark/>
          </w:tcPr>
          <w:p w14:paraId="6FC6C419"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7%</w:t>
            </w:r>
          </w:p>
        </w:tc>
        <w:tc>
          <w:tcPr>
            <w:tcW w:w="597" w:type="pct"/>
            <w:tcBorders>
              <w:right w:val="single" w:sz="4" w:space="0" w:color="auto"/>
            </w:tcBorders>
            <w:shd w:val="clear" w:color="auto" w:fill="auto"/>
            <w:noWrap/>
            <w:vAlign w:val="bottom"/>
            <w:hideMark/>
          </w:tcPr>
          <w:p w14:paraId="375DE40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4.17%</w:t>
            </w:r>
          </w:p>
        </w:tc>
        <w:tc>
          <w:tcPr>
            <w:tcW w:w="415" w:type="pct"/>
            <w:vMerge w:val="restart"/>
            <w:tcBorders>
              <w:left w:val="single" w:sz="4" w:space="0" w:color="auto"/>
            </w:tcBorders>
            <w:shd w:val="clear" w:color="auto" w:fill="auto"/>
            <w:noWrap/>
            <w:vAlign w:val="center"/>
            <w:hideMark/>
          </w:tcPr>
          <w:p w14:paraId="2800A3A7"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17%</w:t>
            </w:r>
          </w:p>
        </w:tc>
        <w:tc>
          <w:tcPr>
            <w:tcW w:w="594" w:type="pct"/>
            <w:shd w:val="clear" w:color="auto" w:fill="auto"/>
            <w:noWrap/>
            <w:vAlign w:val="bottom"/>
            <w:hideMark/>
          </w:tcPr>
          <w:p w14:paraId="3B92F45E"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10.02%</w:t>
            </w:r>
          </w:p>
        </w:tc>
      </w:tr>
      <w:tr w:rsidR="006E0B94" w:rsidRPr="0057566D" w14:paraId="57E02583" w14:textId="77777777" w:rsidTr="00336CF6">
        <w:trPr>
          <w:trHeight w:val="113"/>
        </w:trPr>
        <w:tc>
          <w:tcPr>
            <w:tcW w:w="219" w:type="pct"/>
            <w:vMerge/>
            <w:tcBorders>
              <w:top w:val="nil"/>
              <w:bottom w:val="single" w:sz="4" w:space="0" w:color="auto"/>
            </w:tcBorders>
            <w:vAlign w:val="center"/>
            <w:hideMark/>
          </w:tcPr>
          <w:p w14:paraId="41AAFD39" w14:textId="77777777" w:rsidR="006E0B94" w:rsidRPr="0057566D" w:rsidRDefault="006E0B94" w:rsidP="006E0B94">
            <w:pPr>
              <w:spacing w:after="0"/>
              <w:jc w:val="left"/>
              <w:rPr>
                <w:rFonts w:eastAsia="Times New Roman" w:cs="Times New Roman"/>
                <w:color w:val="000000"/>
                <w:sz w:val="20"/>
                <w:szCs w:val="20"/>
                <w:lang w:eastAsia="en-GB"/>
              </w:rPr>
            </w:pPr>
          </w:p>
        </w:tc>
        <w:tc>
          <w:tcPr>
            <w:tcW w:w="303" w:type="pct"/>
            <w:tcBorders>
              <w:top w:val="single" w:sz="4" w:space="0" w:color="auto"/>
              <w:bottom w:val="single" w:sz="4" w:space="0" w:color="auto"/>
            </w:tcBorders>
            <w:shd w:val="clear" w:color="auto" w:fill="auto"/>
            <w:noWrap/>
            <w:vAlign w:val="bottom"/>
            <w:hideMark/>
          </w:tcPr>
          <w:p w14:paraId="57C1520A" w14:textId="402320F7" w:rsidR="006E0B94" w:rsidRPr="0057566D" w:rsidRDefault="006E0B94" w:rsidP="006E0B94">
            <w:pPr>
              <w:spacing w:after="0"/>
              <w:jc w:val="left"/>
              <w:rPr>
                <w:rFonts w:eastAsia="Times New Roman" w:cs="Times New Roman"/>
                <w:color w:val="000000"/>
                <w:sz w:val="20"/>
                <w:szCs w:val="20"/>
                <w:lang w:eastAsia="en-GB"/>
              </w:rPr>
            </w:pPr>
            <w:r>
              <w:rPr>
                <w:rFonts w:eastAsia="Times New Roman" w:cs="Times New Roman"/>
                <w:color w:val="000000"/>
                <w:sz w:val="20"/>
                <w:szCs w:val="20"/>
                <w:lang w:eastAsia="en-GB"/>
              </w:rPr>
              <w:t>D2</w:t>
            </w:r>
          </w:p>
        </w:tc>
        <w:tc>
          <w:tcPr>
            <w:tcW w:w="261" w:type="pct"/>
            <w:vMerge/>
            <w:vAlign w:val="center"/>
            <w:hideMark/>
          </w:tcPr>
          <w:p w14:paraId="2E753DC6" w14:textId="77777777" w:rsidR="006E0B94" w:rsidRPr="0057566D" w:rsidRDefault="006E0B94" w:rsidP="00336CF6">
            <w:pPr>
              <w:spacing w:after="0"/>
              <w:jc w:val="right"/>
              <w:rPr>
                <w:rFonts w:eastAsia="Times New Roman" w:cs="Times New Roman"/>
                <w:color w:val="000000"/>
                <w:sz w:val="20"/>
                <w:szCs w:val="20"/>
                <w:lang w:eastAsia="en-GB"/>
              </w:rPr>
            </w:pPr>
          </w:p>
        </w:tc>
        <w:tc>
          <w:tcPr>
            <w:tcW w:w="474" w:type="pct"/>
            <w:shd w:val="clear" w:color="auto" w:fill="auto"/>
            <w:noWrap/>
            <w:vAlign w:val="center"/>
            <w:hideMark/>
          </w:tcPr>
          <w:p w14:paraId="62CF9D3C"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12.13</w:t>
            </w:r>
          </w:p>
        </w:tc>
        <w:tc>
          <w:tcPr>
            <w:tcW w:w="477" w:type="pct"/>
            <w:tcBorders>
              <w:right w:val="single" w:sz="4" w:space="0" w:color="auto"/>
            </w:tcBorders>
            <w:shd w:val="clear" w:color="auto" w:fill="auto"/>
            <w:noWrap/>
            <w:vAlign w:val="center"/>
            <w:hideMark/>
          </w:tcPr>
          <w:p w14:paraId="51CFEB8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388.00</w:t>
            </w:r>
          </w:p>
        </w:tc>
        <w:tc>
          <w:tcPr>
            <w:tcW w:w="294" w:type="pct"/>
            <w:vMerge/>
            <w:tcBorders>
              <w:left w:val="single" w:sz="4" w:space="0" w:color="auto"/>
            </w:tcBorders>
            <w:vAlign w:val="center"/>
            <w:hideMark/>
          </w:tcPr>
          <w:p w14:paraId="308A6C23" w14:textId="77777777" w:rsidR="006E0B94" w:rsidRPr="0057566D" w:rsidRDefault="006E0B94" w:rsidP="00336CF6">
            <w:pPr>
              <w:spacing w:after="0"/>
              <w:jc w:val="right"/>
              <w:rPr>
                <w:rFonts w:eastAsia="Times New Roman" w:cs="Times New Roman"/>
                <w:color w:val="000000"/>
                <w:sz w:val="20"/>
                <w:szCs w:val="20"/>
                <w:lang w:eastAsia="en-GB"/>
              </w:rPr>
            </w:pPr>
          </w:p>
        </w:tc>
        <w:tc>
          <w:tcPr>
            <w:tcW w:w="475" w:type="pct"/>
            <w:shd w:val="clear" w:color="auto" w:fill="auto"/>
            <w:noWrap/>
            <w:vAlign w:val="center"/>
            <w:hideMark/>
          </w:tcPr>
          <w:p w14:paraId="49633E0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52.24</w:t>
            </w:r>
          </w:p>
        </w:tc>
        <w:tc>
          <w:tcPr>
            <w:tcW w:w="476" w:type="pct"/>
            <w:tcBorders>
              <w:right w:val="single" w:sz="4" w:space="0" w:color="auto"/>
            </w:tcBorders>
            <w:shd w:val="clear" w:color="auto" w:fill="auto"/>
            <w:noWrap/>
            <w:vAlign w:val="bottom"/>
            <w:hideMark/>
          </w:tcPr>
          <w:p w14:paraId="7F4E642E"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121.93</w:t>
            </w:r>
          </w:p>
        </w:tc>
        <w:tc>
          <w:tcPr>
            <w:tcW w:w="415" w:type="pct"/>
            <w:vMerge/>
            <w:tcBorders>
              <w:left w:val="single" w:sz="4" w:space="0" w:color="auto"/>
            </w:tcBorders>
            <w:vAlign w:val="center"/>
            <w:hideMark/>
          </w:tcPr>
          <w:p w14:paraId="7D664546" w14:textId="77777777" w:rsidR="006E0B94" w:rsidRPr="0057566D" w:rsidRDefault="006E0B94" w:rsidP="00336CF6">
            <w:pPr>
              <w:spacing w:after="0"/>
              <w:jc w:val="right"/>
              <w:rPr>
                <w:rFonts w:eastAsia="Times New Roman" w:cs="Times New Roman"/>
                <w:color w:val="000000"/>
                <w:sz w:val="20"/>
                <w:szCs w:val="20"/>
                <w:lang w:eastAsia="en-GB"/>
              </w:rPr>
            </w:pPr>
          </w:p>
        </w:tc>
        <w:tc>
          <w:tcPr>
            <w:tcW w:w="597" w:type="pct"/>
            <w:tcBorders>
              <w:right w:val="single" w:sz="4" w:space="0" w:color="auto"/>
            </w:tcBorders>
            <w:shd w:val="clear" w:color="auto" w:fill="auto"/>
            <w:noWrap/>
            <w:vAlign w:val="bottom"/>
            <w:hideMark/>
          </w:tcPr>
          <w:p w14:paraId="577C8557"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4.17%</w:t>
            </w:r>
          </w:p>
        </w:tc>
        <w:tc>
          <w:tcPr>
            <w:tcW w:w="415" w:type="pct"/>
            <w:vMerge/>
            <w:tcBorders>
              <w:left w:val="single" w:sz="4" w:space="0" w:color="auto"/>
            </w:tcBorders>
            <w:vAlign w:val="center"/>
            <w:hideMark/>
          </w:tcPr>
          <w:p w14:paraId="5F143EA2" w14:textId="77777777" w:rsidR="006E0B94" w:rsidRPr="0057566D" w:rsidRDefault="006E0B94" w:rsidP="00336CF6">
            <w:pPr>
              <w:spacing w:after="0"/>
              <w:jc w:val="right"/>
              <w:rPr>
                <w:rFonts w:eastAsia="Times New Roman" w:cs="Times New Roman"/>
                <w:color w:val="000000"/>
                <w:sz w:val="20"/>
                <w:szCs w:val="20"/>
                <w:lang w:eastAsia="en-GB"/>
              </w:rPr>
            </w:pPr>
          </w:p>
        </w:tc>
        <w:tc>
          <w:tcPr>
            <w:tcW w:w="594" w:type="pct"/>
            <w:shd w:val="clear" w:color="auto" w:fill="auto"/>
            <w:noWrap/>
            <w:vAlign w:val="bottom"/>
            <w:hideMark/>
          </w:tcPr>
          <w:p w14:paraId="26B3B98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4.10%</w:t>
            </w:r>
          </w:p>
        </w:tc>
      </w:tr>
      <w:tr w:rsidR="006E0B94" w:rsidRPr="0057566D" w14:paraId="1555F101" w14:textId="77777777" w:rsidTr="00336CF6">
        <w:trPr>
          <w:trHeight w:val="113"/>
        </w:trPr>
        <w:tc>
          <w:tcPr>
            <w:tcW w:w="219" w:type="pct"/>
            <w:vMerge/>
            <w:tcBorders>
              <w:top w:val="nil"/>
              <w:bottom w:val="single" w:sz="4" w:space="0" w:color="auto"/>
            </w:tcBorders>
            <w:vAlign w:val="center"/>
            <w:hideMark/>
          </w:tcPr>
          <w:p w14:paraId="4D0BED67" w14:textId="77777777" w:rsidR="006E0B94" w:rsidRPr="0057566D" w:rsidRDefault="006E0B94" w:rsidP="006E0B94">
            <w:pPr>
              <w:spacing w:after="0"/>
              <w:jc w:val="left"/>
              <w:rPr>
                <w:rFonts w:eastAsia="Times New Roman" w:cs="Times New Roman"/>
                <w:color w:val="000000"/>
                <w:sz w:val="20"/>
                <w:szCs w:val="20"/>
                <w:lang w:eastAsia="en-GB"/>
              </w:rPr>
            </w:pPr>
          </w:p>
        </w:tc>
        <w:tc>
          <w:tcPr>
            <w:tcW w:w="303" w:type="pct"/>
            <w:tcBorders>
              <w:top w:val="single" w:sz="4" w:space="0" w:color="auto"/>
              <w:bottom w:val="single" w:sz="4" w:space="0" w:color="auto"/>
            </w:tcBorders>
            <w:shd w:val="clear" w:color="auto" w:fill="auto"/>
            <w:noWrap/>
            <w:vAlign w:val="bottom"/>
            <w:hideMark/>
          </w:tcPr>
          <w:p w14:paraId="5D9F67F3" w14:textId="49002BE0" w:rsidR="006E0B94" w:rsidRPr="0057566D" w:rsidRDefault="006E0B94" w:rsidP="006E0B94">
            <w:pPr>
              <w:spacing w:after="0"/>
              <w:jc w:val="left"/>
              <w:rPr>
                <w:rFonts w:eastAsia="Times New Roman" w:cs="Times New Roman"/>
                <w:color w:val="000000"/>
                <w:sz w:val="20"/>
                <w:szCs w:val="20"/>
                <w:lang w:eastAsia="en-GB"/>
              </w:rPr>
            </w:pPr>
            <w:r>
              <w:rPr>
                <w:rFonts w:eastAsia="Times New Roman" w:cs="Times New Roman"/>
                <w:color w:val="000000"/>
                <w:sz w:val="20"/>
                <w:szCs w:val="20"/>
                <w:lang w:eastAsia="en-GB"/>
              </w:rPr>
              <w:t>D3</w:t>
            </w:r>
          </w:p>
        </w:tc>
        <w:tc>
          <w:tcPr>
            <w:tcW w:w="261" w:type="pct"/>
            <w:vMerge/>
            <w:vAlign w:val="center"/>
            <w:hideMark/>
          </w:tcPr>
          <w:p w14:paraId="4763C5D2" w14:textId="77777777" w:rsidR="006E0B94" w:rsidRPr="0057566D" w:rsidRDefault="006E0B94" w:rsidP="00336CF6">
            <w:pPr>
              <w:spacing w:after="0"/>
              <w:jc w:val="right"/>
              <w:rPr>
                <w:rFonts w:eastAsia="Times New Roman" w:cs="Times New Roman"/>
                <w:color w:val="000000"/>
                <w:sz w:val="20"/>
                <w:szCs w:val="20"/>
                <w:lang w:eastAsia="en-GB"/>
              </w:rPr>
            </w:pPr>
          </w:p>
        </w:tc>
        <w:tc>
          <w:tcPr>
            <w:tcW w:w="474" w:type="pct"/>
            <w:shd w:val="clear" w:color="auto" w:fill="auto"/>
            <w:noWrap/>
            <w:vAlign w:val="center"/>
            <w:hideMark/>
          </w:tcPr>
          <w:p w14:paraId="59A8DC6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255.50</w:t>
            </w:r>
          </w:p>
        </w:tc>
        <w:tc>
          <w:tcPr>
            <w:tcW w:w="477" w:type="pct"/>
            <w:tcBorders>
              <w:right w:val="single" w:sz="4" w:space="0" w:color="auto"/>
            </w:tcBorders>
            <w:shd w:val="clear" w:color="auto" w:fill="auto"/>
            <w:noWrap/>
            <w:vAlign w:val="center"/>
            <w:hideMark/>
          </w:tcPr>
          <w:p w14:paraId="3E1B864D"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255.50</w:t>
            </w:r>
          </w:p>
        </w:tc>
        <w:tc>
          <w:tcPr>
            <w:tcW w:w="294" w:type="pct"/>
            <w:vMerge/>
            <w:tcBorders>
              <w:left w:val="single" w:sz="4" w:space="0" w:color="auto"/>
            </w:tcBorders>
            <w:vAlign w:val="center"/>
            <w:hideMark/>
          </w:tcPr>
          <w:p w14:paraId="40FC04A0" w14:textId="77777777" w:rsidR="006E0B94" w:rsidRPr="0057566D" w:rsidRDefault="006E0B94" w:rsidP="00336CF6">
            <w:pPr>
              <w:spacing w:after="0"/>
              <w:jc w:val="right"/>
              <w:rPr>
                <w:rFonts w:eastAsia="Times New Roman" w:cs="Times New Roman"/>
                <w:color w:val="000000"/>
                <w:sz w:val="20"/>
                <w:szCs w:val="20"/>
                <w:lang w:eastAsia="en-GB"/>
              </w:rPr>
            </w:pPr>
          </w:p>
        </w:tc>
        <w:tc>
          <w:tcPr>
            <w:tcW w:w="475" w:type="pct"/>
            <w:shd w:val="clear" w:color="auto" w:fill="auto"/>
            <w:noWrap/>
            <w:vAlign w:val="center"/>
            <w:hideMark/>
          </w:tcPr>
          <w:p w14:paraId="1F4A40FF"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181.01</w:t>
            </w:r>
          </w:p>
        </w:tc>
        <w:tc>
          <w:tcPr>
            <w:tcW w:w="476" w:type="pct"/>
            <w:tcBorders>
              <w:right w:val="single" w:sz="4" w:space="0" w:color="auto"/>
            </w:tcBorders>
            <w:shd w:val="clear" w:color="auto" w:fill="auto"/>
            <w:noWrap/>
            <w:vAlign w:val="bottom"/>
            <w:hideMark/>
          </w:tcPr>
          <w:p w14:paraId="7EAC4C6D"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237.27</w:t>
            </w:r>
          </w:p>
        </w:tc>
        <w:tc>
          <w:tcPr>
            <w:tcW w:w="415" w:type="pct"/>
            <w:vMerge/>
            <w:tcBorders>
              <w:left w:val="single" w:sz="4" w:space="0" w:color="auto"/>
            </w:tcBorders>
            <w:vAlign w:val="center"/>
            <w:hideMark/>
          </w:tcPr>
          <w:p w14:paraId="32FCF0FA" w14:textId="77777777" w:rsidR="006E0B94" w:rsidRPr="0057566D" w:rsidRDefault="006E0B94" w:rsidP="00336CF6">
            <w:pPr>
              <w:spacing w:after="0"/>
              <w:jc w:val="right"/>
              <w:rPr>
                <w:rFonts w:eastAsia="Times New Roman" w:cs="Times New Roman"/>
                <w:color w:val="000000"/>
                <w:sz w:val="20"/>
                <w:szCs w:val="20"/>
                <w:lang w:eastAsia="en-GB"/>
              </w:rPr>
            </w:pPr>
          </w:p>
        </w:tc>
        <w:tc>
          <w:tcPr>
            <w:tcW w:w="597" w:type="pct"/>
            <w:tcBorders>
              <w:right w:val="single" w:sz="4" w:space="0" w:color="auto"/>
            </w:tcBorders>
            <w:shd w:val="clear" w:color="auto" w:fill="auto"/>
            <w:noWrap/>
            <w:vAlign w:val="bottom"/>
            <w:hideMark/>
          </w:tcPr>
          <w:p w14:paraId="2CB5789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3.13%</w:t>
            </w:r>
          </w:p>
        </w:tc>
        <w:tc>
          <w:tcPr>
            <w:tcW w:w="415" w:type="pct"/>
            <w:vMerge/>
            <w:tcBorders>
              <w:left w:val="single" w:sz="4" w:space="0" w:color="auto"/>
            </w:tcBorders>
            <w:vAlign w:val="center"/>
            <w:hideMark/>
          </w:tcPr>
          <w:p w14:paraId="48DF3309" w14:textId="77777777" w:rsidR="006E0B94" w:rsidRPr="0057566D" w:rsidRDefault="006E0B94" w:rsidP="00336CF6">
            <w:pPr>
              <w:spacing w:after="0"/>
              <w:jc w:val="right"/>
              <w:rPr>
                <w:rFonts w:eastAsia="Times New Roman" w:cs="Times New Roman"/>
                <w:color w:val="000000"/>
                <w:sz w:val="20"/>
                <w:szCs w:val="20"/>
                <w:lang w:eastAsia="en-GB"/>
              </w:rPr>
            </w:pPr>
          </w:p>
        </w:tc>
        <w:tc>
          <w:tcPr>
            <w:tcW w:w="594" w:type="pct"/>
            <w:shd w:val="clear" w:color="auto" w:fill="auto"/>
            <w:noWrap/>
            <w:vAlign w:val="bottom"/>
            <w:hideMark/>
          </w:tcPr>
          <w:p w14:paraId="35B5AA6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3.57%</w:t>
            </w:r>
          </w:p>
        </w:tc>
      </w:tr>
      <w:tr w:rsidR="006E0B94" w:rsidRPr="0057566D" w14:paraId="760AA1B1" w14:textId="77777777" w:rsidTr="00336CF6">
        <w:trPr>
          <w:trHeight w:val="113"/>
        </w:trPr>
        <w:tc>
          <w:tcPr>
            <w:tcW w:w="219" w:type="pct"/>
            <w:vMerge/>
            <w:tcBorders>
              <w:top w:val="nil"/>
              <w:bottom w:val="single" w:sz="4" w:space="0" w:color="auto"/>
            </w:tcBorders>
            <w:vAlign w:val="center"/>
            <w:hideMark/>
          </w:tcPr>
          <w:p w14:paraId="1D0B7BD2" w14:textId="77777777" w:rsidR="006E0B94" w:rsidRPr="0057566D" w:rsidRDefault="006E0B94" w:rsidP="006E0B94">
            <w:pPr>
              <w:spacing w:after="0"/>
              <w:jc w:val="left"/>
              <w:rPr>
                <w:rFonts w:eastAsia="Times New Roman" w:cs="Times New Roman"/>
                <w:color w:val="000000"/>
                <w:sz w:val="20"/>
                <w:szCs w:val="20"/>
                <w:lang w:eastAsia="en-GB"/>
              </w:rPr>
            </w:pPr>
          </w:p>
        </w:tc>
        <w:tc>
          <w:tcPr>
            <w:tcW w:w="303" w:type="pct"/>
            <w:tcBorders>
              <w:top w:val="single" w:sz="4" w:space="0" w:color="auto"/>
              <w:bottom w:val="single" w:sz="4" w:space="0" w:color="auto"/>
            </w:tcBorders>
            <w:shd w:val="clear" w:color="auto" w:fill="auto"/>
            <w:noWrap/>
            <w:vAlign w:val="bottom"/>
            <w:hideMark/>
          </w:tcPr>
          <w:p w14:paraId="5C99F391" w14:textId="7EB48045" w:rsidR="006E0B94" w:rsidRPr="0057566D" w:rsidRDefault="006E0B94" w:rsidP="006E0B94">
            <w:pPr>
              <w:spacing w:after="0"/>
              <w:jc w:val="left"/>
              <w:rPr>
                <w:rFonts w:eastAsia="Times New Roman" w:cs="Times New Roman"/>
                <w:color w:val="000000"/>
                <w:sz w:val="20"/>
                <w:szCs w:val="20"/>
                <w:lang w:eastAsia="en-GB"/>
              </w:rPr>
            </w:pPr>
            <w:r>
              <w:rPr>
                <w:rFonts w:eastAsia="Times New Roman" w:cs="Times New Roman"/>
                <w:color w:val="000000"/>
                <w:sz w:val="20"/>
                <w:szCs w:val="20"/>
                <w:lang w:eastAsia="en-GB"/>
              </w:rPr>
              <w:t>D4</w:t>
            </w:r>
          </w:p>
        </w:tc>
        <w:tc>
          <w:tcPr>
            <w:tcW w:w="261" w:type="pct"/>
            <w:vMerge/>
            <w:vAlign w:val="center"/>
            <w:hideMark/>
          </w:tcPr>
          <w:p w14:paraId="1921D812" w14:textId="77777777" w:rsidR="006E0B94" w:rsidRPr="0057566D" w:rsidRDefault="006E0B94" w:rsidP="00336CF6">
            <w:pPr>
              <w:spacing w:after="0"/>
              <w:jc w:val="right"/>
              <w:rPr>
                <w:rFonts w:eastAsia="Times New Roman" w:cs="Times New Roman"/>
                <w:color w:val="000000"/>
                <w:sz w:val="20"/>
                <w:szCs w:val="20"/>
                <w:lang w:eastAsia="en-GB"/>
              </w:rPr>
            </w:pPr>
          </w:p>
        </w:tc>
        <w:tc>
          <w:tcPr>
            <w:tcW w:w="474" w:type="pct"/>
            <w:shd w:val="clear" w:color="auto" w:fill="auto"/>
            <w:noWrap/>
            <w:vAlign w:val="center"/>
            <w:hideMark/>
          </w:tcPr>
          <w:p w14:paraId="426AEE93"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41.75</w:t>
            </w:r>
          </w:p>
        </w:tc>
        <w:tc>
          <w:tcPr>
            <w:tcW w:w="477" w:type="pct"/>
            <w:tcBorders>
              <w:right w:val="single" w:sz="4" w:space="0" w:color="auto"/>
            </w:tcBorders>
            <w:shd w:val="clear" w:color="auto" w:fill="auto"/>
            <w:noWrap/>
            <w:vAlign w:val="center"/>
            <w:hideMark/>
          </w:tcPr>
          <w:p w14:paraId="1B4F548C"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93.00</w:t>
            </w:r>
          </w:p>
        </w:tc>
        <w:tc>
          <w:tcPr>
            <w:tcW w:w="294" w:type="pct"/>
            <w:vMerge/>
            <w:tcBorders>
              <w:left w:val="single" w:sz="4" w:space="0" w:color="auto"/>
            </w:tcBorders>
            <w:vAlign w:val="center"/>
            <w:hideMark/>
          </w:tcPr>
          <w:p w14:paraId="4D6B3BDA" w14:textId="77777777" w:rsidR="006E0B94" w:rsidRPr="0057566D" w:rsidRDefault="006E0B94" w:rsidP="00336CF6">
            <w:pPr>
              <w:spacing w:after="0"/>
              <w:jc w:val="right"/>
              <w:rPr>
                <w:rFonts w:eastAsia="Times New Roman" w:cs="Times New Roman"/>
                <w:color w:val="000000"/>
                <w:sz w:val="20"/>
                <w:szCs w:val="20"/>
                <w:lang w:eastAsia="en-GB"/>
              </w:rPr>
            </w:pPr>
          </w:p>
        </w:tc>
        <w:tc>
          <w:tcPr>
            <w:tcW w:w="475" w:type="pct"/>
            <w:shd w:val="clear" w:color="auto" w:fill="auto"/>
            <w:noWrap/>
            <w:vAlign w:val="center"/>
            <w:hideMark/>
          </w:tcPr>
          <w:p w14:paraId="25E3EE7E"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69.07</w:t>
            </w:r>
          </w:p>
        </w:tc>
        <w:tc>
          <w:tcPr>
            <w:tcW w:w="476" w:type="pct"/>
            <w:tcBorders>
              <w:right w:val="single" w:sz="4" w:space="0" w:color="auto"/>
            </w:tcBorders>
            <w:shd w:val="clear" w:color="auto" w:fill="auto"/>
            <w:noWrap/>
            <w:vAlign w:val="bottom"/>
            <w:hideMark/>
          </w:tcPr>
          <w:p w14:paraId="34411883"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114.97</w:t>
            </w:r>
          </w:p>
        </w:tc>
        <w:tc>
          <w:tcPr>
            <w:tcW w:w="415" w:type="pct"/>
            <w:vMerge/>
            <w:tcBorders>
              <w:left w:val="single" w:sz="4" w:space="0" w:color="auto"/>
            </w:tcBorders>
            <w:vAlign w:val="center"/>
            <w:hideMark/>
          </w:tcPr>
          <w:p w14:paraId="40563108" w14:textId="77777777" w:rsidR="006E0B94" w:rsidRPr="0057566D" w:rsidRDefault="006E0B94" w:rsidP="00336CF6">
            <w:pPr>
              <w:spacing w:after="0"/>
              <w:jc w:val="right"/>
              <w:rPr>
                <w:rFonts w:eastAsia="Times New Roman" w:cs="Times New Roman"/>
                <w:color w:val="000000"/>
                <w:sz w:val="20"/>
                <w:szCs w:val="20"/>
                <w:lang w:eastAsia="en-GB"/>
              </w:rPr>
            </w:pPr>
          </w:p>
        </w:tc>
        <w:tc>
          <w:tcPr>
            <w:tcW w:w="597" w:type="pct"/>
            <w:tcBorders>
              <w:right w:val="single" w:sz="4" w:space="0" w:color="auto"/>
            </w:tcBorders>
            <w:shd w:val="clear" w:color="auto" w:fill="auto"/>
            <w:noWrap/>
            <w:vAlign w:val="bottom"/>
            <w:hideMark/>
          </w:tcPr>
          <w:p w14:paraId="45A3D8C5"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2.08%</w:t>
            </w:r>
          </w:p>
        </w:tc>
        <w:tc>
          <w:tcPr>
            <w:tcW w:w="415" w:type="pct"/>
            <w:vMerge/>
            <w:tcBorders>
              <w:left w:val="single" w:sz="4" w:space="0" w:color="auto"/>
            </w:tcBorders>
            <w:vAlign w:val="center"/>
            <w:hideMark/>
          </w:tcPr>
          <w:p w14:paraId="39BFE7BE" w14:textId="77777777" w:rsidR="006E0B94" w:rsidRPr="0057566D" w:rsidRDefault="006E0B94" w:rsidP="00336CF6">
            <w:pPr>
              <w:spacing w:after="0"/>
              <w:jc w:val="right"/>
              <w:rPr>
                <w:rFonts w:eastAsia="Times New Roman" w:cs="Times New Roman"/>
                <w:color w:val="000000"/>
                <w:sz w:val="20"/>
                <w:szCs w:val="20"/>
                <w:lang w:eastAsia="en-GB"/>
              </w:rPr>
            </w:pPr>
          </w:p>
        </w:tc>
        <w:tc>
          <w:tcPr>
            <w:tcW w:w="594" w:type="pct"/>
            <w:shd w:val="clear" w:color="auto" w:fill="auto"/>
            <w:noWrap/>
            <w:vAlign w:val="bottom"/>
            <w:hideMark/>
          </w:tcPr>
          <w:p w14:paraId="122A2643"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3.81%</w:t>
            </w:r>
          </w:p>
        </w:tc>
      </w:tr>
      <w:tr w:rsidR="006E0B94" w:rsidRPr="0057566D" w14:paraId="3B22D05E" w14:textId="77777777" w:rsidTr="00336CF6">
        <w:trPr>
          <w:trHeight w:val="113"/>
        </w:trPr>
        <w:tc>
          <w:tcPr>
            <w:tcW w:w="522" w:type="pct"/>
            <w:gridSpan w:val="2"/>
            <w:tcBorders>
              <w:bottom w:val="single" w:sz="4" w:space="0" w:color="auto"/>
            </w:tcBorders>
            <w:shd w:val="clear" w:color="auto" w:fill="auto"/>
            <w:noWrap/>
            <w:vAlign w:val="bottom"/>
            <w:hideMark/>
          </w:tcPr>
          <w:p w14:paraId="10E9FCD6" w14:textId="529170A3" w:rsidR="006E0B94" w:rsidRPr="0057566D" w:rsidRDefault="006E0B94"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Average</w:t>
            </w:r>
          </w:p>
        </w:tc>
        <w:tc>
          <w:tcPr>
            <w:tcW w:w="261" w:type="pct"/>
            <w:tcBorders>
              <w:bottom w:val="single" w:sz="4" w:space="0" w:color="auto"/>
            </w:tcBorders>
            <w:shd w:val="clear" w:color="auto" w:fill="auto"/>
            <w:noWrap/>
            <w:vAlign w:val="bottom"/>
            <w:hideMark/>
          </w:tcPr>
          <w:p w14:paraId="7B956931"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5</w:t>
            </w:r>
          </w:p>
        </w:tc>
        <w:tc>
          <w:tcPr>
            <w:tcW w:w="474" w:type="pct"/>
            <w:tcBorders>
              <w:bottom w:val="single" w:sz="4" w:space="0" w:color="auto"/>
            </w:tcBorders>
            <w:shd w:val="clear" w:color="auto" w:fill="auto"/>
            <w:noWrap/>
            <w:vAlign w:val="bottom"/>
            <w:hideMark/>
          </w:tcPr>
          <w:p w14:paraId="2DF179A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13</w:t>
            </w:r>
          </w:p>
        </w:tc>
        <w:tc>
          <w:tcPr>
            <w:tcW w:w="477" w:type="pct"/>
            <w:tcBorders>
              <w:bottom w:val="single" w:sz="4" w:space="0" w:color="auto"/>
              <w:right w:val="single" w:sz="4" w:space="0" w:color="auto"/>
            </w:tcBorders>
            <w:shd w:val="clear" w:color="auto" w:fill="auto"/>
            <w:noWrap/>
            <w:vAlign w:val="bottom"/>
            <w:hideMark/>
          </w:tcPr>
          <w:p w14:paraId="23D40702"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77.19</w:t>
            </w:r>
          </w:p>
        </w:tc>
        <w:tc>
          <w:tcPr>
            <w:tcW w:w="294" w:type="pct"/>
            <w:tcBorders>
              <w:left w:val="single" w:sz="4" w:space="0" w:color="auto"/>
              <w:bottom w:val="single" w:sz="4" w:space="0" w:color="auto"/>
            </w:tcBorders>
            <w:shd w:val="clear" w:color="auto" w:fill="auto"/>
            <w:noWrap/>
            <w:vAlign w:val="bottom"/>
            <w:hideMark/>
          </w:tcPr>
          <w:p w14:paraId="181D9253"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24</w:t>
            </w:r>
          </w:p>
        </w:tc>
        <w:tc>
          <w:tcPr>
            <w:tcW w:w="475" w:type="pct"/>
            <w:tcBorders>
              <w:bottom w:val="single" w:sz="4" w:space="0" w:color="auto"/>
            </w:tcBorders>
            <w:shd w:val="clear" w:color="auto" w:fill="auto"/>
            <w:noWrap/>
            <w:vAlign w:val="bottom"/>
            <w:hideMark/>
          </w:tcPr>
          <w:p w14:paraId="41832F47"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17</w:t>
            </w:r>
          </w:p>
        </w:tc>
        <w:tc>
          <w:tcPr>
            <w:tcW w:w="476" w:type="pct"/>
            <w:tcBorders>
              <w:bottom w:val="single" w:sz="4" w:space="0" w:color="auto"/>
              <w:right w:val="single" w:sz="4" w:space="0" w:color="auto"/>
            </w:tcBorders>
            <w:shd w:val="clear" w:color="auto" w:fill="auto"/>
            <w:noWrap/>
            <w:vAlign w:val="bottom"/>
            <w:hideMark/>
          </w:tcPr>
          <w:p w14:paraId="60B98850" w14:textId="77777777" w:rsidR="006E0B94" w:rsidRPr="0057566D" w:rsidRDefault="006E0B94" w:rsidP="00336CF6">
            <w:pPr>
              <w:spacing w:after="0"/>
              <w:jc w:val="right"/>
              <w:rPr>
                <w:rFonts w:eastAsia="Times New Roman" w:cs="Times New Roman"/>
                <w:color w:val="000000"/>
                <w:sz w:val="20"/>
                <w:szCs w:val="20"/>
                <w:lang w:eastAsia="en-GB"/>
              </w:rPr>
            </w:pPr>
            <w:r w:rsidRPr="0057566D">
              <w:rPr>
                <w:rFonts w:eastAsia="Times New Roman" w:cs="Times New Roman"/>
                <w:color w:val="000000"/>
                <w:sz w:val="20"/>
                <w:szCs w:val="20"/>
                <w:lang w:eastAsia="en-GB"/>
              </w:rPr>
              <w:t>41.25</w:t>
            </w:r>
          </w:p>
        </w:tc>
        <w:tc>
          <w:tcPr>
            <w:tcW w:w="415" w:type="pct"/>
            <w:tcBorders>
              <w:left w:val="single" w:sz="4" w:space="0" w:color="auto"/>
              <w:bottom w:val="single" w:sz="4" w:space="0" w:color="auto"/>
            </w:tcBorders>
            <w:shd w:val="clear" w:color="auto" w:fill="auto"/>
            <w:noWrap/>
            <w:vAlign w:val="bottom"/>
          </w:tcPr>
          <w:p w14:paraId="48AF56E1" w14:textId="09D33640" w:rsidR="006E0B94" w:rsidRPr="0057566D" w:rsidRDefault="006E0B94" w:rsidP="00336CF6">
            <w:pPr>
              <w:spacing w:after="0"/>
              <w:jc w:val="right"/>
              <w:rPr>
                <w:rFonts w:eastAsia="Times New Roman" w:cs="Times New Roman"/>
                <w:color w:val="000000"/>
                <w:sz w:val="20"/>
                <w:szCs w:val="20"/>
                <w:lang w:eastAsia="en-GB"/>
              </w:rPr>
            </w:pPr>
          </w:p>
        </w:tc>
        <w:tc>
          <w:tcPr>
            <w:tcW w:w="597" w:type="pct"/>
            <w:tcBorders>
              <w:bottom w:val="single" w:sz="4" w:space="0" w:color="auto"/>
              <w:right w:val="single" w:sz="4" w:space="0" w:color="auto"/>
            </w:tcBorders>
            <w:shd w:val="clear" w:color="auto" w:fill="auto"/>
            <w:noWrap/>
            <w:vAlign w:val="bottom"/>
          </w:tcPr>
          <w:p w14:paraId="09A4CC36" w14:textId="1078EAC5" w:rsidR="006E0B94" w:rsidRPr="0057566D" w:rsidRDefault="006E0B94" w:rsidP="00336CF6">
            <w:pPr>
              <w:spacing w:after="0"/>
              <w:jc w:val="right"/>
              <w:rPr>
                <w:rFonts w:eastAsia="Times New Roman" w:cs="Times New Roman"/>
                <w:color w:val="000000"/>
                <w:sz w:val="20"/>
                <w:szCs w:val="20"/>
                <w:lang w:eastAsia="en-GB"/>
              </w:rPr>
            </w:pPr>
          </w:p>
        </w:tc>
        <w:tc>
          <w:tcPr>
            <w:tcW w:w="415" w:type="pct"/>
            <w:tcBorders>
              <w:left w:val="single" w:sz="4" w:space="0" w:color="auto"/>
              <w:bottom w:val="single" w:sz="4" w:space="0" w:color="auto"/>
            </w:tcBorders>
            <w:shd w:val="clear" w:color="auto" w:fill="auto"/>
            <w:noWrap/>
            <w:vAlign w:val="bottom"/>
          </w:tcPr>
          <w:p w14:paraId="123AD843" w14:textId="6D8B34E3" w:rsidR="006E0B94" w:rsidRPr="0057566D" w:rsidRDefault="006E0B94" w:rsidP="00336CF6">
            <w:pPr>
              <w:spacing w:after="0"/>
              <w:jc w:val="right"/>
              <w:rPr>
                <w:rFonts w:eastAsia="Times New Roman" w:cs="Times New Roman"/>
                <w:color w:val="000000"/>
                <w:sz w:val="20"/>
                <w:szCs w:val="20"/>
                <w:lang w:eastAsia="en-GB"/>
              </w:rPr>
            </w:pPr>
          </w:p>
        </w:tc>
        <w:tc>
          <w:tcPr>
            <w:tcW w:w="594" w:type="pct"/>
            <w:tcBorders>
              <w:bottom w:val="single" w:sz="4" w:space="0" w:color="auto"/>
            </w:tcBorders>
            <w:shd w:val="clear" w:color="auto" w:fill="auto"/>
            <w:noWrap/>
            <w:vAlign w:val="bottom"/>
          </w:tcPr>
          <w:p w14:paraId="76872EFE" w14:textId="16664C56" w:rsidR="006E0B94" w:rsidRPr="0057566D" w:rsidRDefault="006E0B94" w:rsidP="00336CF6">
            <w:pPr>
              <w:spacing w:after="0"/>
              <w:jc w:val="right"/>
              <w:rPr>
                <w:rFonts w:eastAsia="Times New Roman" w:cs="Times New Roman"/>
                <w:color w:val="000000"/>
                <w:sz w:val="20"/>
                <w:szCs w:val="20"/>
                <w:lang w:eastAsia="en-GB"/>
              </w:rPr>
            </w:pPr>
          </w:p>
        </w:tc>
      </w:tr>
      <w:tr w:rsidR="00EE2E2F" w:rsidRPr="0057566D" w14:paraId="2B0759E9" w14:textId="77777777" w:rsidTr="00336CF6">
        <w:trPr>
          <w:gridAfter w:val="4"/>
          <w:wAfter w:w="2021" w:type="pct"/>
          <w:trHeight w:val="113"/>
        </w:trPr>
        <w:tc>
          <w:tcPr>
            <w:tcW w:w="522" w:type="pct"/>
            <w:gridSpan w:val="2"/>
            <w:tcBorders>
              <w:top w:val="single" w:sz="4" w:space="0" w:color="auto"/>
              <w:bottom w:val="single" w:sz="4" w:space="0" w:color="auto"/>
            </w:tcBorders>
            <w:shd w:val="clear" w:color="auto" w:fill="auto"/>
            <w:noWrap/>
            <w:vAlign w:val="bottom"/>
          </w:tcPr>
          <w:p w14:paraId="3F328B61" w14:textId="4CF2BBD8" w:rsidR="00EE2E2F" w:rsidRDefault="00EE2E2F" w:rsidP="006E0B94">
            <w:pPr>
              <w:spacing w:after="0"/>
              <w:jc w:val="center"/>
              <w:rPr>
                <w:rFonts w:eastAsia="Times New Roman" w:cs="Times New Roman"/>
                <w:color w:val="000000"/>
                <w:sz w:val="20"/>
                <w:szCs w:val="20"/>
                <w:lang w:eastAsia="en-GB"/>
              </w:rPr>
            </w:pPr>
            <w:r>
              <w:rPr>
                <w:rFonts w:eastAsia="Times New Roman" w:cs="Times New Roman"/>
                <w:color w:val="000000"/>
                <w:sz w:val="20"/>
                <w:szCs w:val="20"/>
                <w:lang w:eastAsia="en-GB"/>
              </w:rPr>
              <w:t>Total fires</w:t>
            </w:r>
          </w:p>
        </w:tc>
        <w:tc>
          <w:tcPr>
            <w:tcW w:w="261" w:type="pct"/>
            <w:tcBorders>
              <w:top w:val="single" w:sz="4" w:space="0" w:color="auto"/>
              <w:bottom w:val="single" w:sz="4" w:space="0" w:color="auto"/>
            </w:tcBorders>
            <w:shd w:val="clear" w:color="auto" w:fill="auto"/>
            <w:noWrap/>
            <w:vAlign w:val="bottom"/>
          </w:tcPr>
          <w:p w14:paraId="1119D57E" w14:textId="77777777" w:rsidR="00EE2E2F" w:rsidRPr="0057566D" w:rsidRDefault="00EE2E2F" w:rsidP="00EE2E2F">
            <w:pPr>
              <w:spacing w:after="0"/>
              <w:jc w:val="right"/>
              <w:rPr>
                <w:rFonts w:eastAsia="Times New Roman" w:cs="Times New Roman"/>
                <w:color w:val="000000"/>
                <w:sz w:val="20"/>
                <w:szCs w:val="20"/>
                <w:lang w:eastAsia="en-GB"/>
              </w:rPr>
            </w:pPr>
          </w:p>
        </w:tc>
        <w:tc>
          <w:tcPr>
            <w:tcW w:w="474" w:type="pct"/>
            <w:tcBorders>
              <w:top w:val="single" w:sz="4" w:space="0" w:color="auto"/>
              <w:bottom w:val="single" w:sz="4" w:space="0" w:color="auto"/>
            </w:tcBorders>
            <w:shd w:val="clear" w:color="auto" w:fill="auto"/>
            <w:noWrap/>
            <w:vAlign w:val="bottom"/>
          </w:tcPr>
          <w:p w14:paraId="272000AB" w14:textId="0AE25209" w:rsidR="00EE2E2F" w:rsidRPr="0057566D" w:rsidRDefault="00EE2E2F" w:rsidP="00EE2E2F">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96</w:t>
            </w:r>
          </w:p>
        </w:tc>
        <w:tc>
          <w:tcPr>
            <w:tcW w:w="477" w:type="pct"/>
            <w:tcBorders>
              <w:top w:val="single" w:sz="4" w:space="0" w:color="auto"/>
              <w:bottom w:val="single" w:sz="4" w:space="0" w:color="auto"/>
              <w:right w:val="single" w:sz="4" w:space="0" w:color="auto"/>
            </w:tcBorders>
            <w:shd w:val="clear" w:color="auto" w:fill="auto"/>
            <w:noWrap/>
            <w:vAlign w:val="bottom"/>
          </w:tcPr>
          <w:p w14:paraId="11C654F3" w14:textId="76CCDDA2" w:rsidR="00EE2E2F" w:rsidRPr="0057566D" w:rsidRDefault="00EE2E2F" w:rsidP="00EE2E2F">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96</w:t>
            </w:r>
          </w:p>
        </w:tc>
        <w:tc>
          <w:tcPr>
            <w:tcW w:w="294" w:type="pct"/>
            <w:tcBorders>
              <w:top w:val="single" w:sz="4" w:space="0" w:color="auto"/>
              <w:left w:val="single" w:sz="4" w:space="0" w:color="auto"/>
              <w:bottom w:val="single" w:sz="4" w:space="0" w:color="auto"/>
            </w:tcBorders>
            <w:shd w:val="clear" w:color="auto" w:fill="auto"/>
            <w:noWrap/>
            <w:vAlign w:val="bottom"/>
          </w:tcPr>
          <w:p w14:paraId="00B5A3EE" w14:textId="77777777" w:rsidR="00EE2E2F" w:rsidRPr="0057566D" w:rsidRDefault="00EE2E2F" w:rsidP="00EE2E2F">
            <w:pPr>
              <w:spacing w:after="0"/>
              <w:jc w:val="right"/>
              <w:rPr>
                <w:rFonts w:eastAsia="Times New Roman" w:cs="Times New Roman"/>
                <w:color w:val="000000"/>
                <w:sz w:val="20"/>
                <w:szCs w:val="20"/>
                <w:lang w:eastAsia="en-GB"/>
              </w:rPr>
            </w:pPr>
          </w:p>
        </w:tc>
        <w:tc>
          <w:tcPr>
            <w:tcW w:w="475" w:type="pct"/>
            <w:tcBorders>
              <w:top w:val="single" w:sz="4" w:space="0" w:color="auto"/>
              <w:bottom w:val="single" w:sz="4" w:space="0" w:color="auto"/>
            </w:tcBorders>
            <w:shd w:val="clear" w:color="auto" w:fill="auto"/>
            <w:noWrap/>
            <w:vAlign w:val="bottom"/>
          </w:tcPr>
          <w:p w14:paraId="535E9709" w14:textId="09A5A6FC" w:rsidR="00EE2E2F" w:rsidRPr="0057566D" w:rsidRDefault="00EE2E2F" w:rsidP="00EE2E2F">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11429</w:t>
            </w:r>
          </w:p>
        </w:tc>
        <w:tc>
          <w:tcPr>
            <w:tcW w:w="476" w:type="pct"/>
            <w:tcBorders>
              <w:top w:val="single" w:sz="4" w:space="0" w:color="auto"/>
              <w:bottom w:val="single" w:sz="4" w:space="0" w:color="auto"/>
              <w:right w:val="nil"/>
            </w:tcBorders>
            <w:shd w:val="clear" w:color="auto" w:fill="auto"/>
            <w:noWrap/>
            <w:vAlign w:val="bottom"/>
          </w:tcPr>
          <w:p w14:paraId="6ED5093D" w14:textId="47561DD7" w:rsidR="00EE2E2F" w:rsidRPr="0057566D" w:rsidRDefault="00EE2E2F" w:rsidP="00EE2E2F">
            <w:pPr>
              <w:spacing w:after="0"/>
              <w:jc w:val="right"/>
              <w:rPr>
                <w:rFonts w:eastAsia="Times New Roman" w:cs="Times New Roman"/>
                <w:color w:val="000000"/>
                <w:sz w:val="20"/>
                <w:szCs w:val="20"/>
                <w:lang w:eastAsia="en-GB"/>
              </w:rPr>
            </w:pPr>
            <w:r>
              <w:rPr>
                <w:rFonts w:eastAsia="Times New Roman" w:cs="Times New Roman"/>
                <w:color w:val="000000"/>
                <w:sz w:val="20"/>
                <w:szCs w:val="20"/>
                <w:lang w:eastAsia="en-GB"/>
              </w:rPr>
              <w:t>11429</w:t>
            </w:r>
          </w:p>
        </w:tc>
      </w:tr>
    </w:tbl>
    <w:p w14:paraId="70B62C97" w14:textId="77777777" w:rsidR="00B60E85" w:rsidRDefault="00B60E85" w:rsidP="00AA2E53">
      <w:pPr>
        <w:rPr>
          <w:rFonts w:cs="Times New Roman"/>
          <w:szCs w:val="24"/>
        </w:rPr>
      </w:pPr>
    </w:p>
    <w:p w14:paraId="2D836383" w14:textId="476533F7" w:rsidR="0042477C" w:rsidRPr="00493537" w:rsidRDefault="00493537" w:rsidP="00AA2E53">
      <w:pPr>
        <w:rPr>
          <w:rFonts w:cs="Times New Roman"/>
          <w:szCs w:val="24"/>
        </w:rPr>
      </w:pPr>
      <w:r>
        <w:rPr>
          <w:rFonts w:cs="Times New Roman"/>
          <w:szCs w:val="24"/>
        </w:rPr>
        <w:t>In UK statistics</w:t>
      </w:r>
      <w:r w:rsidR="00D62D33">
        <w:rPr>
          <w:rFonts w:cs="Times New Roman"/>
          <w:szCs w:val="24"/>
        </w:rPr>
        <w:t>,</w:t>
      </w:r>
      <w:r>
        <w:rPr>
          <w:rFonts w:cs="Times New Roman"/>
          <w:szCs w:val="24"/>
        </w:rPr>
        <w:t xml:space="preserve"> fires when sprinklers are reported are very limited in number if compared to the ones </w:t>
      </w:r>
      <w:r w:rsidR="000D4F95">
        <w:rPr>
          <w:rFonts w:cs="Times New Roman"/>
          <w:szCs w:val="24"/>
        </w:rPr>
        <w:t>for un-</w:t>
      </w:r>
      <w:proofErr w:type="spellStart"/>
      <w:r w:rsidR="000D4F95">
        <w:rPr>
          <w:rFonts w:cs="Times New Roman"/>
          <w:szCs w:val="24"/>
        </w:rPr>
        <w:t>sprinklered</w:t>
      </w:r>
      <w:proofErr w:type="spellEnd"/>
      <w:r w:rsidR="000D4F95">
        <w:rPr>
          <w:rFonts w:cs="Times New Roman"/>
          <w:szCs w:val="24"/>
        </w:rPr>
        <w:t xml:space="preserve"> buildings</w:t>
      </w:r>
      <w:r>
        <w:rPr>
          <w:rFonts w:cs="Times New Roman"/>
          <w:szCs w:val="24"/>
        </w:rPr>
        <w:t xml:space="preserve">. Therefore, general comments on the fire spread when sprinklers are present are difficult to deduce </w:t>
      </w:r>
      <w:r w:rsidR="000D4F95">
        <w:rPr>
          <w:rFonts w:cs="Times New Roman"/>
          <w:szCs w:val="24"/>
        </w:rPr>
        <w:t xml:space="preserve">but, as found in the analysis with the USA statistics </w:t>
      </w:r>
      <w:r w:rsidR="000D4F95">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0D4F95">
        <w:rPr>
          <w:rFonts w:cs="Times New Roman"/>
          <w:szCs w:val="24"/>
        </w:rPr>
        <w:fldChar w:fldCharType="separate"/>
      </w:r>
      <w:r w:rsidR="00524A6C" w:rsidRPr="00524A6C">
        <w:rPr>
          <w:rFonts w:cs="Times New Roman"/>
          <w:noProof/>
          <w:szCs w:val="24"/>
        </w:rPr>
        <w:t>[15]</w:t>
      </w:r>
      <w:r w:rsidR="000D4F95">
        <w:rPr>
          <w:rFonts w:cs="Times New Roman"/>
          <w:szCs w:val="24"/>
        </w:rPr>
        <w:fldChar w:fldCharType="end"/>
      </w:r>
      <w:r w:rsidR="000D4F95">
        <w:rPr>
          <w:rFonts w:cs="Times New Roman"/>
          <w:szCs w:val="24"/>
        </w:rPr>
        <w:t>, the average damage for presence of safety systems is in general less than the one for their absence. Moreover, the area damage in UK and USA statistics</w:t>
      </w:r>
      <w:r w:rsidR="009F086B">
        <w:rPr>
          <w:rFonts w:cs="Times New Roman"/>
          <w:szCs w:val="24"/>
        </w:rPr>
        <w:t xml:space="preserve"> </w:t>
      </w:r>
      <w:r w:rsidR="009F086B">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9F086B">
        <w:rPr>
          <w:rFonts w:cs="Times New Roman"/>
          <w:szCs w:val="24"/>
        </w:rPr>
        <w:fldChar w:fldCharType="separate"/>
      </w:r>
      <w:r w:rsidR="00524A6C" w:rsidRPr="00524A6C">
        <w:rPr>
          <w:rFonts w:cs="Times New Roman"/>
          <w:noProof/>
          <w:szCs w:val="24"/>
        </w:rPr>
        <w:t>[15]</w:t>
      </w:r>
      <w:r w:rsidR="009F086B">
        <w:rPr>
          <w:rFonts w:cs="Times New Roman"/>
          <w:szCs w:val="24"/>
        </w:rPr>
        <w:fldChar w:fldCharType="end"/>
      </w:r>
      <w:r w:rsidR="000D4F95">
        <w:rPr>
          <w:rFonts w:cs="Times New Roman"/>
          <w:szCs w:val="24"/>
        </w:rPr>
        <w:t xml:space="preserve"> increase</w:t>
      </w:r>
      <w:r w:rsidR="003F2BB5">
        <w:rPr>
          <w:rFonts w:cs="Times New Roman"/>
          <w:szCs w:val="24"/>
        </w:rPr>
        <w:t>s</w:t>
      </w:r>
      <w:r w:rsidR="000D4F95">
        <w:rPr>
          <w:rFonts w:cs="Times New Roman"/>
          <w:szCs w:val="24"/>
        </w:rPr>
        <w:t xml:space="preserve"> with the increase of the spread of fire with </w:t>
      </w:r>
      <w:r w:rsidR="000D4F95" w:rsidRPr="00336CF6">
        <w:rPr>
          <w:rFonts w:cs="Times New Roman"/>
          <w:i/>
          <w:szCs w:val="24"/>
        </w:rPr>
        <w:t>total damage</w:t>
      </w:r>
      <w:r w:rsidR="000D4F95">
        <w:rPr>
          <w:rFonts w:cs="Times New Roman"/>
          <w:szCs w:val="24"/>
        </w:rPr>
        <w:t xml:space="preserve"> usually greater than the </w:t>
      </w:r>
      <w:r w:rsidR="000D4F95" w:rsidRPr="00336CF6">
        <w:rPr>
          <w:rFonts w:cs="Times New Roman"/>
          <w:i/>
          <w:szCs w:val="24"/>
        </w:rPr>
        <w:t>fire damage</w:t>
      </w:r>
      <w:r w:rsidR="000D4F95">
        <w:rPr>
          <w:rFonts w:cs="Times New Roman"/>
          <w:szCs w:val="24"/>
        </w:rPr>
        <w:t xml:space="preserve">. </w:t>
      </w:r>
      <w:r w:rsidR="00A47A7B">
        <w:rPr>
          <w:rFonts w:cs="Times New Roman"/>
          <w:szCs w:val="24"/>
        </w:rPr>
        <w:t>F</w:t>
      </w:r>
      <w:r w:rsidR="003F2BB5">
        <w:rPr>
          <w:rFonts w:cs="Times New Roman"/>
          <w:szCs w:val="24"/>
        </w:rPr>
        <w:t>ire frequency</w:t>
      </w:r>
      <w:r w:rsidR="00A47A7B">
        <w:rPr>
          <w:rFonts w:cs="Times New Roman"/>
          <w:szCs w:val="24"/>
        </w:rPr>
        <w:t xml:space="preserve"> </w:t>
      </w:r>
      <w:r w:rsidR="00A47A7B">
        <w:rPr>
          <w:rFonts w:cs="Times New Roman"/>
          <w:szCs w:val="24"/>
        </w:rPr>
        <w:lastRenderedPageBreak/>
        <w:t xml:space="preserve">generally </w:t>
      </w:r>
      <w:r w:rsidR="004C09CC">
        <w:rPr>
          <w:rFonts w:cs="Times New Roman"/>
          <w:szCs w:val="24"/>
        </w:rPr>
        <w:t>presents</w:t>
      </w:r>
      <w:r w:rsidR="003D4C8A">
        <w:rPr>
          <w:rFonts w:cs="Times New Roman"/>
          <w:szCs w:val="24"/>
        </w:rPr>
        <w:t xml:space="preserve"> the highest values</w:t>
      </w:r>
      <w:r w:rsidR="000D4F95">
        <w:rPr>
          <w:rFonts w:cs="Times New Roman"/>
          <w:szCs w:val="24"/>
        </w:rPr>
        <w:t xml:space="preserve"> </w:t>
      </w:r>
      <w:r w:rsidR="003D4C8A">
        <w:rPr>
          <w:rFonts w:cs="Times New Roman"/>
          <w:szCs w:val="24"/>
        </w:rPr>
        <w:t xml:space="preserve">of spread </w:t>
      </w:r>
      <w:r w:rsidR="000D4F95">
        <w:rPr>
          <w:rFonts w:cs="Times New Roman"/>
          <w:szCs w:val="24"/>
        </w:rPr>
        <w:t>within the room of origin for both countries</w:t>
      </w:r>
      <w:r w:rsidR="009340A3">
        <w:rPr>
          <w:rFonts w:cs="Times New Roman"/>
          <w:szCs w:val="24"/>
        </w:rPr>
        <w:t xml:space="preserve"> with some peaks found for fires affecting the whole building</w:t>
      </w:r>
      <w:r w:rsidR="003D4C8A">
        <w:rPr>
          <w:rFonts w:cs="Times New Roman"/>
          <w:szCs w:val="24"/>
        </w:rPr>
        <w:t xml:space="preserve">. </w:t>
      </w:r>
      <w:r w:rsidR="009340A3">
        <w:rPr>
          <w:rFonts w:cs="Times New Roman"/>
          <w:szCs w:val="24"/>
        </w:rPr>
        <w:t xml:space="preserve">The room of origin </w:t>
      </w:r>
      <w:r w:rsidR="004C09CC">
        <w:rPr>
          <w:rFonts w:cs="Times New Roman"/>
          <w:szCs w:val="24"/>
        </w:rPr>
        <w:t>usually represent</w:t>
      </w:r>
      <w:r w:rsidR="004F09A4">
        <w:rPr>
          <w:rFonts w:cs="Times New Roman"/>
          <w:szCs w:val="24"/>
        </w:rPr>
        <w:t>s</w:t>
      </w:r>
      <w:r w:rsidR="004C09CC">
        <w:rPr>
          <w:rFonts w:cs="Times New Roman"/>
          <w:szCs w:val="24"/>
        </w:rPr>
        <w:t xml:space="preserve"> a </w:t>
      </w:r>
      <w:r w:rsidR="003D4C8A">
        <w:rPr>
          <w:rFonts w:cs="Times New Roman"/>
          <w:szCs w:val="24"/>
        </w:rPr>
        <w:t>compartment and the analysis develo</w:t>
      </w:r>
      <w:r w:rsidR="009340A3">
        <w:rPr>
          <w:rFonts w:cs="Times New Roman"/>
          <w:szCs w:val="24"/>
        </w:rPr>
        <w:t>pe</w:t>
      </w:r>
      <w:r w:rsidR="00493224">
        <w:rPr>
          <w:rFonts w:cs="Times New Roman"/>
          <w:szCs w:val="24"/>
        </w:rPr>
        <w:t>d shows that compartmentation is</w:t>
      </w:r>
      <w:r w:rsidR="009340A3">
        <w:rPr>
          <w:rFonts w:cs="Times New Roman"/>
          <w:szCs w:val="24"/>
        </w:rPr>
        <w:t xml:space="preserve"> effective.</w:t>
      </w:r>
    </w:p>
    <w:p w14:paraId="4FF25AE6" w14:textId="1394BA89" w:rsidR="000078D6" w:rsidRDefault="00D42DAE" w:rsidP="00AA2E53">
      <w:pPr>
        <w:rPr>
          <w:rFonts w:cs="Times New Roman"/>
          <w:b/>
          <w:szCs w:val="24"/>
        </w:rPr>
      </w:pPr>
      <w:r>
        <w:rPr>
          <w:rFonts w:cs="Times New Roman"/>
          <w:b/>
          <w:szCs w:val="24"/>
        </w:rPr>
        <w:t>7. Frequency distribution of area damage</w:t>
      </w:r>
    </w:p>
    <w:p w14:paraId="3441C07F" w14:textId="0B673DD2" w:rsidR="00005C28" w:rsidRPr="003E78CA" w:rsidRDefault="00005C28" w:rsidP="003E78CA">
      <w:pPr>
        <w:rPr>
          <w:rFonts w:cs="Times New Roman"/>
          <w:szCs w:val="24"/>
        </w:rPr>
      </w:pPr>
      <w:r>
        <w:rPr>
          <w:rFonts w:cs="Times New Roman"/>
          <w:szCs w:val="24"/>
        </w:rPr>
        <w:t>Tables A.6, A.7 and A.8 in PD 7974-7</w:t>
      </w:r>
      <w:r w:rsidR="008D7D79">
        <w:rPr>
          <w:rFonts w:cs="Times New Roman"/>
          <w:szCs w:val="24"/>
        </w:rPr>
        <w:t>:2003</w:t>
      </w:r>
      <w:r>
        <w:rPr>
          <w:rFonts w:cs="Times New Roman"/>
          <w:szCs w:val="24"/>
        </w:rPr>
        <w:t xml:space="preserve"> are related to the frequency distribution of area damage in terms</w:t>
      </w:r>
      <w:r w:rsidR="003E78CA">
        <w:rPr>
          <w:rFonts w:cs="Times New Roman"/>
          <w:szCs w:val="24"/>
        </w:rPr>
        <w:t xml:space="preserve"> of number of fires</w:t>
      </w:r>
      <w:r>
        <w:rPr>
          <w:rFonts w:cs="Times New Roman"/>
          <w:szCs w:val="24"/>
        </w:rPr>
        <w:t xml:space="preserve"> in </w:t>
      </w:r>
      <w:r>
        <w:rPr>
          <w:rFonts w:cs="Times New Roman"/>
          <w:i/>
          <w:szCs w:val="24"/>
        </w:rPr>
        <w:t xml:space="preserve">Office buildings, Retail premises </w:t>
      </w:r>
      <w:r>
        <w:rPr>
          <w:rFonts w:cs="Times New Roman"/>
          <w:szCs w:val="24"/>
        </w:rPr>
        <w:t xml:space="preserve">and </w:t>
      </w:r>
      <w:r>
        <w:rPr>
          <w:rFonts w:cs="Times New Roman"/>
          <w:i/>
          <w:szCs w:val="24"/>
        </w:rPr>
        <w:t>Hotels</w:t>
      </w:r>
      <w:r w:rsidR="003E78CA">
        <w:rPr>
          <w:rFonts w:cs="Times New Roman"/>
          <w:szCs w:val="24"/>
        </w:rPr>
        <w:t xml:space="preserve"> respectively recreated considering</w:t>
      </w:r>
      <w:r w:rsidR="00EE22ED">
        <w:rPr>
          <w:rFonts w:cs="Times New Roman"/>
          <w:szCs w:val="24"/>
        </w:rPr>
        <w:t xml:space="preserve"> </w:t>
      </w:r>
      <w:proofErr w:type="gramStart"/>
      <w:r w:rsidR="00EE22ED" w:rsidRPr="00657C14">
        <w:rPr>
          <w:rFonts w:cs="Times New Roman"/>
          <w:i/>
          <w:iCs/>
          <w:szCs w:val="24"/>
        </w:rPr>
        <w:t>Other</w:t>
      </w:r>
      <w:proofErr w:type="gramEnd"/>
      <w:r w:rsidR="00EE22ED" w:rsidRPr="00657C14">
        <w:rPr>
          <w:rFonts w:cs="Times New Roman"/>
          <w:i/>
          <w:iCs/>
          <w:szCs w:val="24"/>
        </w:rPr>
        <w:t xml:space="preserve"> buildings</w:t>
      </w:r>
      <w:r w:rsidR="00EE22ED">
        <w:rPr>
          <w:rFonts w:cs="Times New Roman"/>
          <w:szCs w:val="24"/>
        </w:rPr>
        <w:t xml:space="preserve"> dataset</w:t>
      </w:r>
      <w:r w:rsidR="003E78CA">
        <w:rPr>
          <w:rFonts w:cs="Times New Roman"/>
          <w:szCs w:val="24"/>
        </w:rPr>
        <w:t xml:space="preserve"> as </w:t>
      </w:r>
      <w:r w:rsidRPr="003E78CA">
        <w:rPr>
          <w:rFonts w:cs="Times New Roman"/>
          <w:szCs w:val="24"/>
        </w:rPr>
        <w:t>Offices and call centres</w:t>
      </w:r>
      <w:r w:rsidR="003E78CA">
        <w:rPr>
          <w:rFonts w:cs="Times New Roman"/>
          <w:szCs w:val="24"/>
        </w:rPr>
        <w:t xml:space="preserve">, </w:t>
      </w:r>
      <w:r w:rsidRPr="003E78CA">
        <w:rPr>
          <w:rFonts w:cs="Times New Roman"/>
          <w:szCs w:val="24"/>
        </w:rPr>
        <w:t>Retail</w:t>
      </w:r>
      <w:r w:rsidR="003E78CA">
        <w:rPr>
          <w:rFonts w:cs="Times New Roman"/>
          <w:szCs w:val="24"/>
        </w:rPr>
        <w:t xml:space="preserve"> and </w:t>
      </w:r>
      <w:r w:rsidRPr="003E78CA">
        <w:rPr>
          <w:rFonts w:cs="Times New Roman"/>
          <w:szCs w:val="24"/>
        </w:rPr>
        <w:t>Hote</w:t>
      </w:r>
      <w:r w:rsidR="003E78CA">
        <w:rPr>
          <w:rFonts w:cs="Times New Roman"/>
          <w:szCs w:val="24"/>
        </w:rPr>
        <w:t>l</w:t>
      </w:r>
      <w:r w:rsidRPr="003E78CA">
        <w:rPr>
          <w:rFonts w:cs="Times New Roman"/>
          <w:szCs w:val="24"/>
        </w:rPr>
        <w:t>/Motel</w:t>
      </w:r>
      <w:r w:rsidR="002738DD">
        <w:rPr>
          <w:rFonts w:cs="Times New Roman"/>
          <w:szCs w:val="24"/>
        </w:rPr>
        <w:t xml:space="preserve">. </w:t>
      </w:r>
      <w:r w:rsidR="00462D8F">
        <w:rPr>
          <w:rFonts w:cs="Times New Roman"/>
          <w:szCs w:val="24"/>
        </w:rPr>
        <w:t>Since in UK fire statistics</w:t>
      </w:r>
      <w:r w:rsidR="003E78CA">
        <w:rPr>
          <w:rFonts w:cs="Times New Roman"/>
          <w:szCs w:val="24"/>
        </w:rPr>
        <w:t xml:space="preserve"> there is a further distinction in </w:t>
      </w:r>
      <w:r w:rsidR="003E78CA" w:rsidRPr="006A2005">
        <w:rPr>
          <w:rFonts w:cs="Times New Roman"/>
          <w:i/>
          <w:iCs/>
          <w:szCs w:val="24"/>
        </w:rPr>
        <w:t>fire</w:t>
      </w:r>
      <w:r w:rsidR="003E78CA">
        <w:rPr>
          <w:rFonts w:cs="Times New Roman"/>
          <w:szCs w:val="24"/>
        </w:rPr>
        <w:t xml:space="preserve"> and </w:t>
      </w:r>
      <w:r w:rsidR="001C624F" w:rsidRPr="006A2005">
        <w:rPr>
          <w:rFonts w:cs="Times New Roman"/>
          <w:i/>
          <w:iCs/>
          <w:szCs w:val="24"/>
        </w:rPr>
        <w:t xml:space="preserve">total </w:t>
      </w:r>
      <w:r w:rsidR="003E78CA" w:rsidRPr="006A2005">
        <w:rPr>
          <w:rFonts w:cs="Times New Roman"/>
          <w:i/>
          <w:iCs/>
          <w:szCs w:val="24"/>
        </w:rPr>
        <w:t>damage</w:t>
      </w:r>
      <w:r w:rsidR="00FA2B27">
        <w:rPr>
          <w:rFonts w:cs="Times New Roman"/>
          <w:szCs w:val="24"/>
        </w:rPr>
        <w:t>, the analysis has</w:t>
      </w:r>
      <w:r w:rsidR="003E78CA">
        <w:rPr>
          <w:rFonts w:cs="Times New Roman"/>
          <w:szCs w:val="24"/>
        </w:rPr>
        <w:t xml:space="preserve"> been developed considering both of them and plotting the results against PD 7974-7 </w:t>
      </w:r>
      <w:r w:rsidR="008D7D79">
        <w:rPr>
          <w:rFonts w:cs="Times New Roman"/>
          <w:szCs w:val="24"/>
        </w:rPr>
        <w:t xml:space="preserve">and USA </w:t>
      </w:r>
      <w:r w:rsidR="003E78CA">
        <w:rPr>
          <w:rFonts w:cs="Times New Roman"/>
          <w:szCs w:val="24"/>
        </w:rPr>
        <w:t>trends</w:t>
      </w:r>
      <w:r w:rsidR="008D7D79">
        <w:rPr>
          <w:rFonts w:cs="Times New Roman"/>
          <w:szCs w:val="24"/>
        </w:rPr>
        <w:t xml:space="preserve"> </w:t>
      </w:r>
      <w:r w:rsidR="008D7D79">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8D7D79">
        <w:rPr>
          <w:rFonts w:cs="Times New Roman"/>
          <w:szCs w:val="24"/>
        </w:rPr>
        <w:fldChar w:fldCharType="separate"/>
      </w:r>
      <w:r w:rsidR="00524A6C" w:rsidRPr="00524A6C">
        <w:rPr>
          <w:rFonts w:cs="Times New Roman"/>
          <w:noProof/>
          <w:szCs w:val="24"/>
        </w:rPr>
        <w:t>[15]</w:t>
      </w:r>
      <w:r w:rsidR="008D7D79">
        <w:rPr>
          <w:rFonts w:cs="Times New Roman"/>
          <w:szCs w:val="24"/>
        </w:rPr>
        <w:fldChar w:fldCharType="end"/>
      </w:r>
      <w:r w:rsidR="003E78CA">
        <w:rPr>
          <w:rFonts w:cs="Times New Roman"/>
          <w:szCs w:val="24"/>
        </w:rPr>
        <w:t>.</w:t>
      </w:r>
      <w:r w:rsidR="00FB7D71">
        <w:rPr>
          <w:rFonts w:cs="Times New Roman"/>
          <w:szCs w:val="24"/>
        </w:rPr>
        <w:t xml:space="preserve"> </w:t>
      </w:r>
      <w:r w:rsidR="006D515E">
        <w:rPr>
          <w:rFonts w:cs="Times New Roman"/>
          <w:szCs w:val="24"/>
        </w:rPr>
        <w:t xml:space="preserve">Unfortunately, it is not clear if the area damage of PD 7974-7 is referred to the fire or total one. </w:t>
      </w:r>
      <w:r w:rsidR="008D7D79">
        <w:rPr>
          <w:rFonts w:cs="Times New Roman"/>
          <w:szCs w:val="24"/>
        </w:rPr>
        <w:t>P</w:t>
      </w:r>
      <w:r w:rsidR="00FB7D71">
        <w:rPr>
          <w:rFonts w:cs="Times New Roman"/>
          <w:szCs w:val="24"/>
        </w:rPr>
        <w:t xml:space="preserve">resence and absence of sprinklers have </w:t>
      </w:r>
      <w:r w:rsidR="008D7D79">
        <w:rPr>
          <w:rFonts w:cs="Times New Roman"/>
          <w:szCs w:val="24"/>
        </w:rPr>
        <w:t xml:space="preserve">also </w:t>
      </w:r>
      <w:r w:rsidR="00FB7D71">
        <w:rPr>
          <w:rFonts w:cs="Times New Roman"/>
          <w:szCs w:val="24"/>
        </w:rPr>
        <w:t>been investigated.</w:t>
      </w:r>
    </w:p>
    <w:p w14:paraId="2FB49D1F" w14:textId="5499DEA0" w:rsidR="00630A76" w:rsidRPr="00521587" w:rsidRDefault="00B111FE" w:rsidP="00AA2E53">
      <w:pPr>
        <w:rPr>
          <w:rFonts w:cs="Times New Roman"/>
          <w:szCs w:val="24"/>
        </w:rPr>
      </w:pPr>
      <w:r w:rsidRPr="008105A3">
        <w:rPr>
          <w:rFonts w:cs="Times New Roman"/>
          <w:szCs w:val="24"/>
        </w:rPr>
        <w:t>In</w:t>
      </w:r>
      <w:r>
        <w:rPr>
          <w:rFonts w:cs="Times New Roman"/>
          <w:szCs w:val="24"/>
        </w:rPr>
        <w:t xml:space="preserve"> </w:t>
      </w:r>
      <w:r w:rsidRPr="00B111FE">
        <w:rPr>
          <w:rFonts w:cs="Times New Roman"/>
          <w:i/>
          <w:szCs w:val="24"/>
        </w:rPr>
        <w:t>Office buildings</w:t>
      </w:r>
      <w:r>
        <w:rPr>
          <w:rFonts w:cs="Times New Roman"/>
          <w:szCs w:val="24"/>
        </w:rPr>
        <w:t xml:space="preserve">, three different fire origin locations are present in Table A.6 and these have been compared as follows: </w:t>
      </w:r>
      <w:r w:rsidRPr="00B111FE">
        <w:rPr>
          <w:rFonts w:cs="Times New Roman"/>
          <w:szCs w:val="24"/>
          <w:u w:val="single"/>
        </w:rPr>
        <w:t>Office rooms</w:t>
      </w:r>
      <w:r w:rsidRPr="00B111FE">
        <w:rPr>
          <w:rFonts w:cs="Times New Roman"/>
          <w:szCs w:val="24"/>
        </w:rPr>
        <w:t xml:space="preserve"> as </w:t>
      </w:r>
      <w:r>
        <w:rPr>
          <w:rFonts w:cs="Times New Roman"/>
          <w:szCs w:val="24"/>
        </w:rPr>
        <w:t xml:space="preserve">Meeting room/Office and </w:t>
      </w:r>
      <w:r w:rsidRPr="00B111FE">
        <w:rPr>
          <w:rFonts w:cs="Times New Roman"/>
          <w:szCs w:val="24"/>
          <w:u w:val="single"/>
        </w:rPr>
        <w:t>Other rooms</w:t>
      </w:r>
      <w:r>
        <w:rPr>
          <w:rFonts w:cs="Times New Roman"/>
          <w:szCs w:val="24"/>
        </w:rPr>
        <w:t xml:space="preserve"> as all the other fire origin location</w:t>
      </w:r>
      <w:r w:rsidR="00462D8F">
        <w:rPr>
          <w:rFonts w:cs="Times New Roman"/>
          <w:szCs w:val="24"/>
        </w:rPr>
        <w:t>s</w:t>
      </w:r>
      <w:r>
        <w:rPr>
          <w:rFonts w:cs="Times New Roman"/>
          <w:szCs w:val="24"/>
        </w:rPr>
        <w:t xml:space="preserve">. In </w:t>
      </w:r>
      <w:r w:rsidRPr="00462D8F">
        <w:rPr>
          <w:rFonts w:cs="Times New Roman"/>
          <w:szCs w:val="24"/>
          <w:u w:val="single"/>
        </w:rPr>
        <w:t>Office rooms</w:t>
      </w:r>
      <w:r>
        <w:rPr>
          <w:rFonts w:cs="Times New Roman"/>
          <w:szCs w:val="24"/>
        </w:rPr>
        <w:t xml:space="preserve">, the fires reported in PD 7974-7 are 18 and 1,860 while in UK statistics 15 and </w:t>
      </w:r>
      <w:r w:rsidR="001356B9">
        <w:rPr>
          <w:rFonts w:cs="Times New Roman"/>
          <w:szCs w:val="24"/>
        </w:rPr>
        <w:t xml:space="preserve">1,342 respectively for presence and absence of sprinklers. In </w:t>
      </w:r>
      <w:r w:rsidR="001356B9" w:rsidRPr="001356B9">
        <w:rPr>
          <w:rFonts w:cs="Times New Roman"/>
          <w:szCs w:val="24"/>
          <w:u w:val="single"/>
        </w:rPr>
        <w:t>Other rooms</w:t>
      </w:r>
      <w:r w:rsidR="001356B9">
        <w:rPr>
          <w:rFonts w:cs="Times New Roman"/>
          <w:szCs w:val="24"/>
        </w:rPr>
        <w:t xml:space="preserve">, PD 7974-7 reports 127 and 4,369 while UK statistics 64 and 3,051 for sprinklers and no sprinklers. </w:t>
      </w:r>
      <w:r w:rsidR="00F850CF">
        <w:rPr>
          <w:rFonts w:cs="Times New Roman"/>
          <w:szCs w:val="24"/>
        </w:rPr>
        <w:t>Based on</w:t>
      </w:r>
      <w:r w:rsidR="001356B9">
        <w:rPr>
          <w:rFonts w:cs="Times New Roman"/>
          <w:szCs w:val="24"/>
        </w:rPr>
        <w:t xml:space="preserve"> </w:t>
      </w:r>
      <w:r w:rsidR="00521587">
        <w:rPr>
          <w:rFonts w:cs="Times New Roman"/>
          <w:szCs w:val="24"/>
        </w:rPr>
        <w:fldChar w:fldCharType="begin"/>
      </w:r>
      <w:r w:rsidR="00521587">
        <w:rPr>
          <w:rFonts w:cs="Times New Roman"/>
          <w:szCs w:val="24"/>
        </w:rPr>
        <w:instrText xml:space="preserve"> REF _Ref14436332 \h </w:instrText>
      </w:r>
      <w:r w:rsidR="00521587">
        <w:rPr>
          <w:rFonts w:cs="Times New Roman"/>
          <w:szCs w:val="24"/>
        </w:rPr>
      </w:r>
      <w:r w:rsidR="00521587">
        <w:rPr>
          <w:rFonts w:cs="Times New Roman"/>
          <w:szCs w:val="24"/>
        </w:rPr>
        <w:fldChar w:fldCharType="separate"/>
      </w:r>
      <w:r w:rsidR="00250859">
        <w:t xml:space="preserve">Figure </w:t>
      </w:r>
      <w:r w:rsidR="00250859">
        <w:rPr>
          <w:noProof/>
        </w:rPr>
        <w:t>7</w:t>
      </w:r>
      <w:r w:rsidR="00521587">
        <w:rPr>
          <w:rFonts w:cs="Times New Roman"/>
          <w:szCs w:val="24"/>
        </w:rPr>
        <w:fldChar w:fldCharType="end"/>
      </w:r>
      <w:r w:rsidR="00521587">
        <w:rPr>
          <w:rFonts w:cs="Times New Roman"/>
          <w:szCs w:val="24"/>
        </w:rPr>
        <w:t xml:space="preserve">, it </w:t>
      </w:r>
      <w:r w:rsidR="008E2626">
        <w:rPr>
          <w:rFonts w:cs="Times New Roman"/>
          <w:szCs w:val="24"/>
        </w:rPr>
        <w:t>can be seen</w:t>
      </w:r>
      <w:r w:rsidR="00521587">
        <w:rPr>
          <w:rFonts w:cs="Times New Roman"/>
          <w:szCs w:val="24"/>
        </w:rPr>
        <w:t xml:space="preserve"> that the PD 7974-7 </w:t>
      </w:r>
      <w:r w:rsidR="008E2626">
        <w:rPr>
          <w:rFonts w:cs="Times New Roman"/>
          <w:szCs w:val="24"/>
        </w:rPr>
        <w:t xml:space="preserve">data </w:t>
      </w:r>
      <w:r w:rsidR="004814B3">
        <w:rPr>
          <w:rFonts w:cs="Times New Roman"/>
          <w:szCs w:val="24"/>
        </w:rPr>
        <w:t>are</w:t>
      </w:r>
      <w:r w:rsidR="00521587">
        <w:rPr>
          <w:rFonts w:cs="Times New Roman"/>
          <w:szCs w:val="24"/>
        </w:rPr>
        <w:t xml:space="preserve"> usually located between the UK </w:t>
      </w:r>
      <w:r w:rsidR="00521587" w:rsidRPr="006A2005">
        <w:rPr>
          <w:rFonts w:cs="Times New Roman"/>
          <w:i/>
          <w:iCs/>
          <w:szCs w:val="24"/>
        </w:rPr>
        <w:t>fire damage</w:t>
      </w:r>
      <w:r w:rsidR="00521587">
        <w:rPr>
          <w:rFonts w:cs="Times New Roman"/>
          <w:szCs w:val="24"/>
        </w:rPr>
        <w:t xml:space="preserve"> and </w:t>
      </w:r>
      <w:r w:rsidR="00521587" w:rsidRPr="006A2005">
        <w:rPr>
          <w:rFonts w:cs="Times New Roman"/>
          <w:i/>
          <w:iCs/>
          <w:szCs w:val="24"/>
        </w:rPr>
        <w:t>total damage</w:t>
      </w:r>
      <w:r w:rsidR="008E2626">
        <w:rPr>
          <w:rFonts w:cs="Times New Roman"/>
          <w:i/>
          <w:iCs/>
          <w:szCs w:val="24"/>
        </w:rPr>
        <w:t>,</w:t>
      </w:r>
      <w:r w:rsidR="00521587">
        <w:rPr>
          <w:rFonts w:cs="Times New Roman"/>
          <w:szCs w:val="24"/>
        </w:rPr>
        <w:t xml:space="preserve"> where </w:t>
      </w:r>
      <w:r w:rsidR="008E2626">
        <w:rPr>
          <w:rFonts w:cs="Times New Roman"/>
          <w:szCs w:val="24"/>
        </w:rPr>
        <w:t xml:space="preserve">the </w:t>
      </w:r>
      <w:r w:rsidR="00D6424E">
        <w:rPr>
          <w:rFonts w:cs="Times New Roman"/>
          <w:szCs w:val="24"/>
        </w:rPr>
        <w:t>frequency</w:t>
      </w:r>
      <w:r w:rsidR="008E2626">
        <w:rPr>
          <w:rFonts w:cs="Times New Roman"/>
          <w:szCs w:val="24"/>
        </w:rPr>
        <w:t xml:space="preserve"> of exceeding the damage bands upper limit is always less </w:t>
      </w:r>
      <w:r w:rsidR="00521587">
        <w:rPr>
          <w:rFonts w:cs="Times New Roman"/>
          <w:szCs w:val="24"/>
        </w:rPr>
        <w:t xml:space="preserve">than 30% </w:t>
      </w:r>
      <w:r w:rsidR="008E2626">
        <w:rPr>
          <w:rFonts w:cs="Times New Roman"/>
          <w:szCs w:val="24"/>
        </w:rPr>
        <w:t>when sprinklers are present</w:t>
      </w:r>
      <w:r w:rsidR="00521587">
        <w:rPr>
          <w:rFonts w:cs="Times New Roman"/>
          <w:szCs w:val="24"/>
        </w:rPr>
        <w:t xml:space="preserve">. </w:t>
      </w:r>
      <w:r w:rsidR="008D7D79">
        <w:rPr>
          <w:rFonts w:cs="Times New Roman"/>
          <w:szCs w:val="24"/>
        </w:rPr>
        <w:t xml:space="preserve">The trends found for PD 7974-7 and UK statistics </w:t>
      </w:r>
      <w:r w:rsidR="00B4772D">
        <w:rPr>
          <w:rFonts w:cs="Times New Roman"/>
          <w:szCs w:val="24"/>
        </w:rPr>
        <w:t>a</w:t>
      </w:r>
      <w:r w:rsidR="008D7D79">
        <w:rPr>
          <w:rFonts w:cs="Times New Roman"/>
          <w:szCs w:val="24"/>
        </w:rPr>
        <w:t xml:space="preserve">re relatively close </w:t>
      </w:r>
      <w:r w:rsidR="008E2626">
        <w:rPr>
          <w:rFonts w:cs="Times New Roman"/>
          <w:szCs w:val="24"/>
        </w:rPr>
        <w:t xml:space="preserve">and whose </w:t>
      </w:r>
      <w:r w:rsidR="00125627">
        <w:rPr>
          <w:rFonts w:cs="Times New Roman"/>
          <w:szCs w:val="24"/>
        </w:rPr>
        <w:t xml:space="preserve">percentages </w:t>
      </w:r>
      <w:r w:rsidR="008E2626">
        <w:rPr>
          <w:rFonts w:cs="Times New Roman"/>
          <w:szCs w:val="24"/>
        </w:rPr>
        <w:t xml:space="preserve">are considerably less when compared to </w:t>
      </w:r>
      <w:r w:rsidR="008D7D79">
        <w:rPr>
          <w:rFonts w:cs="Times New Roman"/>
          <w:szCs w:val="24"/>
        </w:rPr>
        <w:t>USA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E191B" w14:paraId="65D5E412" w14:textId="77777777" w:rsidTr="00336CF6">
        <w:tc>
          <w:tcPr>
            <w:tcW w:w="3500" w:type="dxa"/>
          </w:tcPr>
          <w:p w14:paraId="5978430C" w14:textId="0CD6ECF1" w:rsidR="008E191B" w:rsidRPr="00336CF6" w:rsidRDefault="008E191B" w:rsidP="00336CF6">
            <w:pPr>
              <w:jc w:val="center"/>
              <w:rPr>
                <w:noProof/>
                <w:sz w:val="20"/>
                <w:lang w:eastAsia="en-GB"/>
              </w:rPr>
            </w:pPr>
            <w:r w:rsidRPr="007071C8">
              <w:rPr>
                <w:noProof/>
                <w:lang w:eastAsia="en-GB"/>
              </w:rPr>
              <w:drawing>
                <wp:anchor distT="0" distB="0" distL="114300" distR="114300" simplePos="0" relativeHeight="251723776" behindDoc="0" locked="0" layoutInCell="1" allowOverlap="1" wp14:anchorId="5A9774EE" wp14:editId="3BCC8A78">
                  <wp:simplePos x="0" y="0"/>
                  <wp:positionH relativeFrom="column">
                    <wp:posOffset>-65100</wp:posOffset>
                  </wp:positionH>
                  <wp:positionV relativeFrom="paragraph">
                    <wp:posOffset>10871</wp:posOffset>
                  </wp:positionV>
                  <wp:extent cx="2880000" cy="1980000"/>
                  <wp:effectExtent l="0" t="0" r="0" b="127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336CF6">
              <w:rPr>
                <w:noProof/>
                <w:sz w:val="20"/>
                <w:lang w:eastAsia="en-GB"/>
              </w:rPr>
              <w:t>(a)</w:t>
            </w:r>
          </w:p>
        </w:tc>
        <w:tc>
          <w:tcPr>
            <w:tcW w:w="5516" w:type="dxa"/>
          </w:tcPr>
          <w:p w14:paraId="72E211E8" w14:textId="2AF15773" w:rsidR="008E191B" w:rsidRPr="00336CF6" w:rsidRDefault="008E191B" w:rsidP="00336CF6">
            <w:pPr>
              <w:jc w:val="center"/>
              <w:rPr>
                <w:noProof/>
                <w:sz w:val="20"/>
                <w:lang w:eastAsia="en-GB"/>
              </w:rPr>
            </w:pPr>
            <w:r w:rsidRPr="007071C8">
              <w:rPr>
                <w:noProof/>
                <w:lang w:eastAsia="en-GB"/>
              </w:rPr>
              <w:drawing>
                <wp:anchor distT="0" distB="0" distL="114300" distR="114300" simplePos="0" relativeHeight="251725824" behindDoc="0" locked="0" layoutInCell="1" allowOverlap="1" wp14:anchorId="0455C624" wp14:editId="2125E265">
                  <wp:simplePos x="0" y="0"/>
                  <wp:positionH relativeFrom="column">
                    <wp:posOffset>-65405</wp:posOffset>
                  </wp:positionH>
                  <wp:positionV relativeFrom="paragraph">
                    <wp:posOffset>3556</wp:posOffset>
                  </wp:positionV>
                  <wp:extent cx="2880000" cy="1980000"/>
                  <wp:effectExtent l="0" t="0" r="0" b="127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336CF6">
              <w:rPr>
                <w:noProof/>
                <w:sz w:val="20"/>
                <w:lang w:eastAsia="en-GB"/>
              </w:rPr>
              <w:t>(b)</w:t>
            </w:r>
          </w:p>
        </w:tc>
      </w:tr>
      <w:tr w:rsidR="00A03C06" w14:paraId="3FDDC983" w14:textId="77777777" w:rsidTr="00336CF6">
        <w:tc>
          <w:tcPr>
            <w:tcW w:w="9016" w:type="dxa"/>
            <w:gridSpan w:val="2"/>
          </w:tcPr>
          <w:p w14:paraId="73F2ACD8" w14:textId="11CAEB2C" w:rsidR="00A03C06" w:rsidRDefault="005C7118" w:rsidP="00336CF6">
            <w:pPr>
              <w:rPr>
                <w:noProof/>
                <w:lang w:eastAsia="en-GB"/>
              </w:rPr>
            </w:pPr>
            <w:r w:rsidRPr="00336CF6">
              <w:rPr>
                <w:b/>
                <w:noProof/>
                <w:sz w:val="20"/>
                <w:lang w:eastAsia="en-GB"/>
              </w:rPr>
              <w:t>A</w:t>
            </w:r>
            <w:r w:rsidR="00A03C06">
              <w:rPr>
                <w:noProof/>
                <w:sz w:val="20"/>
                <w:lang w:eastAsia="en-GB"/>
              </w:rPr>
              <w:t>. Up to 5 m</w:t>
            </w:r>
            <w:r w:rsidR="00A03C06" w:rsidRPr="00336CF6">
              <w:rPr>
                <w:noProof/>
                <w:sz w:val="20"/>
                <w:vertAlign w:val="superscript"/>
                <w:lang w:eastAsia="en-GB"/>
              </w:rPr>
              <w:t>2</w:t>
            </w:r>
            <w:r w:rsidR="00A03C06">
              <w:rPr>
                <w:noProof/>
                <w:sz w:val="20"/>
                <w:lang w:eastAsia="en-GB"/>
              </w:rPr>
              <w:t xml:space="preserve">; </w:t>
            </w:r>
            <w:r w:rsidRPr="00336CF6">
              <w:rPr>
                <w:b/>
                <w:noProof/>
                <w:sz w:val="20"/>
                <w:lang w:eastAsia="en-GB"/>
              </w:rPr>
              <w:t>B</w:t>
            </w:r>
            <w:r>
              <w:rPr>
                <w:noProof/>
                <w:sz w:val="20"/>
                <w:lang w:eastAsia="en-GB"/>
              </w:rPr>
              <w:t xml:space="preserve">. </w:t>
            </w:r>
            <w:r w:rsidR="00A03C06">
              <w:rPr>
                <w:noProof/>
                <w:sz w:val="20"/>
                <w:lang w:eastAsia="en-GB"/>
              </w:rPr>
              <w:t>6 to 10 m</w:t>
            </w:r>
            <w:r w:rsidR="00A03C06" w:rsidRPr="00336CF6">
              <w:rPr>
                <w:noProof/>
                <w:sz w:val="20"/>
                <w:vertAlign w:val="superscript"/>
                <w:lang w:eastAsia="en-GB"/>
              </w:rPr>
              <w:t>2</w:t>
            </w:r>
            <w:r w:rsidR="00A03C06">
              <w:rPr>
                <w:noProof/>
                <w:sz w:val="20"/>
                <w:lang w:eastAsia="en-GB"/>
              </w:rPr>
              <w:t xml:space="preserve">; </w:t>
            </w:r>
            <w:r w:rsidRPr="00336CF6">
              <w:rPr>
                <w:b/>
                <w:noProof/>
                <w:sz w:val="20"/>
                <w:lang w:eastAsia="en-GB"/>
              </w:rPr>
              <w:t>C</w:t>
            </w:r>
            <w:r>
              <w:rPr>
                <w:noProof/>
                <w:sz w:val="20"/>
                <w:lang w:eastAsia="en-GB"/>
              </w:rPr>
              <w:t xml:space="preserve">. </w:t>
            </w:r>
            <w:r w:rsidR="00A03C06">
              <w:rPr>
                <w:noProof/>
                <w:sz w:val="20"/>
                <w:lang w:eastAsia="en-GB"/>
              </w:rPr>
              <w:t>11 to 20 m</w:t>
            </w:r>
            <w:r w:rsidR="00A03C06" w:rsidRPr="00336CF6">
              <w:rPr>
                <w:noProof/>
                <w:sz w:val="20"/>
                <w:vertAlign w:val="superscript"/>
                <w:lang w:eastAsia="en-GB"/>
              </w:rPr>
              <w:t>2</w:t>
            </w:r>
            <w:r w:rsidR="00A03C06">
              <w:rPr>
                <w:noProof/>
                <w:sz w:val="20"/>
                <w:lang w:eastAsia="en-GB"/>
              </w:rPr>
              <w:t xml:space="preserve">; </w:t>
            </w:r>
            <w:r w:rsidRPr="00336CF6">
              <w:rPr>
                <w:b/>
                <w:noProof/>
                <w:sz w:val="20"/>
                <w:lang w:eastAsia="en-GB"/>
              </w:rPr>
              <w:t>D</w:t>
            </w:r>
            <w:r>
              <w:rPr>
                <w:noProof/>
                <w:sz w:val="20"/>
                <w:lang w:eastAsia="en-GB"/>
              </w:rPr>
              <w:t>. 21 to 50 m</w:t>
            </w:r>
            <w:r w:rsidRPr="00336CF6">
              <w:rPr>
                <w:noProof/>
                <w:sz w:val="20"/>
                <w:vertAlign w:val="superscript"/>
                <w:lang w:eastAsia="en-GB"/>
              </w:rPr>
              <w:t>2</w:t>
            </w:r>
            <w:r>
              <w:rPr>
                <w:noProof/>
                <w:sz w:val="20"/>
                <w:lang w:eastAsia="en-GB"/>
              </w:rPr>
              <w:t xml:space="preserve">; </w:t>
            </w:r>
            <w:r w:rsidRPr="00336CF6">
              <w:rPr>
                <w:b/>
                <w:noProof/>
                <w:sz w:val="20"/>
                <w:lang w:eastAsia="en-GB"/>
              </w:rPr>
              <w:t>E</w:t>
            </w:r>
            <w:r>
              <w:rPr>
                <w:noProof/>
                <w:sz w:val="20"/>
                <w:lang w:eastAsia="en-GB"/>
              </w:rPr>
              <w:t>. 51 to 100 m</w:t>
            </w:r>
            <w:r w:rsidRPr="00336CF6">
              <w:rPr>
                <w:noProof/>
                <w:sz w:val="20"/>
                <w:vertAlign w:val="superscript"/>
                <w:lang w:eastAsia="en-GB"/>
              </w:rPr>
              <w:t>2</w:t>
            </w:r>
            <w:r>
              <w:rPr>
                <w:noProof/>
                <w:sz w:val="20"/>
                <w:lang w:eastAsia="en-GB"/>
              </w:rPr>
              <w:t xml:space="preserve">; </w:t>
            </w:r>
            <w:r w:rsidRPr="00336CF6">
              <w:rPr>
                <w:b/>
                <w:noProof/>
                <w:sz w:val="20"/>
                <w:lang w:eastAsia="en-GB"/>
              </w:rPr>
              <w:t>F</w:t>
            </w:r>
            <w:r>
              <w:rPr>
                <w:noProof/>
                <w:sz w:val="20"/>
                <w:lang w:eastAsia="en-GB"/>
              </w:rPr>
              <w:t>. 101 to 200 m</w:t>
            </w:r>
            <w:r w:rsidRPr="00336CF6">
              <w:rPr>
                <w:noProof/>
                <w:sz w:val="20"/>
                <w:vertAlign w:val="superscript"/>
                <w:lang w:eastAsia="en-GB"/>
              </w:rPr>
              <w:t>2</w:t>
            </w:r>
            <w:r>
              <w:rPr>
                <w:noProof/>
                <w:sz w:val="20"/>
                <w:lang w:eastAsia="en-GB"/>
              </w:rPr>
              <w:t xml:space="preserve">; </w:t>
            </w:r>
            <w:r w:rsidRPr="00336CF6">
              <w:rPr>
                <w:b/>
                <w:noProof/>
                <w:sz w:val="20"/>
                <w:lang w:eastAsia="en-GB"/>
              </w:rPr>
              <w:t>G</w:t>
            </w:r>
            <w:r>
              <w:rPr>
                <w:noProof/>
                <w:sz w:val="20"/>
                <w:lang w:eastAsia="en-GB"/>
              </w:rPr>
              <w:t>. 201 to 500 m</w:t>
            </w:r>
            <w:r w:rsidRPr="00336CF6">
              <w:rPr>
                <w:noProof/>
                <w:sz w:val="20"/>
                <w:vertAlign w:val="superscript"/>
                <w:lang w:eastAsia="en-GB"/>
              </w:rPr>
              <w:t>2</w:t>
            </w:r>
            <w:r>
              <w:rPr>
                <w:noProof/>
                <w:sz w:val="20"/>
                <w:lang w:eastAsia="en-GB"/>
              </w:rPr>
              <w:t xml:space="preserve">; </w:t>
            </w:r>
            <w:r w:rsidRPr="00336CF6">
              <w:rPr>
                <w:b/>
                <w:noProof/>
                <w:sz w:val="20"/>
                <w:lang w:eastAsia="en-GB"/>
              </w:rPr>
              <w:t>H</w:t>
            </w:r>
            <w:r>
              <w:rPr>
                <w:noProof/>
                <w:sz w:val="20"/>
                <w:lang w:eastAsia="en-GB"/>
              </w:rPr>
              <w:t>. 501 to 1000 m</w:t>
            </w:r>
            <w:r w:rsidRPr="00336CF6">
              <w:rPr>
                <w:noProof/>
                <w:sz w:val="20"/>
                <w:vertAlign w:val="superscript"/>
                <w:lang w:eastAsia="en-GB"/>
              </w:rPr>
              <w:t>2</w:t>
            </w:r>
            <w:r>
              <w:rPr>
                <w:noProof/>
                <w:sz w:val="20"/>
                <w:lang w:eastAsia="en-GB"/>
              </w:rPr>
              <w:t xml:space="preserve">; </w:t>
            </w:r>
            <w:r w:rsidRPr="00336CF6">
              <w:rPr>
                <w:b/>
                <w:noProof/>
                <w:sz w:val="20"/>
                <w:lang w:eastAsia="en-GB"/>
              </w:rPr>
              <w:t>I</w:t>
            </w:r>
            <w:r>
              <w:rPr>
                <w:noProof/>
                <w:sz w:val="20"/>
                <w:lang w:eastAsia="en-GB"/>
              </w:rPr>
              <w:t>. Over 1000 m</w:t>
            </w:r>
            <w:r w:rsidRPr="00336CF6">
              <w:rPr>
                <w:noProof/>
                <w:sz w:val="20"/>
                <w:vertAlign w:val="superscript"/>
                <w:lang w:eastAsia="en-GB"/>
              </w:rPr>
              <w:t>2</w:t>
            </w:r>
          </w:p>
        </w:tc>
      </w:tr>
    </w:tbl>
    <w:p w14:paraId="1625500B" w14:textId="7D3F17FC" w:rsidR="00781974" w:rsidRDefault="007D1DD1" w:rsidP="00987FF2">
      <w:pPr>
        <w:pStyle w:val="Caption"/>
      </w:pPr>
      <w:bookmarkStart w:id="43" w:name="_Ref14436332"/>
      <w:bookmarkStart w:id="44" w:name="_Toc14687036"/>
      <w:bookmarkStart w:id="45" w:name="_Toc28958227"/>
      <w:bookmarkStart w:id="46" w:name="_Toc18320441"/>
      <w:r>
        <w:t xml:space="preserve">Figure </w:t>
      </w:r>
      <w:r>
        <w:fldChar w:fldCharType="begin"/>
      </w:r>
      <w:r>
        <w:instrText xml:space="preserve"> SEQ Figure \* ARABIC </w:instrText>
      </w:r>
      <w:r>
        <w:fldChar w:fldCharType="separate"/>
      </w:r>
      <w:r w:rsidR="00250859">
        <w:rPr>
          <w:noProof/>
        </w:rPr>
        <w:t>7</w:t>
      </w:r>
      <w:r>
        <w:fldChar w:fldCharType="end"/>
      </w:r>
      <w:bookmarkEnd w:id="43"/>
      <w:r>
        <w:t xml:space="preserve">: Frequency distribution of </w:t>
      </w:r>
      <w:r w:rsidR="00814E53">
        <w:t>area da</w:t>
      </w:r>
      <w:r w:rsidR="00FB56E6">
        <w:t xml:space="preserve">mage in </w:t>
      </w:r>
      <w:r w:rsidR="00FB56E6" w:rsidRPr="00755A08">
        <w:rPr>
          <w:i/>
        </w:rPr>
        <w:t>Office buildings</w:t>
      </w:r>
      <w:r w:rsidR="00FB56E6">
        <w:t xml:space="preserve"> in (a) </w:t>
      </w:r>
      <w:r w:rsidR="00F25121" w:rsidRPr="005A69E0">
        <w:rPr>
          <w:u w:val="single"/>
        </w:rPr>
        <w:t>Office rooms</w:t>
      </w:r>
      <w:r w:rsidR="00F25121">
        <w:t xml:space="preserve"> and</w:t>
      </w:r>
      <w:r w:rsidR="00FB56E6">
        <w:t xml:space="preserve"> (b) </w:t>
      </w:r>
      <w:bookmarkEnd w:id="44"/>
      <w:r w:rsidR="00F25121" w:rsidRPr="00907CB6">
        <w:rPr>
          <w:u w:val="single"/>
        </w:rPr>
        <w:t>Other rooms</w:t>
      </w:r>
      <w:r w:rsidR="00814E53">
        <w:t xml:space="preserve"> </w:t>
      </w:r>
      <w:r w:rsidR="000409CC">
        <w:t>[</w:t>
      </w:r>
      <w:r w:rsidR="00FA2B27">
        <w:t>S=S</w:t>
      </w:r>
      <w:r w:rsidR="00F25121">
        <w:t>prinklers; NS=No sprinklers</w:t>
      </w:r>
      <w:r w:rsidR="000409CC">
        <w:t>]</w:t>
      </w:r>
      <w:r w:rsidR="00F25121">
        <w:t xml:space="preserve"> for PD 7974-7, UK and USA statistics </w:t>
      </w:r>
      <w:r w:rsidR="00F25121">
        <w:fldChar w:fldCharType="begin" w:fldLock="1"/>
      </w:r>
      <w:r w:rsidR="00125627">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F25121">
        <w:fldChar w:fldCharType="separate"/>
      </w:r>
      <w:bookmarkEnd w:id="46"/>
      <w:r w:rsidR="00524A6C" w:rsidRPr="00524A6C">
        <w:rPr>
          <w:noProof/>
        </w:rPr>
        <w:t>[15]</w:t>
      </w:r>
      <w:bookmarkEnd w:id="45"/>
      <w:r w:rsidR="00F25121">
        <w:fldChar w:fldCharType="end"/>
      </w:r>
    </w:p>
    <w:p w14:paraId="4C07145B" w14:textId="15F73D3C" w:rsidR="00A37162" w:rsidRPr="00B50E12" w:rsidRDefault="00A37162" w:rsidP="00336CF6">
      <w:r>
        <w:t xml:space="preserve">Table A.7 for </w:t>
      </w:r>
      <w:r w:rsidRPr="00605185">
        <w:rPr>
          <w:i/>
        </w:rPr>
        <w:t>Retail premises</w:t>
      </w:r>
      <w:r>
        <w:t xml:space="preserve"> considers three different fire origin locations:</w:t>
      </w:r>
      <w:r w:rsidRPr="002222BF">
        <w:t xml:space="preserve"> </w:t>
      </w:r>
      <w:r w:rsidRPr="002222BF">
        <w:rPr>
          <w:u w:val="single"/>
        </w:rPr>
        <w:t>Assembly areas</w:t>
      </w:r>
      <w:r>
        <w:t xml:space="preserve"> as Meeting room/Office and Corridor/Hall/Open Plan Area/Reception area;</w:t>
      </w:r>
      <w:r w:rsidRPr="002222BF">
        <w:t xml:space="preserve"> </w:t>
      </w:r>
      <w:r w:rsidRPr="002222BF">
        <w:rPr>
          <w:u w:val="single"/>
        </w:rPr>
        <w:t>Storage areas</w:t>
      </w:r>
      <w:r>
        <w:t xml:space="preserve"> as Store room/Laundry room/Cloakroom and Refuse store</w:t>
      </w:r>
      <w:r w:rsidRPr="002222BF">
        <w:t xml:space="preserve">; </w:t>
      </w:r>
      <w:proofErr w:type="gramStart"/>
      <w:r w:rsidRPr="002222BF">
        <w:rPr>
          <w:u w:val="single"/>
        </w:rPr>
        <w:t>Other</w:t>
      </w:r>
      <w:proofErr w:type="gramEnd"/>
      <w:r w:rsidRPr="002222BF">
        <w:rPr>
          <w:u w:val="single"/>
        </w:rPr>
        <w:t xml:space="preserve"> areas</w:t>
      </w:r>
      <w:r>
        <w:t xml:space="preserve"> as all the other fire origin locations. For the presence of spri</w:t>
      </w:r>
      <w:r w:rsidR="007071C8">
        <w:t>nklers the fires recorded are 22</w:t>
      </w:r>
      <w:r>
        <w:t xml:space="preserve">3 and 37 in </w:t>
      </w:r>
      <w:r w:rsidRPr="00BD555A">
        <w:rPr>
          <w:u w:val="single"/>
        </w:rPr>
        <w:t>Assembly areas</w:t>
      </w:r>
      <w:r>
        <w:t xml:space="preserve">, 354 and 55 in </w:t>
      </w:r>
      <w:r w:rsidRPr="00BD555A">
        <w:rPr>
          <w:u w:val="single"/>
        </w:rPr>
        <w:t>Storage areas</w:t>
      </w:r>
      <w:r>
        <w:t xml:space="preserve"> and 183 and 322 in </w:t>
      </w:r>
      <w:proofErr w:type="gramStart"/>
      <w:r w:rsidRPr="00BD555A">
        <w:rPr>
          <w:u w:val="single"/>
        </w:rPr>
        <w:t>Other</w:t>
      </w:r>
      <w:proofErr w:type="gramEnd"/>
      <w:r w:rsidRPr="00BD555A">
        <w:rPr>
          <w:u w:val="single"/>
        </w:rPr>
        <w:t xml:space="preserve"> areas</w:t>
      </w:r>
      <w:r>
        <w:t xml:space="preserve">, respectively for PD 7974-7 and UK fire statistics. When building fires with no sprinklers are considered, fires are 8,207 and 851 in </w:t>
      </w:r>
      <w:r w:rsidRPr="00BD555A">
        <w:rPr>
          <w:u w:val="single"/>
        </w:rPr>
        <w:t>Assembly areas</w:t>
      </w:r>
      <w:r>
        <w:t xml:space="preserve">, 5,144 and 1,672 in </w:t>
      </w:r>
      <w:r w:rsidRPr="00BD555A">
        <w:rPr>
          <w:u w:val="single"/>
        </w:rPr>
        <w:t xml:space="preserve">Storage </w:t>
      </w:r>
      <w:r>
        <w:t xml:space="preserve">areas and 7,194 and 9,378 for </w:t>
      </w:r>
      <w:proofErr w:type="gramStart"/>
      <w:r w:rsidRPr="00BD555A">
        <w:rPr>
          <w:u w:val="single"/>
        </w:rPr>
        <w:t>Other</w:t>
      </w:r>
      <w:proofErr w:type="gramEnd"/>
      <w:r w:rsidRPr="00BD555A">
        <w:rPr>
          <w:u w:val="single"/>
        </w:rPr>
        <w:t xml:space="preserve"> areas</w:t>
      </w:r>
      <w:r>
        <w:t xml:space="preserve"> in PD 7974-7 and UK statistics, respectively. In </w:t>
      </w:r>
      <w:r w:rsidR="00BA3E73">
        <w:fldChar w:fldCharType="begin"/>
      </w:r>
      <w:r w:rsidR="00BA3E73">
        <w:instrText xml:space="preserve"> REF _Ref26439398 \h </w:instrText>
      </w:r>
      <w:r w:rsidR="00BA3E73">
        <w:fldChar w:fldCharType="separate"/>
      </w:r>
      <w:r w:rsidR="00250859">
        <w:t xml:space="preserve">Figure </w:t>
      </w:r>
      <w:r w:rsidR="00250859">
        <w:rPr>
          <w:noProof/>
        </w:rPr>
        <w:t>8</w:t>
      </w:r>
      <w:r w:rsidR="00BA3E73">
        <w:fldChar w:fldCharType="end"/>
      </w:r>
      <w:r w:rsidR="00BA3E73">
        <w:t xml:space="preserve">, </w:t>
      </w:r>
      <w:r>
        <w:t xml:space="preserve">similar comments can be deduced for the three fire origins where the trends for sprinklers have lower values than the ones for no </w:t>
      </w:r>
      <w:r>
        <w:lastRenderedPageBreak/>
        <w:t xml:space="preserve">sprinklers </w:t>
      </w:r>
      <w:r w:rsidR="00275F3A">
        <w:t xml:space="preserve">except for </w:t>
      </w:r>
      <w:r w:rsidR="00275F3A" w:rsidRPr="00336CF6">
        <w:rPr>
          <w:i/>
        </w:rPr>
        <w:t>total damage</w:t>
      </w:r>
      <w:r w:rsidR="00275F3A">
        <w:t xml:space="preserve"> which assumes an opposite trend</w:t>
      </w:r>
      <w:r>
        <w:t xml:space="preserve"> </w:t>
      </w:r>
      <w:r w:rsidR="00275F3A">
        <w:t xml:space="preserve">with </w:t>
      </w:r>
      <w:r>
        <w:t>percentage</w:t>
      </w:r>
      <w:r w:rsidR="00C8175A">
        <w:t>s</w:t>
      </w:r>
      <w:r>
        <w:t xml:space="preserve"> of fires exceeding 20 m</w:t>
      </w:r>
      <w:r w:rsidRPr="00BD555A">
        <w:rPr>
          <w:vertAlign w:val="superscript"/>
        </w:rPr>
        <w:t>2</w:t>
      </w:r>
      <w:r>
        <w:t xml:space="preserve"> usually greater than 10%. Furthermore, PD 7974-7 values are generally greater than the ones for UK </w:t>
      </w:r>
      <w:r w:rsidRPr="005A69E0">
        <w:rPr>
          <w:i/>
          <w:iCs/>
        </w:rPr>
        <w:t>fire damage</w:t>
      </w:r>
      <w:r>
        <w:t xml:space="preserve"> but less than the one of UK </w:t>
      </w:r>
      <w:r w:rsidRPr="005A69E0">
        <w:rPr>
          <w:i/>
          <w:iCs/>
        </w:rPr>
        <w:t>total damage</w:t>
      </w:r>
      <w:r>
        <w:t xml:space="preserve">. USA statistics presents values greater than UK where despite the initial peaks for no safety systems, trends show a less rapid decrease for sprinklers.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16F90" w14:paraId="5282C47E" w14:textId="77777777" w:rsidTr="00336CF6">
        <w:tc>
          <w:tcPr>
            <w:tcW w:w="5354" w:type="dxa"/>
          </w:tcPr>
          <w:p w14:paraId="116FB671" w14:textId="2D417ED4" w:rsidR="00316F90" w:rsidRDefault="00227F72" w:rsidP="00781974">
            <w:pPr>
              <w:jc w:val="center"/>
              <w:rPr>
                <w:rFonts w:cs="Times New Roman"/>
                <w:b/>
                <w:szCs w:val="24"/>
              </w:rPr>
            </w:pPr>
            <w:r>
              <w:rPr>
                <w:noProof/>
                <w:lang w:eastAsia="en-GB"/>
              </w:rPr>
              <w:drawing>
                <wp:anchor distT="0" distB="0" distL="114300" distR="114300" simplePos="0" relativeHeight="251713536" behindDoc="0" locked="0" layoutInCell="1" allowOverlap="1" wp14:anchorId="684C3C12" wp14:editId="669F882A">
                  <wp:simplePos x="0" y="0"/>
                  <wp:positionH relativeFrom="column">
                    <wp:posOffset>-65405</wp:posOffset>
                  </wp:positionH>
                  <wp:positionV relativeFrom="paragraph">
                    <wp:posOffset>0</wp:posOffset>
                  </wp:positionV>
                  <wp:extent cx="2880000" cy="1980000"/>
                  <wp:effectExtent l="0" t="0" r="0" b="127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81974">
              <w:rPr>
                <w:rFonts w:cs="Times New Roman"/>
                <w:sz w:val="20"/>
                <w:szCs w:val="24"/>
              </w:rPr>
              <w:t>(a)</w:t>
            </w:r>
          </w:p>
        </w:tc>
        <w:tc>
          <w:tcPr>
            <w:tcW w:w="3662" w:type="dxa"/>
          </w:tcPr>
          <w:p w14:paraId="05B6D7D5" w14:textId="21F7F107" w:rsidR="00316F90" w:rsidRDefault="00227F72" w:rsidP="00781974">
            <w:pPr>
              <w:jc w:val="center"/>
              <w:rPr>
                <w:rFonts w:cs="Times New Roman"/>
                <w:b/>
                <w:szCs w:val="24"/>
              </w:rPr>
            </w:pPr>
            <w:r>
              <w:rPr>
                <w:noProof/>
                <w:lang w:eastAsia="en-GB"/>
              </w:rPr>
              <w:drawing>
                <wp:anchor distT="0" distB="0" distL="114300" distR="114300" simplePos="0" relativeHeight="251715584" behindDoc="0" locked="0" layoutInCell="1" allowOverlap="1" wp14:anchorId="6487C7DC" wp14:editId="08273A9B">
                  <wp:simplePos x="0" y="0"/>
                  <wp:positionH relativeFrom="column">
                    <wp:posOffset>-65405</wp:posOffset>
                  </wp:positionH>
                  <wp:positionV relativeFrom="paragraph">
                    <wp:posOffset>0</wp:posOffset>
                  </wp:positionV>
                  <wp:extent cx="2880000" cy="1980000"/>
                  <wp:effectExtent l="0" t="0" r="0" b="127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761BB">
              <w:rPr>
                <w:rFonts w:cs="Times New Roman"/>
                <w:sz w:val="20"/>
                <w:szCs w:val="24"/>
              </w:rPr>
              <w:t xml:space="preserve"> </w:t>
            </w:r>
            <w:r w:rsidR="00781974">
              <w:rPr>
                <w:rFonts w:cs="Times New Roman"/>
                <w:sz w:val="20"/>
                <w:szCs w:val="24"/>
              </w:rPr>
              <w:t>(b)</w:t>
            </w:r>
          </w:p>
        </w:tc>
      </w:tr>
      <w:tr w:rsidR="00316F90" w14:paraId="5BC371BE" w14:textId="77777777" w:rsidTr="00336CF6">
        <w:tc>
          <w:tcPr>
            <w:tcW w:w="5354" w:type="dxa"/>
          </w:tcPr>
          <w:p w14:paraId="7DB905DD" w14:textId="6F993175" w:rsidR="00316F90" w:rsidRDefault="00227F72" w:rsidP="00781974">
            <w:pPr>
              <w:jc w:val="center"/>
              <w:rPr>
                <w:rFonts w:cs="Times New Roman"/>
                <w:b/>
                <w:szCs w:val="24"/>
              </w:rPr>
            </w:pPr>
            <w:r>
              <w:rPr>
                <w:noProof/>
                <w:lang w:eastAsia="en-GB"/>
              </w:rPr>
              <w:drawing>
                <wp:anchor distT="0" distB="0" distL="114300" distR="114300" simplePos="0" relativeHeight="251717632" behindDoc="0" locked="0" layoutInCell="1" allowOverlap="1" wp14:anchorId="3722931A" wp14:editId="6AF7D542">
                  <wp:simplePos x="0" y="0"/>
                  <wp:positionH relativeFrom="column">
                    <wp:posOffset>-65405</wp:posOffset>
                  </wp:positionH>
                  <wp:positionV relativeFrom="paragraph">
                    <wp:posOffset>0</wp:posOffset>
                  </wp:positionV>
                  <wp:extent cx="2880000" cy="1980000"/>
                  <wp:effectExtent l="0" t="0" r="0" b="127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81974">
              <w:rPr>
                <w:rFonts w:cs="Times New Roman"/>
                <w:sz w:val="20"/>
                <w:szCs w:val="24"/>
              </w:rPr>
              <w:t>(c)</w:t>
            </w:r>
          </w:p>
        </w:tc>
        <w:tc>
          <w:tcPr>
            <w:tcW w:w="3662" w:type="dxa"/>
            <w:vAlign w:val="center"/>
          </w:tcPr>
          <w:p w14:paraId="3E22E54C" w14:textId="3A4B45CF" w:rsidR="00755A08" w:rsidRPr="00336CF6" w:rsidRDefault="005C7118" w:rsidP="00336CF6">
            <w:pPr>
              <w:rPr>
                <w:sz w:val="20"/>
              </w:rPr>
            </w:pPr>
            <w:bookmarkStart w:id="47" w:name="_Ref14436337"/>
            <w:bookmarkStart w:id="48" w:name="_Toc14687037"/>
            <w:bookmarkStart w:id="49" w:name="_Toc18320442"/>
            <w:r w:rsidRPr="00336CF6">
              <w:rPr>
                <w:b/>
                <w:sz w:val="20"/>
              </w:rPr>
              <w:t>A</w:t>
            </w:r>
            <w:r w:rsidRPr="00336CF6">
              <w:rPr>
                <w:sz w:val="20"/>
              </w:rPr>
              <w:t>. Up to 5 m</w:t>
            </w:r>
            <w:r w:rsidRPr="00336CF6">
              <w:rPr>
                <w:sz w:val="20"/>
                <w:vertAlign w:val="superscript"/>
              </w:rPr>
              <w:t>2</w:t>
            </w:r>
            <w:r w:rsidRPr="00336CF6">
              <w:rPr>
                <w:sz w:val="20"/>
              </w:rPr>
              <w:t xml:space="preserve">; </w:t>
            </w:r>
            <w:r w:rsidRPr="00336CF6">
              <w:rPr>
                <w:b/>
                <w:sz w:val="20"/>
              </w:rPr>
              <w:t>B</w:t>
            </w:r>
            <w:r w:rsidRPr="00336CF6">
              <w:rPr>
                <w:sz w:val="20"/>
              </w:rPr>
              <w:t>. 6 to 10 m</w:t>
            </w:r>
            <w:r w:rsidRPr="00336CF6">
              <w:rPr>
                <w:sz w:val="20"/>
                <w:vertAlign w:val="superscript"/>
              </w:rPr>
              <w:t>2</w:t>
            </w:r>
            <w:r w:rsidRPr="00336CF6">
              <w:rPr>
                <w:sz w:val="20"/>
              </w:rPr>
              <w:t xml:space="preserve">; </w:t>
            </w:r>
            <w:r w:rsidRPr="00336CF6">
              <w:rPr>
                <w:b/>
                <w:sz w:val="20"/>
              </w:rPr>
              <w:t>C</w:t>
            </w:r>
            <w:r w:rsidRPr="00336CF6">
              <w:rPr>
                <w:sz w:val="20"/>
              </w:rPr>
              <w:t>. 11 to 20 m</w:t>
            </w:r>
            <w:r w:rsidRPr="00336CF6">
              <w:rPr>
                <w:sz w:val="20"/>
                <w:vertAlign w:val="superscript"/>
              </w:rPr>
              <w:t>2</w:t>
            </w:r>
            <w:r w:rsidRPr="00336CF6">
              <w:rPr>
                <w:sz w:val="20"/>
              </w:rPr>
              <w:t xml:space="preserve">; </w:t>
            </w:r>
            <w:r w:rsidRPr="00336CF6">
              <w:rPr>
                <w:b/>
                <w:sz w:val="20"/>
              </w:rPr>
              <w:t>D</w:t>
            </w:r>
            <w:r w:rsidRPr="00336CF6">
              <w:rPr>
                <w:sz w:val="20"/>
              </w:rPr>
              <w:t>. 21 to 50 m</w:t>
            </w:r>
            <w:r w:rsidRPr="00336CF6">
              <w:rPr>
                <w:sz w:val="20"/>
                <w:vertAlign w:val="superscript"/>
              </w:rPr>
              <w:t>2</w:t>
            </w:r>
            <w:r w:rsidRPr="00336CF6">
              <w:rPr>
                <w:sz w:val="20"/>
              </w:rPr>
              <w:t xml:space="preserve">; </w:t>
            </w:r>
            <w:r w:rsidRPr="00336CF6">
              <w:rPr>
                <w:b/>
                <w:sz w:val="20"/>
              </w:rPr>
              <w:t>E</w:t>
            </w:r>
            <w:r w:rsidRPr="00336CF6">
              <w:rPr>
                <w:sz w:val="20"/>
              </w:rPr>
              <w:t>. 51 to 100 m</w:t>
            </w:r>
            <w:r w:rsidRPr="00336CF6">
              <w:rPr>
                <w:sz w:val="20"/>
                <w:vertAlign w:val="superscript"/>
              </w:rPr>
              <w:t>2</w:t>
            </w:r>
            <w:r w:rsidRPr="00336CF6">
              <w:rPr>
                <w:sz w:val="20"/>
              </w:rPr>
              <w:t xml:space="preserve">; </w:t>
            </w:r>
            <w:r w:rsidRPr="00336CF6">
              <w:rPr>
                <w:b/>
                <w:sz w:val="20"/>
              </w:rPr>
              <w:t>F</w:t>
            </w:r>
            <w:r w:rsidRPr="00336CF6">
              <w:rPr>
                <w:sz w:val="20"/>
              </w:rPr>
              <w:t>. 101 to 200 m</w:t>
            </w:r>
            <w:r w:rsidRPr="00336CF6">
              <w:rPr>
                <w:sz w:val="20"/>
                <w:vertAlign w:val="superscript"/>
              </w:rPr>
              <w:t>2</w:t>
            </w:r>
            <w:r w:rsidRPr="00336CF6">
              <w:rPr>
                <w:sz w:val="20"/>
              </w:rPr>
              <w:t xml:space="preserve">; </w:t>
            </w:r>
            <w:r w:rsidRPr="00336CF6">
              <w:rPr>
                <w:b/>
                <w:sz w:val="20"/>
              </w:rPr>
              <w:t>G</w:t>
            </w:r>
            <w:r w:rsidRPr="00336CF6">
              <w:rPr>
                <w:sz w:val="20"/>
              </w:rPr>
              <w:t>. 201 to 500 m</w:t>
            </w:r>
            <w:r w:rsidRPr="00336CF6">
              <w:rPr>
                <w:sz w:val="20"/>
                <w:vertAlign w:val="superscript"/>
              </w:rPr>
              <w:t>2</w:t>
            </w:r>
            <w:r w:rsidRPr="00336CF6">
              <w:rPr>
                <w:sz w:val="20"/>
              </w:rPr>
              <w:t xml:space="preserve">; </w:t>
            </w:r>
            <w:r w:rsidRPr="00336CF6">
              <w:rPr>
                <w:b/>
                <w:sz w:val="20"/>
              </w:rPr>
              <w:t>H</w:t>
            </w:r>
            <w:r w:rsidRPr="00336CF6">
              <w:rPr>
                <w:sz w:val="20"/>
              </w:rPr>
              <w:t>. 501 to 1000 m</w:t>
            </w:r>
            <w:r w:rsidRPr="00336CF6">
              <w:rPr>
                <w:sz w:val="20"/>
                <w:vertAlign w:val="superscript"/>
              </w:rPr>
              <w:t>2</w:t>
            </w:r>
            <w:r w:rsidRPr="00336CF6">
              <w:rPr>
                <w:sz w:val="20"/>
              </w:rPr>
              <w:t xml:space="preserve">; </w:t>
            </w:r>
            <w:r w:rsidRPr="00336CF6">
              <w:rPr>
                <w:b/>
                <w:sz w:val="20"/>
              </w:rPr>
              <w:t>I</w:t>
            </w:r>
            <w:r w:rsidRPr="00336CF6">
              <w:rPr>
                <w:sz w:val="20"/>
              </w:rPr>
              <w:t>. Over 1000 m</w:t>
            </w:r>
            <w:r w:rsidRPr="00336CF6">
              <w:rPr>
                <w:sz w:val="20"/>
                <w:vertAlign w:val="superscript"/>
              </w:rPr>
              <w:t>2</w:t>
            </w:r>
            <w:bookmarkEnd w:id="47"/>
            <w:bookmarkEnd w:id="48"/>
            <w:bookmarkEnd w:id="49"/>
          </w:p>
        </w:tc>
      </w:tr>
    </w:tbl>
    <w:p w14:paraId="1BD6CC8B" w14:textId="74C1F847" w:rsidR="005C7118" w:rsidRDefault="005C7118" w:rsidP="00336CF6">
      <w:pPr>
        <w:pStyle w:val="Caption"/>
      </w:pPr>
      <w:bookmarkStart w:id="50" w:name="_Ref26439398"/>
      <w:bookmarkStart w:id="51" w:name="_Toc28958228"/>
      <w:r>
        <w:t xml:space="preserve">Figure </w:t>
      </w:r>
      <w:r>
        <w:fldChar w:fldCharType="begin"/>
      </w:r>
      <w:r>
        <w:instrText xml:space="preserve"> SEQ Figure \* ARABIC </w:instrText>
      </w:r>
      <w:r>
        <w:fldChar w:fldCharType="separate"/>
      </w:r>
      <w:r w:rsidR="00250859">
        <w:rPr>
          <w:noProof/>
        </w:rPr>
        <w:t>8</w:t>
      </w:r>
      <w:r>
        <w:fldChar w:fldCharType="end"/>
      </w:r>
      <w:bookmarkEnd w:id="50"/>
      <w:r>
        <w:t xml:space="preserve">: Frequency distribution of area damage in </w:t>
      </w:r>
      <w:r>
        <w:rPr>
          <w:i/>
        </w:rPr>
        <w:t xml:space="preserve">Retail premises </w:t>
      </w:r>
      <w:r>
        <w:t xml:space="preserve">in (a) </w:t>
      </w:r>
      <w:r w:rsidRPr="00372568">
        <w:rPr>
          <w:u w:val="single"/>
        </w:rPr>
        <w:t>Assembly areas</w:t>
      </w:r>
      <w:r>
        <w:t xml:space="preserve">, (b) </w:t>
      </w:r>
      <w:r w:rsidRPr="00372568">
        <w:rPr>
          <w:u w:val="single"/>
        </w:rPr>
        <w:t>Storage areas</w:t>
      </w:r>
      <w:r>
        <w:t xml:space="preserve"> and (c) </w:t>
      </w:r>
      <w:r w:rsidRPr="00372568">
        <w:rPr>
          <w:u w:val="single"/>
        </w:rPr>
        <w:t>Other areas</w:t>
      </w:r>
      <w:r>
        <w:rPr>
          <w:u w:val="single"/>
        </w:rPr>
        <w:t xml:space="preserve"> </w:t>
      </w:r>
      <w:r w:rsidRPr="005A69E0">
        <w:t>[S=Sprinklers; NS=No sprinklers]</w:t>
      </w:r>
      <w:r>
        <w:t xml:space="preserve"> for PD 7974-7, UK and USA statistics </w:t>
      </w:r>
      <w:r>
        <w:fldChar w:fldCharType="begin" w:fldLock="1"/>
      </w:r>
      <w: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fldChar w:fldCharType="separate"/>
      </w:r>
      <w:r w:rsidRPr="00524A6C">
        <w:rPr>
          <w:noProof/>
        </w:rPr>
        <w:t>[15]</w:t>
      </w:r>
      <w:bookmarkEnd w:id="51"/>
      <w:r>
        <w:fldChar w:fldCharType="end"/>
      </w:r>
    </w:p>
    <w:p w14:paraId="4804D8B8" w14:textId="3CF9B04F" w:rsidR="007A5291" w:rsidRPr="0048720E" w:rsidRDefault="00BD555A" w:rsidP="007A5291">
      <w:pPr>
        <w:rPr>
          <w:rFonts w:cs="Times New Roman"/>
          <w:szCs w:val="24"/>
        </w:rPr>
      </w:pPr>
      <w:r w:rsidRPr="00BD555A">
        <w:rPr>
          <w:rFonts w:cs="Times New Roman"/>
          <w:szCs w:val="24"/>
        </w:rPr>
        <w:t xml:space="preserve">Finally, </w:t>
      </w:r>
      <w:r w:rsidR="00096164">
        <w:rPr>
          <w:rFonts w:cs="Times New Roman"/>
          <w:szCs w:val="24"/>
        </w:rPr>
        <w:t>f</w:t>
      </w:r>
      <w:r>
        <w:rPr>
          <w:rFonts w:cs="Times New Roman"/>
          <w:szCs w:val="24"/>
        </w:rPr>
        <w:t xml:space="preserve">or </w:t>
      </w:r>
      <w:r w:rsidRPr="00BD555A">
        <w:rPr>
          <w:rFonts w:cs="Times New Roman"/>
          <w:i/>
          <w:szCs w:val="24"/>
        </w:rPr>
        <w:t>Hotels</w:t>
      </w:r>
      <w:r>
        <w:rPr>
          <w:rFonts w:cs="Times New Roman"/>
          <w:szCs w:val="24"/>
        </w:rPr>
        <w:t>, three different fire origin locati</w:t>
      </w:r>
      <w:r w:rsidR="003803FD">
        <w:rPr>
          <w:rFonts w:cs="Times New Roman"/>
          <w:szCs w:val="24"/>
        </w:rPr>
        <w:t xml:space="preserve">ons </w:t>
      </w:r>
      <w:r>
        <w:rPr>
          <w:rFonts w:cs="Times New Roman"/>
          <w:szCs w:val="24"/>
        </w:rPr>
        <w:t>are</w:t>
      </w:r>
      <w:r w:rsidR="00BE4201">
        <w:rPr>
          <w:rFonts w:cs="Times New Roman"/>
          <w:szCs w:val="24"/>
        </w:rPr>
        <w:t xml:space="preserve"> assessed</w:t>
      </w:r>
      <w:r>
        <w:rPr>
          <w:rFonts w:cs="Times New Roman"/>
          <w:szCs w:val="24"/>
        </w:rPr>
        <w:t>:</w:t>
      </w:r>
      <w:r w:rsidR="007328D5" w:rsidRPr="005A69E0">
        <w:rPr>
          <w:rFonts w:cs="Times New Roman"/>
          <w:szCs w:val="24"/>
        </w:rPr>
        <w:t xml:space="preserve"> </w:t>
      </w:r>
      <w:r w:rsidRPr="00D41D9F">
        <w:rPr>
          <w:rFonts w:cs="Times New Roman"/>
          <w:szCs w:val="24"/>
          <w:u w:val="single"/>
        </w:rPr>
        <w:t>Storage and other areas</w:t>
      </w:r>
      <w:r w:rsidRPr="00D41D9F">
        <w:rPr>
          <w:rFonts w:cs="Times New Roman"/>
          <w:szCs w:val="24"/>
        </w:rPr>
        <w:t xml:space="preserve"> as</w:t>
      </w:r>
      <w:r w:rsidR="00FE6417" w:rsidRPr="00D41D9F">
        <w:rPr>
          <w:rFonts w:cs="Times New Roman"/>
          <w:szCs w:val="24"/>
        </w:rPr>
        <w:t xml:space="preserve"> </w:t>
      </w:r>
      <w:r w:rsidR="00FE6417">
        <w:t>Store room/Laundry room/Cloakroom and Refuse store</w:t>
      </w:r>
      <w:r w:rsidR="007328D5">
        <w:t>;</w:t>
      </w:r>
      <w:r w:rsidR="007328D5" w:rsidRPr="005A69E0">
        <w:rPr>
          <w:rFonts w:cs="Times New Roman"/>
          <w:szCs w:val="24"/>
        </w:rPr>
        <w:t xml:space="preserve"> </w:t>
      </w:r>
      <w:r w:rsidRPr="00D41D9F">
        <w:rPr>
          <w:rFonts w:cs="Times New Roman"/>
          <w:szCs w:val="24"/>
          <w:u w:val="single"/>
        </w:rPr>
        <w:t>Assembly areas</w:t>
      </w:r>
      <w:r w:rsidRPr="00D41D9F">
        <w:rPr>
          <w:rFonts w:cs="Times New Roman"/>
          <w:szCs w:val="24"/>
        </w:rPr>
        <w:t xml:space="preserve"> as</w:t>
      </w:r>
      <w:r w:rsidR="00EC1E5E">
        <w:rPr>
          <w:rFonts w:cs="Times New Roman"/>
          <w:szCs w:val="24"/>
        </w:rPr>
        <w:t xml:space="preserve"> Corridor/Hall/Open Plan Area/</w:t>
      </w:r>
      <w:r w:rsidR="00EC1E5E" w:rsidRPr="00EC1E5E">
        <w:rPr>
          <w:rFonts w:cs="Times New Roman"/>
          <w:szCs w:val="24"/>
        </w:rPr>
        <w:t>Reception Area</w:t>
      </w:r>
      <w:r w:rsidR="00EC1E5E">
        <w:rPr>
          <w:rFonts w:cs="Times New Roman"/>
          <w:szCs w:val="24"/>
        </w:rPr>
        <w:t xml:space="preserve"> and Meeting Room/</w:t>
      </w:r>
      <w:r w:rsidR="00EC1E5E" w:rsidRPr="00EC1E5E">
        <w:rPr>
          <w:rFonts w:cs="Times New Roman"/>
          <w:szCs w:val="24"/>
        </w:rPr>
        <w:t>Office</w:t>
      </w:r>
      <w:r w:rsidR="007328D5">
        <w:t>;</w:t>
      </w:r>
      <w:r w:rsidR="007328D5" w:rsidRPr="005A69E0">
        <w:rPr>
          <w:rFonts w:cs="Times New Roman"/>
          <w:szCs w:val="24"/>
        </w:rPr>
        <w:t xml:space="preserve"> </w:t>
      </w:r>
      <w:r w:rsidRPr="00D41D9F">
        <w:rPr>
          <w:rFonts w:cs="Times New Roman"/>
          <w:szCs w:val="24"/>
          <w:u w:val="single"/>
        </w:rPr>
        <w:t>Bedrooms</w:t>
      </w:r>
      <w:r w:rsidRPr="00D41D9F">
        <w:rPr>
          <w:rFonts w:cs="Times New Roman"/>
          <w:szCs w:val="24"/>
        </w:rPr>
        <w:t xml:space="preserve"> as </w:t>
      </w:r>
      <w:r w:rsidR="00FE6417" w:rsidRPr="00D41D9F">
        <w:rPr>
          <w:rFonts w:cs="Times New Roman"/>
          <w:szCs w:val="24"/>
        </w:rPr>
        <w:t>Bedroom/Bedsitting room</w:t>
      </w:r>
      <w:r w:rsidR="007328D5">
        <w:rPr>
          <w:rFonts w:cs="Times New Roman"/>
          <w:szCs w:val="24"/>
        </w:rPr>
        <w:t>.</w:t>
      </w:r>
      <w:r w:rsidR="008D7D79">
        <w:rPr>
          <w:rFonts w:cs="Times New Roman"/>
          <w:szCs w:val="24"/>
        </w:rPr>
        <w:t xml:space="preserve"> </w:t>
      </w:r>
      <w:r w:rsidR="007A5291">
        <w:rPr>
          <w:rFonts w:cs="Times New Roman"/>
          <w:szCs w:val="24"/>
        </w:rPr>
        <w:t xml:space="preserve">In </w:t>
      </w:r>
      <w:r w:rsidR="007A5291" w:rsidRPr="00FE6417">
        <w:rPr>
          <w:rFonts w:cs="Times New Roman"/>
          <w:szCs w:val="24"/>
          <w:u w:val="single"/>
        </w:rPr>
        <w:t>Assembly areas</w:t>
      </w:r>
      <w:r w:rsidR="007A5291">
        <w:rPr>
          <w:rFonts w:cs="Times New Roman"/>
          <w:szCs w:val="24"/>
        </w:rPr>
        <w:t xml:space="preserve"> and </w:t>
      </w:r>
      <w:r w:rsidR="007A5291" w:rsidRPr="00FE6417">
        <w:rPr>
          <w:rFonts w:cs="Times New Roman"/>
          <w:szCs w:val="24"/>
          <w:u w:val="single"/>
        </w:rPr>
        <w:t>Bedrooms</w:t>
      </w:r>
      <w:r w:rsidR="007A5291">
        <w:rPr>
          <w:rFonts w:cs="Times New Roman"/>
          <w:szCs w:val="24"/>
        </w:rPr>
        <w:t xml:space="preserve"> only fires in buildings without </w:t>
      </w:r>
      <w:r w:rsidR="00FE6417">
        <w:rPr>
          <w:rFonts w:cs="Times New Roman"/>
          <w:szCs w:val="24"/>
        </w:rPr>
        <w:t xml:space="preserve">sprinklers are considered while for </w:t>
      </w:r>
      <w:r w:rsidR="00FE6417" w:rsidRPr="00FE6417">
        <w:rPr>
          <w:rFonts w:cs="Times New Roman"/>
          <w:szCs w:val="24"/>
          <w:u w:val="single"/>
        </w:rPr>
        <w:t>Storage and other areas</w:t>
      </w:r>
      <w:r w:rsidR="00FE6417">
        <w:rPr>
          <w:rFonts w:cs="Times New Roman"/>
          <w:szCs w:val="24"/>
        </w:rPr>
        <w:t xml:space="preserve">, presence and absence of </w:t>
      </w:r>
      <w:r w:rsidR="000F2462">
        <w:rPr>
          <w:rFonts w:cs="Times New Roman"/>
          <w:szCs w:val="24"/>
        </w:rPr>
        <w:t>safety</w:t>
      </w:r>
      <w:r w:rsidR="00FE6417">
        <w:rPr>
          <w:rFonts w:cs="Times New Roman"/>
          <w:szCs w:val="24"/>
        </w:rPr>
        <w:t xml:space="preserve"> systems </w:t>
      </w:r>
      <w:r w:rsidR="00CF6EE2">
        <w:rPr>
          <w:rFonts w:cs="Times New Roman"/>
          <w:szCs w:val="24"/>
        </w:rPr>
        <w:t>are</w:t>
      </w:r>
      <w:r w:rsidR="00FE6417">
        <w:rPr>
          <w:rFonts w:cs="Times New Roman"/>
          <w:szCs w:val="24"/>
        </w:rPr>
        <w:t xml:space="preserve"> evaluated</w:t>
      </w:r>
      <w:r w:rsidR="008D7D79">
        <w:rPr>
          <w:rFonts w:cs="Times New Roman"/>
          <w:szCs w:val="24"/>
        </w:rPr>
        <w:t xml:space="preserve"> in PD 7974-7</w:t>
      </w:r>
      <w:r w:rsidR="00FE6417">
        <w:rPr>
          <w:rFonts w:cs="Times New Roman"/>
          <w:szCs w:val="24"/>
        </w:rPr>
        <w:t xml:space="preserve">. When fires in buildings with sprinklers are </w:t>
      </w:r>
      <w:r w:rsidR="003D5B53">
        <w:rPr>
          <w:rFonts w:cs="Times New Roman"/>
          <w:szCs w:val="24"/>
        </w:rPr>
        <w:t>analysed</w:t>
      </w:r>
      <w:r w:rsidR="00FE6417">
        <w:rPr>
          <w:rFonts w:cs="Times New Roman"/>
          <w:szCs w:val="24"/>
        </w:rPr>
        <w:t xml:space="preserve">, the total number recorded in </w:t>
      </w:r>
      <w:r w:rsidR="00FE6417" w:rsidRPr="00E6785C">
        <w:rPr>
          <w:rFonts w:cs="Times New Roman"/>
          <w:szCs w:val="24"/>
          <w:u w:val="single"/>
        </w:rPr>
        <w:t>Storage and other areas</w:t>
      </w:r>
      <w:r w:rsidR="00FE6417">
        <w:rPr>
          <w:rFonts w:cs="Times New Roman"/>
          <w:szCs w:val="24"/>
        </w:rPr>
        <w:t xml:space="preserve"> is 35 for PD 7974-7 and 10 for UK statistics and, due to the small sample, no comments are expressed. W</w:t>
      </w:r>
      <w:r w:rsidR="0021231F">
        <w:rPr>
          <w:rFonts w:cs="Times New Roman"/>
          <w:szCs w:val="24"/>
        </w:rPr>
        <w:t>hen sprinklers are absent, fires</w:t>
      </w:r>
      <w:r w:rsidR="00FE6417">
        <w:rPr>
          <w:rFonts w:cs="Times New Roman"/>
          <w:szCs w:val="24"/>
        </w:rPr>
        <w:t xml:space="preserve"> are 3</w:t>
      </w:r>
      <w:r w:rsidR="003D5B53">
        <w:rPr>
          <w:rFonts w:cs="Times New Roman"/>
          <w:szCs w:val="24"/>
        </w:rPr>
        <w:t>,</w:t>
      </w:r>
      <w:r w:rsidR="00BB392D">
        <w:rPr>
          <w:rFonts w:cs="Times New Roman"/>
          <w:szCs w:val="24"/>
        </w:rPr>
        <w:t>8</w:t>
      </w:r>
      <w:r w:rsidR="00FE6417">
        <w:rPr>
          <w:rFonts w:cs="Times New Roman"/>
          <w:szCs w:val="24"/>
        </w:rPr>
        <w:t xml:space="preserve">21 and 304 in </w:t>
      </w:r>
      <w:r w:rsidR="00FE6417" w:rsidRPr="00B56688">
        <w:rPr>
          <w:rFonts w:cs="Times New Roman"/>
          <w:szCs w:val="24"/>
          <w:u w:val="single"/>
        </w:rPr>
        <w:t>Storage and other areas</w:t>
      </w:r>
      <w:r w:rsidR="00FE6417">
        <w:rPr>
          <w:rFonts w:cs="Times New Roman"/>
          <w:szCs w:val="24"/>
        </w:rPr>
        <w:t>, 51</w:t>
      </w:r>
      <w:r w:rsidR="00BB392D">
        <w:rPr>
          <w:rFonts w:cs="Times New Roman"/>
          <w:szCs w:val="24"/>
        </w:rPr>
        <w:t>8</w:t>
      </w:r>
      <w:r w:rsidR="00FE6417">
        <w:rPr>
          <w:rFonts w:cs="Times New Roman"/>
          <w:szCs w:val="24"/>
        </w:rPr>
        <w:t xml:space="preserve"> and 167 in </w:t>
      </w:r>
      <w:r w:rsidR="00FE6417" w:rsidRPr="00B56688">
        <w:rPr>
          <w:rFonts w:cs="Times New Roman"/>
          <w:szCs w:val="24"/>
          <w:u w:val="single"/>
        </w:rPr>
        <w:t>Assembly areas</w:t>
      </w:r>
      <w:r w:rsidR="00FE6417">
        <w:rPr>
          <w:rFonts w:cs="Times New Roman"/>
          <w:szCs w:val="24"/>
        </w:rPr>
        <w:t xml:space="preserve"> and 1</w:t>
      </w:r>
      <w:r w:rsidR="003D5B53">
        <w:rPr>
          <w:rFonts w:cs="Times New Roman"/>
          <w:szCs w:val="24"/>
        </w:rPr>
        <w:t>,</w:t>
      </w:r>
      <w:r w:rsidR="007071C8">
        <w:rPr>
          <w:rFonts w:cs="Times New Roman"/>
          <w:szCs w:val="24"/>
        </w:rPr>
        <w:t>205</w:t>
      </w:r>
      <w:r w:rsidR="00FE6417">
        <w:rPr>
          <w:rFonts w:cs="Times New Roman"/>
          <w:szCs w:val="24"/>
        </w:rPr>
        <w:t xml:space="preserve"> and 366 in </w:t>
      </w:r>
      <w:r w:rsidR="00FE6417" w:rsidRPr="00B56688">
        <w:rPr>
          <w:rFonts w:cs="Times New Roman"/>
          <w:szCs w:val="24"/>
          <w:u w:val="single"/>
        </w:rPr>
        <w:t>Bedrooms</w:t>
      </w:r>
      <w:r w:rsidR="00FE6417">
        <w:rPr>
          <w:rFonts w:cs="Times New Roman"/>
          <w:szCs w:val="24"/>
        </w:rPr>
        <w:t xml:space="preserve"> in PD 7974-7 and UK statistics</w:t>
      </w:r>
      <w:r w:rsidR="008105A3">
        <w:rPr>
          <w:rFonts w:cs="Times New Roman"/>
          <w:szCs w:val="24"/>
        </w:rPr>
        <w:t>,</w:t>
      </w:r>
      <w:r w:rsidR="008105A3" w:rsidRPr="008105A3">
        <w:rPr>
          <w:rFonts w:cs="Times New Roman"/>
          <w:szCs w:val="24"/>
        </w:rPr>
        <w:t xml:space="preserve"> </w:t>
      </w:r>
      <w:r w:rsidR="008105A3">
        <w:rPr>
          <w:rFonts w:cs="Times New Roman"/>
          <w:szCs w:val="24"/>
        </w:rPr>
        <w:t>respectively</w:t>
      </w:r>
      <w:r w:rsidR="00FE6417">
        <w:rPr>
          <w:rFonts w:cs="Times New Roman"/>
          <w:szCs w:val="24"/>
        </w:rPr>
        <w:t xml:space="preserve">. </w:t>
      </w:r>
      <w:r w:rsidR="00B56688">
        <w:rPr>
          <w:rFonts w:cs="Times New Roman"/>
          <w:szCs w:val="24"/>
        </w:rPr>
        <w:t xml:space="preserve">Even when </w:t>
      </w:r>
      <w:r w:rsidR="00B56688" w:rsidRPr="00E6785C">
        <w:rPr>
          <w:rFonts w:cs="Times New Roman"/>
          <w:i/>
          <w:szCs w:val="24"/>
        </w:rPr>
        <w:t>Hotels</w:t>
      </w:r>
      <w:r w:rsidR="00B56688">
        <w:rPr>
          <w:rFonts w:cs="Times New Roman"/>
          <w:szCs w:val="24"/>
        </w:rPr>
        <w:t xml:space="preserve"> are</w:t>
      </w:r>
      <w:r w:rsidR="00107F82">
        <w:rPr>
          <w:rFonts w:cs="Times New Roman"/>
          <w:szCs w:val="24"/>
        </w:rPr>
        <w:t xml:space="preserve"> analysed, </w:t>
      </w:r>
      <w:r w:rsidR="008105A3">
        <w:rPr>
          <w:rFonts w:cs="Times New Roman"/>
          <w:szCs w:val="24"/>
        </w:rPr>
        <w:t>similar comments can be expressed as</w:t>
      </w:r>
      <w:r w:rsidR="00107F82">
        <w:rPr>
          <w:rFonts w:cs="Times New Roman"/>
          <w:szCs w:val="24"/>
        </w:rPr>
        <w:t xml:space="preserve"> for the other two property types</w:t>
      </w:r>
      <w:r w:rsidR="008105A3">
        <w:rPr>
          <w:rFonts w:cs="Times New Roman"/>
          <w:szCs w:val="24"/>
        </w:rPr>
        <w:t>,</w:t>
      </w:r>
      <w:r w:rsidR="00107F82">
        <w:rPr>
          <w:rFonts w:cs="Times New Roman"/>
          <w:szCs w:val="24"/>
        </w:rPr>
        <w:t xml:space="preserve"> with percentage of fire exceeding 100 m</w:t>
      </w:r>
      <w:r w:rsidR="00107F82" w:rsidRPr="00107F82">
        <w:rPr>
          <w:rFonts w:cs="Times New Roman"/>
          <w:szCs w:val="24"/>
          <w:vertAlign w:val="superscript"/>
        </w:rPr>
        <w:t>2</w:t>
      </w:r>
      <w:r w:rsidR="00107F82">
        <w:rPr>
          <w:rFonts w:cs="Times New Roman"/>
          <w:szCs w:val="24"/>
        </w:rPr>
        <w:t xml:space="preserve"> </w:t>
      </w:r>
      <w:r w:rsidR="008105A3">
        <w:rPr>
          <w:rFonts w:cs="Times New Roman"/>
          <w:szCs w:val="24"/>
        </w:rPr>
        <w:t xml:space="preserve">damage </w:t>
      </w:r>
      <w:r w:rsidR="00107F82">
        <w:rPr>
          <w:rFonts w:cs="Times New Roman"/>
          <w:szCs w:val="24"/>
        </w:rPr>
        <w:t>approximately less than 10% in the three fire origin location</w:t>
      </w:r>
      <w:r w:rsidR="00E6785C">
        <w:rPr>
          <w:rFonts w:cs="Times New Roman"/>
          <w:szCs w:val="24"/>
        </w:rPr>
        <w:t>s</w:t>
      </w:r>
      <w:r w:rsidR="00107F82">
        <w:rPr>
          <w:rFonts w:cs="Times New Roman"/>
          <w:szCs w:val="24"/>
        </w:rPr>
        <w:t xml:space="preserve"> (</w:t>
      </w:r>
      <w:r w:rsidR="00107F82">
        <w:rPr>
          <w:rFonts w:cs="Times New Roman"/>
          <w:szCs w:val="24"/>
        </w:rPr>
        <w:fldChar w:fldCharType="begin"/>
      </w:r>
      <w:r w:rsidR="00107F82">
        <w:rPr>
          <w:rFonts w:cs="Times New Roman"/>
          <w:szCs w:val="24"/>
        </w:rPr>
        <w:instrText xml:space="preserve"> REF _Ref14436342 \h </w:instrText>
      </w:r>
      <w:r w:rsidR="00107F82">
        <w:rPr>
          <w:rFonts w:cs="Times New Roman"/>
          <w:szCs w:val="24"/>
        </w:rPr>
      </w:r>
      <w:r w:rsidR="00107F82">
        <w:rPr>
          <w:rFonts w:cs="Times New Roman"/>
          <w:szCs w:val="24"/>
        </w:rPr>
        <w:fldChar w:fldCharType="separate"/>
      </w:r>
      <w:r w:rsidR="00250859">
        <w:t xml:space="preserve">Figure </w:t>
      </w:r>
      <w:r w:rsidR="00250859">
        <w:rPr>
          <w:noProof/>
        </w:rPr>
        <w:t>9</w:t>
      </w:r>
      <w:r w:rsidR="00107F82">
        <w:rPr>
          <w:rFonts w:cs="Times New Roman"/>
          <w:szCs w:val="24"/>
        </w:rPr>
        <w:fldChar w:fldCharType="end"/>
      </w:r>
      <w:r w:rsidR="00107F82">
        <w:rPr>
          <w:rFonts w:cs="Times New Roman"/>
          <w:szCs w:val="24"/>
        </w:rPr>
        <w:t>).</w:t>
      </w:r>
      <w:r w:rsidR="0048720E">
        <w:rPr>
          <w:rFonts w:cs="Times New Roman"/>
          <w:szCs w:val="24"/>
        </w:rPr>
        <w:t xml:space="preserve"> The only difference is found in </w:t>
      </w:r>
      <w:r w:rsidR="0048720E" w:rsidRPr="00907CB6">
        <w:rPr>
          <w:rFonts w:cs="Times New Roman"/>
          <w:szCs w:val="24"/>
          <w:u w:val="single"/>
        </w:rPr>
        <w:t>Storage and other areas</w:t>
      </w:r>
      <w:r w:rsidR="0048720E">
        <w:rPr>
          <w:rFonts w:cs="Times New Roman"/>
          <w:b/>
          <w:szCs w:val="24"/>
        </w:rPr>
        <w:t xml:space="preserve"> </w:t>
      </w:r>
      <w:r w:rsidR="0048720E">
        <w:rPr>
          <w:rFonts w:cs="Times New Roman"/>
          <w:szCs w:val="24"/>
        </w:rPr>
        <w:t xml:space="preserve">where percentages for sprinklers are higher than the ones </w:t>
      </w:r>
      <w:r w:rsidR="00117A00">
        <w:rPr>
          <w:rFonts w:cs="Times New Roman"/>
          <w:szCs w:val="24"/>
        </w:rPr>
        <w:t xml:space="preserve">for no sprinklers buildings </w:t>
      </w:r>
      <w:r w:rsidR="00F054FE">
        <w:rPr>
          <w:rFonts w:cs="Times New Roman"/>
          <w:szCs w:val="24"/>
        </w:rPr>
        <w:t xml:space="preserve">for total fire </w:t>
      </w:r>
      <w:r w:rsidR="00BB392D">
        <w:rPr>
          <w:rFonts w:cs="Times New Roman"/>
          <w:szCs w:val="24"/>
        </w:rPr>
        <w:t xml:space="preserve">possibly </w:t>
      </w:r>
      <w:r w:rsidR="0048720E">
        <w:rPr>
          <w:rFonts w:cs="Times New Roman"/>
          <w:szCs w:val="24"/>
        </w:rPr>
        <w:t xml:space="preserve">due to the limited number of fire recorded for presence of safety systems. </w:t>
      </w:r>
      <w:r w:rsidR="00117A00">
        <w:rPr>
          <w:rFonts w:cs="Times New Roman"/>
          <w:szCs w:val="24"/>
        </w:rPr>
        <w:t>Moreover, USA shows for the</w:t>
      </w:r>
      <w:r w:rsidR="0048720E">
        <w:rPr>
          <w:rFonts w:cs="Times New Roman"/>
          <w:szCs w:val="24"/>
        </w:rPr>
        <w:t>s</w:t>
      </w:r>
      <w:r w:rsidR="00117A00">
        <w:rPr>
          <w:rFonts w:cs="Times New Roman"/>
          <w:szCs w:val="24"/>
        </w:rPr>
        <w:t>e</w:t>
      </w:r>
      <w:r w:rsidR="0048720E">
        <w:rPr>
          <w:rFonts w:cs="Times New Roman"/>
          <w:szCs w:val="24"/>
        </w:rPr>
        <w:t xml:space="preserve"> fire origin location, percentages relatively similar to the ones found for </w:t>
      </w:r>
      <w:r w:rsidR="0048720E" w:rsidRPr="00336CF6">
        <w:rPr>
          <w:rFonts w:cs="Times New Roman"/>
          <w:i/>
          <w:szCs w:val="24"/>
        </w:rPr>
        <w:t>total damage</w:t>
      </w:r>
      <w:r w:rsidR="0048720E">
        <w:rPr>
          <w:rFonts w:cs="Times New Roman"/>
          <w:szCs w:val="24"/>
        </w:rPr>
        <w:t xml:space="preserve"> in UK (</w:t>
      </w:r>
      <w:r w:rsidR="0048720E">
        <w:rPr>
          <w:rFonts w:cs="Times New Roman"/>
          <w:szCs w:val="24"/>
        </w:rPr>
        <w:fldChar w:fldCharType="begin"/>
      </w:r>
      <w:r w:rsidR="0048720E">
        <w:rPr>
          <w:rFonts w:cs="Times New Roman"/>
          <w:szCs w:val="24"/>
        </w:rPr>
        <w:instrText xml:space="preserve"> REF _Ref14436342 \h </w:instrText>
      </w:r>
      <w:r w:rsidR="0048720E">
        <w:rPr>
          <w:rFonts w:cs="Times New Roman"/>
          <w:szCs w:val="24"/>
        </w:rPr>
      </w:r>
      <w:r w:rsidR="0048720E">
        <w:rPr>
          <w:rFonts w:cs="Times New Roman"/>
          <w:szCs w:val="24"/>
        </w:rPr>
        <w:fldChar w:fldCharType="separate"/>
      </w:r>
      <w:r w:rsidR="00250859">
        <w:t xml:space="preserve">Figure </w:t>
      </w:r>
      <w:r w:rsidR="00250859">
        <w:rPr>
          <w:noProof/>
        </w:rPr>
        <w:t>9</w:t>
      </w:r>
      <w:r w:rsidR="0048720E">
        <w:rPr>
          <w:rFonts w:cs="Times New Roman"/>
          <w:szCs w:val="24"/>
        </w:rPr>
        <w:fldChar w:fldCharType="end"/>
      </w:r>
      <w:r w:rsidR="0048720E">
        <w:rPr>
          <w:rFonts w:cs="Times New Roman"/>
          <w:szCs w:val="24"/>
        </w:rPr>
        <w:t xml:space="preserve"> (a)).</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1"/>
      </w:tblGrid>
      <w:tr w:rsidR="00417173" w14:paraId="138E1FBB" w14:textId="77777777" w:rsidTr="00336CF6">
        <w:tc>
          <w:tcPr>
            <w:tcW w:w="3609" w:type="dxa"/>
          </w:tcPr>
          <w:p w14:paraId="75C9BD50" w14:textId="2DE31FAF" w:rsidR="00781974" w:rsidRDefault="000F09B5" w:rsidP="00FF2092">
            <w:pPr>
              <w:jc w:val="center"/>
              <w:rPr>
                <w:rFonts w:cs="Times New Roman"/>
                <w:b/>
                <w:szCs w:val="24"/>
              </w:rPr>
            </w:pPr>
            <w:r>
              <w:rPr>
                <w:rFonts w:cs="Times New Roman"/>
                <w:sz w:val="20"/>
                <w:szCs w:val="24"/>
              </w:rPr>
              <w:lastRenderedPageBreak/>
              <w:t xml:space="preserve"> </w:t>
            </w:r>
            <w:r w:rsidR="00227F72">
              <w:rPr>
                <w:noProof/>
                <w:lang w:eastAsia="en-GB"/>
              </w:rPr>
              <w:drawing>
                <wp:anchor distT="0" distB="0" distL="114300" distR="114300" simplePos="0" relativeHeight="251719680" behindDoc="0" locked="0" layoutInCell="1" allowOverlap="1" wp14:anchorId="17C5F9AC" wp14:editId="0803AEE8">
                  <wp:simplePos x="0" y="0"/>
                  <wp:positionH relativeFrom="column">
                    <wp:posOffset>-65405</wp:posOffset>
                  </wp:positionH>
                  <wp:positionV relativeFrom="paragraph">
                    <wp:posOffset>0</wp:posOffset>
                  </wp:positionV>
                  <wp:extent cx="2880000" cy="1980000"/>
                  <wp:effectExtent l="0" t="0" r="0" b="127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227F72">
              <w:rPr>
                <w:rFonts w:cs="Times New Roman"/>
                <w:sz w:val="20"/>
                <w:szCs w:val="24"/>
              </w:rPr>
              <w:t xml:space="preserve"> </w:t>
            </w:r>
            <w:r w:rsidR="00FF2092">
              <w:rPr>
                <w:rFonts w:cs="Times New Roman"/>
                <w:sz w:val="20"/>
                <w:szCs w:val="24"/>
              </w:rPr>
              <w:t>(a)</w:t>
            </w:r>
          </w:p>
        </w:tc>
        <w:tc>
          <w:tcPr>
            <w:tcW w:w="5402" w:type="dxa"/>
          </w:tcPr>
          <w:p w14:paraId="57708AEA" w14:textId="4EEA2C8C" w:rsidR="00781974" w:rsidRDefault="00227F72" w:rsidP="00FF2092">
            <w:pPr>
              <w:jc w:val="center"/>
              <w:rPr>
                <w:rFonts w:cs="Times New Roman"/>
                <w:b/>
                <w:szCs w:val="24"/>
              </w:rPr>
            </w:pPr>
            <w:r>
              <w:rPr>
                <w:noProof/>
                <w:lang w:eastAsia="en-GB"/>
              </w:rPr>
              <w:drawing>
                <wp:anchor distT="0" distB="0" distL="114300" distR="114300" simplePos="0" relativeHeight="251721728" behindDoc="0" locked="0" layoutInCell="1" allowOverlap="1" wp14:anchorId="03EB95C5" wp14:editId="4540AA9F">
                  <wp:simplePos x="0" y="0"/>
                  <wp:positionH relativeFrom="column">
                    <wp:posOffset>-65405</wp:posOffset>
                  </wp:positionH>
                  <wp:positionV relativeFrom="paragraph">
                    <wp:posOffset>0</wp:posOffset>
                  </wp:positionV>
                  <wp:extent cx="2880000" cy="1980000"/>
                  <wp:effectExtent l="0" t="0" r="0" b="127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0F09B5">
              <w:rPr>
                <w:rFonts w:cs="Times New Roman"/>
                <w:sz w:val="20"/>
                <w:szCs w:val="24"/>
              </w:rPr>
              <w:t xml:space="preserve"> </w:t>
            </w:r>
            <w:r w:rsidR="00FF2092">
              <w:rPr>
                <w:rFonts w:cs="Times New Roman"/>
                <w:sz w:val="20"/>
                <w:szCs w:val="24"/>
              </w:rPr>
              <w:t>(b)</w:t>
            </w:r>
          </w:p>
        </w:tc>
        <w:bookmarkStart w:id="52" w:name="_GoBack"/>
        <w:bookmarkEnd w:id="52"/>
      </w:tr>
      <w:tr w:rsidR="005C7118" w14:paraId="1E9BFA39" w14:textId="77777777" w:rsidTr="00336CF6">
        <w:tc>
          <w:tcPr>
            <w:tcW w:w="9011" w:type="dxa"/>
            <w:gridSpan w:val="2"/>
          </w:tcPr>
          <w:p w14:paraId="6B79115D" w14:textId="7D94B556" w:rsidR="005C7118" w:rsidRDefault="005C7118" w:rsidP="00336CF6">
            <w:pPr>
              <w:rPr>
                <w:noProof/>
                <w:lang w:eastAsia="en-GB"/>
              </w:rPr>
            </w:pPr>
            <w:r w:rsidRPr="00F17FFE">
              <w:rPr>
                <w:b/>
                <w:sz w:val="20"/>
              </w:rPr>
              <w:t>A</w:t>
            </w:r>
            <w:r w:rsidRPr="00F17FFE">
              <w:rPr>
                <w:sz w:val="20"/>
              </w:rPr>
              <w:t>. Up to 5 m</w:t>
            </w:r>
            <w:r w:rsidRPr="00F17FFE">
              <w:rPr>
                <w:sz w:val="20"/>
                <w:vertAlign w:val="superscript"/>
              </w:rPr>
              <w:t>2</w:t>
            </w:r>
            <w:r w:rsidRPr="00F17FFE">
              <w:rPr>
                <w:sz w:val="20"/>
              </w:rPr>
              <w:t xml:space="preserve">; </w:t>
            </w:r>
            <w:r w:rsidRPr="00F17FFE">
              <w:rPr>
                <w:b/>
                <w:sz w:val="20"/>
              </w:rPr>
              <w:t>B</w:t>
            </w:r>
            <w:r w:rsidRPr="00F17FFE">
              <w:rPr>
                <w:sz w:val="20"/>
              </w:rPr>
              <w:t>. 6 to 10 m</w:t>
            </w:r>
            <w:r w:rsidRPr="00F17FFE">
              <w:rPr>
                <w:sz w:val="20"/>
                <w:vertAlign w:val="superscript"/>
              </w:rPr>
              <w:t>2</w:t>
            </w:r>
            <w:r w:rsidRPr="00F17FFE">
              <w:rPr>
                <w:sz w:val="20"/>
              </w:rPr>
              <w:t xml:space="preserve">; </w:t>
            </w:r>
            <w:r w:rsidRPr="00F17FFE">
              <w:rPr>
                <w:b/>
                <w:sz w:val="20"/>
              </w:rPr>
              <w:t>C</w:t>
            </w:r>
            <w:r w:rsidRPr="00F17FFE">
              <w:rPr>
                <w:sz w:val="20"/>
              </w:rPr>
              <w:t>. 11 to 20 m</w:t>
            </w:r>
            <w:r w:rsidRPr="00F17FFE">
              <w:rPr>
                <w:sz w:val="20"/>
                <w:vertAlign w:val="superscript"/>
              </w:rPr>
              <w:t>2</w:t>
            </w:r>
            <w:r w:rsidRPr="00F17FFE">
              <w:rPr>
                <w:sz w:val="20"/>
              </w:rPr>
              <w:t xml:space="preserve">; </w:t>
            </w:r>
            <w:r w:rsidRPr="00F17FFE">
              <w:rPr>
                <w:b/>
                <w:sz w:val="20"/>
              </w:rPr>
              <w:t>D</w:t>
            </w:r>
            <w:r w:rsidRPr="00F17FFE">
              <w:rPr>
                <w:sz w:val="20"/>
              </w:rPr>
              <w:t>. 21 to 50 m</w:t>
            </w:r>
            <w:r w:rsidRPr="00F17FFE">
              <w:rPr>
                <w:sz w:val="20"/>
                <w:vertAlign w:val="superscript"/>
              </w:rPr>
              <w:t>2</w:t>
            </w:r>
            <w:r w:rsidRPr="00F17FFE">
              <w:rPr>
                <w:sz w:val="20"/>
              </w:rPr>
              <w:t xml:space="preserve">; </w:t>
            </w:r>
            <w:r w:rsidRPr="00F17FFE">
              <w:rPr>
                <w:b/>
                <w:sz w:val="20"/>
              </w:rPr>
              <w:t>E</w:t>
            </w:r>
            <w:r w:rsidRPr="00F17FFE">
              <w:rPr>
                <w:sz w:val="20"/>
              </w:rPr>
              <w:t>. 51 to 100 m</w:t>
            </w:r>
            <w:r w:rsidRPr="00F17FFE">
              <w:rPr>
                <w:sz w:val="20"/>
                <w:vertAlign w:val="superscript"/>
              </w:rPr>
              <w:t>2</w:t>
            </w:r>
            <w:r w:rsidRPr="00F17FFE">
              <w:rPr>
                <w:sz w:val="20"/>
              </w:rPr>
              <w:t xml:space="preserve">; </w:t>
            </w:r>
            <w:r w:rsidRPr="00F17FFE">
              <w:rPr>
                <w:b/>
                <w:sz w:val="20"/>
              </w:rPr>
              <w:t>F</w:t>
            </w:r>
            <w:r w:rsidRPr="00F17FFE">
              <w:rPr>
                <w:sz w:val="20"/>
              </w:rPr>
              <w:t>. 101 to 200 m</w:t>
            </w:r>
            <w:r w:rsidRPr="00F17FFE">
              <w:rPr>
                <w:sz w:val="20"/>
                <w:vertAlign w:val="superscript"/>
              </w:rPr>
              <w:t>2</w:t>
            </w:r>
            <w:r w:rsidRPr="00F17FFE">
              <w:rPr>
                <w:sz w:val="20"/>
              </w:rPr>
              <w:t xml:space="preserve">; </w:t>
            </w:r>
            <w:r w:rsidRPr="00F17FFE">
              <w:rPr>
                <w:b/>
                <w:sz w:val="20"/>
              </w:rPr>
              <w:t>G</w:t>
            </w:r>
            <w:r w:rsidRPr="00F17FFE">
              <w:rPr>
                <w:sz w:val="20"/>
              </w:rPr>
              <w:t>. 201 to 500 m</w:t>
            </w:r>
            <w:r w:rsidRPr="00F17FFE">
              <w:rPr>
                <w:sz w:val="20"/>
                <w:vertAlign w:val="superscript"/>
              </w:rPr>
              <w:t>2</w:t>
            </w:r>
            <w:r w:rsidRPr="00F17FFE">
              <w:rPr>
                <w:sz w:val="20"/>
              </w:rPr>
              <w:t xml:space="preserve">; </w:t>
            </w:r>
            <w:r w:rsidRPr="00F17FFE">
              <w:rPr>
                <w:b/>
                <w:sz w:val="20"/>
              </w:rPr>
              <w:t>H</w:t>
            </w:r>
            <w:r w:rsidRPr="00F17FFE">
              <w:rPr>
                <w:sz w:val="20"/>
              </w:rPr>
              <w:t>. 501 to 1000 m</w:t>
            </w:r>
            <w:r w:rsidRPr="00F17FFE">
              <w:rPr>
                <w:sz w:val="20"/>
                <w:vertAlign w:val="superscript"/>
              </w:rPr>
              <w:t>2</w:t>
            </w:r>
            <w:r w:rsidRPr="00F17FFE">
              <w:rPr>
                <w:sz w:val="20"/>
              </w:rPr>
              <w:t xml:space="preserve">; </w:t>
            </w:r>
            <w:r w:rsidRPr="00F17FFE">
              <w:rPr>
                <w:b/>
                <w:sz w:val="20"/>
              </w:rPr>
              <w:t>I</w:t>
            </w:r>
            <w:r w:rsidRPr="00F17FFE">
              <w:rPr>
                <w:sz w:val="20"/>
              </w:rPr>
              <w:t>. Over 1000 m</w:t>
            </w:r>
            <w:r w:rsidRPr="00F17FFE">
              <w:rPr>
                <w:sz w:val="20"/>
                <w:vertAlign w:val="superscript"/>
              </w:rPr>
              <w:t>2</w:t>
            </w:r>
          </w:p>
        </w:tc>
      </w:tr>
    </w:tbl>
    <w:p w14:paraId="2E4DAB90" w14:textId="27E07919" w:rsidR="00755A08" w:rsidRPr="000F09B5" w:rsidRDefault="00755A08" w:rsidP="00755A08">
      <w:pPr>
        <w:pStyle w:val="Caption"/>
        <w:rPr>
          <w:b/>
          <w:szCs w:val="24"/>
        </w:rPr>
      </w:pPr>
      <w:bookmarkStart w:id="53" w:name="_Ref14436342"/>
      <w:bookmarkStart w:id="54" w:name="_Toc14687038"/>
      <w:bookmarkStart w:id="55" w:name="_Toc28958229"/>
      <w:bookmarkStart w:id="56" w:name="_Toc18320443"/>
      <w:r>
        <w:t xml:space="preserve">Figure </w:t>
      </w:r>
      <w:r>
        <w:fldChar w:fldCharType="begin"/>
      </w:r>
      <w:r>
        <w:instrText xml:space="preserve"> SEQ Figure \* ARABIC </w:instrText>
      </w:r>
      <w:r>
        <w:fldChar w:fldCharType="separate"/>
      </w:r>
      <w:r w:rsidR="00250859">
        <w:rPr>
          <w:noProof/>
        </w:rPr>
        <w:t>9</w:t>
      </w:r>
      <w:r>
        <w:fldChar w:fldCharType="end"/>
      </w:r>
      <w:bookmarkEnd w:id="53"/>
      <w:r>
        <w:t>: Frequency distribution of area damage in</w:t>
      </w:r>
      <w:r w:rsidR="000078D6">
        <w:t xml:space="preserve"> </w:t>
      </w:r>
      <w:r w:rsidR="000078D6">
        <w:rPr>
          <w:i/>
        </w:rPr>
        <w:t>Hotels</w:t>
      </w:r>
      <w:r>
        <w:rPr>
          <w:i/>
        </w:rPr>
        <w:t xml:space="preserve"> </w:t>
      </w:r>
      <w:r>
        <w:t xml:space="preserve">in (a) </w:t>
      </w:r>
      <w:r w:rsidR="000078D6" w:rsidRPr="005A69E0">
        <w:rPr>
          <w:u w:val="single"/>
        </w:rPr>
        <w:t>Storage and other areas</w:t>
      </w:r>
      <w:r w:rsidR="000078D6">
        <w:t xml:space="preserve"> </w:t>
      </w:r>
      <w:r w:rsidR="00F054FE">
        <w:t xml:space="preserve">[S=Sprinklers, NS=No Sprinklers] </w:t>
      </w:r>
      <w:r w:rsidR="000078D6">
        <w:t xml:space="preserve">and (b) </w:t>
      </w:r>
      <w:r w:rsidR="000078D6" w:rsidRPr="005A69E0">
        <w:rPr>
          <w:u w:val="single"/>
        </w:rPr>
        <w:t>Assembly areas</w:t>
      </w:r>
      <w:r w:rsidR="000F09B5">
        <w:rPr>
          <w:u w:val="single"/>
        </w:rPr>
        <w:t xml:space="preserve"> (A)</w:t>
      </w:r>
      <w:r w:rsidR="000078D6" w:rsidRPr="005A69E0">
        <w:rPr>
          <w:u w:val="single"/>
        </w:rPr>
        <w:t xml:space="preserve"> and Bedrooms</w:t>
      </w:r>
      <w:bookmarkEnd w:id="54"/>
      <w:r w:rsidR="000F09B5">
        <w:rPr>
          <w:u w:val="single"/>
        </w:rPr>
        <w:t xml:space="preserve"> (B)</w:t>
      </w:r>
      <w:r w:rsidR="000F09B5">
        <w:t xml:space="preserve"> </w:t>
      </w:r>
      <w:r w:rsidR="00F054FE">
        <w:t xml:space="preserve">only </w:t>
      </w:r>
      <w:r w:rsidR="002F01F0">
        <w:t>for no sprinklers</w:t>
      </w:r>
      <w:r w:rsidR="000F09B5">
        <w:t xml:space="preserve"> in PD 7974-7, UK and USA statistics </w:t>
      </w:r>
      <w:r w:rsidR="000F09B5">
        <w:fldChar w:fldCharType="begin" w:fldLock="1"/>
      </w:r>
      <w:r w:rsidR="00125627">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0F09B5">
        <w:fldChar w:fldCharType="separate"/>
      </w:r>
      <w:bookmarkEnd w:id="56"/>
      <w:r w:rsidR="00524A6C" w:rsidRPr="00524A6C">
        <w:rPr>
          <w:noProof/>
        </w:rPr>
        <w:t>[15]</w:t>
      </w:r>
      <w:bookmarkEnd w:id="55"/>
      <w:r w:rsidR="000F09B5">
        <w:fldChar w:fldCharType="end"/>
      </w:r>
    </w:p>
    <w:p w14:paraId="59575DA8" w14:textId="344A8034" w:rsidR="00C12555" w:rsidRPr="00C12555" w:rsidRDefault="0067063D" w:rsidP="00AA2E53">
      <w:pPr>
        <w:rPr>
          <w:rFonts w:cs="Times New Roman"/>
          <w:szCs w:val="24"/>
        </w:rPr>
      </w:pPr>
      <w:r>
        <w:rPr>
          <w:rFonts w:cs="Times New Roman"/>
          <w:szCs w:val="24"/>
        </w:rPr>
        <w:t>S</w:t>
      </w:r>
      <w:r w:rsidR="00C12555">
        <w:rPr>
          <w:rFonts w:cs="Times New Roman"/>
          <w:szCs w:val="24"/>
        </w:rPr>
        <w:t xml:space="preserve">imilar results have been found </w:t>
      </w:r>
      <w:r w:rsidR="0048720E">
        <w:rPr>
          <w:rFonts w:cs="Times New Roman"/>
          <w:szCs w:val="24"/>
        </w:rPr>
        <w:t xml:space="preserve">for the analysis of three property types and </w:t>
      </w:r>
      <w:r w:rsidR="00117A00">
        <w:rPr>
          <w:rFonts w:cs="Times New Roman"/>
          <w:szCs w:val="24"/>
        </w:rPr>
        <w:t>different</w:t>
      </w:r>
      <w:r w:rsidR="0048720E">
        <w:rPr>
          <w:rFonts w:cs="Times New Roman"/>
          <w:szCs w:val="24"/>
        </w:rPr>
        <w:t xml:space="preserve"> fire location</w:t>
      </w:r>
      <w:r w:rsidR="00BB392D">
        <w:rPr>
          <w:rFonts w:cs="Times New Roman"/>
          <w:szCs w:val="24"/>
        </w:rPr>
        <w:t>s</w:t>
      </w:r>
      <w:r w:rsidR="0048720E">
        <w:rPr>
          <w:rFonts w:cs="Times New Roman"/>
          <w:szCs w:val="24"/>
        </w:rPr>
        <w:t xml:space="preserve"> when </w:t>
      </w:r>
      <w:r w:rsidR="00C12555">
        <w:rPr>
          <w:rFonts w:cs="Times New Roman"/>
          <w:szCs w:val="24"/>
        </w:rPr>
        <w:t xml:space="preserve">PD 7974-7 </w:t>
      </w:r>
      <w:r w:rsidR="0048720E">
        <w:rPr>
          <w:rFonts w:cs="Times New Roman"/>
          <w:szCs w:val="24"/>
        </w:rPr>
        <w:t xml:space="preserve">is compared to UK and USA statistics. In general, PD 7974-7 </w:t>
      </w:r>
      <w:r w:rsidR="00C12555">
        <w:rPr>
          <w:rFonts w:cs="Times New Roman"/>
          <w:szCs w:val="24"/>
        </w:rPr>
        <w:t xml:space="preserve">seems to overestimate the </w:t>
      </w:r>
      <w:r w:rsidR="00C12555" w:rsidRPr="005A69E0">
        <w:rPr>
          <w:rFonts w:cs="Times New Roman"/>
          <w:i/>
          <w:iCs/>
          <w:szCs w:val="24"/>
        </w:rPr>
        <w:t>fire damage</w:t>
      </w:r>
      <w:r w:rsidR="00C12555">
        <w:rPr>
          <w:rFonts w:cs="Times New Roman"/>
          <w:szCs w:val="24"/>
        </w:rPr>
        <w:t xml:space="preserve"> and underestimate the </w:t>
      </w:r>
      <w:r w:rsidR="00C12555" w:rsidRPr="005A69E0">
        <w:rPr>
          <w:rFonts w:cs="Times New Roman"/>
          <w:i/>
          <w:iCs/>
          <w:szCs w:val="24"/>
        </w:rPr>
        <w:t>total damage</w:t>
      </w:r>
      <w:r w:rsidR="00C12555">
        <w:rPr>
          <w:rFonts w:cs="Times New Roman"/>
          <w:szCs w:val="24"/>
        </w:rPr>
        <w:t xml:space="preserve"> if compared to UK statistics</w:t>
      </w:r>
      <w:r w:rsidR="006D46C3">
        <w:rPr>
          <w:rFonts w:cs="Times New Roman"/>
          <w:szCs w:val="24"/>
        </w:rPr>
        <w:t xml:space="preserve"> but it is closer to UK predictions than </w:t>
      </w:r>
      <w:r w:rsidR="008105A3">
        <w:rPr>
          <w:rFonts w:cs="Times New Roman"/>
          <w:szCs w:val="24"/>
        </w:rPr>
        <w:t>those</w:t>
      </w:r>
      <w:r w:rsidR="006D46C3">
        <w:rPr>
          <w:rFonts w:cs="Times New Roman"/>
          <w:szCs w:val="24"/>
        </w:rPr>
        <w:t xml:space="preserve"> found </w:t>
      </w:r>
      <w:r w:rsidR="008105A3">
        <w:rPr>
          <w:rFonts w:cs="Times New Roman"/>
          <w:szCs w:val="24"/>
        </w:rPr>
        <w:t>using</w:t>
      </w:r>
      <w:r w:rsidR="006D46C3">
        <w:rPr>
          <w:rFonts w:cs="Times New Roman"/>
          <w:szCs w:val="24"/>
        </w:rPr>
        <w:t xml:space="preserve"> </w:t>
      </w:r>
      <w:r w:rsidR="00AF1703">
        <w:rPr>
          <w:rFonts w:cs="Times New Roman"/>
          <w:szCs w:val="24"/>
        </w:rPr>
        <w:t>USA</w:t>
      </w:r>
      <w:r w:rsidR="006D46C3">
        <w:rPr>
          <w:rFonts w:cs="Times New Roman"/>
          <w:szCs w:val="24"/>
        </w:rPr>
        <w:t xml:space="preserve"> statistics </w:t>
      </w:r>
      <w:r w:rsidR="003D5B53">
        <w:rPr>
          <w:rFonts w:cs="Times New Roman"/>
          <w:szCs w:val="24"/>
        </w:rPr>
        <w:fldChar w:fldCharType="begin" w:fldLock="1"/>
      </w:r>
      <w:r w:rsidR="00125627">
        <w:rPr>
          <w:rFonts w:cs="Times New Roman"/>
          <w:szCs w:val="24"/>
        </w:rPr>
        <w:instrText>ADDIN CSL_CITATION {"citationItems":[{"id":"ITEM-1","itemData":{"DOI":"10.1007/s10694-018-0775-2","ISSN":"1572-8099","abstract":"Probabilistic techniques deal with the randomness of variables and reliability of safety system but their application in fire safety engineering is limited due to the lack of data related to real structures subjected to real fires. This can be overcome by analysis of national fire statistics provided by fire departments. Fire statistics databases are a collection of data from real structures subjected to real fires and provides an understanding of real effectiveness of different fire safety measures (i.e. compartmentation) which influence the spread and growth of fire, and ultimately their monetary consequence. The ability to understand the realistic responses of buildings in fire is the fundamental basis of British Standards PD 7974-7, which provides data to perform probabilistic risk assessments for fire. However, the current data presented by BS PD 7974-7:2003 (referred to as PD 7974-7 within this paper) was developed between 1966 and 1987. This research has used the USA fire statistic database of 2014 to recreate the tables present in the PD 7974-7, compare the results, and understand their evolution in time. The comparison between PD 7974-7 and the USA fire statistics introduced in this paper shows that modern fire frequency can be up to more than 10 times smaller than presented in PD 7974-7; area damage in m2 and spread of fire are linked to automatic extinguish systems effectiveness and greater in the USA fire statistics than predicted by PD 7974-7. This clearly demonstrate the need of updates to PD 7974-7 and feeds towards a better understanding of the robustness, and potentially the resilience, of real structures in fire.","author":[{"dropping-particle":"","family":"Manes","given":"M","non-dropping-particle":"","parse-names":false,"suffix":""},{"dropping-particle":"","family":"Rush","given":"D","non-dropping-particle":"","parse-names":false,"suffix":""}],"container-title":"Fire Technology","id":"ITEM-1","issue":"4","issued":{"date-parts":[["2018","10"]]},"page":"1243-1293","title":"A Critical Evaluation of BS PD 7974-7 Structural Fire Response Data Based on USA Fire Statistics","type":"article-journal","volume":"55"},"uris":["http://www.mendeley.com/documents/?uuid=1d55b4e5-0517-4d43-afcb-81cbda7428ce"]}],"mendeley":{"formattedCitation":"[15]","plainTextFormattedCitation":"[15]","previouslyFormattedCitation":"[15]"},"properties":{"noteIndex":0},"schema":"https://github.com/citation-style-language/schema/raw/master/csl-citation.json"}</w:instrText>
      </w:r>
      <w:r w:rsidR="003D5B53">
        <w:rPr>
          <w:rFonts w:cs="Times New Roman"/>
          <w:szCs w:val="24"/>
        </w:rPr>
        <w:fldChar w:fldCharType="separate"/>
      </w:r>
      <w:r w:rsidR="00524A6C" w:rsidRPr="00524A6C">
        <w:rPr>
          <w:rFonts w:cs="Times New Roman"/>
          <w:noProof/>
          <w:szCs w:val="24"/>
        </w:rPr>
        <w:t>[15]</w:t>
      </w:r>
      <w:r w:rsidR="003D5B53">
        <w:rPr>
          <w:rFonts w:cs="Times New Roman"/>
          <w:szCs w:val="24"/>
        </w:rPr>
        <w:fldChar w:fldCharType="end"/>
      </w:r>
      <w:r w:rsidR="006D46C3">
        <w:rPr>
          <w:rFonts w:cs="Times New Roman"/>
          <w:szCs w:val="24"/>
        </w:rPr>
        <w:t>.</w:t>
      </w:r>
    </w:p>
    <w:p w14:paraId="4390E590" w14:textId="21397C87" w:rsidR="000C52DE" w:rsidRPr="00AA2E53" w:rsidRDefault="000C52DE" w:rsidP="00AA2E53">
      <w:pPr>
        <w:rPr>
          <w:rFonts w:cs="Times New Roman"/>
          <w:b/>
          <w:szCs w:val="24"/>
        </w:rPr>
      </w:pPr>
      <w:r w:rsidRPr="00AA2E53">
        <w:rPr>
          <w:rFonts w:cs="Times New Roman"/>
          <w:b/>
          <w:szCs w:val="24"/>
        </w:rPr>
        <w:t>Conclusions</w:t>
      </w:r>
    </w:p>
    <w:p w14:paraId="0BBE2005" w14:textId="632487DF" w:rsidR="00B714D5" w:rsidRDefault="00B714D5" w:rsidP="00AA2E53">
      <w:pPr>
        <w:rPr>
          <w:rFonts w:cs="Times New Roman"/>
          <w:szCs w:val="24"/>
        </w:rPr>
      </w:pPr>
      <w:r>
        <w:rPr>
          <w:rFonts w:cs="Times New Roman"/>
          <w:szCs w:val="24"/>
        </w:rPr>
        <w:t>This paper has presented a comparison of fire statistics, developed from the UK and USA fire incident reporting systems, with historical data that can be found within the recently superseded</w:t>
      </w:r>
      <w:r w:rsidRPr="00B714D5">
        <w:rPr>
          <w:rFonts w:cs="Times New Roman"/>
          <w:szCs w:val="24"/>
        </w:rPr>
        <w:t xml:space="preserve"> </w:t>
      </w:r>
      <w:r>
        <w:rPr>
          <w:rFonts w:cs="Times New Roman"/>
          <w:szCs w:val="24"/>
        </w:rPr>
        <w:t>British Standards Published Document on probabilistic fire risk assessments (PD 7974-7:2003).</w:t>
      </w:r>
      <w:r w:rsidR="00583AFF">
        <w:rPr>
          <w:rFonts w:cs="Times New Roman"/>
          <w:szCs w:val="24"/>
        </w:rPr>
        <w:t xml:space="preserve"> </w:t>
      </w:r>
      <w:r w:rsidR="00395A2A" w:rsidRPr="00395A2A">
        <w:rPr>
          <w:rFonts w:cs="Times New Roman"/>
        </w:rPr>
        <w:t xml:space="preserve">It appears that some significant improvements of fire safety in UK have been introduced over the last 30 to 50 years. This could be due to the modern technologies in safety devices, new construction techniques and materials or the application of performance based design approaches. However, it is difficult to define which of the abovementioned factors have an implication because it would be necessary to investigate </w:t>
      </w:r>
      <w:r w:rsidR="000274B7">
        <w:rPr>
          <w:rFonts w:cs="Times New Roman"/>
        </w:rPr>
        <w:t xml:space="preserve">the evolution of yearly </w:t>
      </w:r>
      <w:r w:rsidR="00CE0437">
        <w:rPr>
          <w:rFonts w:cs="Times New Roman"/>
        </w:rPr>
        <w:t xml:space="preserve">data </w:t>
      </w:r>
      <w:r w:rsidR="00395A2A" w:rsidRPr="00395A2A">
        <w:rPr>
          <w:rFonts w:cs="Times New Roman"/>
        </w:rPr>
        <w:t>and more detailed fields of fire statistics related to the fire safety design of the building affected by fire</w:t>
      </w:r>
      <w:r w:rsidR="00395A2A">
        <w:rPr>
          <w:rFonts w:cs="Times New Roman"/>
        </w:rPr>
        <w:t>.</w:t>
      </w:r>
      <w:r w:rsidR="00395A2A">
        <w:rPr>
          <w:rFonts w:cs="Times New Roman"/>
          <w:szCs w:val="24"/>
        </w:rPr>
        <w:t xml:space="preserve"> </w:t>
      </w:r>
      <w:r w:rsidR="008C4B44">
        <w:rPr>
          <w:rFonts w:cs="Times New Roman"/>
          <w:szCs w:val="24"/>
        </w:rPr>
        <w:t xml:space="preserve">Moreover, the IRS was only recently introduced and before 2008 a different methodology was adopted for the collection of data. </w:t>
      </w:r>
      <w:r>
        <w:rPr>
          <w:rFonts w:cs="Times New Roman"/>
          <w:szCs w:val="24"/>
        </w:rPr>
        <w:t>The aim is to provide contemporary fire statistics for use with the new BS PD 7974-7:2019 and to comment on any differences between the datasets.</w:t>
      </w:r>
      <w:r w:rsidR="0025312F">
        <w:rPr>
          <w:rFonts w:cs="Times New Roman"/>
          <w:szCs w:val="24"/>
        </w:rPr>
        <w:t xml:space="preserve"> From this work it is possible to conclude</w:t>
      </w:r>
      <w:r>
        <w:rPr>
          <w:rFonts w:cs="Times New Roman"/>
          <w:szCs w:val="24"/>
        </w:rPr>
        <w:t>:</w:t>
      </w:r>
    </w:p>
    <w:p w14:paraId="069F611F" w14:textId="6C3EEEC5" w:rsidR="00DB7835" w:rsidRDefault="00AF1703" w:rsidP="008C2529">
      <w:pPr>
        <w:pStyle w:val="ListParagraph"/>
        <w:numPr>
          <w:ilvl w:val="0"/>
          <w:numId w:val="11"/>
        </w:numPr>
        <w:rPr>
          <w:rFonts w:cs="Times New Roman"/>
          <w:szCs w:val="24"/>
        </w:rPr>
      </w:pPr>
      <w:r w:rsidRPr="00B714D5">
        <w:rPr>
          <w:rFonts w:cs="Times New Roman"/>
          <w:szCs w:val="24"/>
        </w:rPr>
        <w:t>PD 7974-7</w:t>
      </w:r>
      <w:r w:rsidR="00B714D5">
        <w:rPr>
          <w:rFonts w:cs="Times New Roman"/>
          <w:szCs w:val="24"/>
        </w:rPr>
        <w:t>:20</w:t>
      </w:r>
      <w:r w:rsidR="001016AA">
        <w:rPr>
          <w:rFonts w:cs="Times New Roman"/>
          <w:szCs w:val="24"/>
        </w:rPr>
        <w:t>0</w:t>
      </w:r>
      <w:r w:rsidR="00B714D5">
        <w:rPr>
          <w:rFonts w:cs="Times New Roman"/>
          <w:szCs w:val="24"/>
        </w:rPr>
        <w:t>3</w:t>
      </w:r>
      <w:r w:rsidRPr="00B714D5">
        <w:rPr>
          <w:rFonts w:cs="Times New Roman"/>
          <w:szCs w:val="24"/>
        </w:rPr>
        <w:t xml:space="preserve"> f</w:t>
      </w:r>
      <w:r w:rsidR="00535C8C" w:rsidRPr="00B714D5">
        <w:rPr>
          <w:rFonts w:cs="Times New Roman"/>
          <w:szCs w:val="24"/>
        </w:rPr>
        <w:t xml:space="preserve">ire frequency </w:t>
      </w:r>
      <w:r w:rsidR="00B17DC9" w:rsidRPr="00B714D5">
        <w:rPr>
          <w:rFonts w:cs="Times New Roman"/>
          <w:szCs w:val="24"/>
        </w:rPr>
        <w:t xml:space="preserve">usually </w:t>
      </w:r>
      <w:r w:rsidR="00535C8C" w:rsidRPr="00B714D5">
        <w:rPr>
          <w:rFonts w:cs="Times New Roman"/>
          <w:szCs w:val="24"/>
        </w:rPr>
        <w:t xml:space="preserve">overestimates the </w:t>
      </w:r>
      <w:r w:rsidRPr="00B714D5">
        <w:rPr>
          <w:rFonts w:cs="Times New Roman"/>
          <w:szCs w:val="24"/>
        </w:rPr>
        <w:t>values of</w:t>
      </w:r>
      <w:r w:rsidR="00535C8C" w:rsidRPr="00B714D5">
        <w:rPr>
          <w:rFonts w:cs="Times New Roman"/>
          <w:szCs w:val="24"/>
        </w:rPr>
        <w:t xml:space="preserve"> </w:t>
      </w:r>
      <w:r w:rsidR="00B714D5">
        <w:rPr>
          <w:rFonts w:cs="Times New Roman"/>
          <w:szCs w:val="24"/>
        </w:rPr>
        <w:t xml:space="preserve">both </w:t>
      </w:r>
      <w:r w:rsidR="00535C8C" w:rsidRPr="00B714D5">
        <w:rPr>
          <w:rFonts w:cs="Times New Roman"/>
          <w:szCs w:val="24"/>
        </w:rPr>
        <w:t>UK and USA</w:t>
      </w:r>
      <w:r w:rsidR="00B714D5">
        <w:rPr>
          <w:rFonts w:cs="Times New Roman"/>
          <w:szCs w:val="24"/>
        </w:rPr>
        <w:t xml:space="preserve"> fire statistics</w:t>
      </w:r>
      <w:r w:rsidR="00535C8C" w:rsidRPr="00B714D5">
        <w:rPr>
          <w:rFonts w:cs="Times New Roman"/>
          <w:szCs w:val="24"/>
        </w:rPr>
        <w:t xml:space="preserve"> </w:t>
      </w:r>
      <w:r w:rsidRPr="00B714D5">
        <w:rPr>
          <w:rFonts w:cs="Times New Roman"/>
          <w:szCs w:val="24"/>
        </w:rPr>
        <w:t>in</w:t>
      </w:r>
      <w:r w:rsidR="00BA20B7" w:rsidRPr="00B714D5">
        <w:rPr>
          <w:rFonts w:cs="Times New Roman"/>
          <w:szCs w:val="24"/>
        </w:rPr>
        <w:t xml:space="preserve"> 2014/15 </w:t>
      </w:r>
      <w:r w:rsidR="00535C8C" w:rsidRPr="00B714D5">
        <w:rPr>
          <w:rFonts w:cs="Times New Roman"/>
          <w:szCs w:val="24"/>
        </w:rPr>
        <w:t>ex</w:t>
      </w:r>
      <w:r w:rsidR="00AC1336" w:rsidRPr="005A69E0">
        <w:rPr>
          <w:rFonts w:cs="Times New Roman"/>
          <w:szCs w:val="24"/>
        </w:rPr>
        <w:t>cept</w:t>
      </w:r>
      <w:r w:rsidR="00535C8C" w:rsidRPr="00B714D5">
        <w:rPr>
          <w:rFonts w:cs="Times New Roman"/>
          <w:szCs w:val="24"/>
        </w:rPr>
        <w:t xml:space="preserve"> for </w:t>
      </w:r>
      <w:r w:rsidR="00535C8C" w:rsidRPr="00B714D5">
        <w:rPr>
          <w:rFonts w:cs="Times New Roman"/>
          <w:i/>
          <w:szCs w:val="24"/>
        </w:rPr>
        <w:t>Schools</w:t>
      </w:r>
      <w:r w:rsidR="00535C8C" w:rsidRPr="00B714D5">
        <w:rPr>
          <w:rFonts w:cs="Times New Roman"/>
          <w:szCs w:val="24"/>
        </w:rPr>
        <w:t xml:space="preserve"> in U</w:t>
      </w:r>
      <w:r w:rsidR="002934B7" w:rsidRPr="005A69E0">
        <w:rPr>
          <w:rFonts w:cs="Times New Roman"/>
          <w:szCs w:val="24"/>
        </w:rPr>
        <w:t>SA</w:t>
      </w:r>
      <w:r w:rsidR="00535C8C" w:rsidRPr="00B714D5">
        <w:rPr>
          <w:rFonts w:cs="Times New Roman"/>
          <w:szCs w:val="24"/>
        </w:rPr>
        <w:t xml:space="preserve"> </w:t>
      </w:r>
      <w:r w:rsidRPr="00B714D5">
        <w:rPr>
          <w:rFonts w:cs="Times New Roman"/>
          <w:szCs w:val="24"/>
        </w:rPr>
        <w:t xml:space="preserve">which assumes a value of </w:t>
      </w:r>
      <w:r w:rsidR="00DB7835" w:rsidRPr="00B714D5">
        <w:rPr>
          <w:rFonts w:cs="Times New Roman"/>
          <w:szCs w:val="24"/>
        </w:rPr>
        <w:t>5.512</w:t>
      </w:r>
      <w:r w:rsidR="008105A3" w:rsidRPr="00B714D5">
        <w:rPr>
          <w:rFonts w:cs="Times New Roman"/>
          <w:szCs w:val="24"/>
        </w:rPr>
        <w:t>×</w:t>
      </w:r>
      <w:r w:rsidR="00DB7835" w:rsidRPr="00B714D5">
        <w:rPr>
          <w:rFonts w:cs="Times New Roman"/>
          <w:szCs w:val="24"/>
        </w:rPr>
        <w:t>10</w:t>
      </w:r>
      <w:r w:rsidR="00DB7835" w:rsidRPr="00B714D5">
        <w:rPr>
          <w:rFonts w:cs="Times New Roman"/>
          <w:szCs w:val="24"/>
          <w:vertAlign w:val="superscript"/>
        </w:rPr>
        <w:t>-2</w:t>
      </w:r>
      <w:r w:rsidR="00B714D5">
        <w:rPr>
          <w:rFonts w:cs="Times New Roman"/>
          <w:szCs w:val="24"/>
        </w:rPr>
        <w:t xml:space="preserve"> fires per year compared to </w:t>
      </w:r>
      <w:r w:rsidR="001016AA">
        <w:rPr>
          <w:rFonts w:cs="Times New Roman"/>
          <w:szCs w:val="24"/>
        </w:rPr>
        <w:t>4.0</w:t>
      </w:r>
      <w:r w:rsidR="001016AA" w:rsidRPr="00B714D5">
        <w:rPr>
          <w:rFonts w:cs="Times New Roman"/>
          <w:szCs w:val="24"/>
        </w:rPr>
        <w:t>×10</w:t>
      </w:r>
      <w:r w:rsidR="001016AA" w:rsidRPr="00B714D5">
        <w:rPr>
          <w:rFonts w:cs="Times New Roman"/>
          <w:szCs w:val="24"/>
          <w:vertAlign w:val="superscript"/>
        </w:rPr>
        <w:t>-2</w:t>
      </w:r>
      <w:r w:rsidR="00535C8C" w:rsidRPr="00B714D5">
        <w:rPr>
          <w:rFonts w:cs="Times New Roman"/>
          <w:szCs w:val="24"/>
        </w:rPr>
        <w:t xml:space="preserve">. </w:t>
      </w:r>
    </w:p>
    <w:p w14:paraId="5414F9F7" w14:textId="1EA8452D" w:rsidR="001016AA" w:rsidRDefault="001016AA" w:rsidP="008C2529">
      <w:pPr>
        <w:pStyle w:val="ListParagraph"/>
        <w:numPr>
          <w:ilvl w:val="0"/>
          <w:numId w:val="11"/>
        </w:numPr>
        <w:rPr>
          <w:rFonts w:cs="Times New Roman"/>
          <w:szCs w:val="24"/>
        </w:rPr>
      </w:pPr>
      <w:r>
        <w:rPr>
          <w:rFonts w:cs="Times New Roman"/>
          <w:szCs w:val="24"/>
        </w:rPr>
        <w:t xml:space="preserve">PD 7974-7:2019 fire frequency matches well with UK statistics data apart from for </w:t>
      </w:r>
      <w:r w:rsidRPr="00907CB6">
        <w:rPr>
          <w:rFonts w:cs="Times New Roman"/>
          <w:i/>
          <w:szCs w:val="24"/>
        </w:rPr>
        <w:t>Hospitals</w:t>
      </w:r>
      <w:r>
        <w:rPr>
          <w:rFonts w:cs="Times New Roman"/>
          <w:szCs w:val="24"/>
        </w:rPr>
        <w:t xml:space="preserve"> where fires according to PD 7974-7:2019 are half as frequent as found from UK statistics, with a fire predicted every 18 years.</w:t>
      </w:r>
    </w:p>
    <w:p w14:paraId="38728539" w14:textId="0F1AC970" w:rsidR="001016AA" w:rsidRDefault="001016AA" w:rsidP="008C2529">
      <w:pPr>
        <w:pStyle w:val="ListParagraph"/>
        <w:numPr>
          <w:ilvl w:val="0"/>
          <w:numId w:val="11"/>
        </w:numPr>
        <w:rPr>
          <w:rFonts w:cs="Times New Roman"/>
          <w:szCs w:val="24"/>
        </w:rPr>
      </w:pPr>
      <w:r>
        <w:rPr>
          <w:rFonts w:cs="Times New Roman"/>
          <w:szCs w:val="24"/>
        </w:rPr>
        <w:t>When fire frequency is plotted against the total floor space,</w:t>
      </w:r>
      <w:r w:rsidRPr="00B714D5">
        <w:rPr>
          <w:rFonts w:cs="Times New Roman"/>
          <w:szCs w:val="24"/>
        </w:rPr>
        <w:t xml:space="preserve"> PD 7974-7</w:t>
      </w:r>
      <w:r>
        <w:rPr>
          <w:rFonts w:cs="Times New Roman"/>
          <w:szCs w:val="24"/>
        </w:rPr>
        <w:t xml:space="preserve">:2003 positive exponent method is </w:t>
      </w:r>
      <w:r w:rsidR="00B043A8">
        <w:rPr>
          <w:rFonts w:cs="Times New Roman"/>
          <w:szCs w:val="24"/>
        </w:rPr>
        <w:t xml:space="preserve">significantly different than the prediction provided by </w:t>
      </w:r>
      <w:r>
        <w:rPr>
          <w:rFonts w:cs="Times New Roman"/>
          <w:szCs w:val="24"/>
        </w:rPr>
        <w:t>contemporary UK and USA statistics data.</w:t>
      </w:r>
    </w:p>
    <w:p w14:paraId="7E1C3D3E" w14:textId="307B5FE9" w:rsidR="006200E7" w:rsidRDefault="006200E7" w:rsidP="00F84973">
      <w:pPr>
        <w:pStyle w:val="ListParagraph"/>
        <w:numPr>
          <w:ilvl w:val="0"/>
          <w:numId w:val="11"/>
        </w:numPr>
        <w:rPr>
          <w:rFonts w:cs="Times New Roman"/>
          <w:szCs w:val="24"/>
        </w:rPr>
      </w:pPr>
      <w:r>
        <w:rPr>
          <w:rFonts w:cs="Times New Roman"/>
          <w:szCs w:val="24"/>
        </w:rPr>
        <w:t>Polynomial relationships better represent fire frequency to floor space and are particularly accurate when assessing the USA data (R</w:t>
      </w:r>
      <w:r w:rsidRPr="00DB7835">
        <w:rPr>
          <w:rFonts w:cs="Times New Roman"/>
          <w:szCs w:val="24"/>
          <w:vertAlign w:val="superscript"/>
        </w:rPr>
        <w:t>2</w:t>
      </w:r>
      <w:r>
        <w:rPr>
          <w:rFonts w:cs="Times New Roman"/>
          <w:szCs w:val="24"/>
          <w:vertAlign w:val="superscript"/>
        </w:rPr>
        <w:t xml:space="preserve"> </w:t>
      </w:r>
      <w:r>
        <w:rPr>
          <w:rFonts w:cs="Times New Roman"/>
          <w:szCs w:val="24"/>
        </w:rPr>
        <w:t>values regularly greater than 0.98), however are less accurate when assessing the UK fire statistics (R</w:t>
      </w:r>
      <w:r w:rsidRPr="00DB7835">
        <w:rPr>
          <w:rFonts w:cs="Times New Roman"/>
          <w:szCs w:val="24"/>
          <w:vertAlign w:val="superscript"/>
        </w:rPr>
        <w:t>2</w:t>
      </w:r>
      <w:r>
        <w:rPr>
          <w:rFonts w:cs="Times New Roman"/>
          <w:szCs w:val="24"/>
          <w:vertAlign w:val="superscript"/>
        </w:rPr>
        <w:t xml:space="preserve"> </w:t>
      </w:r>
      <w:r>
        <w:rPr>
          <w:rFonts w:cs="Times New Roman"/>
          <w:szCs w:val="24"/>
        </w:rPr>
        <w:t xml:space="preserve">values </w:t>
      </w:r>
      <w:r>
        <w:rPr>
          <w:rFonts w:cs="Times New Roman"/>
          <w:szCs w:val="24"/>
        </w:rPr>
        <w:lastRenderedPageBreak/>
        <w:t>regularly lower than 0.72).</w:t>
      </w:r>
      <w:r w:rsidR="00614F81">
        <w:rPr>
          <w:rFonts w:cs="Times New Roman"/>
          <w:szCs w:val="24"/>
        </w:rPr>
        <w:t xml:space="preserve"> </w:t>
      </w:r>
      <w:r w:rsidR="00F84973" w:rsidRPr="00F84973">
        <w:rPr>
          <w:rFonts w:cs="Times New Roman"/>
          <w:szCs w:val="24"/>
        </w:rPr>
        <w:t>Despite the polynomial function well describes small total floor space, further investigation</w:t>
      </w:r>
      <w:r w:rsidR="00F84973">
        <w:rPr>
          <w:rFonts w:cs="Times New Roman"/>
          <w:szCs w:val="24"/>
        </w:rPr>
        <w:t>s</w:t>
      </w:r>
      <w:r w:rsidR="00F84973" w:rsidRPr="00F84973">
        <w:rPr>
          <w:rFonts w:cs="Times New Roman"/>
          <w:szCs w:val="24"/>
        </w:rPr>
        <w:t xml:space="preserve"> could consider a constant conservative value to address the scarce data </w:t>
      </w:r>
      <w:r w:rsidR="00F84973">
        <w:rPr>
          <w:rFonts w:cs="Times New Roman"/>
          <w:szCs w:val="24"/>
        </w:rPr>
        <w:t>present</w:t>
      </w:r>
      <w:r w:rsidR="00F84973" w:rsidRPr="00F84973">
        <w:rPr>
          <w:rFonts w:cs="Times New Roman"/>
          <w:szCs w:val="24"/>
        </w:rPr>
        <w:t xml:space="preserve"> moving towards extreme total floor space</w:t>
      </w:r>
      <w:r w:rsidR="00A43CF9">
        <w:rPr>
          <w:rFonts w:cs="Times New Roman"/>
          <w:szCs w:val="24"/>
        </w:rPr>
        <w:t>s.</w:t>
      </w:r>
    </w:p>
    <w:p w14:paraId="5D8F6099" w14:textId="383FCD7A" w:rsidR="006200E7" w:rsidRDefault="009E649B" w:rsidP="008C2529">
      <w:pPr>
        <w:pStyle w:val="ListParagraph"/>
        <w:numPr>
          <w:ilvl w:val="0"/>
          <w:numId w:val="11"/>
        </w:numPr>
        <w:rPr>
          <w:rFonts w:cs="Times New Roman"/>
          <w:szCs w:val="24"/>
        </w:rPr>
      </w:pPr>
      <w:r>
        <w:rPr>
          <w:rFonts w:cs="Times New Roman"/>
          <w:szCs w:val="24"/>
        </w:rPr>
        <w:t>A</w:t>
      </w:r>
      <w:r w:rsidR="00BF1D1D">
        <w:rPr>
          <w:rFonts w:cs="Times New Roman"/>
          <w:szCs w:val="24"/>
        </w:rPr>
        <w:t>nalysing the area damage and percentage of fires</w:t>
      </w:r>
      <w:r w:rsidR="00BF1D1D" w:rsidRPr="00BF1D1D">
        <w:rPr>
          <w:rFonts w:cs="Times New Roman"/>
          <w:szCs w:val="24"/>
        </w:rPr>
        <w:t xml:space="preserve"> </w:t>
      </w:r>
      <w:r w:rsidR="00BF1D1D">
        <w:rPr>
          <w:rFonts w:cs="Times New Roman"/>
          <w:szCs w:val="24"/>
        </w:rPr>
        <w:t xml:space="preserve">for </w:t>
      </w:r>
      <w:r w:rsidR="00BF1D1D" w:rsidRPr="00DE1DBA">
        <w:rPr>
          <w:rFonts w:cs="Times New Roman"/>
          <w:i/>
          <w:szCs w:val="24"/>
        </w:rPr>
        <w:t>Industrial manufacturing</w:t>
      </w:r>
      <w:r w:rsidR="00BF1D1D">
        <w:rPr>
          <w:rFonts w:cs="Times New Roman"/>
          <w:szCs w:val="24"/>
        </w:rPr>
        <w:t xml:space="preserve"> and </w:t>
      </w:r>
      <w:r w:rsidR="00BF1D1D" w:rsidRPr="00DE1DBA">
        <w:rPr>
          <w:rFonts w:cs="Times New Roman"/>
          <w:i/>
          <w:szCs w:val="24"/>
        </w:rPr>
        <w:t>Pubs, clubs, restaurants</w:t>
      </w:r>
      <w:r>
        <w:rPr>
          <w:rFonts w:cs="Times New Roman"/>
          <w:iCs/>
          <w:szCs w:val="24"/>
        </w:rPr>
        <w:t xml:space="preserve">, </w:t>
      </w:r>
      <w:r w:rsidR="00BF1D1D">
        <w:rPr>
          <w:rFonts w:cs="Times New Roman"/>
          <w:szCs w:val="24"/>
        </w:rPr>
        <w:t xml:space="preserve">PD 7974-7 is usually greater than data </w:t>
      </w:r>
      <w:r>
        <w:rPr>
          <w:rFonts w:cs="Times New Roman"/>
          <w:szCs w:val="24"/>
        </w:rPr>
        <w:t xml:space="preserve">of </w:t>
      </w:r>
      <w:r w:rsidR="00BF1D1D">
        <w:rPr>
          <w:rFonts w:cs="Times New Roman"/>
          <w:szCs w:val="24"/>
        </w:rPr>
        <w:t xml:space="preserve">UK fire statistics. </w:t>
      </w:r>
    </w:p>
    <w:p w14:paraId="42948EB7" w14:textId="61BA4D3A" w:rsidR="00BF1D1D" w:rsidRDefault="00BF1D1D" w:rsidP="008C2529">
      <w:pPr>
        <w:pStyle w:val="ListParagraph"/>
        <w:numPr>
          <w:ilvl w:val="0"/>
          <w:numId w:val="11"/>
        </w:numPr>
        <w:rPr>
          <w:rFonts w:cs="Times New Roman"/>
          <w:szCs w:val="24"/>
        </w:rPr>
      </w:pPr>
      <w:r>
        <w:rPr>
          <w:rFonts w:cs="Times New Roman"/>
          <w:szCs w:val="24"/>
        </w:rPr>
        <w:t>In both PD 7974-7:2003 and UK statistics, fires are generally confined to the room of origin</w:t>
      </w:r>
      <w:r w:rsidR="008C2529">
        <w:rPr>
          <w:rFonts w:cs="Times New Roman"/>
          <w:szCs w:val="24"/>
        </w:rPr>
        <w:t xml:space="preserve"> between 65-80% of the time depending on occupancy type.</w:t>
      </w:r>
    </w:p>
    <w:p w14:paraId="4F3E5598" w14:textId="4CB6DBDE" w:rsidR="008C2529" w:rsidRPr="008C2529" w:rsidRDefault="008C2529" w:rsidP="008C2529">
      <w:pPr>
        <w:pStyle w:val="ListParagraph"/>
        <w:numPr>
          <w:ilvl w:val="0"/>
          <w:numId w:val="11"/>
        </w:numPr>
        <w:rPr>
          <w:rFonts w:cs="Times New Roman"/>
          <w:szCs w:val="24"/>
        </w:rPr>
      </w:pPr>
      <w:r>
        <w:t>In general, in UK and USA the average area damage increases with the</w:t>
      </w:r>
      <w:r w:rsidR="00524A6C">
        <w:t xml:space="preserve"> fire spread.</w:t>
      </w:r>
    </w:p>
    <w:p w14:paraId="67E5DED2" w14:textId="77777777" w:rsidR="00907CB6" w:rsidRDefault="00A04968" w:rsidP="00907CB6">
      <w:pPr>
        <w:pStyle w:val="ListParagraph"/>
        <w:numPr>
          <w:ilvl w:val="0"/>
          <w:numId w:val="11"/>
        </w:numPr>
        <w:rPr>
          <w:rFonts w:cs="Times New Roman"/>
          <w:szCs w:val="24"/>
        </w:rPr>
      </w:pPr>
      <w:r>
        <w:rPr>
          <w:rFonts w:cs="Times New Roman"/>
          <w:szCs w:val="24"/>
        </w:rPr>
        <w:t xml:space="preserve">For the frequency of fires exceeding an upper limit of area damage, the UK </w:t>
      </w:r>
      <w:r w:rsidRPr="005A69E0">
        <w:rPr>
          <w:rFonts w:cs="Times New Roman"/>
          <w:i/>
          <w:iCs/>
          <w:szCs w:val="24"/>
        </w:rPr>
        <w:t>fire damage</w:t>
      </w:r>
      <w:r>
        <w:rPr>
          <w:rFonts w:cs="Times New Roman"/>
          <w:szCs w:val="24"/>
        </w:rPr>
        <w:t xml:space="preserve"> is in general, less than th</w:t>
      </w:r>
      <w:r w:rsidR="00BF1D1D">
        <w:rPr>
          <w:rFonts w:cs="Times New Roman"/>
          <w:szCs w:val="24"/>
        </w:rPr>
        <w:t xml:space="preserve">e frequencies presented in PD 7974-7:2003, whereas </w:t>
      </w:r>
      <w:r w:rsidR="00BF1D1D">
        <w:rPr>
          <w:rFonts w:cs="Times New Roman"/>
          <w:i/>
          <w:iCs/>
          <w:szCs w:val="24"/>
        </w:rPr>
        <w:t>total damage</w:t>
      </w:r>
      <w:r w:rsidR="00BF1D1D">
        <w:rPr>
          <w:rFonts w:cs="Times New Roman"/>
          <w:szCs w:val="24"/>
        </w:rPr>
        <w:t xml:space="preserve"> is in general higher; the exception is in </w:t>
      </w:r>
      <w:r w:rsidR="004018B5" w:rsidRPr="00907CB6">
        <w:rPr>
          <w:rFonts w:cs="Times New Roman"/>
          <w:i/>
          <w:szCs w:val="24"/>
        </w:rPr>
        <w:t>H</w:t>
      </w:r>
      <w:r w:rsidR="00BF1D1D" w:rsidRPr="00907CB6">
        <w:rPr>
          <w:rFonts w:cs="Times New Roman"/>
          <w:i/>
          <w:szCs w:val="24"/>
        </w:rPr>
        <w:t>otels</w:t>
      </w:r>
      <w:r w:rsidR="004018B5">
        <w:rPr>
          <w:rFonts w:cs="Times New Roman"/>
          <w:szCs w:val="24"/>
        </w:rPr>
        <w:t xml:space="preserve"> where </w:t>
      </w:r>
      <w:r w:rsidR="004018B5" w:rsidRPr="00907CB6">
        <w:rPr>
          <w:rFonts w:cs="Times New Roman"/>
          <w:i/>
          <w:szCs w:val="24"/>
        </w:rPr>
        <w:t>fire damage</w:t>
      </w:r>
      <w:r w:rsidR="004018B5">
        <w:rPr>
          <w:rFonts w:cs="Times New Roman"/>
          <w:szCs w:val="24"/>
        </w:rPr>
        <w:t xml:space="preserve"> and PD 7974-7 assume similar values.</w:t>
      </w:r>
    </w:p>
    <w:p w14:paraId="1283B7C7" w14:textId="1E1DAADF" w:rsidR="00214F8D" w:rsidRPr="00907CB6" w:rsidRDefault="00BF1D1D" w:rsidP="00907CB6">
      <w:pPr>
        <w:pStyle w:val="ListParagraph"/>
        <w:numPr>
          <w:ilvl w:val="0"/>
          <w:numId w:val="11"/>
        </w:numPr>
        <w:rPr>
          <w:rFonts w:cs="Times New Roman"/>
          <w:szCs w:val="24"/>
        </w:rPr>
      </w:pPr>
      <w:r w:rsidRPr="00907CB6">
        <w:rPr>
          <w:rFonts w:cs="Times New Roman"/>
          <w:szCs w:val="24"/>
        </w:rPr>
        <w:t xml:space="preserve">Comparing UK and USA data for the frequency of fires exceeding an upper limit of area damaged, there is always more damage recorded in the USA (apart from the </w:t>
      </w:r>
      <w:proofErr w:type="spellStart"/>
      <w:r w:rsidRPr="00907CB6">
        <w:rPr>
          <w:rFonts w:cs="Times New Roman"/>
          <w:szCs w:val="24"/>
        </w:rPr>
        <w:t>sprinklered</w:t>
      </w:r>
      <w:proofErr w:type="spellEnd"/>
      <w:r w:rsidRPr="00907CB6">
        <w:rPr>
          <w:rFonts w:cs="Times New Roman"/>
          <w:szCs w:val="24"/>
        </w:rPr>
        <w:t xml:space="preserve"> </w:t>
      </w:r>
      <w:r w:rsidRPr="00907CB6">
        <w:rPr>
          <w:rFonts w:cs="Times New Roman"/>
          <w:szCs w:val="24"/>
          <w:u w:val="single"/>
        </w:rPr>
        <w:t>Storage and other areas</w:t>
      </w:r>
      <w:r w:rsidRPr="00907CB6">
        <w:rPr>
          <w:rFonts w:cs="Times New Roman"/>
          <w:szCs w:val="24"/>
        </w:rPr>
        <w:t xml:space="preserve"> in </w:t>
      </w:r>
      <w:r w:rsidR="004018B5" w:rsidRPr="00907CB6">
        <w:rPr>
          <w:rFonts w:cs="Times New Roman"/>
          <w:i/>
          <w:szCs w:val="24"/>
        </w:rPr>
        <w:t>H</w:t>
      </w:r>
      <w:r w:rsidRPr="00907CB6">
        <w:rPr>
          <w:rFonts w:cs="Times New Roman"/>
          <w:i/>
          <w:szCs w:val="24"/>
        </w:rPr>
        <w:t>otels</w:t>
      </w:r>
      <w:r w:rsidRPr="00907CB6">
        <w:rPr>
          <w:rFonts w:cs="Times New Roman"/>
          <w:szCs w:val="24"/>
        </w:rPr>
        <w:t xml:space="preserve"> which suffer from a small UK dataset)</w:t>
      </w:r>
    </w:p>
    <w:p w14:paraId="36D48021" w14:textId="56CD0A30" w:rsidR="00F3014C" w:rsidRPr="00000A9C" w:rsidRDefault="00214F8D" w:rsidP="00AA2E53">
      <w:pPr>
        <w:rPr>
          <w:rFonts w:cs="Times New Roman"/>
          <w:szCs w:val="24"/>
        </w:rPr>
      </w:pPr>
      <w:r>
        <w:rPr>
          <w:rFonts w:cs="Times New Roman"/>
          <w:szCs w:val="24"/>
        </w:rPr>
        <w:t xml:space="preserve">Further work </w:t>
      </w:r>
      <w:r w:rsidR="00F3014C">
        <w:rPr>
          <w:rFonts w:cs="Times New Roman"/>
          <w:szCs w:val="24"/>
        </w:rPr>
        <w:t>will be focused on the application</w:t>
      </w:r>
      <w:r w:rsidR="008C2529">
        <w:rPr>
          <w:rFonts w:cs="Times New Roman"/>
          <w:szCs w:val="24"/>
        </w:rPr>
        <w:t xml:space="preserve"> of</w:t>
      </w:r>
      <w:r w:rsidR="00F3014C">
        <w:rPr>
          <w:rFonts w:cs="Times New Roman"/>
          <w:szCs w:val="24"/>
        </w:rPr>
        <w:t xml:space="preserve"> </w:t>
      </w:r>
      <w:r w:rsidR="00774881">
        <w:rPr>
          <w:rFonts w:cs="Times New Roman"/>
          <w:szCs w:val="24"/>
        </w:rPr>
        <w:t>fire safety</w:t>
      </w:r>
      <w:r w:rsidR="00F3014C">
        <w:rPr>
          <w:rFonts w:cs="Times New Roman"/>
          <w:szCs w:val="24"/>
        </w:rPr>
        <w:t xml:space="preserve"> data in the evaluation of probabilistic risk assessment</w:t>
      </w:r>
      <w:r w:rsidR="008C2529">
        <w:rPr>
          <w:rFonts w:cs="Times New Roman"/>
          <w:szCs w:val="24"/>
        </w:rPr>
        <w:t xml:space="preserve">s </w:t>
      </w:r>
      <w:r w:rsidR="00691588">
        <w:rPr>
          <w:rFonts w:cs="Times New Roman"/>
          <w:szCs w:val="24"/>
        </w:rPr>
        <w:t>and</w:t>
      </w:r>
      <w:r w:rsidR="00F3014C">
        <w:rPr>
          <w:rFonts w:cs="Times New Roman"/>
          <w:szCs w:val="24"/>
        </w:rPr>
        <w:t xml:space="preserve"> </w:t>
      </w:r>
      <w:r w:rsidR="00D55175">
        <w:rPr>
          <w:rFonts w:cs="Times New Roman"/>
          <w:szCs w:val="24"/>
        </w:rPr>
        <w:t xml:space="preserve">future </w:t>
      </w:r>
      <w:r w:rsidR="00691588">
        <w:rPr>
          <w:rFonts w:cs="Times New Roman"/>
          <w:szCs w:val="24"/>
        </w:rPr>
        <w:t>f</w:t>
      </w:r>
      <w:r w:rsidR="00F3014C">
        <w:rPr>
          <w:rFonts w:cs="Times New Roman"/>
          <w:szCs w:val="24"/>
        </w:rPr>
        <w:t xml:space="preserve">ire statistics </w:t>
      </w:r>
      <w:r w:rsidR="008C2529">
        <w:rPr>
          <w:rFonts w:cs="Times New Roman"/>
          <w:szCs w:val="24"/>
        </w:rPr>
        <w:t xml:space="preserve">investigated </w:t>
      </w:r>
      <w:r w:rsidR="009A1214">
        <w:rPr>
          <w:rFonts w:cs="Times New Roman"/>
          <w:szCs w:val="24"/>
        </w:rPr>
        <w:t xml:space="preserve">to ensure that </w:t>
      </w:r>
      <w:r w:rsidR="001E2B12">
        <w:rPr>
          <w:rFonts w:cs="Times New Roman"/>
          <w:szCs w:val="24"/>
        </w:rPr>
        <w:t xml:space="preserve">data </w:t>
      </w:r>
      <w:r w:rsidR="0067063D">
        <w:rPr>
          <w:rFonts w:cs="Times New Roman"/>
          <w:szCs w:val="24"/>
        </w:rPr>
        <w:t>are</w:t>
      </w:r>
      <w:r w:rsidR="009A1214">
        <w:rPr>
          <w:rFonts w:cs="Times New Roman"/>
          <w:szCs w:val="24"/>
        </w:rPr>
        <w:t xml:space="preserve"> representative </w:t>
      </w:r>
      <w:r w:rsidR="00D55175">
        <w:rPr>
          <w:rFonts w:cs="Times New Roman"/>
          <w:szCs w:val="24"/>
        </w:rPr>
        <w:t xml:space="preserve">of fires </w:t>
      </w:r>
      <w:r w:rsidR="001E2B12">
        <w:rPr>
          <w:rFonts w:cs="Times New Roman"/>
          <w:szCs w:val="24"/>
        </w:rPr>
        <w:t xml:space="preserve">and useful </w:t>
      </w:r>
      <w:r w:rsidR="00D55175">
        <w:rPr>
          <w:rFonts w:cs="Times New Roman"/>
          <w:szCs w:val="24"/>
        </w:rPr>
        <w:t xml:space="preserve">in the fire </w:t>
      </w:r>
      <w:r w:rsidR="001E2B12">
        <w:rPr>
          <w:rFonts w:cs="Times New Roman"/>
          <w:szCs w:val="24"/>
        </w:rPr>
        <w:t xml:space="preserve">design of </w:t>
      </w:r>
      <w:r w:rsidR="009A1214">
        <w:rPr>
          <w:rFonts w:cs="Times New Roman"/>
          <w:szCs w:val="24"/>
        </w:rPr>
        <w:t>building</w:t>
      </w:r>
      <w:r w:rsidR="001E2B12">
        <w:rPr>
          <w:rFonts w:cs="Times New Roman"/>
          <w:szCs w:val="24"/>
        </w:rPr>
        <w:t xml:space="preserve">s </w:t>
      </w:r>
      <w:r w:rsidR="009A1214">
        <w:rPr>
          <w:rFonts w:cs="Times New Roman"/>
          <w:szCs w:val="24"/>
        </w:rPr>
        <w:t xml:space="preserve">in UK and USA. </w:t>
      </w:r>
    </w:p>
    <w:p w14:paraId="08FDEF3B" w14:textId="1E0349AC" w:rsidR="00985467" w:rsidRPr="00AA2E53" w:rsidRDefault="00985467" w:rsidP="00AA2E53">
      <w:pPr>
        <w:rPr>
          <w:rFonts w:cs="Times New Roman"/>
          <w:b/>
          <w:szCs w:val="24"/>
        </w:rPr>
      </w:pPr>
      <w:r w:rsidRPr="00AA2E53">
        <w:rPr>
          <w:rFonts w:cs="Times New Roman"/>
          <w:b/>
          <w:szCs w:val="24"/>
        </w:rPr>
        <w:t>Acknowledgements</w:t>
      </w:r>
    </w:p>
    <w:p w14:paraId="08B97DF9" w14:textId="2C5905B7" w:rsidR="00DC036F" w:rsidRPr="00000A9C" w:rsidRDefault="00DC036F" w:rsidP="00AA2E53">
      <w:pPr>
        <w:rPr>
          <w:rFonts w:cs="Times New Roman"/>
          <w:szCs w:val="24"/>
        </w:rPr>
      </w:pPr>
      <w:r>
        <w:rPr>
          <w:rFonts w:cs="Times New Roman"/>
          <w:szCs w:val="24"/>
        </w:rPr>
        <w:t>The authors would like to thank the Home Office</w:t>
      </w:r>
      <w:r w:rsidR="0001356E">
        <w:rPr>
          <w:rFonts w:cs="Times New Roman"/>
          <w:szCs w:val="24"/>
        </w:rPr>
        <w:t xml:space="preserve"> and the US </w:t>
      </w:r>
      <w:r w:rsidR="00691588">
        <w:rPr>
          <w:rFonts w:cs="Times New Roman"/>
          <w:szCs w:val="24"/>
        </w:rPr>
        <w:t>F</w:t>
      </w:r>
      <w:r w:rsidR="0001356E">
        <w:rPr>
          <w:rFonts w:cs="Times New Roman"/>
          <w:szCs w:val="24"/>
        </w:rPr>
        <w:t xml:space="preserve">ire </w:t>
      </w:r>
      <w:r w:rsidR="00691588">
        <w:rPr>
          <w:rFonts w:cs="Times New Roman"/>
          <w:szCs w:val="24"/>
        </w:rPr>
        <w:t>A</w:t>
      </w:r>
      <w:r w:rsidR="0001356E">
        <w:rPr>
          <w:rFonts w:cs="Times New Roman"/>
          <w:szCs w:val="24"/>
        </w:rPr>
        <w:t xml:space="preserve">dministration </w:t>
      </w:r>
      <w:r w:rsidR="00AC1336">
        <w:rPr>
          <w:rFonts w:cs="Times New Roman"/>
          <w:szCs w:val="24"/>
        </w:rPr>
        <w:t>for providing</w:t>
      </w:r>
      <w:r w:rsidR="00794565">
        <w:rPr>
          <w:rFonts w:cs="Times New Roman"/>
          <w:szCs w:val="24"/>
        </w:rPr>
        <w:t xml:space="preserve"> their </w:t>
      </w:r>
      <w:r w:rsidR="0001356E">
        <w:rPr>
          <w:rFonts w:cs="Times New Roman"/>
          <w:szCs w:val="24"/>
        </w:rPr>
        <w:t xml:space="preserve">fire statistics </w:t>
      </w:r>
      <w:r w:rsidR="00794565">
        <w:rPr>
          <w:rFonts w:cs="Times New Roman"/>
          <w:szCs w:val="24"/>
        </w:rPr>
        <w:t>datasets</w:t>
      </w:r>
      <w:r w:rsidR="0001356E">
        <w:rPr>
          <w:rFonts w:cs="Times New Roman"/>
          <w:szCs w:val="24"/>
        </w:rPr>
        <w:t xml:space="preserve"> and enabl</w:t>
      </w:r>
      <w:r w:rsidR="00AC1336">
        <w:rPr>
          <w:rFonts w:cs="Times New Roman"/>
          <w:szCs w:val="24"/>
        </w:rPr>
        <w:t>ing</w:t>
      </w:r>
      <w:r w:rsidR="0001356E">
        <w:rPr>
          <w:rFonts w:cs="Times New Roman"/>
          <w:szCs w:val="24"/>
        </w:rPr>
        <w:t xml:space="preserve"> the development of this research.</w:t>
      </w:r>
    </w:p>
    <w:p w14:paraId="6CDBE269" w14:textId="55B24AC4" w:rsidR="00985467" w:rsidRPr="00AA2E53" w:rsidRDefault="00985467" w:rsidP="00AA2E53">
      <w:pPr>
        <w:rPr>
          <w:rFonts w:cs="Times New Roman"/>
          <w:b/>
          <w:szCs w:val="24"/>
        </w:rPr>
      </w:pPr>
      <w:r w:rsidRPr="00AA2E53">
        <w:rPr>
          <w:rFonts w:cs="Times New Roman"/>
          <w:b/>
          <w:szCs w:val="24"/>
        </w:rPr>
        <w:t>References</w:t>
      </w:r>
    </w:p>
    <w:p w14:paraId="1825904A" w14:textId="43DF0350" w:rsidR="00AA1C73" w:rsidRPr="00AA1C73" w:rsidRDefault="000C1D44" w:rsidP="00AA1C73">
      <w:pPr>
        <w:widowControl w:val="0"/>
        <w:autoSpaceDE w:val="0"/>
        <w:autoSpaceDN w:val="0"/>
        <w:adjustRightInd w:val="0"/>
        <w:spacing w:after="0"/>
        <w:ind w:left="640" w:hanging="640"/>
        <w:rPr>
          <w:rFonts w:cs="Times New Roman"/>
          <w:noProof/>
          <w:szCs w:val="24"/>
        </w:rPr>
      </w:pPr>
      <w:r>
        <w:rPr>
          <w:rFonts w:cs="Times New Roman"/>
          <w:szCs w:val="24"/>
        </w:rPr>
        <w:fldChar w:fldCharType="begin" w:fldLock="1"/>
      </w:r>
      <w:r>
        <w:rPr>
          <w:rFonts w:cs="Times New Roman"/>
          <w:szCs w:val="24"/>
        </w:rPr>
        <w:instrText xml:space="preserve">ADDIN Mendeley Bibliography CSL_BIBLIOGRAPHY </w:instrText>
      </w:r>
      <w:r>
        <w:rPr>
          <w:rFonts w:cs="Times New Roman"/>
          <w:szCs w:val="24"/>
        </w:rPr>
        <w:fldChar w:fldCharType="separate"/>
      </w:r>
      <w:r w:rsidR="00AA1C73" w:rsidRPr="00AA1C73">
        <w:rPr>
          <w:rFonts w:cs="Times New Roman"/>
          <w:noProof/>
          <w:szCs w:val="24"/>
        </w:rPr>
        <w:t>[1]</w:t>
      </w:r>
      <w:r w:rsidR="00AA1C73" w:rsidRPr="00AA1C73">
        <w:rPr>
          <w:rFonts w:cs="Times New Roman"/>
          <w:noProof/>
          <w:szCs w:val="24"/>
        </w:rPr>
        <w:tab/>
        <w:t xml:space="preserve">B. J. Meacham, “Risk-Informed Performance-Based Approach to Building Regulation 1,” </w:t>
      </w:r>
      <w:r w:rsidR="00AA1C73" w:rsidRPr="00AA1C73">
        <w:rPr>
          <w:rFonts w:cs="Times New Roman"/>
          <w:i/>
          <w:iCs/>
          <w:noProof/>
          <w:szCs w:val="24"/>
        </w:rPr>
        <w:t>J. Risk Res.</w:t>
      </w:r>
      <w:r w:rsidR="00AA1C73" w:rsidRPr="00AA1C73">
        <w:rPr>
          <w:rFonts w:cs="Times New Roman"/>
          <w:noProof/>
          <w:szCs w:val="24"/>
        </w:rPr>
        <w:t>, vol. 13, no. 7, pp. 877–893, 2010.</w:t>
      </w:r>
    </w:p>
    <w:p w14:paraId="741D2C0A"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w:t>
      </w:r>
      <w:r w:rsidRPr="00AA1C73">
        <w:rPr>
          <w:rFonts w:cs="Times New Roman"/>
          <w:noProof/>
          <w:szCs w:val="24"/>
        </w:rPr>
        <w:tab/>
        <w:t>The British Standards Institution, “PAS 911:2007 Fire strategies – Guidance and framework for their formulation,” 2007.</w:t>
      </w:r>
    </w:p>
    <w:p w14:paraId="1E2F6E93"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[3]</w:t>
      </w:r>
      <w:r w:rsidRPr="00AA1C73">
        <w:rPr>
          <w:rFonts w:cs="Times New Roman"/>
          <w:noProof/>
          <w:szCs w:val="24"/>
        </w:rPr>
        <w:tab/>
        <w:t xml:space="preserve">Y. Wang, I. Burgess, F. Wald, and M. Gillie, </w:t>
      </w:r>
      <w:r w:rsidRPr="00AA1C73">
        <w:rPr>
          <w:rFonts w:cs="Times New Roman"/>
          <w:i/>
          <w:iCs/>
          <w:noProof/>
          <w:szCs w:val="24"/>
        </w:rPr>
        <w:t>Performance-Based Fire Engineering of Structures</w:t>
      </w:r>
      <w:r w:rsidRPr="00AA1C73">
        <w:rPr>
          <w:rFonts w:cs="Times New Roman"/>
          <w:noProof/>
          <w:szCs w:val="24"/>
        </w:rPr>
        <w:t>. CRC Press, 2012.</w:t>
      </w:r>
    </w:p>
    <w:p w14:paraId="1CB1C975"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[4]</w:t>
      </w:r>
      <w:r w:rsidRPr="00AA1C73">
        <w:rPr>
          <w:rFonts w:cs="Times New Roman"/>
          <w:noProof/>
          <w:szCs w:val="24"/>
        </w:rPr>
        <w:tab/>
        <w:t xml:space="preserve">The British Standards Institution, </w:t>
      </w:r>
      <w:r w:rsidRPr="00AA1C73">
        <w:rPr>
          <w:rFonts w:cs="Times New Roman"/>
          <w:i/>
          <w:iCs/>
          <w:noProof/>
          <w:szCs w:val="24"/>
        </w:rPr>
        <w:t>BS 7974: Application of Fire Safety Engineering Principles to the Design of Buildings - Code of Practice</w:t>
      </w:r>
      <w:r w:rsidRPr="00AA1C73">
        <w:rPr>
          <w:rFonts w:cs="Times New Roman"/>
          <w:noProof/>
          <w:szCs w:val="24"/>
        </w:rPr>
        <w:t>. 2019.</w:t>
      </w:r>
    </w:p>
    <w:p w14:paraId="6B8A4EFD"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[5]</w:t>
      </w:r>
      <w:r w:rsidRPr="00AA1C73">
        <w:rPr>
          <w:rFonts w:cs="Times New Roman"/>
          <w:noProof/>
          <w:szCs w:val="24"/>
        </w:rPr>
        <w:tab/>
        <w:t xml:space="preserve">D. Rush, L. Bisby, I. Ioannou, and T. Rossetto, “Towards fragility analysis for concrete buildings in fire: residual capacity of concrete columns,” in </w:t>
      </w:r>
      <w:r w:rsidRPr="00AA1C73">
        <w:rPr>
          <w:rFonts w:cs="Times New Roman"/>
          <w:i/>
          <w:iCs/>
          <w:noProof/>
          <w:szCs w:val="24"/>
        </w:rPr>
        <w:t>8th SiF</w:t>
      </w:r>
      <w:r w:rsidRPr="00AA1C73">
        <w:rPr>
          <w:rFonts w:cs="Times New Roman"/>
          <w:noProof/>
          <w:szCs w:val="24"/>
        </w:rPr>
        <w:t>, 2014, pp. 467–474.</w:t>
      </w:r>
    </w:p>
    <w:p w14:paraId="340536AC"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[6]</w:t>
      </w:r>
      <w:r w:rsidRPr="00AA1C73">
        <w:rPr>
          <w:rFonts w:cs="Times New Roman"/>
          <w:noProof/>
          <w:szCs w:val="24"/>
        </w:rPr>
        <w:tab/>
        <w:t xml:space="preserve">L. Bisby, J. Gales, and C. Maluk, “A contemporary review of large-scale non-standard structural fire testing,” </w:t>
      </w:r>
      <w:r w:rsidRPr="00AA1C73">
        <w:rPr>
          <w:rFonts w:cs="Times New Roman"/>
          <w:i/>
          <w:iCs/>
          <w:noProof/>
          <w:szCs w:val="24"/>
        </w:rPr>
        <w:t>Fire Sci. Rev.</w:t>
      </w:r>
      <w:r w:rsidRPr="00AA1C73">
        <w:rPr>
          <w:rFonts w:cs="Times New Roman"/>
          <w:noProof/>
          <w:szCs w:val="24"/>
        </w:rPr>
        <w:t>, vol. 2, no. 1, 2013.</w:t>
      </w:r>
    </w:p>
    <w:p w14:paraId="470F3A94"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[7]</w:t>
      </w:r>
      <w:r w:rsidRPr="00AA1C73">
        <w:rPr>
          <w:rFonts w:cs="Times New Roman"/>
          <w:noProof/>
          <w:szCs w:val="24"/>
        </w:rPr>
        <w:tab/>
        <w:t xml:space="preserve">G. V. Hadjisophocleous and N. Benichou, “Performance criteria used in fire safety design,” </w:t>
      </w:r>
      <w:r w:rsidRPr="00AA1C73">
        <w:rPr>
          <w:rFonts w:cs="Times New Roman"/>
          <w:i/>
          <w:iCs/>
          <w:noProof/>
          <w:szCs w:val="24"/>
        </w:rPr>
        <w:t>Autom. Constr.</w:t>
      </w:r>
      <w:r w:rsidRPr="00AA1C73">
        <w:rPr>
          <w:rFonts w:cs="Times New Roman"/>
          <w:noProof/>
          <w:szCs w:val="24"/>
        </w:rPr>
        <w:t>, vol. 8, no. 4, pp. 489–501, 1999.</w:t>
      </w:r>
    </w:p>
    <w:p w14:paraId="2E470E4B"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[8]</w:t>
      </w:r>
      <w:r w:rsidRPr="00AA1C73">
        <w:rPr>
          <w:rFonts w:cs="Times New Roman"/>
          <w:noProof/>
          <w:szCs w:val="24"/>
        </w:rPr>
        <w:tab/>
        <w:t xml:space="preserve">M. Manes and D. Rush, “Meta-analysis of response times and safety systems to the fire size, growth and damage, based on UK, USA and New Zealand fire statistics databases.,” </w:t>
      </w:r>
      <w:r w:rsidRPr="00AA1C73">
        <w:rPr>
          <w:rFonts w:cs="Times New Roman"/>
          <w:i/>
          <w:iCs/>
          <w:noProof/>
          <w:szCs w:val="24"/>
        </w:rPr>
        <w:t>2nd Int. Conf. Struct. Saf. under Fire Blast Load. (CONFAB 17)</w:t>
      </w:r>
      <w:r w:rsidRPr="00AA1C73">
        <w:rPr>
          <w:rFonts w:cs="Times New Roman"/>
          <w:noProof/>
          <w:szCs w:val="24"/>
        </w:rPr>
        <w:t>, pp. 108–117, 2017.</w:t>
      </w:r>
    </w:p>
    <w:p w14:paraId="76FC1481"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[9]</w:t>
      </w:r>
      <w:r w:rsidRPr="00AA1C73">
        <w:rPr>
          <w:rFonts w:cs="Times New Roman"/>
          <w:noProof/>
          <w:szCs w:val="24"/>
        </w:rPr>
        <w:tab/>
        <w:t xml:space="preserve">M. Manes and D. Rush, “Meta-analysis of UK , USA and New Zealand fire statistics databases with respect to damage and financial loss.,” in </w:t>
      </w:r>
      <w:r w:rsidRPr="00AA1C73">
        <w:rPr>
          <w:rFonts w:cs="Times New Roman"/>
          <w:i/>
          <w:iCs/>
          <w:noProof/>
          <w:szCs w:val="24"/>
        </w:rPr>
        <w:t>Applications of Fire Engineering: Proceedings of the International Conference of Applications of Structural Fire Engineering (ASFE 2017)</w:t>
      </w:r>
      <w:r w:rsidRPr="00AA1C73">
        <w:rPr>
          <w:rFonts w:cs="Times New Roman"/>
          <w:noProof/>
          <w:szCs w:val="24"/>
        </w:rPr>
        <w:t>, 2017, pp. 179–188.</w:t>
      </w:r>
    </w:p>
    <w:p w14:paraId="3FABA115"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[10]</w:t>
      </w:r>
      <w:r w:rsidRPr="00AA1C73">
        <w:rPr>
          <w:rFonts w:cs="Times New Roman"/>
          <w:noProof/>
          <w:szCs w:val="24"/>
        </w:rPr>
        <w:tab/>
        <w:t xml:space="preserve">G. Ramachandran and D. Charters, </w:t>
      </w:r>
      <w:r w:rsidRPr="00AA1C73">
        <w:rPr>
          <w:rFonts w:cs="Times New Roman"/>
          <w:i/>
          <w:iCs/>
          <w:noProof/>
          <w:szCs w:val="24"/>
        </w:rPr>
        <w:t>Quantitative risk assessment in fire safety</w:t>
      </w:r>
      <w:r w:rsidRPr="00AA1C73">
        <w:rPr>
          <w:rFonts w:cs="Times New Roman"/>
          <w:noProof/>
          <w:szCs w:val="24"/>
        </w:rPr>
        <w:t>. Routledge, 2011.</w:t>
      </w:r>
    </w:p>
    <w:p w14:paraId="364F8529"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[11]</w:t>
      </w:r>
      <w:r w:rsidRPr="00AA1C73">
        <w:rPr>
          <w:rFonts w:cs="Times New Roman"/>
          <w:noProof/>
          <w:szCs w:val="24"/>
        </w:rPr>
        <w:tab/>
        <w:t xml:space="preserve">Apostolakis G.E., “How Useful Is Quantitative Risk Assessment?,” </w:t>
      </w:r>
      <w:r w:rsidRPr="00AA1C73">
        <w:rPr>
          <w:rFonts w:cs="Times New Roman"/>
          <w:i/>
          <w:iCs/>
          <w:noProof/>
          <w:szCs w:val="24"/>
        </w:rPr>
        <w:t>Risk Anal.</w:t>
      </w:r>
      <w:r w:rsidRPr="00AA1C73">
        <w:rPr>
          <w:rFonts w:cs="Times New Roman"/>
          <w:noProof/>
          <w:szCs w:val="24"/>
        </w:rPr>
        <w:t xml:space="preserve">, vol. 24, </w:t>
      </w:r>
      <w:r w:rsidRPr="00AA1C73">
        <w:rPr>
          <w:rFonts w:cs="Times New Roman"/>
          <w:noProof/>
          <w:szCs w:val="24"/>
        </w:rPr>
        <w:lastRenderedPageBreak/>
        <w:t>no. 3, pp. 515–520, 2004.</w:t>
      </w:r>
    </w:p>
    <w:p w14:paraId="23B44A44"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[12]</w:t>
      </w:r>
      <w:r w:rsidRPr="00AA1C73">
        <w:rPr>
          <w:rFonts w:cs="Times New Roman"/>
          <w:noProof/>
          <w:szCs w:val="24"/>
        </w:rPr>
        <w:tab/>
        <w:t xml:space="preserve">The British Standards Institution, </w:t>
      </w:r>
      <w:r w:rsidRPr="00AA1C73">
        <w:rPr>
          <w:rFonts w:cs="Times New Roman"/>
          <w:i/>
          <w:iCs/>
          <w:noProof/>
          <w:szCs w:val="24"/>
        </w:rPr>
        <w:t>PD 7974-7 Application of fire safety engineering principles to the design of buildings — Part 7: Probabilistic risk assessment</w:t>
      </w:r>
      <w:r w:rsidRPr="00AA1C73">
        <w:rPr>
          <w:rFonts w:cs="Times New Roman"/>
          <w:noProof/>
          <w:szCs w:val="24"/>
        </w:rPr>
        <w:t>. 2003.</w:t>
      </w:r>
    </w:p>
    <w:p w14:paraId="5691DA69"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[13]</w:t>
      </w:r>
      <w:r w:rsidRPr="00AA1C73">
        <w:rPr>
          <w:rFonts w:cs="Times New Roman"/>
          <w:noProof/>
          <w:szCs w:val="24"/>
        </w:rPr>
        <w:tab/>
        <w:t xml:space="preserve">The British Standards Institution, </w:t>
      </w:r>
      <w:r w:rsidRPr="00AA1C73">
        <w:rPr>
          <w:rFonts w:cs="Times New Roman"/>
          <w:i/>
          <w:iCs/>
          <w:noProof/>
          <w:szCs w:val="24"/>
        </w:rPr>
        <w:t>PD 7974-7 Application of Fire Safety Engineering Principles to the Design of Buildings - Part 7: Probabilistic risk assessment</w:t>
      </w:r>
      <w:r w:rsidRPr="00AA1C73">
        <w:rPr>
          <w:rFonts w:cs="Times New Roman"/>
          <w:noProof/>
          <w:szCs w:val="24"/>
        </w:rPr>
        <w:t>. 2019.</w:t>
      </w:r>
    </w:p>
    <w:p w14:paraId="3474C177"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[14]</w:t>
      </w:r>
      <w:r w:rsidRPr="00AA1C73">
        <w:rPr>
          <w:rFonts w:cs="Times New Roman"/>
          <w:noProof/>
          <w:szCs w:val="24"/>
        </w:rPr>
        <w:tab/>
        <w:t xml:space="preserve">R. Van Coile, D. Hopkin, D. Lange, G. Jomaas, and L. Bisby, “The Need for Hierarchies of Acceptance Criteria for Probabilistic Risk Assessments in Fire Engineering,” </w:t>
      </w:r>
      <w:r w:rsidRPr="00AA1C73">
        <w:rPr>
          <w:rFonts w:cs="Times New Roman"/>
          <w:i/>
          <w:iCs/>
          <w:noProof/>
          <w:szCs w:val="24"/>
        </w:rPr>
        <w:t>Fire Technol.</w:t>
      </w:r>
      <w:r w:rsidRPr="00AA1C73">
        <w:rPr>
          <w:rFonts w:cs="Times New Roman"/>
          <w:noProof/>
          <w:szCs w:val="24"/>
        </w:rPr>
        <w:t>, vol. 55, no. 4, pp. 1111–1146, 2019.</w:t>
      </w:r>
    </w:p>
    <w:p w14:paraId="7E2ECB77"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[15]</w:t>
      </w:r>
      <w:r w:rsidRPr="00AA1C73">
        <w:rPr>
          <w:rFonts w:cs="Times New Roman"/>
          <w:noProof/>
          <w:szCs w:val="24"/>
        </w:rPr>
        <w:tab/>
        <w:t xml:space="preserve">M. Manes and D. Rush, “A Critical Evaluation of BS PD 7974-7 Structural Fire Response Data Based on USA Fire Statistics,” </w:t>
      </w:r>
      <w:r w:rsidRPr="00AA1C73">
        <w:rPr>
          <w:rFonts w:cs="Times New Roman"/>
          <w:i/>
          <w:iCs/>
          <w:noProof/>
          <w:szCs w:val="24"/>
        </w:rPr>
        <w:t>Fire Technol.</w:t>
      </w:r>
      <w:r w:rsidRPr="00AA1C73">
        <w:rPr>
          <w:rFonts w:cs="Times New Roman"/>
          <w:noProof/>
          <w:szCs w:val="24"/>
        </w:rPr>
        <w:t>, vol. 55, no. 4, pp. 1243–1293, Oct. 2018.</w:t>
      </w:r>
    </w:p>
    <w:p w14:paraId="6440A13E"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[16]</w:t>
      </w:r>
      <w:r w:rsidRPr="00AA1C73">
        <w:rPr>
          <w:rFonts w:cs="Times New Roman"/>
          <w:noProof/>
          <w:szCs w:val="24"/>
        </w:rPr>
        <w:tab/>
        <w:t>Home Office, “Fire and rescue incident statistics: England, year ending March 2018. FIRE 0102,” 2018.</w:t>
      </w:r>
    </w:p>
    <w:p w14:paraId="1E76C209"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[17]</w:t>
      </w:r>
      <w:r w:rsidRPr="00AA1C73">
        <w:rPr>
          <w:rFonts w:cs="Times New Roman"/>
          <w:noProof/>
          <w:szCs w:val="24"/>
        </w:rPr>
        <w:tab/>
        <w:t>Home Office, “Fire and rescue incident statistics: England, year ending March 2018. FIRE 0204,” 2018.</w:t>
      </w:r>
    </w:p>
    <w:p w14:paraId="4CFE8612"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[18]</w:t>
      </w:r>
      <w:r w:rsidRPr="00AA1C73">
        <w:rPr>
          <w:rFonts w:cs="Times New Roman"/>
          <w:noProof/>
          <w:szCs w:val="24"/>
        </w:rPr>
        <w:tab/>
        <w:t xml:space="preserve">Ben Evart, “Fire Loss In The United State During 2017,” </w:t>
      </w:r>
      <w:r w:rsidRPr="00AA1C73">
        <w:rPr>
          <w:rFonts w:cs="Times New Roman"/>
          <w:i/>
          <w:iCs/>
          <w:noProof/>
          <w:szCs w:val="24"/>
        </w:rPr>
        <w:t>Natl. Fire Prot. Assoc.</w:t>
      </w:r>
      <w:r w:rsidRPr="00AA1C73">
        <w:rPr>
          <w:rFonts w:cs="Times New Roman"/>
          <w:noProof/>
          <w:szCs w:val="24"/>
        </w:rPr>
        <w:t>, 2018.</w:t>
      </w:r>
    </w:p>
    <w:p w14:paraId="5B6A4039"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[19]</w:t>
      </w:r>
      <w:r w:rsidRPr="00AA1C73">
        <w:rPr>
          <w:rFonts w:cs="Times New Roman"/>
          <w:noProof/>
          <w:szCs w:val="24"/>
        </w:rPr>
        <w:tab/>
        <w:t xml:space="preserve">G. Ramachandran, “Fire safety management and risk assessment,” </w:t>
      </w:r>
      <w:r w:rsidRPr="00AA1C73">
        <w:rPr>
          <w:rFonts w:cs="Times New Roman"/>
          <w:i/>
          <w:iCs/>
          <w:noProof/>
          <w:szCs w:val="24"/>
        </w:rPr>
        <w:t>Facilities</w:t>
      </w:r>
      <w:r w:rsidRPr="00AA1C73">
        <w:rPr>
          <w:rFonts w:cs="Times New Roman"/>
          <w:noProof/>
          <w:szCs w:val="24"/>
        </w:rPr>
        <w:t>, vol. 17, no. 9/10, pp. 363–377, 1999.</w:t>
      </w:r>
    </w:p>
    <w:p w14:paraId="162EA2D3"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[20]</w:t>
      </w:r>
      <w:r w:rsidRPr="00AA1C73">
        <w:rPr>
          <w:rFonts w:cs="Times New Roman"/>
          <w:noProof/>
          <w:szCs w:val="24"/>
        </w:rPr>
        <w:tab/>
        <w:t xml:space="preserve">The British Standards Institution, </w:t>
      </w:r>
      <w:r w:rsidRPr="00AA1C73">
        <w:rPr>
          <w:rFonts w:cs="Times New Roman"/>
          <w:i/>
          <w:iCs/>
          <w:noProof/>
          <w:szCs w:val="24"/>
        </w:rPr>
        <w:t>BS EN ISO 22313 Societal security – Business continuity management systems – Guidance</w:t>
      </w:r>
      <w:r w:rsidRPr="00AA1C73">
        <w:rPr>
          <w:rFonts w:cs="Times New Roman"/>
          <w:noProof/>
          <w:szCs w:val="24"/>
        </w:rPr>
        <w:t>. 2014.</w:t>
      </w:r>
    </w:p>
    <w:p w14:paraId="16294382"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[21]</w:t>
      </w:r>
      <w:r w:rsidRPr="00AA1C73">
        <w:rPr>
          <w:rFonts w:cs="Times New Roman"/>
          <w:noProof/>
          <w:szCs w:val="24"/>
        </w:rPr>
        <w:tab/>
        <w:t xml:space="preserve">The British Standards Institution, </w:t>
      </w:r>
      <w:r w:rsidRPr="00AA1C73">
        <w:rPr>
          <w:rFonts w:cs="Times New Roman"/>
          <w:i/>
          <w:iCs/>
          <w:noProof/>
          <w:szCs w:val="24"/>
        </w:rPr>
        <w:t>BS EN ISO 22301 Societal security – Business continuity management systems – Requirements</w:t>
      </w:r>
      <w:r w:rsidRPr="00AA1C73">
        <w:rPr>
          <w:rFonts w:cs="Times New Roman"/>
          <w:noProof/>
          <w:szCs w:val="24"/>
        </w:rPr>
        <w:t>. 2014.</w:t>
      </w:r>
    </w:p>
    <w:p w14:paraId="480F974F"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[22]</w:t>
      </w:r>
      <w:r w:rsidRPr="00AA1C73">
        <w:rPr>
          <w:rFonts w:cs="Times New Roman"/>
          <w:noProof/>
          <w:szCs w:val="24"/>
        </w:rPr>
        <w:tab/>
        <w:t>Home Office, “Publishing Incident Recording System data on the fire and rescue service at an incident level: Project overview,” 2017.</w:t>
      </w:r>
    </w:p>
    <w:p w14:paraId="192C9DAC"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[23]</w:t>
      </w:r>
      <w:r w:rsidRPr="00AA1C73">
        <w:rPr>
          <w:rFonts w:cs="Times New Roman"/>
          <w:noProof/>
          <w:szCs w:val="24"/>
        </w:rPr>
        <w:tab/>
        <w:t>Home Office, “Fire statistics collection,” 2019. [Online]. Available: https://www.gov.uk/government/collections/fire-statistics. [Accessed: 11-Aug-2019].</w:t>
      </w:r>
    </w:p>
    <w:p w14:paraId="5FA99F82"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[24]</w:t>
      </w:r>
      <w:r w:rsidRPr="00AA1C73">
        <w:rPr>
          <w:rFonts w:cs="Times New Roman"/>
          <w:noProof/>
          <w:szCs w:val="24"/>
        </w:rPr>
        <w:tab/>
        <w:t>Home Office, “Publishing Incident Recording System data on the fire and rescue service at an incident level: ‘Other building’ fires dataset guidance,” 2017.</w:t>
      </w:r>
    </w:p>
    <w:p w14:paraId="095917C5"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[25]</w:t>
      </w:r>
      <w:r w:rsidRPr="00AA1C73">
        <w:rPr>
          <w:rFonts w:cs="Times New Roman"/>
          <w:noProof/>
          <w:szCs w:val="24"/>
        </w:rPr>
        <w:tab/>
        <w:t>USFA, “National Fire Incident Reporting System,” vol. 2014, no. 12/31, 2014.</w:t>
      </w:r>
    </w:p>
    <w:p w14:paraId="39F1965E"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[26]</w:t>
      </w:r>
      <w:r w:rsidRPr="00AA1C73">
        <w:rPr>
          <w:rFonts w:cs="Times New Roman"/>
          <w:noProof/>
          <w:szCs w:val="24"/>
        </w:rPr>
        <w:tab/>
        <w:t>Valuation Office Agency, “Non-domestic rating: Stock of Properties England and Wales, 2010 Rating List,” 2016.</w:t>
      </w:r>
    </w:p>
    <w:p w14:paraId="042257AA"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[27]</w:t>
      </w:r>
      <w:r w:rsidRPr="00AA1C73">
        <w:rPr>
          <w:rFonts w:cs="Times New Roman"/>
          <w:noProof/>
          <w:szCs w:val="24"/>
        </w:rPr>
        <w:tab/>
        <w:t>U.S. Energy Information Administration, “Independent statistics &amp; analysis.” [Online]. Available: https://www.eia.gov. [Accessed: 15-Jul-2019].</w:t>
      </w:r>
    </w:p>
    <w:p w14:paraId="3489BB1F"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[28]</w:t>
      </w:r>
      <w:r w:rsidRPr="00AA1C73">
        <w:rPr>
          <w:rFonts w:cs="Times New Roman"/>
          <w:noProof/>
          <w:szCs w:val="24"/>
        </w:rPr>
        <w:tab/>
        <w:t>U.S. Energy Information Administration, “Commercial Buildings Energy Consumption Survey.” [Online]. Available: https://www.eia.gov/consumption/commercial/. [Accessed: 15-Jul-2019].</w:t>
      </w:r>
    </w:p>
    <w:p w14:paraId="22DC6E1A"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[29]</w:t>
      </w:r>
      <w:r w:rsidRPr="00AA1C73">
        <w:rPr>
          <w:rFonts w:cs="Times New Roman"/>
          <w:noProof/>
          <w:szCs w:val="24"/>
        </w:rPr>
        <w:tab/>
        <w:t>U.S. Energy Information Administration, “Manufacturing Energy Consumption Survey.” [Online]. Available: https://www.eia.gov/consumption/manufacturing/. [Accessed: 15-Jul-2019].</w:t>
      </w:r>
    </w:p>
    <w:p w14:paraId="7D78AD1D"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336CF6">
        <w:rPr>
          <w:rFonts w:cs="Times New Roman"/>
          <w:noProof/>
          <w:szCs w:val="24"/>
          <w:lang w:val="it-IT"/>
        </w:rPr>
        <w:t>[30]</w:t>
      </w:r>
      <w:r w:rsidRPr="00336CF6">
        <w:rPr>
          <w:rFonts w:cs="Times New Roman"/>
          <w:noProof/>
          <w:szCs w:val="24"/>
          <w:lang w:val="it-IT"/>
        </w:rPr>
        <w:tab/>
        <w:t xml:space="preserve">R. D’Addario, </w:t>
      </w:r>
      <w:r w:rsidRPr="00336CF6">
        <w:rPr>
          <w:rFonts w:cs="Times New Roman"/>
          <w:i/>
          <w:iCs/>
          <w:noProof/>
          <w:szCs w:val="24"/>
          <w:lang w:val="it-IT"/>
        </w:rPr>
        <w:t>Considerazioni sul tasso di premio delle assicurazioni incendi</w:t>
      </w:r>
      <w:r w:rsidRPr="00336CF6">
        <w:rPr>
          <w:rFonts w:cs="Times New Roman"/>
          <w:noProof/>
          <w:szCs w:val="24"/>
          <w:lang w:val="it-IT"/>
        </w:rPr>
        <w:t xml:space="preserve">. </w:t>
      </w:r>
      <w:r w:rsidRPr="00AA1C73">
        <w:rPr>
          <w:rFonts w:cs="Times New Roman"/>
          <w:noProof/>
          <w:szCs w:val="24"/>
        </w:rPr>
        <w:t>Bari, 1940.</w:t>
      </w:r>
    </w:p>
    <w:p w14:paraId="1996314A"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[31]</w:t>
      </w:r>
      <w:r w:rsidRPr="00AA1C73">
        <w:rPr>
          <w:rFonts w:cs="Times New Roman"/>
          <w:noProof/>
          <w:szCs w:val="24"/>
        </w:rPr>
        <w:tab/>
        <w:t xml:space="preserve">G. Ramachandran, “Fire loss indexes,” </w:t>
      </w:r>
      <w:r w:rsidRPr="00AA1C73">
        <w:rPr>
          <w:rFonts w:cs="Times New Roman"/>
          <w:i/>
          <w:iCs/>
          <w:noProof/>
          <w:szCs w:val="24"/>
        </w:rPr>
        <w:t>Fire Reserach Note No 839</w:t>
      </w:r>
      <w:r w:rsidRPr="00AA1C73">
        <w:rPr>
          <w:rFonts w:cs="Times New Roman"/>
          <w:noProof/>
          <w:szCs w:val="24"/>
        </w:rPr>
        <w:t>, 1970.</w:t>
      </w:r>
    </w:p>
    <w:p w14:paraId="31EDB22F"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[32]</w:t>
      </w:r>
      <w:r w:rsidRPr="00AA1C73">
        <w:rPr>
          <w:rFonts w:cs="Times New Roman"/>
          <w:noProof/>
          <w:szCs w:val="24"/>
        </w:rPr>
        <w:tab/>
        <w:t xml:space="preserve">R. Rutstein, “The probability of fire in different sectors of industry,” </w:t>
      </w:r>
      <w:r w:rsidRPr="00AA1C73">
        <w:rPr>
          <w:rFonts w:cs="Times New Roman"/>
          <w:i/>
          <w:iCs/>
          <w:noProof/>
          <w:szCs w:val="24"/>
        </w:rPr>
        <w:t>Fire Surv.</w:t>
      </w:r>
      <w:r w:rsidRPr="00AA1C73">
        <w:rPr>
          <w:rFonts w:cs="Times New Roman"/>
          <w:noProof/>
          <w:szCs w:val="24"/>
        </w:rPr>
        <w:t>, vol. 8, no. 1, pp. 20–23, 1979.</w:t>
      </w:r>
    </w:p>
    <w:p w14:paraId="06D987CD"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[33]</w:t>
      </w:r>
      <w:r w:rsidRPr="00AA1C73">
        <w:rPr>
          <w:rFonts w:cs="Times New Roman"/>
          <w:noProof/>
          <w:szCs w:val="24"/>
        </w:rPr>
        <w:tab/>
        <w:t>United States Census Bureau, “Statistical Abstract of The United States 2012,” 2012.</w:t>
      </w:r>
    </w:p>
    <w:p w14:paraId="623B64F7"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[34]</w:t>
      </w:r>
      <w:r w:rsidRPr="00AA1C73">
        <w:rPr>
          <w:rFonts w:cs="Times New Roman"/>
          <w:noProof/>
          <w:szCs w:val="24"/>
        </w:rPr>
        <w:tab/>
        <w:t xml:space="preserve">M. H. Faber, </w:t>
      </w:r>
      <w:r w:rsidRPr="00AA1C73">
        <w:rPr>
          <w:rFonts w:cs="Times New Roman"/>
          <w:i/>
          <w:iCs/>
          <w:noProof/>
          <w:szCs w:val="24"/>
        </w:rPr>
        <w:t>Statistics and probability theory: in pursuit of engineering decision support.</w:t>
      </w:r>
      <w:r w:rsidRPr="00AA1C73">
        <w:rPr>
          <w:rFonts w:cs="Times New Roman"/>
          <w:noProof/>
          <w:szCs w:val="24"/>
        </w:rPr>
        <w:t>, vol. 18. 2012.</w:t>
      </w:r>
    </w:p>
    <w:p w14:paraId="1B9D38FD" w14:textId="77777777" w:rsidR="00AA1C73" w:rsidRPr="00AA1C73" w:rsidRDefault="00AA1C73" w:rsidP="00AA1C73">
      <w:pPr>
        <w:widowControl w:val="0"/>
        <w:autoSpaceDE w:val="0"/>
        <w:autoSpaceDN w:val="0"/>
        <w:adjustRightInd w:val="0"/>
        <w:spacing w:after="0"/>
        <w:ind w:left="640" w:hanging="640"/>
        <w:rPr>
          <w:rFonts w:cs="Times New Roman"/>
          <w:noProof/>
          <w:szCs w:val="24"/>
        </w:rPr>
      </w:pPr>
      <w:r w:rsidRPr="00AA1C73">
        <w:rPr>
          <w:rFonts w:cs="Times New Roman"/>
          <w:noProof/>
          <w:szCs w:val="24"/>
        </w:rPr>
        <w:t>[35]</w:t>
      </w:r>
      <w:r w:rsidRPr="00AA1C73">
        <w:rPr>
          <w:rFonts w:cs="Times New Roman"/>
          <w:noProof/>
          <w:szCs w:val="24"/>
        </w:rPr>
        <w:tab/>
        <w:t xml:space="preserve">A. Rebekić, Z. Lončarić, S. Petrović, and S. Marić, “Pearson’s or Spearman’s Correlation Coefficient-Which One To Use?,” </w:t>
      </w:r>
      <w:r w:rsidRPr="00AA1C73">
        <w:rPr>
          <w:rFonts w:cs="Times New Roman"/>
          <w:i/>
          <w:iCs/>
          <w:noProof/>
          <w:szCs w:val="24"/>
        </w:rPr>
        <w:t>Poljopr.</w:t>
      </w:r>
      <w:r w:rsidRPr="00AA1C73">
        <w:rPr>
          <w:rFonts w:cs="Times New Roman"/>
          <w:noProof/>
          <w:szCs w:val="24"/>
        </w:rPr>
        <w:t>, vol. 21, no. 2, pp. 47–54, 2015.</w:t>
      </w:r>
    </w:p>
    <w:p w14:paraId="79A012E8" w14:textId="77777777" w:rsidR="00AA1C73" w:rsidRPr="00AA1C73" w:rsidRDefault="00AA1C73" w:rsidP="00AA1C73">
      <w:pPr>
        <w:widowControl w:val="0"/>
        <w:autoSpaceDE w:val="0"/>
        <w:autoSpaceDN w:val="0"/>
        <w:adjustRightInd w:val="0"/>
        <w:spacing w:after="0"/>
        <w:ind w:left="640" w:hanging="640"/>
        <w:rPr>
          <w:rFonts w:cs="Times New Roman"/>
          <w:noProof/>
        </w:rPr>
      </w:pPr>
      <w:r w:rsidRPr="00AA1C73">
        <w:rPr>
          <w:rFonts w:cs="Times New Roman"/>
          <w:noProof/>
          <w:szCs w:val="24"/>
        </w:rPr>
        <w:t>[36]</w:t>
      </w:r>
      <w:r w:rsidRPr="00AA1C73">
        <w:rPr>
          <w:rFonts w:cs="Times New Roman"/>
          <w:noProof/>
          <w:szCs w:val="24"/>
        </w:rPr>
        <w:tab/>
        <w:t xml:space="preserve">M. Lovric, </w:t>
      </w:r>
      <w:r w:rsidRPr="00AA1C73">
        <w:rPr>
          <w:rFonts w:cs="Times New Roman"/>
          <w:i/>
          <w:iCs/>
          <w:noProof/>
          <w:szCs w:val="24"/>
        </w:rPr>
        <w:t>International Encyclopedia of Statistical Science</w:t>
      </w:r>
      <w:r w:rsidRPr="00AA1C73">
        <w:rPr>
          <w:rFonts w:cs="Times New Roman"/>
          <w:noProof/>
          <w:szCs w:val="24"/>
        </w:rPr>
        <w:t>. 2011.</w:t>
      </w:r>
    </w:p>
    <w:p w14:paraId="63F363FD" w14:textId="77777777" w:rsidR="003C6B0C" w:rsidRDefault="000C1D44" w:rsidP="003C6B0C">
      <w:pPr>
        <w:widowControl w:val="0"/>
        <w:autoSpaceDE w:val="0"/>
        <w:autoSpaceDN w:val="0"/>
        <w:adjustRightInd w:val="0"/>
        <w:spacing w:after="0"/>
        <w:ind w:left="640" w:hanging="640"/>
        <w:rPr>
          <w:rFonts w:cs="Times New Roman"/>
          <w:szCs w:val="24"/>
        </w:rPr>
        <w:sectPr w:rsidR="003C6B0C" w:rsidSect="00B50E12">
          <w:pgSz w:w="11906" w:h="16838" w:code="9"/>
          <w:pgMar w:top="1440" w:right="1440" w:bottom="1440" w:left="1440" w:header="720" w:footer="720" w:gutter="0"/>
          <w:lnNumType w:countBy="1" w:restart="continuous"/>
          <w:cols w:space="720"/>
          <w:docGrid w:linePitch="360"/>
        </w:sectPr>
      </w:pPr>
      <w:r>
        <w:rPr>
          <w:rFonts w:cs="Times New Roman"/>
          <w:szCs w:val="24"/>
        </w:rPr>
        <w:fldChar w:fldCharType="end"/>
      </w:r>
    </w:p>
    <w:p w14:paraId="02C8D2E4" w14:textId="2B475630" w:rsidR="003C6B0C" w:rsidRPr="00907CB6" w:rsidRDefault="003C6B0C" w:rsidP="00907CB6">
      <w:pPr>
        <w:widowControl w:val="0"/>
        <w:autoSpaceDE w:val="0"/>
        <w:autoSpaceDN w:val="0"/>
        <w:adjustRightInd w:val="0"/>
        <w:spacing w:after="0"/>
        <w:rPr>
          <w:rFonts w:cs="Times New Roman"/>
          <w:b/>
          <w:szCs w:val="24"/>
        </w:rPr>
      </w:pPr>
      <w:r w:rsidRPr="00907CB6">
        <w:rPr>
          <w:rFonts w:cs="Times New Roman"/>
          <w:b/>
          <w:szCs w:val="24"/>
        </w:rPr>
        <w:lastRenderedPageBreak/>
        <w:t>Figure captions:</w:t>
      </w:r>
    </w:p>
    <w:p w14:paraId="5B4145E9" w14:textId="68829806" w:rsidR="00DC5D4C" w:rsidRDefault="003C6B0C">
      <w:pPr>
        <w:pStyle w:val="TableofFigures"/>
        <w:tabs>
          <w:tab w:val="right" w:leader="dot" w:pos="9350"/>
        </w:tabs>
        <w:rPr>
          <w:rFonts w:asciiTheme="minorHAnsi" w:eastAsiaTheme="minorEastAsia" w:hAnsiTheme="minorHAnsi"/>
          <w:noProof/>
          <w:sz w:val="22"/>
          <w:lang w:eastAsia="en-GB"/>
        </w:rPr>
      </w:pPr>
      <w:r>
        <w:rPr>
          <w:rFonts w:cs="Times New Roman"/>
          <w:szCs w:val="24"/>
        </w:rPr>
        <w:fldChar w:fldCharType="begin"/>
      </w:r>
      <w:r>
        <w:rPr>
          <w:rFonts w:cs="Times New Roman"/>
          <w:szCs w:val="24"/>
        </w:rPr>
        <w:instrText xml:space="preserve"> TOC \h \z \c "Figure" </w:instrText>
      </w:r>
      <w:r>
        <w:rPr>
          <w:rFonts w:cs="Times New Roman"/>
          <w:szCs w:val="24"/>
        </w:rPr>
        <w:fldChar w:fldCharType="separate"/>
      </w:r>
      <w:hyperlink w:anchor="_Toc28958221" w:history="1">
        <w:r w:rsidR="00DC5D4C" w:rsidRPr="00DD27C8">
          <w:rPr>
            <w:rStyle w:val="Hyperlink"/>
            <w:noProof/>
          </w:rPr>
          <w:t xml:space="preserve">Figure 1: Frequency of fire starting </w:t>
        </w:r>
        <w:r w:rsidR="00DC5D4C" w:rsidRPr="00DD27C8">
          <w:rPr>
            <w:rStyle w:val="Hyperlink"/>
            <w:i/>
            <w:noProof/>
          </w:rPr>
          <w:t>Industry and manufacturing</w:t>
        </w:r>
        <w:r w:rsidR="00DC5D4C" w:rsidRPr="00DD27C8">
          <w:rPr>
            <w:rStyle w:val="Hyperlink"/>
            <w:noProof/>
          </w:rPr>
          <w:t xml:space="preserve"> (a) PD 7974-7 and UK statistics, (b) only UK</w:t>
        </w:r>
        <w:r w:rsidR="00DC5D4C">
          <w:rPr>
            <w:noProof/>
            <w:webHidden/>
          </w:rPr>
          <w:tab/>
        </w:r>
        <w:r w:rsidR="00DC5D4C">
          <w:rPr>
            <w:noProof/>
            <w:webHidden/>
          </w:rPr>
          <w:fldChar w:fldCharType="begin"/>
        </w:r>
        <w:r w:rsidR="00DC5D4C">
          <w:rPr>
            <w:noProof/>
            <w:webHidden/>
          </w:rPr>
          <w:instrText xml:space="preserve"> PAGEREF _Toc28958221 \h </w:instrText>
        </w:r>
        <w:r w:rsidR="00DC5D4C">
          <w:rPr>
            <w:noProof/>
            <w:webHidden/>
          </w:rPr>
        </w:r>
        <w:r w:rsidR="00DC5D4C">
          <w:rPr>
            <w:noProof/>
            <w:webHidden/>
          </w:rPr>
          <w:fldChar w:fldCharType="separate"/>
        </w:r>
        <w:r w:rsidR="00DC5D4C">
          <w:rPr>
            <w:noProof/>
            <w:webHidden/>
          </w:rPr>
          <w:t>6</w:t>
        </w:r>
        <w:r w:rsidR="00DC5D4C">
          <w:rPr>
            <w:noProof/>
            <w:webHidden/>
          </w:rPr>
          <w:fldChar w:fldCharType="end"/>
        </w:r>
      </w:hyperlink>
    </w:p>
    <w:p w14:paraId="7223E1D8" w14:textId="53BEF7A5"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2" w:history="1">
        <w:r w:rsidR="00DC5D4C" w:rsidRPr="00DD27C8">
          <w:rPr>
            <w:rStyle w:val="Hyperlink"/>
            <w:noProof/>
          </w:rPr>
          <w:t xml:space="preserve">Figure 2: Frequency of fire starting </w:t>
        </w:r>
        <w:r w:rsidR="00DC5D4C" w:rsidRPr="00DD27C8">
          <w:rPr>
            <w:rStyle w:val="Hyperlink"/>
            <w:i/>
            <w:noProof/>
          </w:rPr>
          <w:t>Storage</w:t>
        </w:r>
        <w:r w:rsidR="00DC5D4C" w:rsidRPr="00DD27C8">
          <w:rPr>
            <w:rStyle w:val="Hyperlink"/>
            <w:noProof/>
          </w:rPr>
          <w:t xml:space="preserve"> (a) PD 7974-7 and UK statistics, (b) only UK</w:t>
        </w:r>
        <w:r w:rsidR="00DC5D4C">
          <w:rPr>
            <w:noProof/>
            <w:webHidden/>
          </w:rPr>
          <w:tab/>
        </w:r>
        <w:r w:rsidR="00DC5D4C">
          <w:rPr>
            <w:noProof/>
            <w:webHidden/>
          </w:rPr>
          <w:fldChar w:fldCharType="begin"/>
        </w:r>
        <w:r w:rsidR="00DC5D4C">
          <w:rPr>
            <w:noProof/>
            <w:webHidden/>
          </w:rPr>
          <w:instrText xml:space="preserve"> PAGEREF _Toc28958222 \h </w:instrText>
        </w:r>
        <w:r w:rsidR="00DC5D4C">
          <w:rPr>
            <w:noProof/>
            <w:webHidden/>
          </w:rPr>
        </w:r>
        <w:r w:rsidR="00DC5D4C">
          <w:rPr>
            <w:noProof/>
            <w:webHidden/>
          </w:rPr>
          <w:fldChar w:fldCharType="separate"/>
        </w:r>
        <w:r w:rsidR="00DC5D4C">
          <w:rPr>
            <w:noProof/>
            <w:webHidden/>
          </w:rPr>
          <w:t>6</w:t>
        </w:r>
        <w:r w:rsidR="00DC5D4C">
          <w:rPr>
            <w:noProof/>
            <w:webHidden/>
          </w:rPr>
          <w:fldChar w:fldCharType="end"/>
        </w:r>
      </w:hyperlink>
    </w:p>
    <w:p w14:paraId="659C1261" w14:textId="7E403478"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3" w:history="1">
        <w:r w:rsidR="00DC5D4C" w:rsidRPr="00DD27C8">
          <w:rPr>
            <w:rStyle w:val="Hyperlink"/>
            <w:noProof/>
          </w:rPr>
          <w:t xml:space="preserve">Figure 3: Frequency of fire starting </w:t>
        </w:r>
        <w:r w:rsidR="00DC5D4C" w:rsidRPr="00DD27C8">
          <w:rPr>
            <w:rStyle w:val="Hyperlink"/>
            <w:i/>
            <w:noProof/>
          </w:rPr>
          <w:t>Shops</w:t>
        </w:r>
        <w:r w:rsidR="00DC5D4C" w:rsidRPr="00DD27C8">
          <w:rPr>
            <w:rStyle w:val="Hyperlink"/>
            <w:noProof/>
          </w:rPr>
          <w:t xml:space="preserve"> (a) PD 7974-7 and UK statistics, (b) only UK</w:t>
        </w:r>
        <w:r w:rsidR="00DC5D4C">
          <w:rPr>
            <w:noProof/>
            <w:webHidden/>
          </w:rPr>
          <w:tab/>
        </w:r>
        <w:r w:rsidR="00DC5D4C">
          <w:rPr>
            <w:noProof/>
            <w:webHidden/>
          </w:rPr>
          <w:fldChar w:fldCharType="begin"/>
        </w:r>
        <w:r w:rsidR="00DC5D4C">
          <w:rPr>
            <w:noProof/>
            <w:webHidden/>
          </w:rPr>
          <w:instrText xml:space="preserve"> PAGEREF _Toc28958223 \h </w:instrText>
        </w:r>
        <w:r w:rsidR="00DC5D4C">
          <w:rPr>
            <w:noProof/>
            <w:webHidden/>
          </w:rPr>
        </w:r>
        <w:r w:rsidR="00DC5D4C">
          <w:rPr>
            <w:noProof/>
            <w:webHidden/>
          </w:rPr>
          <w:fldChar w:fldCharType="separate"/>
        </w:r>
        <w:r w:rsidR="00DC5D4C">
          <w:rPr>
            <w:noProof/>
            <w:webHidden/>
          </w:rPr>
          <w:t>7</w:t>
        </w:r>
        <w:r w:rsidR="00DC5D4C">
          <w:rPr>
            <w:noProof/>
            <w:webHidden/>
          </w:rPr>
          <w:fldChar w:fldCharType="end"/>
        </w:r>
      </w:hyperlink>
    </w:p>
    <w:p w14:paraId="2F79F745" w14:textId="0C221F15"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4" w:history="1">
        <w:r w:rsidR="00DC5D4C" w:rsidRPr="00DD27C8">
          <w:rPr>
            <w:rStyle w:val="Hyperlink"/>
            <w:noProof/>
          </w:rPr>
          <w:t xml:space="preserve">Figure 4: Frequency of fire starting </w:t>
        </w:r>
        <w:r w:rsidR="00DC5D4C" w:rsidRPr="00DD27C8">
          <w:rPr>
            <w:rStyle w:val="Hyperlink"/>
            <w:i/>
            <w:noProof/>
          </w:rPr>
          <w:t>Offices</w:t>
        </w:r>
        <w:r w:rsidR="00DC5D4C" w:rsidRPr="00DD27C8">
          <w:rPr>
            <w:rStyle w:val="Hyperlink"/>
            <w:noProof/>
          </w:rPr>
          <w:t xml:space="preserve"> (a) PD 7974-7 and UK statistics, (b) only UK</w:t>
        </w:r>
        <w:r w:rsidR="00DC5D4C">
          <w:rPr>
            <w:noProof/>
            <w:webHidden/>
          </w:rPr>
          <w:tab/>
        </w:r>
        <w:r w:rsidR="00DC5D4C">
          <w:rPr>
            <w:noProof/>
            <w:webHidden/>
          </w:rPr>
          <w:fldChar w:fldCharType="begin"/>
        </w:r>
        <w:r w:rsidR="00DC5D4C">
          <w:rPr>
            <w:noProof/>
            <w:webHidden/>
          </w:rPr>
          <w:instrText xml:space="preserve"> PAGEREF _Toc28958224 \h </w:instrText>
        </w:r>
        <w:r w:rsidR="00DC5D4C">
          <w:rPr>
            <w:noProof/>
            <w:webHidden/>
          </w:rPr>
        </w:r>
        <w:r w:rsidR="00DC5D4C">
          <w:rPr>
            <w:noProof/>
            <w:webHidden/>
          </w:rPr>
          <w:fldChar w:fldCharType="separate"/>
        </w:r>
        <w:r w:rsidR="00DC5D4C">
          <w:rPr>
            <w:noProof/>
            <w:webHidden/>
          </w:rPr>
          <w:t>7</w:t>
        </w:r>
        <w:r w:rsidR="00DC5D4C">
          <w:rPr>
            <w:noProof/>
            <w:webHidden/>
          </w:rPr>
          <w:fldChar w:fldCharType="end"/>
        </w:r>
      </w:hyperlink>
    </w:p>
    <w:p w14:paraId="750FD859" w14:textId="342D1EBB"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5" w:history="1">
        <w:r w:rsidR="00DC5D4C" w:rsidRPr="00DD27C8">
          <w:rPr>
            <w:rStyle w:val="Hyperlink"/>
            <w:noProof/>
          </w:rPr>
          <w:t xml:space="preserve">Figure 5: Frequency of fire starting </w:t>
        </w:r>
        <w:r w:rsidR="00DC5D4C" w:rsidRPr="00DD27C8">
          <w:rPr>
            <w:rStyle w:val="Hyperlink"/>
            <w:i/>
            <w:noProof/>
          </w:rPr>
          <w:t xml:space="preserve">Hospitals </w:t>
        </w:r>
        <w:r w:rsidR="00DC5D4C" w:rsidRPr="00DD27C8">
          <w:rPr>
            <w:rStyle w:val="Hyperlink"/>
            <w:noProof/>
          </w:rPr>
          <w:t>(a) PD 7974-7 and UK statistics, (b) only UK</w:t>
        </w:r>
        <w:r w:rsidR="00DC5D4C">
          <w:rPr>
            <w:noProof/>
            <w:webHidden/>
          </w:rPr>
          <w:tab/>
        </w:r>
        <w:r w:rsidR="00DC5D4C">
          <w:rPr>
            <w:noProof/>
            <w:webHidden/>
          </w:rPr>
          <w:fldChar w:fldCharType="begin"/>
        </w:r>
        <w:r w:rsidR="00DC5D4C">
          <w:rPr>
            <w:noProof/>
            <w:webHidden/>
          </w:rPr>
          <w:instrText xml:space="preserve"> PAGEREF _Toc28958225 \h </w:instrText>
        </w:r>
        <w:r w:rsidR="00DC5D4C">
          <w:rPr>
            <w:noProof/>
            <w:webHidden/>
          </w:rPr>
        </w:r>
        <w:r w:rsidR="00DC5D4C">
          <w:rPr>
            <w:noProof/>
            <w:webHidden/>
          </w:rPr>
          <w:fldChar w:fldCharType="separate"/>
        </w:r>
        <w:r w:rsidR="00DC5D4C">
          <w:rPr>
            <w:noProof/>
            <w:webHidden/>
          </w:rPr>
          <w:t>8</w:t>
        </w:r>
        <w:r w:rsidR="00DC5D4C">
          <w:rPr>
            <w:noProof/>
            <w:webHidden/>
          </w:rPr>
          <w:fldChar w:fldCharType="end"/>
        </w:r>
      </w:hyperlink>
    </w:p>
    <w:p w14:paraId="7BEBB6B4" w14:textId="0AF55DBE"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6" w:history="1">
        <w:r w:rsidR="00DC5D4C" w:rsidRPr="00DD27C8">
          <w:rPr>
            <w:rStyle w:val="Hyperlink"/>
            <w:noProof/>
          </w:rPr>
          <w:t xml:space="preserve">Figure 6: Frequency of fire starting </w:t>
        </w:r>
        <w:r w:rsidR="00DC5D4C" w:rsidRPr="00DD27C8">
          <w:rPr>
            <w:rStyle w:val="Hyperlink"/>
            <w:i/>
            <w:noProof/>
          </w:rPr>
          <w:t>Schools</w:t>
        </w:r>
        <w:r w:rsidR="00DC5D4C" w:rsidRPr="00DD27C8">
          <w:rPr>
            <w:rStyle w:val="Hyperlink"/>
            <w:noProof/>
          </w:rPr>
          <w:t xml:space="preserve"> (a) PD 7974-7 and UK statistics, (b) only UK</w:t>
        </w:r>
        <w:r w:rsidR="00DC5D4C">
          <w:rPr>
            <w:noProof/>
            <w:webHidden/>
          </w:rPr>
          <w:tab/>
        </w:r>
        <w:r w:rsidR="00DC5D4C">
          <w:rPr>
            <w:noProof/>
            <w:webHidden/>
          </w:rPr>
          <w:fldChar w:fldCharType="begin"/>
        </w:r>
        <w:r w:rsidR="00DC5D4C">
          <w:rPr>
            <w:noProof/>
            <w:webHidden/>
          </w:rPr>
          <w:instrText xml:space="preserve"> PAGEREF _Toc28958226 \h </w:instrText>
        </w:r>
        <w:r w:rsidR="00DC5D4C">
          <w:rPr>
            <w:noProof/>
            <w:webHidden/>
          </w:rPr>
        </w:r>
        <w:r w:rsidR="00DC5D4C">
          <w:rPr>
            <w:noProof/>
            <w:webHidden/>
          </w:rPr>
          <w:fldChar w:fldCharType="separate"/>
        </w:r>
        <w:r w:rsidR="00DC5D4C">
          <w:rPr>
            <w:noProof/>
            <w:webHidden/>
          </w:rPr>
          <w:t>8</w:t>
        </w:r>
        <w:r w:rsidR="00DC5D4C">
          <w:rPr>
            <w:noProof/>
            <w:webHidden/>
          </w:rPr>
          <w:fldChar w:fldCharType="end"/>
        </w:r>
      </w:hyperlink>
    </w:p>
    <w:p w14:paraId="1CCD18A5" w14:textId="7364A808"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7" w:history="1">
        <w:r w:rsidR="00DC5D4C" w:rsidRPr="00DD27C8">
          <w:rPr>
            <w:rStyle w:val="Hyperlink"/>
            <w:noProof/>
          </w:rPr>
          <w:t xml:space="preserve">Figure 7: Frequency distribution of area damage in </w:t>
        </w:r>
        <w:r w:rsidR="00DC5D4C" w:rsidRPr="00DD27C8">
          <w:rPr>
            <w:rStyle w:val="Hyperlink"/>
            <w:i/>
            <w:noProof/>
          </w:rPr>
          <w:t>Office buildings</w:t>
        </w:r>
        <w:r w:rsidR="00DC5D4C" w:rsidRPr="00DD27C8">
          <w:rPr>
            <w:rStyle w:val="Hyperlink"/>
            <w:noProof/>
          </w:rPr>
          <w:t xml:space="preserve"> in (a) Office rooms and (b) Other rooms [S=Sprinklers; NS=No sprinklers] for PD 7974-7, UK and USA statistics [15]</w:t>
        </w:r>
        <w:r w:rsidR="00DC5D4C">
          <w:rPr>
            <w:noProof/>
            <w:webHidden/>
          </w:rPr>
          <w:tab/>
        </w:r>
        <w:r w:rsidR="00DC5D4C">
          <w:rPr>
            <w:noProof/>
            <w:webHidden/>
          </w:rPr>
          <w:fldChar w:fldCharType="begin"/>
        </w:r>
        <w:r w:rsidR="00DC5D4C">
          <w:rPr>
            <w:noProof/>
            <w:webHidden/>
          </w:rPr>
          <w:instrText xml:space="preserve"> PAGEREF _Toc28958227 \h </w:instrText>
        </w:r>
        <w:r w:rsidR="00DC5D4C">
          <w:rPr>
            <w:noProof/>
            <w:webHidden/>
          </w:rPr>
        </w:r>
        <w:r w:rsidR="00DC5D4C">
          <w:rPr>
            <w:noProof/>
            <w:webHidden/>
          </w:rPr>
          <w:fldChar w:fldCharType="separate"/>
        </w:r>
        <w:r w:rsidR="00DC5D4C">
          <w:rPr>
            <w:noProof/>
            <w:webHidden/>
          </w:rPr>
          <w:t>12</w:t>
        </w:r>
        <w:r w:rsidR="00DC5D4C">
          <w:rPr>
            <w:noProof/>
            <w:webHidden/>
          </w:rPr>
          <w:fldChar w:fldCharType="end"/>
        </w:r>
      </w:hyperlink>
    </w:p>
    <w:p w14:paraId="03373229" w14:textId="28F9F0AF"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8" w:history="1">
        <w:r w:rsidR="00DC5D4C" w:rsidRPr="00DD27C8">
          <w:rPr>
            <w:rStyle w:val="Hyperlink"/>
            <w:noProof/>
          </w:rPr>
          <w:t xml:space="preserve">Figure 8: Frequency distribution of area damage in </w:t>
        </w:r>
        <w:r w:rsidR="00DC5D4C" w:rsidRPr="00DD27C8">
          <w:rPr>
            <w:rStyle w:val="Hyperlink"/>
            <w:i/>
            <w:noProof/>
          </w:rPr>
          <w:t xml:space="preserve">Retail premises </w:t>
        </w:r>
        <w:r w:rsidR="00DC5D4C" w:rsidRPr="00DD27C8">
          <w:rPr>
            <w:rStyle w:val="Hyperlink"/>
            <w:noProof/>
          </w:rPr>
          <w:t>in (a) Assembly areas, (b) Storage areas and (c) Other areas [S=Sprinklers; NS=No sprinklers] for PD 7974-7, UK and USA statistics [15]</w:t>
        </w:r>
        <w:r w:rsidR="00DC5D4C">
          <w:rPr>
            <w:noProof/>
            <w:webHidden/>
          </w:rPr>
          <w:tab/>
        </w:r>
        <w:r w:rsidR="00DC5D4C">
          <w:rPr>
            <w:noProof/>
            <w:webHidden/>
          </w:rPr>
          <w:fldChar w:fldCharType="begin"/>
        </w:r>
        <w:r w:rsidR="00DC5D4C">
          <w:rPr>
            <w:noProof/>
            <w:webHidden/>
          </w:rPr>
          <w:instrText xml:space="preserve"> PAGEREF _Toc28958228 \h </w:instrText>
        </w:r>
        <w:r w:rsidR="00DC5D4C">
          <w:rPr>
            <w:noProof/>
            <w:webHidden/>
          </w:rPr>
        </w:r>
        <w:r w:rsidR="00DC5D4C">
          <w:rPr>
            <w:noProof/>
            <w:webHidden/>
          </w:rPr>
          <w:fldChar w:fldCharType="separate"/>
        </w:r>
        <w:r w:rsidR="00DC5D4C">
          <w:rPr>
            <w:noProof/>
            <w:webHidden/>
          </w:rPr>
          <w:t>13</w:t>
        </w:r>
        <w:r w:rsidR="00DC5D4C">
          <w:rPr>
            <w:noProof/>
            <w:webHidden/>
          </w:rPr>
          <w:fldChar w:fldCharType="end"/>
        </w:r>
      </w:hyperlink>
    </w:p>
    <w:p w14:paraId="778BF58E" w14:textId="6EC3FDBE" w:rsidR="00DC5D4C" w:rsidRDefault="00BE04AA">
      <w:pPr>
        <w:pStyle w:val="TableofFigures"/>
        <w:tabs>
          <w:tab w:val="right" w:leader="dot" w:pos="9350"/>
        </w:tabs>
        <w:rPr>
          <w:rFonts w:asciiTheme="minorHAnsi" w:eastAsiaTheme="minorEastAsia" w:hAnsiTheme="minorHAnsi"/>
          <w:noProof/>
          <w:sz w:val="22"/>
          <w:lang w:eastAsia="en-GB"/>
        </w:rPr>
      </w:pPr>
      <w:hyperlink w:anchor="_Toc28958229" w:history="1">
        <w:r w:rsidR="00DC5D4C" w:rsidRPr="00DD27C8">
          <w:rPr>
            <w:rStyle w:val="Hyperlink"/>
            <w:noProof/>
          </w:rPr>
          <w:t xml:space="preserve">Figure 9: Frequency distribution of area damage in </w:t>
        </w:r>
        <w:r w:rsidR="00DC5D4C" w:rsidRPr="00DD27C8">
          <w:rPr>
            <w:rStyle w:val="Hyperlink"/>
            <w:i/>
            <w:noProof/>
          </w:rPr>
          <w:t xml:space="preserve">Hotels </w:t>
        </w:r>
        <w:r w:rsidR="00DC5D4C" w:rsidRPr="00DD27C8">
          <w:rPr>
            <w:rStyle w:val="Hyperlink"/>
            <w:noProof/>
          </w:rPr>
          <w:t>in (a) Storage and other areas [S=Sprinklers, NS=No Sprinklers] and (b) Assembly areas (A) and Bedrooms (B) only for no sprinklers in PD 7974-7, UK and USA statistics [15]</w:t>
        </w:r>
        <w:r w:rsidR="00DC5D4C">
          <w:rPr>
            <w:noProof/>
            <w:webHidden/>
          </w:rPr>
          <w:tab/>
        </w:r>
        <w:r w:rsidR="00DC5D4C">
          <w:rPr>
            <w:noProof/>
            <w:webHidden/>
          </w:rPr>
          <w:fldChar w:fldCharType="begin"/>
        </w:r>
        <w:r w:rsidR="00DC5D4C">
          <w:rPr>
            <w:noProof/>
            <w:webHidden/>
          </w:rPr>
          <w:instrText xml:space="preserve"> PAGEREF _Toc28958229 \h </w:instrText>
        </w:r>
        <w:r w:rsidR="00DC5D4C">
          <w:rPr>
            <w:noProof/>
            <w:webHidden/>
          </w:rPr>
        </w:r>
        <w:r w:rsidR="00DC5D4C">
          <w:rPr>
            <w:noProof/>
            <w:webHidden/>
          </w:rPr>
          <w:fldChar w:fldCharType="separate"/>
        </w:r>
        <w:r w:rsidR="00DC5D4C">
          <w:rPr>
            <w:noProof/>
            <w:webHidden/>
          </w:rPr>
          <w:t>14</w:t>
        </w:r>
        <w:r w:rsidR="00DC5D4C">
          <w:rPr>
            <w:noProof/>
            <w:webHidden/>
          </w:rPr>
          <w:fldChar w:fldCharType="end"/>
        </w:r>
      </w:hyperlink>
    </w:p>
    <w:p w14:paraId="18CCB94F" w14:textId="403D7E44" w:rsidR="003C6B0C" w:rsidRDefault="003C6B0C" w:rsidP="00E24797">
      <w:pPr>
        <w:widowControl w:val="0"/>
        <w:autoSpaceDE w:val="0"/>
        <w:autoSpaceDN w:val="0"/>
        <w:adjustRightInd w:val="0"/>
        <w:spacing w:after="0"/>
        <w:ind w:left="640" w:hanging="640"/>
        <w:rPr>
          <w:rFonts w:cs="Times New Roman"/>
          <w:szCs w:val="24"/>
        </w:rPr>
      </w:pPr>
      <w:r>
        <w:rPr>
          <w:rFonts w:cs="Times New Roman"/>
          <w:szCs w:val="24"/>
        </w:rPr>
        <w:fldChar w:fldCharType="end"/>
      </w:r>
    </w:p>
    <w:sectPr w:rsidR="003C6B0C" w:rsidSect="00336CF6">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40276" w14:textId="77777777" w:rsidR="00BE04AA" w:rsidRDefault="00BE04AA" w:rsidP="00373345">
      <w:pPr>
        <w:spacing w:after="0"/>
      </w:pPr>
      <w:r>
        <w:separator/>
      </w:r>
    </w:p>
  </w:endnote>
  <w:endnote w:type="continuationSeparator" w:id="0">
    <w:p w14:paraId="26A72DDE" w14:textId="77777777" w:rsidR="00BE04AA" w:rsidRDefault="00BE04AA" w:rsidP="003733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21134"/>
      <w:docPartObj>
        <w:docPartGallery w:val="Page Numbers (Bottom of Page)"/>
        <w:docPartUnique/>
      </w:docPartObj>
    </w:sdtPr>
    <w:sdtEndPr>
      <w:rPr>
        <w:noProof/>
      </w:rPr>
    </w:sdtEndPr>
    <w:sdtContent>
      <w:p w14:paraId="6B8EE3FE" w14:textId="25D75371" w:rsidR="006B7CCC" w:rsidRDefault="006B7CCC">
        <w:pPr>
          <w:pStyle w:val="Footer"/>
          <w:jc w:val="center"/>
        </w:pPr>
        <w:r>
          <w:fldChar w:fldCharType="begin"/>
        </w:r>
        <w:r>
          <w:instrText xml:space="preserve"> PAGE   \* MERGEFORMAT </w:instrText>
        </w:r>
        <w:r>
          <w:fldChar w:fldCharType="separate"/>
        </w:r>
        <w:r w:rsidR="0021231F">
          <w:rPr>
            <w:noProof/>
          </w:rPr>
          <w:t>15</w:t>
        </w:r>
        <w:r>
          <w:rPr>
            <w:noProof/>
          </w:rPr>
          <w:fldChar w:fldCharType="end"/>
        </w:r>
      </w:p>
    </w:sdtContent>
  </w:sdt>
  <w:p w14:paraId="6778B69F" w14:textId="77777777" w:rsidR="006B7CCC" w:rsidRDefault="006B7C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6562F" w14:textId="77777777" w:rsidR="00BE04AA" w:rsidRDefault="00BE04AA" w:rsidP="00373345">
      <w:pPr>
        <w:spacing w:after="0"/>
      </w:pPr>
      <w:r>
        <w:separator/>
      </w:r>
    </w:p>
  </w:footnote>
  <w:footnote w:type="continuationSeparator" w:id="0">
    <w:p w14:paraId="42B28A55" w14:textId="77777777" w:rsidR="00BE04AA" w:rsidRDefault="00BE04AA" w:rsidP="0037334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3FF8"/>
    <w:multiLevelType w:val="hybridMultilevel"/>
    <w:tmpl w:val="736800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92277"/>
    <w:multiLevelType w:val="hybridMultilevel"/>
    <w:tmpl w:val="7F78889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232A02"/>
    <w:multiLevelType w:val="hybridMultilevel"/>
    <w:tmpl w:val="D0C6F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E4763"/>
    <w:multiLevelType w:val="hybridMultilevel"/>
    <w:tmpl w:val="4C9ED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0D478E"/>
    <w:multiLevelType w:val="hybridMultilevel"/>
    <w:tmpl w:val="A7BC4F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1D6D02"/>
    <w:multiLevelType w:val="hybridMultilevel"/>
    <w:tmpl w:val="2E304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F7783C"/>
    <w:multiLevelType w:val="hybridMultilevel"/>
    <w:tmpl w:val="EC3C509A"/>
    <w:lvl w:ilvl="0" w:tplc="6B5AB680">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F157A1"/>
    <w:multiLevelType w:val="hybridMultilevel"/>
    <w:tmpl w:val="0F9C361C"/>
    <w:lvl w:ilvl="0" w:tplc="7C403A0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43BD6"/>
    <w:multiLevelType w:val="hybridMultilevel"/>
    <w:tmpl w:val="0ABC46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FC0745"/>
    <w:multiLevelType w:val="hybridMultilevel"/>
    <w:tmpl w:val="15863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8E151D"/>
    <w:multiLevelType w:val="hybridMultilevel"/>
    <w:tmpl w:val="20CEF8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3"/>
  </w:num>
  <w:num w:numId="4">
    <w:abstractNumId w:val="6"/>
  </w:num>
  <w:num w:numId="5">
    <w:abstractNumId w:val="4"/>
  </w:num>
  <w:num w:numId="6">
    <w:abstractNumId w:val="1"/>
  </w:num>
  <w:num w:numId="7">
    <w:abstractNumId w:val="0"/>
  </w:num>
  <w:num w:numId="8">
    <w:abstractNumId w:val="10"/>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E63"/>
    <w:rsid w:val="00000A9C"/>
    <w:rsid w:val="00002D82"/>
    <w:rsid w:val="00004CD6"/>
    <w:rsid w:val="00005C28"/>
    <w:rsid w:val="000078D6"/>
    <w:rsid w:val="000129F6"/>
    <w:rsid w:val="00012BC0"/>
    <w:rsid w:val="0001356E"/>
    <w:rsid w:val="00014FA6"/>
    <w:rsid w:val="00016628"/>
    <w:rsid w:val="00017678"/>
    <w:rsid w:val="000274B7"/>
    <w:rsid w:val="00031539"/>
    <w:rsid w:val="0004080F"/>
    <w:rsid w:val="000409CC"/>
    <w:rsid w:val="000436ED"/>
    <w:rsid w:val="000463E3"/>
    <w:rsid w:val="0004673A"/>
    <w:rsid w:val="000470DA"/>
    <w:rsid w:val="000545E6"/>
    <w:rsid w:val="00055B97"/>
    <w:rsid w:val="000604E6"/>
    <w:rsid w:val="00061712"/>
    <w:rsid w:val="00062597"/>
    <w:rsid w:val="00064292"/>
    <w:rsid w:val="000675CE"/>
    <w:rsid w:val="00073680"/>
    <w:rsid w:val="00080258"/>
    <w:rsid w:val="00080718"/>
    <w:rsid w:val="0008153A"/>
    <w:rsid w:val="000828FB"/>
    <w:rsid w:val="00083876"/>
    <w:rsid w:val="00087479"/>
    <w:rsid w:val="00091B3F"/>
    <w:rsid w:val="000920EC"/>
    <w:rsid w:val="00092809"/>
    <w:rsid w:val="00095CC6"/>
    <w:rsid w:val="00096164"/>
    <w:rsid w:val="0009665C"/>
    <w:rsid w:val="000A57E7"/>
    <w:rsid w:val="000B2CF0"/>
    <w:rsid w:val="000B2E55"/>
    <w:rsid w:val="000B5619"/>
    <w:rsid w:val="000B5A03"/>
    <w:rsid w:val="000B74CE"/>
    <w:rsid w:val="000C1D44"/>
    <w:rsid w:val="000C2769"/>
    <w:rsid w:val="000C2A20"/>
    <w:rsid w:val="000C46D0"/>
    <w:rsid w:val="000C4785"/>
    <w:rsid w:val="000C52DE"/>
    <w:rsid w:val="000C7730"/>
    <w:rsid w:val="000C7FA7"/>
    <w:rsid w:val="000D0774"/>
    <w:rsid w:val="000D4F95"/>
    <w:rsid w:val="000E027C"/>
    <w:rsid w:val="000E1700"/>
    <w:rsid w:val="000E6829"/>
    <w:rsid w:val="000E6B26"/>
    <w:rsid w:val="000E79B2"/>
    <w:rsid w:val="000E7BF2"/>
    <w:rsid w:val="000F09B5"/>
    <w:rsid w:val="000F2462"/>
    <w:rsid w:val="001016AA"/>
    <w:rsid w:val="00102633"/>
    <w:rsid w:val="001057A8"/>
    <w:rsid w:val="00107F82"/>
    <w:rsid w:val="001109F9"/>
    <w:rsid w:val="00110E0E"/>
    <w:rsid w:val="00117A00"/>
    <w:rsid w:val="0012169F"/>
    <w:rsid w:val="00123A85"/>
    <w:rsid w:val="00125627"/>
    <w:rsid w:val="0013291C"/>
    <w:rsid w:val="00133183"/>
    <w:rsid w:val="001356B9"/>
    <w:rsid w:val="00136117"/>
    <w:rsid w:val="00145768"/>
    <w:rsid w:val="00146332"/>
    <w:rsid w:val="00151A7C"/>
    <w:rsid w:val="00155275"/>
    <w:rsid w:val="00157165"/>
    <w:rsid w:val="0015784A"/>
    <w:rsid w:val="00160908"/>
    <w:rsid w:val="0016167A"/>
    <w:rsid w:val="00164CAD"/>
    <w:rsid w:val="00165C0B"/>
    <w:rsid w:val="001677DE"/>
    <w:rsid w:val="0017092B"/>
    <w:rsid w:val="00175F24"/>
    <w:rsid w:val="00175F3F"/>
    <w:rsid w:val="0018352D"/>
    <w:rsid w:val="0018437C"/>
    <w:rsid w:val="00187B8D"/>
    <w:rsid w:val="00190202"/>
    <w:rsid w:val="00193FFB"/>
    <w:rsid w:val="001946B8"/>
    <w:rsid w:val="00194D62"/>
    <w:rsid w:val="0019744B"/>
    <w:rsid w:val="00197D15"/>
    <w:rsid w:val="001A531C"/>
    <w:rsid w:val="001A5890"/>
    <w:rsid w:val="001A5902"/>
    <w:rsid w:val="001A6656"/>
    <w:rsid w:val="001B1C26"/>
    <w:rsid w:val="001B45BC"/>
    <w:rsid w:val="001B5CD5"/>
    <w:rsid w:val="001B6205"/>
    <w:rsid w:val="001B65A9"/>
    <w:rsid w:val="001C024D"/>
    <w:rsid w:val="001C5C7A"/>
    <w:rsid w:val="001C624F"/>
    <w:rsid w:val="001D6B5C"/>
    <w:rsid w:val="001E1BEA"/>
    <w:rsid w:val="001E2B12"/>
    <w:rsid w:val="001E318E"/>
    <w:rsid w:val="001E7C1A"/>
    <w:rsid w:val="001F0544"/>
    <w:rsid w:val="001F37CE"/>
    <w:rsid w:val="001F42C0"/>
    <w:rsid w:val="0020147E"/>
    <w:rsid w:val="00205A7F"/>
    <w:rsid w:val="0021231F"/>
    <w:rsid w:val="00214F8D"/>
    <w:rsid w:val="00217329"/>
    <w:rsid w:val="00217A93"/>
    <w:rsid w:val="002224D1"/>
    <w:rsid w:val="00222741"/>
    <w:rsid w:val="00225634"/>
    <w:rsid w:val="00227ACA"/>
    <w:rsid w:val="00227EDD"/>
    <w:rsid w:val="00227F72"/>
    <w:rsid w:val="002314AD"/>
    <w:rsid w:val="00250859"/>
    <w:rsid w:val="00250FE0"/>
    <w:rsid w:val="0025312F"/>
    <w:rsid w:val="00271E36"/>
    <w:rsid w:val="002725EB"/>
    <w:rsid w:val="002738DD"/>
    <w:rsid w:val="00275680"/>
    <w:rsid w:val="00275F3A"/>
    <w:rsid w:val="00276A16"/>
    <w:rsid w:val="00282E54"/>
    <w:rsid w:val="0029059E"/>
    <w:rsid w:val="002930ED"/>
    <w:rsid w:val="002934B7"/>
    <w:rsid w:val="00293C89"/>
    <w:rsid w:val="00297212"/>
    <w:rsid w:val="002972E8"/>
    <w:rsid w:val="002A7FC0"/>
    <w:rsid w:val="002B097C"/>
    <w:rsid w:val="002B0AFC"/>
    <w:rsid w:val="002B382F"/>
    <w:rsid w:val="002B5985"/>
    <w:rsid w:val="002B7139"/>
    <w:rsid w:val="002D01A8"/>
    <w:rsid w:val="002E13BB"/>
    <w:rsid w:val="002E2BE6"/>
    <w:rsid w:val="002E5C49"/>
    <w:rsid w:val="002F01F0"/>
    <w:rsid w:val="002F5F37"/>
    <w:rsid w:val="00300658"/>
    <w:rsid w:val="00310216"/>
    <w:rsid w:val="003158F4"/>
    <w:rsid w:val="00316F90"/>
    <w:rsid w:val="00317A14"/>
    <w:rsid w:val="00320E3D"/>
    <w:rsid w:val="00322FD8"/>
    <w:rsid w:val="0032353D"/>
    <w:rsid w:val="0032395B"/>
    <w:rsid w:val="0032697F"/>
    <w:rsid w:val="00332B73"/>
    <w:rsid w:val="003338D0"/>
    <w:rsid w:val="00336CF6"/>
    <w:rsid w:val="003512F9"/>
    <w:rsid w:val="0035191F"/>
    <w:rsid w:val="00366DDF"/>
    <w:rsid w:val="003716A9"/>
    <w:rsid w:val="0037225E"/>
    <w:rsid w:val="00372568"/>
    <w:rsid w:val="00373345"/>
    <w:rsid w:val="00374374"/>
    <w:rsid w:val="003753C3"/>
    <w:rsid w:val="003801A5"/>
    <w:rsid w:val="003803FD"/>
    <w:rsid w:val="0039195E"/>
    <w:rsid w:val="00391B27"/>
    <w:rsid w:val="0039291C"/>
    <w:rsid w:val="0039330D"/>
    <w:rsid w:val="00394792"/>
    <w:rsid w:val="00395A2A"/>
    <w:rsid w:val="00395B50"/>
    <w:rsid w:val="003A0954"/>
    <w:rsid w:val="003A29FB"/>
    <w:rsid w:val="003A5CFF"/>
    <w:rsid w:val="003A6D56"/>
    <w:rsid w:val="003B1EF1"/>
    <w:rsid w:val="003B3914"/>
    <w:rsid w:val="003B4F09"/>
    <w:rsid w:val="003B5E89"/>
    <w:rsid w:val="003C6B0C"/>
    <w:rsid w:val="003D1C50"/>
    <w:rsid w:val="003D36FD"/>
    <w:rsid w:val="003D4C8A"/>
    <w:rsid w:val="003D5B53"/>
    <w:rsid w:val="003D5FFB"/>
    <w:rsid w:val="003E3CEC"/>
    <w:rsid w:val="003E78CA"/>
    <w:rsid w:val="003F0EDE"/>
    <w:rsid w:val="003F2BB5"/>
    <w:rsid w:val="003F3635"/>
    <w:rsid w:val="003F6238"/>
    <w:rsid w:val="003F6CA5"/>
    <w:rsid w:val="004018B5"/>
    <w:rsid w:val="0040367C"/>
    <w:rsid w:val="004063BE"/>
    <w:rsid w:val="00417173"/>
    <w:rsid w:val="004210BC"/>
    <w:rsid w:val="00422E1B"/>
    <w:rsid w:val="0042477C"/>
    <w:rsid w:val="0042635C"/>
    <w:rsid w:val="00431364"/>
    <w:rsid w:val="00431459"/>
    <w:rsid w:val="0043336F"/>
    <w:rsid w:val="00436E02"/>
    <w:rsid w:val="0044118F"/>
    <w:rsid w:val="0044263B"/>
    <w:rsid w:val="004427FC"/>
    <w:rsid w:val="00442C4B"/>
    <w:rsid w:val="00450AA7"/>
    <w:rsid w:val="004559E7"/>
    <w:rsid w:val="00462D8F"/>
    <w:rsid w:val="004638DB"/>
    <w:rsid w:val="00465627"/>
    <w:rsid w:val="00466A59"/>
    <w:rsid w:val="004803D9"/>
    <w:rsid w:val="004814B3"/>
    <w:rsid w:val="00483865"/>
    <w:rsid w:val="004848F5"/>
    <w:rsid w:val="0048717D"/>
    <w:rsid w:val="0048720E"/>
    <w:rsid w:val="00487900"/>
    <w:rsid w:val="00491F26"/>
    <w:rsid w:val="00492062"/>
    <w:rsid w:val="00493224"/>
    <w:rsid w:val="00493537"/>
    <w:rsid w:val="004977D6"/>
    <w:rsid w:val="004A21ED"/>
    <w:rsid w:val="004A4B58"/>
    <w:rsid w:val="004B130D"/>
    <w:rsid w:val="004B37F3"/>
    <w:rsid w:val="004B5D8A"/>
    <w:rsid w:val="004C09CC"/>
    <w:rsid w:val="004C1500"/>
    <w:rsid w:val="004C2FC5"/>
    <w:rsid w:val="004C6EE4"/>
    <w:rsid w:val="004C7EEF"/>
    <w:rsid w:val="004D062F"/>
    <w:rsid w:val="004E1280"/>
    <w:rsid w:val="004E4565"/>
    <w:rsid w:val="004F09A4"/>
    <w:rsid w:val="004F0A51"/>
    <w:rsid w:val="004F2CF3"/>
    <w:rsid w:val="004F4A47"/>
    <w:rsid w:val="004F5569"/>
    <w:rsid w:val="004F5579"/>
    <w:rsid w:val="004F74E6"/>
    <w:rsid w:val="004F7967"/>
    <w:rsid w:val="00503CD6"/>
    <w:rsid w:val="00503EFA"/>
    <w:rsid w:val="00511611"/>
    <w:rsid w:val="00511C22"/>
    <w:rsid w:val="00513D10"/>
    <w:rsid w:val="00517DF8"/>
    <w:rsid w:val="00520EC0"/>
    <w:rsid w:val="00521587"/>
    <w:rsid w:val="00524918"/>
    <w:rsid w:val="00524A6C"/>
    <w:rsid w:val="00525AAB"/>
    <w:rsid w:val="00526FDF"/>
    <w:rsid w:val="005300FF"/>
    <w:rsid w:val="00535C8C"/>
    <w:rsid w:val="00542ED8"/>
    <w:rsid w:val="005457FF"/>
    <w:rsid w:val="00555885"/>
    <w:rsid w:val="00555F35"/>
    <w:rsid w:val="00571039"/>
    <w:rsid w:val="00572C4D"/>
    <w:rsid w:val="00573DF2"/>
    <w:rsid w:val="005741AF"/>
    <w:rsid w:val="005754F9"/>
    <w:rsid w:val="0057566D"/>
    <w:rsid w:val="00577779"/>
    <w:rsid w:val="00583AFF"/>
    <w:rsid w:val="005842DF"/>
    <w:rsid w:val="00586D63"/>
    <w:rsid w:val="0059060A"/>
    <w:rsid w:val="005906F5"/>
    <w:rsid w:val="00590979"/>
    <w:rsid w:val="00591924"/>
    <w:rsid w:val="00594CAA"/>
    <w:rsid w:val="00595026"/>
    <w:rsid w:val="00597CE4"/>
    <w:rsid w:val="00597E7D"/>
    <w:rsid w:val="005A4CB4"/>
    <w:rsid w:val="005A69E0"/>
    <w:rsid w:val="005B698C"/>
    <w:rsid w:val="005C6D79"/>
    <w:rsid w:val="005C7118"/>
    <w:rsid w:val="005D0335"/>
    <w:rsid w:val="005D4936"/>
    <w:rsid w:val="005D5740"/>
    <w:rsid w:val="005E094A"/>
    <w:rsid w:val="005E1B06"/>
    <w:rsid w:val="005E71CB"/>
    <w:rsid w:val="005F3ACF"/>
    <w:rsid w:val="00604551"/>
    <w:rsid w:val="00605185"/>
    <w:rsid w:val="0060625C"/>
    <w:rsid w:val="00606E98"/>
    <w:rsid w:val="006101F4"/>
    <w:rsid w:val="00611E97"/>
    <w:rsid w:val="00614F81"/>
    <w:rsid w:val="00616607"/>
    <w:rsid w:val="006200E7"/>
    <w:rsid w:val="006221C6"/>
    <w:rsid w:val="006229DE"/>
    <w:rsid w:val="00623DDE"/>
    <w:rsid w:val="00625196"/>
    <w:rsid w:val="00627060"/>
    <w:rsid w:val="00630A76"/>
    <w:rsid w:val="0063251E"/>
    <w:rsid w:val="0063684E"/>
    <w:rsid w:val="006404DA"/>
    <w:rsid w:val="006456F4"/>
    <w:rsid w:val="00647334"/>
    <w:rsid w:val="00652040"/>
    <w:rsid w:val="00652CC1"/>
    <w:rsid w:val="00654EBF"/>
    <w:rsid w:val="00657C14"/>
    <w:rsid w:val="00660802"/>
    <w:rsid w:val="00664134"/>
    <w:rsid w:val="006675FE"/>
    <w:rsid w:val="00670229"/>
    <w:rsid w:val="0067063D"/>
    <w:rsid w:val="006761BB"/>
    <w:rsid w:val="00686133"/>
    <w:rsid w:val="00691588"/>
    <w:rsid w:val="00692296"/>
    <w:rsid w:val="00693188"/>
    <w:rsid w:val="00693238"/>
    <w:rsid w:val="006A141E"/>
    <w:rsid w:val="006A2005"/>
    <w:rsid w:val="006A2128"/>
    <w:rsid w:val="006A6F4F"/>
    <w:rsid w:val="006A73D9"/>
    <w:rsid w:val="006B2A10"/>
    <w:rsid w:val="006B3975"/>
    <w:rsid w:val="006B7CCC"/>
    <w:rsid w:val="006C3BD8"/>
    <w:rsid w:val="006D1489"/>
    <w:rsid w:val="006D46C3"/>
    <w:rsid w:val="006D515E"/>
    <w:rsid w:val="006D6152"/>
    <w:rsid w:val="006D74D3"/>
    <w:rsid w:val="006E0987"/>
    <w:rsid w:val="006E0B94"/>
    <w:rsid w:val="006E1194"/>
    <w:rsid w:val="006E2169"/>
    <w:rsid w:val="006E3FFC"/>
    <w:rsid w:val="006E7358"/>
    <w:rsid w:val="006F3ED7"/>
    <w:rsid w:val="006F5C6D"/>
    <w:rsid w:val="006F68A7"/>
    <w:rsid w:val="007071C8"/>
    <w:rsid w:val="007078C2"/>
    <w:rsid w:val="00712407"/>
    <w:rsid w:val="007175CE"/>
    <w:rsid w:val="00726DAA"/>
    <w:rsid w:val="00727B05"/>
    <w:rsid w:val="007328D5"/>
    <w:rsid w:val="0074283D"/>
    <w:rsid w:val="007437E6"/>
    <w:rsid w:val="007500BF"/>
    <w:rsid w:val="00751CDB"/>
    <w:rsid w:val="007520ED"/>
    <w:rsid w:val="00755A08"/>
    <w:rsid w:val="00767FD4"/>
    <w:rsid w:val="007716A1"/>
    <w:rsid w:val="00773E55"/>
    <w:rsid w:val="007747B7"/>
    <w:rsid w:val="00774881"/>
    <w:rsid w:val="00781473"/>
    <w:rsid w:val="00781974"/>
    <w:rsid w:val="007912D9"/>
    <w:rsid w:val="00794565"/>
    <w:rsid w:val="00796CAF"/>
    <w:rsid w:val="007A2EA3"/>
    <w:rsid w:val="007A3993"/>
    <w:rsid w:val="007A4D6A"/>
    <w:rsid w:val="007A5291"/>
    <w:rsid w:val="007A5ACF"/>
    <w:rsid w:val="007A61B0"/>
    <w:rsid w:val="007B16A6"/>
    <w:rsid w:val="007B37A2"/>
    <w:rsid w:val="007C1626"/>
    <w:rsid w:val="007C5457"/>
    <w:rsid w:val="007C6A52"/>
    <w:rsid w:val="007D0690"/>
    <w:rsid w:val="007D1DD1"/>
    <w:rsid w:val="007D694C"/>
    <w:rsid w:val="007E1D6D"/>
    <w:rsid w:val="007E4AFD"/>
    <w:rsid w:val="007E7DA7"/>
    <w:rsid w:val="007F5CA3"/>
    <w:rsid w:val="008014ED"/>
    <w:rsid w:val="0080627D"/>
    <w:rsid w:val="008105A3"/>
    <w:rsid w:val="00814E53"/>
    <w:rsid w:val="00817564"/>
    <w:rsid w:val="00817BF0"/>
    <w:rsid w:val="008206D1"/>
    <w:rsid w:val="00822272"/>
    <w:rsid w:val="0082344D"/>
    <w:rsid w:val="0084053A"/>
    <w:rsid w:val="00844AD0"/>
    <w:rsid w:val="00853886"/>
    <w:rsid w:val="00853FD1"/>
    <w:rsid w:val="0085753F"/>
    <w:rsid w:val="00871520"/>
    <w:rsid w:val="00874C6B"/>
    <w:rsid w:val="008808A6"/>
    <w:rsid w:val="00881FCC"/>
    <w:rsid w:val="008827D8"/>
    <w:rsid w:val="00885101"/>
    <w:rsid w:val="00890788"/>
    <w:rsid w:val="008919FB"/>
    <w:rsid w:val="00893872"/>
    <w:rsid w:val="00897AFF"/>
    <w:rsid w:val="008A02E7"/>
    <w:rsid w:val="008A5BB7"/>
    <w:rsid w:val="008B0226"/>
    <w:rsid w:val="008B4F12"/>
    <w:rsid w:val="008C2521"/>
    <w:rsid w:val="008C2529"/>
    <w:rsid w:val="008C2E5E"/>
    <w:rsid w:val="008C3BEF"/>
    <w:rsid w:val="008C4B44"/>
    <w:rsid w:val="008D2E2B"/>
    <w:rsid w:val="008D7D79"/>
    <w:rsid w:val="008E0E9D"/>
    <w:rsid w:val="008E191B"/>
    <w:rsid w:val="008E2626"/>
    <w:rsid w:val="008E6DFC"/>
    <w:rsid w:val="008F2B05"/>
    <w:rsid w:val="008F3289"/>
    <w:rsid w:val="00907CB6"/>
    <w:rsid w:val="00913033"/>
    <w:rsid w:val="00920AE9"/>
    <w:rsid w:val="00922A24"/>
    <w:rsid w:val="00926777"/>
    <w:rsid w:val="00930687"/>
    <w:rsid w:val="00931243"/>
    <w:rsid w:val="009340A3"/>
    <w:rsid w:val="00935597"/>
    <w:rsid w:val="0093590D"/>
    <w:rsid w:val="00936A7A"/>
    <w:rsid w:val="00936ED4"/>
    <w:rsid w:val="00941596"/>
    <w:rsid w:val="0094727D"/>
    <w:rsid w:val="00950F70"/>
    <w:rsid w:val="00962604"/>
    <w:rsid w:val="009722B9"/>
    <w:rsid w:val="009732FB"/>
    <w:rsid w:val="009742AC"/>
    <w:rsid w:val="00981AAE"/>
    <w:rsid w:val="00984750"/>
    <w:rsid w:val="00985467"/>
    <w:rsid w:val="00986837"/>
    <w:rsid w:val="00987FF2"/>
    <w:rsid w:val="00991079"/>
    <w:rsid w:val="00992D9A"/>
    <w:rsid w:val="00993FCA"/>
    <w:rsid w:val="00997E17"/>
    <w:rsid w:val="009A1199"/>
    <w:rsid w:val="009A1214"/>
    <w:rsid w:val="009A5A35"/>
    <w:rsid w:val="009B57BD"/>
    <w:rsid w:val="009C2DBE"/>
    <w:rsid w:val="009C4894"/>
    <w:rsid w:val="009C64C8"/>
    <w:rsid w:val="009D6B32"/>
    <w:rsid w:val="009E04BC"/>
    <w:rsid w:val="009E34F2"/>
    <w:rsid w:val="009E4F31"/>
    <w:rsid w:val="009E649B"/>
    <w:rsid w:val="009F086B"/>
    <w:rsid w:val="009F2F8B"/>
    <w:rsid w:val="009F4516"/>
    <w:rsid w:val="009F4C66"/>
    <w:rsid w:val="009F4EFF"/>
    <w:rsid w:val="009F5389"/>
    <w:rsid w:val="00A02BB4"/>
    <w:rsid w:val="00A03C06"/>
    <w:rsid w:val="00A04968"/>
    <w:rsid w:val="00A04F0F"/>
    <w:rsid w:val="00A050CE"/>
    <w:rsid w:val="00A071D6"/>
    <w:rsid w:val="00A131B5"/>
    <w:rsid w:val="00A14E35"/>
    <w:rsid w:val="00A20903"/>
    <w:rsid w:val="00A25C2E"/>
    <w:rsid w:val="00A26005"/>
    <w:rsid w:val="00A26405"/>
    <w:rsid w:val="00A26C57"/>
    <w:rsid w:val="00A26FDC"/>
    <w:rsid w:val="00A3286F"/>
    <w:rsid w:val="00A33DAC"/>
    <w:rsid w:val="00A35AAC"/>
    <w:rsid w:val="00A37162"/>
    <w:rsid w:val="00A405E5"/>
    <w:rsid w:val="00A417BB"/>
    <w:rsid w:val="00A43CF9"/>
    <w:rsid w:val="00A47A7B"/>
    <w:rsid w:val="00A52E09"/>
    <w:rsid w:val="00A545F3"/>
    <w:rsid w:val="00A54A9E"/>
    <w:rsid w:val="00A56D58"/>
    <w:rsid w:val="00A5726B"/>
    <w:rsid w:val="00A6263F"/>
    <w:rsid w:val="00A6795D"/>
    <w:rsid w:val="00A80BBB"/>
    <w:rsid w:val="00A8371E"/>
    <w:rsid w:val="00A853D5"/>
    <w:rsid w:val="00A93A44"/>
    <w:rsid w:val="00A95C31"/>
    <w:rsid w:val="00AA06C9"/>
    <w:rsid w:val="00AA13A9"/>
    <w:rsid w:val="00AA1C73"/>
    <w:rsid w:val="00AA24DB"/>
    <w:rsid w:val="00AA2E53"/>
    <w:rsid w:val="00AA4C7A"/>
    <w:rsid w:val="00AB2446"/>
    <w:rsid w:val="00AB5479"/>
    <w:rsid w:val="00AC1336"/>
    <w:rsid w:val="00AC5C8A"/>
    <w:rsid w:val="00AD509B"/>
    <w:rsid w:val="00AD54E7"/>
    <w:rsid w:val="00AD758B"/>
    <w:rsid w:val="00AE13CE"/>
    <w:rsid w:val="00AE205C"/>
    <w:rsid w:val="00AE2B4B"/>
    <w:rsid w:val="00AE3385"/>
    <w:rsid w:val="00AE3D84"/>
    <w:rsid w:val="00AE5381"/>
    <w:rsid w:val="00AE76B4"/>
    <w:rsid w:val="00AF1162"/>
    <w:rsid w:val="00AF1703"/>
    <w:rsid w:val="00AF7710"/>
    <w:rsid w:val="00B03EF6"/>
    <w:rsid w:val="00B043A8"/>
    <w:rsid w:val="00B04BBD"/>
    <w:rsid w:val="00B111FE"/>
    <w:rsid w:val="00B12144"/>
    <w:rsid w:val="00B16218"/>
    <w:rsid w:val="00B16470"/>
    <w:rsid w:val="00B17DC9"/>
    <w:rsid w:val="00B2364D"/>
    <w:rsid w:val="00B261DF"/>
    <w:rsid w:val="00B27EA8"/>
    <w:rsid w:val="00B31434"/>
    <w:rsid w:val="00B33BC0"/>
    <w:rsid w:val="00B33DFB"/>
    <w:rsid w:val="00B404A9"/>
    <w:rsid w:val="00B40B18"/>
    <w:rsid w:val="00B420E1"/>
    <w:rsid w:val="00B447FD"/>
    <w:rsid w:val="00B4603A"/>
    <w:rsid w:val="00B4772D"/>
    <w:rsid w:val="00B50E12"/>
    <w:rsid w:val="00B51244"/>
    <w:rsid w:val="00B53E53"/>
    <w:rsid w:val="00B56688"/>
    <w:rsid w:val="00B60E85"/>
    <w:rsid w:val="00B7021E"/>
    <w:rsid w:val="00B714D5"/>
    <w:rsid w:val="00B71A94"/>
    <w:rsid w:val="00B7469E"/>
    <w:rsid w:val="00B8130B"/>
    <w:rsid w:val="00B857DF"/>
    <w:rsid w:val="00BA20B7"/>
    <w:rsid w:val="00BA3E73"/>
    <w:rsid w:val="00BA6640"/>
    <w:rsid w:val="00BB10F7"/>
    <w:rsid w:val="00BB392D"/>
    <w:rsid w:val="00BB5918"/>
    <w:rsid w:val="00BB6CDC"/>
    <w:rsid w:val="00BC6942"/>
    <w:rsid w:val="00BD234D"/>
    <w:rsid w:val="00BD555A"/>
    <w:rsid w:val="00BD58D7"/>
    <w:rsid w:val="00BD64A3"/>
    <w:rsid w:val="00BE04AA"/>
    <w:rsid w:val="00BE1EC0"/>
    <w:rsid w:val="00BE4201"/>
    <w:rsid w:val="00BF1CE9"/>
    <w:rsid w:val="00BF1D1D"/>
    <w:rsid w:val="00BF21B2"/>
    <w:rsid w:val="00BF4028"/>
    <w:rsid w:val="00BF56B8"/>
    <w:rsid w:val="00BF65CD"/>
    <w:rsid w:val="00C007B2"/>
    <w:rsid w:val="00C06C20"/>
    <w:rsid w:val="00C12555"/>
    <w:rsid w:val="00C140AE"/>
    <w:rsid w:val="00C15D59"/>
    <w:rsid w:val="00C16DA4"/>
    <w:rsid w:val="00C17239"/>
    <w:rsid w:val="00C17DFE"/>
    <w:rsid w:val="00C21985"/>
    <w:rsid w:val="00C248DC"/>
    <w:rsid w:val="00C26475"/>
    <w:rsid w:val="00C26D89"/>
    <w:rsid w:val="00C306F1"/>
    <w:rsid w:val="00C31F24"/>
    <w:rsid w:val="00C40971"/>
    <w:rsid w:val="00C42291"/>
    <w:rsid w:val="00C44B7B"/>
    <w:rsid w:val="00C466D5"/>
    <w:rsid w:val="00C51686"/>
    <w:rsid w:val="00C538CD"/>
    <w:rsid w:val="00C55578"/>
    <w:rsid w:val="00C5752C"/>
    <w:rsid w:val="00C645F4"/>
    <w:rsid w:val="00C70AD0"/>
    <w:rsid w:val="00C72644"/>
    <w:rsid w:val="00C72E1E"/>
    <w:rsid w:val="00C748D0"/>
    <w:rsid w:val="00C8175A"/>
    <w:rsid w:val="00C84A10"/>
    <w:rsid w:val="00C85D50"/>
    <w:rsid w:val="00C90BE5"/>
    <w:rsid w:val="00C92F29"/>
    <w:rsid w:val="00C971E1"/>
    <w:rsid w:val="00CA049A"/>
    <w:rsid w:val="00CA084F"/>
    <w:rsid w:val="00CA12BF"/>
    <w:rsid w:val="00CA17CD"/>
    <w:rsid w:val="00CA6263"/>
    <w:rsid w:val="00CA72EC"/>
    <w:rsid w:val="00CC6920"/>
    <w:rsid w:val="00CC6DD5"/>
    <w:rsid w:val="00CC75F0"/>
    <w:rsid w:val="00CD3F0D"/>
    <w:rsid w:val="00CD5FC9"/>
    <w:rsid w:val="00CE0437"/>
    <w:rsid w:val="00CE191D"/>
    <w:rsid w:val="00CF1612"/>
    <w:rsid w:val="00CF21CE"/>
    <w:rsid w:val="00CF2487"/>
    <w:rsid w:val="00CF3A96"/>
    <w:rsid w:val="00CF5B9C"/>
    <w:rsid w:val="00CF6EE2"/>
    <w:rsid w:val="00D104B9"/>
    <w:rsid w:val="00D14CF9"/>
    <w:rsid w:val="00D15EE2"/>
    <w:rsid w:val="00D33221"/>
    <w:rsid w:val="00D41D9F"/>
    <w:rsid w:val="00D42DAE"/>
    <w:rsid w:val="00D46AFB"/>
    <w:rsid w:val="00D55175"/>
    <w:rsid w:val="00D62D33"/>
    <w:rsid w:val="00D62D6A"/>
    <w:rsid w:val="00D6424E"/>
    <w:rsid w:val="00D67308"/>
    <w:rsid w:val="00D7771B"/>
    <w:rsid w:val="00D9215E"/>
    <w:rsid w:val="00D92FA3"/>
    <w:rsid w:val="00D96B9B"/>
    <w:rsid w:val="00DA2A98"/>
    <w:rsid w:val="00DA3B90"/>
    <w:rsid w:val="00DB2504"/>
    <w:rsid w:val="00DB3762"/>
    <w:rsid w:val="00DB4AE5"/>
    <w:rsid w:val="00DB7835"/>
    <w:rsid w:val="00DC036F"/>
    <w:rsid w:val="00DC16DF"/>
    <w:rsid w:val="00DC5D4C"/>
    <w:rsid w:val="00DD2671"/>
    <w:rsid w:val="00DD3A2C"/>
    <w:rsid w:val="00DE1DBA"/>
    <w:rsid w:val="00DE3873"/>
    <w:rsid w:val="00DF292D"/>
    <w:rsid w:val="00DF5006"/>
    <w:rsid w:val="00DF7DF5"/>
    <w:rsid w:val="00DF7E78"/>
    <w:rsid w:val="00E00023"/>
    <w:rsid w:val="00E00338"/>
    <w:rsid w:val="00E014A7"/>
    <w:rsid w:val="00E032ED"/>
    <w:rsid w:val="00E03C39"/>
    <w:rsid w:val="00E044B4"/>
    <w:rsid w:val="00E05794"/>
    <w:rsid w:val="00E07667"/>
    <w:rsid w:val="00E10FD6"/>
    <w:rsid w:val="00E22058"/>
    <w:rsid w:val="00E24797"/>
    <w:rsid w:val="00E31ECA"/>
    <w:rsid w:val="00E32BE7"/>
    <w:rsid w:val="00E408ED"/>
    <w:rsid w:val="00E4410B"/>
    <w:rsid w:val="00E47324"/>
    <w:rsid w:val="00E50D06"/>
    <w:rsid w:val="00E52CCF"/>
    <w:rsid w:val="00E572A9"/>
    <w:rsid w:val="00E602EF"/>
    <w:rsid w:val="00E61242"/>
    <w:rsid w:val="00E627C2"/>
    <w:rsid w:val="00E62DE4"/>
    <w:rsid w:val="00E639FA"/>
    <w:rsid w:val="00E6442D"/>
    <w:rsid w:val="00E647B8"/>
    <w:rsid w:val="00E6785C"/>
    <w:rsid w:val="00E736A9"/>
    <w:rsid w:val="00E74A8C"/>
    <w:rsid w:val="00E77E14"/>
    <w:rsid w:val="00E80EF1"/>
    <w:rsid w:val="00E92353"/>
    <w:rsid w:val="00E93459"/>
    <w:rsid w:val="00E936C5"/>
    <w:rsid w:val="00E96831"/>
    <w:rsid w:val="00EA15CB"/>
    <w:rsid w:val="00EB5AEB"/>
    <w:rsid w:val="00EB5B99"/>
    <w:rsid w:val="00EC0637"/>
    <w:rsid w:val="00EC067C"/>
    <w:rsid w:val="00EC0D5E"/>
    <w:rsid w:val="00EC1E5E"/>
    <w:rsid w:val="00EC1FC0"/>
    <w:rsid w:val="00EC2F2D"/>
    <w:rsid w:val="00EC4252"/>
    <w:rsid w:val="00EC5D44"/>
    <w:rsid w:val="00ED398E"/>
    <w:rsid w:val="00ED74AF"/>
    <w:rsid w:val="00EE0381"/>
    <w:rsid w:val="00EE22ED"/>
    <w:rsid w:val="00EE2E2F"/>
    <w:rsid w:val="00EE60EF"/>
    <w:rsid w:val="00EF1097"/>
    <w:rsid w:val="00EF2578"/>
    <w:rsid w:val="00EF418F"/>
    <w:rsid w:val="00EF4B41"/>
    <w:rsid w:val="00EF53DA"/>
    <w:rsid w:val="00EF5D46"/>
    <w:rsid w:val="00EF6C7E"/>
    <w:rsid w:val="00F021E4"/>
    <w:rsid w:val="00F03884"/>
    <w:rsid w:val="00F054FE"/>
    <w:rsid w:val="00F11253"/>
    <w:rsid w:val="00F117B5"/>
    <w:rsid w:val="00F1246E"/>
    <w:rsid w:val="00F158CD"/>
    <w:rsid w:val="00F16726"/>
    <w:rsid w:val="00F22C16"/>
    <w:rsid w:val="00F25121"/>
    <w:rsid w:val="00F264B5"/>
    <w:rsid w:val="00F26B7E"/>
    <w:rsid w:val="00F3014C"/>
    <w:rsid w:val="00F3078B"/>
    <w:rsid w:val="00F31156"/>
    <w:rsid w:val="00F31A90"/>
    <w:rsid w:val="00F42057"/>
    <w:rsid w:val="00F439D4"/>
    <w:rsid w:val="00F4412C"/>
    <w:rsid w:val="00F45D21"/>
    <w:rsid w:val="00F54CFE"/>
    <w:rsid w:val="00F55399"/>
    <w:rsid w:val="00F6010C"/>
    <w:rsid w:val="00F64531"/>
    <w:rsid w:val="00F66AA0"/>
    <w:rsid w:val="00F70014"/>
    <w:rsid w:val="00F7193A"/>
    <w:rsid w:val="00F72F34"/>
    <w:rsid w:val="00F75004"/>
    <w:rsid w:val="00F763B3"/>
    <w:rsid w:val="00F82B9D"/>
    <w:rsid w:val="00F84973"/>
    <w:rsid w:val="00F850CF"/>
    <w:rsid w:val="00F87ED0"/>
    <w:rsid w:val="00F92EF6"/>
    <w:rsid w:val="00F9390C"/>
    <w:rsid w:val="00F94400"/>
    <w:rsid w:val="00F95C83"/>
    <w:rsid w:val="00FA2B27"/>
    <w:rsid w:val="00FA314F"/>
    <w:rsid w:val="00FA3B6C"/>
    <w:rsid w:val="00FB022D"/>
    <w:rsid w:val="00FB56E6"/>
    <w:rsid w:val="00FB60CF"/>
    <w:rsid w:val="00FB7D71"/>
    <w:rsid w:val="00FC2257"/>
    <w:rsid w:val="00FC667F"/>
    <w:rsid w:val="00FD15BD"/>
    <w:rsid w:val="00FD1F83"/>
    <w:rsid w:val="00FD3BC6"/>
    <w:rsid w:val="00FD605A"/>
    <w:rsid w:val="00FD7EE5"/>
    <w:rsid w:val="00FE50FD"/>
    <w:rsid w:val="00FE51B8"/>
    <w:rsid w:val="00FE5E63"/>
    <w:rsid w:val="00FE6417"/>
    <w:rsid w:val="00FF0335"/>
    <w:rsid w:val="00FF2092"/>
    <w:rsid w:val="00FF271B"/>
    <w:rsid w:val="00FF40BB"/>
    <w:rsid w:val="00FF4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4F06B"/>
  <w15:chartTrackingRefBased/>
  <w15:docId w15:val="{D40C7C05-81B8-468E-8FAC-3021FB0DD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205"/>
    <w:pPr>
      <w:spacing w:line="240" w:lineRule="auto"/>
      <w:jc w:val="both"/>
    </w:pPr>
    <w:rPr>
      <w:rFonts w:ascii="Times New Roman" w:hAnsi="Times New Roman"/>
      <w:sz w:val="24"/>
      <w:lang w:val="en-GB"/>
    </w:rPr>
  </w:style>
  <w:style w:type="paragraph" w:styleId="Heading1">
    <w:name w:val="heading 1"/>
    <w:basedOn w:val="Normal"/>
    <w:next w:val="Normal"/>
    <w:link w:val="Heading1Char"/>
    <w:uiPriority w:val="9"/>
    <w:qFormat/>
    <w:rsid w:val="00F158CD"/>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E5E63"/>
    <w:rPr>
      <w:sz w:val="16"/>
      <w:szCs w:val="16"/>
    </w:rPr>
  </w:style>
  <w:style w:type="paragraph" w:styleId="CommentText">
    <w:name w:val="annotation text"/>
    <w:basedOn w:val="Normal"/>
    <w:link w:val="CommentTextChar"/>
    <w:uiPriority w:val="99"/>
    <w:semiHidden/>
    <w:unhideWhenUsed/>
    <w:rsid w:val="00FE5E63"/>
    <w:rPr>
      <w:sz w:val="20"/>
      <w:szCs w:val="20"/>
    </w:rPr>
  </w:style>
  <w:style w:type="character" w:customStyle="1" w:styleId="CommentTextChar">
    <w:name w:val="Comment Text Char"/>
    <w:basedOn w:val="DefaultParagraphFont"/>
    <w:link w:val="CommentText"/>
    <w:uiPriority w:val="99"/>
    <w:semiHidden/>
    <w:rsid w:val="00FE5E63"/>
    <w:rPr>
      <w:sz w:val="20"/>
      <w:szCs w:val="20"/>
    </w:rPr>
  </w:style>
  <w:style w:type="paragraph" w:styleId="CommentSubject">
    <w:name w:val="annotation subject"/>
    <w:basedOn w:val="CommentText"/>
    <w:next w:val="CommentText"/>
    <w:link w:val="CommentSubjectChar"/>
    <w:uiPriority w:val="99"/>
    <w:semiHidden/>
    <w:unhideWhenUsed/>
    <w:rsid w:val="00FE5E63"/>
    <w:rPr>
      <w:b/>
      <w:bCs/>
    </w:rPr>
  </w:style>
  <w:style w:type="character" w:customStyle="1" w:styleId="CommentSubjectChar">
    <w:name w:val="Comment Subject Char"/>
    <w:basedOn w:val="CommentTextChar"/>
    <w:link w:val="CommentSubject"/>
    <w:uiPriority w:val="99"/>
    <w:semiHidden/>
    <w:rsid w:val="00FE5E63"/>
    <w:rPr>
      <w:b/>
      <w:bCs/>
      <w:sz w:val="20"/>
      <w:szCs w:val="20"/>
    </w:rPr>
  </w:style>
  <w:style w:type="paragraph" w:styleId="BalloonText">
    <w:name w:val="Balloon Text"/>
    <w:basedOn w:val="Normal"/>
    <w:link w:val="BalloonTextChar"/>
    <w:uiPriority w:val="99"/>
    <w:semiHidden/>
    <w:unhideWhenUsed/>
    <w:rsid w:val="00FE5E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E63"/>
    <w:rPr>
      <w:rFonts w:ascii="Segoe UI" w:hAnsi="Segoe UI" w:cs="Segoe UI"/>
      <w:sz w:val="18"/>
      <w:szCs w:val="18"/>
    </w:rPr>
  </w:style>
  <w:style w:type="paragraph" w:styleId="ListParagraph">
    <w:name w:val="List Paragraph"/>
    <w:basedOn w:val="Normal"/>
    <w:uiPriority w:val="34"/>
    <w:qFormat/>
    <w:rsid w:val="00293C89"/>
    <w:pPr>
      <w:ind w:left="720"/>
      <w:contextualSpacing/>
    </w:pPr>
  </w:style>
  <w:style w:type="character" w:styleId="Hyperlink">
    <w:name w:val="Hyperlink"/>
    <w:basedOn w:val="DefaultParagraphFont"/>
    <w:uiPriority w:val="99"/>
    <w:unhideWhenUsed/>
    <w:rsid w:val="00F11253"/>
    <w:rPr>
      <w:color w:val="0563C1" w:themeColor="hyperlink"/>
      <w:u w:val="single"/>
    </w:rPr>
  </w:style>
  <w:style w:type="character" w:customStyle="1" w:styleId="UnresolvedMention1">
    <w:name w:val="Unresolved Mention1"/>
    <w:basedOn w:val="DefaultParagraphFont"/>
    <w:uiPriority w:val="99"/>
    <w:semiHidden/>
    <w:unhideWhenUsed/>
    <w:rsid w:val="00F11253"/>
    <w:rPr>
      <w:color w:val="808080"/>
      <w:shd w:val="clear" w:color="auto" w:fill="E6E6E6"/>
    </w:rPr>
  </w:style>
  <w:style w:type="character" w:styleId="LineNumber">
    <w:name w:val="line number"/>
    <w:basedOn w:val="DefaultParagraphFont"/>
    <w:uiPriority w:val="99"/>
    <w:semiHidden/>
    <w:unhideWhenUsed/>
    <w:rsid w:val="00466A59"/>
  </w:style>
  <w:style w:type="paragraph" w:styleId="Caption">
    <w:name w:val="caption"/>
    <w:basedOn w:val="Normal"/>
    <w:next w:val="Normal"/>
    <w:uiPriority w:val="35"/>
    <w:unhideWhenUsed/>
    <w:qFormat/>
    <w:rsid w:val="00751CDB"/>
    <w:pPr>
      <w:spacing w:before="120" w:after="120"/>
      <w:jc w:val="center"/>
    </w:pPr>
    <w:rPr>
      <w:rFonts w:eastAsia="Times New Roman" w:cs="Times New Roman"/>
      <w:szCs w:val="20"/>
    </w:rPr>
  </w:style>
  <w:style w:type="paragraph" w:styleId="Header">
    <w:name w:val="header"/>
    <w:basedOn w:val="Normal"/>
    <w:link w:val="HeaderChar"/>
    <w:uiPriority w:val="99"/>
    <w:unhideWhenUsed/>
    <w:rsid w:val="00373345"/>
    <w:pPr>
      <w:tabs>
        <w:tab w:val="center" w:pos="4680"/>
        <w:tab w:val="right" w:pos="9360"/>
      </w:tabs>
      <w:spacing w:after="0"/>
    </w:pPr>
  </w:style>
  <w:style w:type="character" w:customStyle="1" w:styleId="HeaderChar">
    <w:name w:val="Header Char"/>
    <w:basedOn w:val="DefaultParagraphFont"/>
    <w:link w:val="Header"/>
    <w:uiPriority w:val="99"/>
    <w:rsid w:val="00373345"/>
  </w:style>
  <w:style w:type="paragraph" w:styleId="Footer">
    <w:name w:val="footer"/>
    <w:basedOn w:val="Normal"/>
    <w:link w:val="FooterChar"/>
    <w:uiPriority w:val="99"/>
    <w:unhideWhenUsed/>
    <w:rsid w:val="00373345"/>
    <w:pPr>
      <w:tabs>
        <w:tab w:val="center" w:pos="4680"/>
        <w:tab w:val="right" w:pos="9360"/>
      </w:tabs>
      <w:spacing w:after="0"/>
    </w:pPr>
  </w:style>
  <w:style w:type="character" w:customStyle="1" w:styleId="FooterChar">
    <w:name w:val="Footer Char"/>
    <w:basedOn w:val="DefaultParagraphFont"/>
    <w:link w:val="Footer"/>
    <w:uiPriority w:val="99"/>
    <w:rsid w:val="00373345"/>
  </w:style>
  <w:style w:type="character" w:styleId="PlaceholderText">
    <w:name w:val="Placeholder Text"/>
    <w:basedOn w:val="DefaultParagraphFont"/>
    <w:uiPriority w:val="99"/>
    <w:semiHidden/>
    <w:rsid w:val="0048717D"/>
    <w:rPr>
      <w:color w:val="808080"/>
    </w:rPr>
  </w:style>
  <w:style w:type="character" w:styleId="FootnoteReference">
    <w:name w:val="footnote reference"/>
    <w:basedOn w:val="DefaultParagraphFont"/>
    <w:uiPriority w:val="99"/>
    <w:semiHidden/>
    <w:unhideWhenUsed/>
    <w:rsid w:val="00F158CD"/>
    <w:rPr>
      <w:vertAlign w:val="superscript"/>
    </w:rPr>
  </w:style>
  <w:style w:type="character" w:customStyle="1" w:styleId="Heading1Char">
    <w:name w:val="Heading 1 Char"/>
    <w:basedOn w:val="DefaultParagraphFont"/>
    <w:link w:val="Heading1"/>
    <w:uiPriority w:val="9"/>
    <w:rsid w:val="00F158CD"/>
    <w:rPr>
      <w:rFonts w:ascii="Times New Roman" w:eastAsiaTheme="majorEastAsia" w:hAnsi="Times New Roman" w:cstheme="majorBidi"/>
      <w:b/>
      <w:szCs w:val="32"/>
      <w:lang w:val="en-GB"/>
    </w:rPr>
  </w:style>
  <w:style w:type="table" w:styleId="TableGrid">
    <w:name w:val="Table Grid"/>
    <w:basedOn w:val="TableNormal"/>
    <w:uiPriority w:val="39"/>
    <w:rsid w:val="00F158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11C22"/>
    <w:pPr>
      <w:spacing w:after="0"/>
    </w:pPr>
  </w:style>
  <w:style w:type="paragraph" w:styleId="Revision">
    <w:name w:val="Revision"/>
    <w:hidden/>
    <w:uiPriority w:val="99"/>
    <w:semiHidden/>
    <w:rsid w:val="00227ACA"/>
    <w:pPr>
      <w:spacing w:after="0" w:line="240" w:lineRule="auto"/>
    </w:pPr>
    <w:rPr>
      <w:rFonts w:ascii="Times New Roman" w:hAnsi="Times New Roman"/>
      <w:sz w:val="24"/>
      <w:lang w:val="en-GB"/>
    </w:rPr>
  </w:style>
  <w:style w:type="character" w:customStyle="1" w:styleId="UnresolvedMention2">
    <w:name w:val="Unresolved Mention2"/>
    <w:basedOn w:val="DefaultParagraphFont"/>
    <w:uiPriority w:val="99"/>
    <w:semiHidden/>
    <w:unhideWhenUsed/>
    <w:rsid w:val="00E647B8"/>
    <w:rPr>
      <w:color w:val="605E5C"/>
      <w:shd w:val="clear" w:color="auto" w:fill="E1DFDD"/>
    </w:rPr>
  </w:style>
  <w:style w:type="character" w:styleId="FollowedHyperlink">
    <w:name w:val="FollowedHyperlink"/>
    <w:basedOn w:val="DefaultParagraphFont"/>
    <w:uiPriority w:val="99"/>
    <w:semiHidden/>
    <w:unhideWhenUsed/>
    <w:rsid w:val="00E647B8"/>
    <w:rPr>
      <w:color w:val="954F72" w:themeColor="followedHyperlink"/>
      <w:u w:val="single"/>
    </w:rPr>
  </w:style>
  <w:style w:type="paragraph" w:styleId="NoSpacing">
    <w:name w:val="No Spacing"/>
    <w:uiPriority w:val="1"/>
    <w:qFormat/>
    <w:rsid w:val="005C7118"/>
    <w:pPr>
      <w:spacing w:after="0" w:line="240" w:lineRule="auto"/>
      <w:jc w:val="both"/>
    </w:pPr>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5012">
      <w:bodyDiv w:val="1"/>
      <w:marLeft w:val="0"/>
      <w:marRight w:val="0"/>
      <w:marTop w:val="0"/>
      <w:marBottom w:val="0"/>
      <w:divBdr>
        <w:top w:val="none" w:sz="0" w:space="0" w:color="auto"/>
        <w:left w:val="none" w:sz="0" w:space="0" w:color="auto"/>
        <w:bottom w:val="none" w:sz="0" w:space="0" w:color="auto"/>
        <w:right w:val="none" w:sz="0" w:space="0" w:color="auto"/>
      </w:divBdr>
    </w:div>
    <w:div w:id="373123627">
      <w:bodyDiv w:val="1"/>
      <w:marLeft w:val="0"/>
      <w:marRight w:val="0"/>
      <w:marTop w:val="0"/>
      <w:marBottom w:val="0"/>
      <w:divBdr>
        <w:top w:val="none" w:sz="0" w:space="0" w:color="auto"/>
        <w:left w:val="none" w:sz="0" w:space="0" w:color="auto"/>
        <w:bottom w:val="none" w:sz="0" w:space="0" w:color="auto"/>
        <w:right w:val="none" w:sz="0" w:space="0" w:color="auto"/>
      </w:divBdr>
    </w:div>
    <w:div w:id="392965440">
      <w:bodyDiv w:val="1"/>
      <w:marLeft w:val="0"/>
      <w:marRight w:val="0"/>
      <w:marTop w:val="0"/>
      <w:marBottom w:val="0"/>
      <w:divBdr>
        <w:top w:val="none" w:sz="0" w:space="0" w:color="auto"/>
        <w:left w:val="none" w:sz="0" w:space="0" w:color="auto"/>
        <w:bottom w:val="none" w:sz="0" w:space="0" w:color="auto"/>
        <w:right w:val="none" w:sz="0" w:space="0" w:color="auto"/>
      </w:divBdr>
    </w:div>
    <w:div w:id="404423072">
      <w:bodyDiv w:val="1"/>
      <w:marLeft w:val="0"/>
      <w:marRight w:val="0"/>
      <w:marTop w:val="0"/>
      <w:marBottom w:val="0"/>
      <w:divBdr>
        <w:top w:val="none" w:sz="0" w:space="0" w:color="auto"/>
        <w:left w:val="none" w:sz="0" w:space="0" w:color="auto"/>
        <w:bottom w:val="none" w:sz="0" w:space="0" w:color="auto"/>
        <w:right w:val="none" w:sz="0" w:space="0" w:color="auto"/>
      </w:divBdr>
    </w:div>
    <w:div w:id="647517628">
      <w:bodyDiv w:val="1"/>
      <w:marLeft w:val="0"/>
      <w:marRight w:val="0"/>
      <w:marTop w:val="0"/>
      <w:marBottom w:val="0"/>
      <w:divBdr>
        <w:top w:val="none" w:sz="0" w:space="0" w:color="auto"/>
        <w:left w:val="none" w:sz="0" w:space="0" w:color="auto"/>
        <w:bottom w:val="none" w:sz="0" w:space="0" w:color="auto"/>
        <w:right w:val="none" w:sz="0" w:space="0" w:color="auto"/>
      </w:divBdr>
    </w:div>
    <w:div w:id="765346579">
      <w:bodyDiv w:val="1"/>
      <w:marLeft w:val="0"/>
      <w:marRight w:val="0"/>
      <w:marTop w:val="0"/>
      <w:marBottom w:val="0"/>
      <w:divBdr>
        <w:top w:val="none" w:sz="0" w:space="0" w:color="auto"/>
        <w:left w:val="none" w:sz="0" w:space="0" w:color="auto"/>
        <w:bottom w:val="none" w:sz="0" w:space="0" w:color="auto"/>
        <w:right w:val="none" w:sz="0" w:space="0" w:color="auto"/>
      </w:divBdr>
    </w:div>
    <w:div w:id="848327056">
      <w:bodyDiv w:val="1"/>
      <w:marLeft w:val="0"/>
      <w:marRight w:val="0"/>
      <w:marTop w:val="0"/>
      <w:marBottom w:val="0"/>
      <w:divBdr>
        <w:top w:val="none" w:sz="0" w:space="0" w:color="auto"/>
        <w:left w:val="none" w:sz="0" w:space="0" w:color="auto"/>
        <w:bottom w:val="none" w:sz="0" w:space="0" w:color="auto"/>
        <w:right w:val="none" w:sz="0" w:space="0" w:color="auto"/>
      </w:divBdr>
    </w:div>
    <w:div w:id="915631508">
      <w:bodyDiv w:val="1"/>
      <w:marLeft w:val="0"/>
      <w:marRight w:val="0"/>
      <w:marTop w:val="0"/>
      <w:marBottom w:val="0"/>
      <w:divBdr>
        <w:top w:val="none" w:sz="0" w:space="0" w:color="auto"/>
        <w:left w:val="none" w:sz="0" w:space="0" w:color="auto"/>
        <w:bottom w:val="none" w:sz="0" w:space="0" w:color="auto"/>
        <w:right w:val="none" w:sz="0" w:space="0" w:color="auto"/>
      </w:divBdr>
    </w:div>
    <w:div w:id="1089499662">
      <w:bodyDiv w:val="1"/>
      <w:marLeft w:val="0"/>
      <w:marRight w:val="0"/>
      <w:marTop w:val="0"/>
      <w:marBottom w:val="0"/>
      <w:divBdr>
        <w:top w:val="none" w:sz="0" w:space="0" w:color="auto"/>
        <w:left w:val="none" w:sz="0" w:space="0" w:color="auto"/>
        <w:bottom w:val="none" w:sz="0" w:space="0" w:color="auto"/>
        <w:right w:val="none" w:sz="0" w:space="0" w:color="auto"/>
      </w:divBdr>
    </w:div>
    <w:div w:id="1181354474">
      <w:bodyDiv w:val="1"/>
      <w:marLeft w:val="0"/>
      <w:marRight w:val="0"/>
      <w:marTop w:val="0"/>
      <w:marBottom w:val="0"/>
      <w:divBdr>
        <w:top w:val="none" w:sz="0" w:space="0" w:color="auto"/>
        <w:left w:val="none" w:sz="0" w:space="0" w:color="auto"/>
        <w:bottom w:val="none" w:sz="0" w:space="0" w:color="auto"/>
        <w:right w:val="none" w:sz="0" w:space="0" w:color="auto"/>
      </w:divBdr>
    </w:div>
    <w:div w:id="1259607262">
      <w:bodyDiv w:val="1"/>
      <w:marLeft w:val="0"/>
      <w:marRight w:val="0"/>
      <w:marTop w:val="0"/>
      <w:marBottom w:val="0"/>
      <w:divBdr>
        <w:top w:val="none" w:sz="0" w:space="0" w:color="auto"/>
        <w:left w:val="none" w:sz="0" w:space="0" w:color="auto"/>
        <w:bottom w:val="none" w:sz="0" w:space="0" w:color="auto"/>
        <w:right w:val="none" w:sz="0" w:space="0" w:color="auto"/>
      </w:divBdr>
    </w:div>
    <w:div w:id="1299726954">
      <w:bodyDiv w:val="1"/>
      <w:marLeft w:val="0"/>
      <w:marRight w:val="0"/>
      <w:marTop w:val="0"/>
      <w:marBottom w:val="0"/>
      <w:divBdr>
        <w:top w:val="none" w:sz="0" w:space="0" w:color="auto"/>
        <w:left w:val="none" w:sz="0" w:space="0" w:color="auto"/>
        <w:bottom w:val="none" w:sz="0" w:space="0" w:color="auto"/>
        <w:right w:val="none" w:sz="0" w:space="0" w:color="auto"/>
      </w:divBdr>
    </w:div>
    <w:div w:id="1685133567">
      <w:bodyDiv w:val="1"/>
      <w:marLeft w:val="0"/>
      <w:marRight w:val="0"/>
      <w:marTop w:val="0"/>
      <w:marBottom w:val="0"/>
      <w:divBdr>
        <w:top w:val="none" w:sz="0" w:space="0" w:color="auto"/>
        <w:left w:val="none" w:sz="0" w:space="0" w:color="auto"/>
        <w:bottom w:val="none" w:sz="0" w:space="0" w:color="auto"/>
        <w:right w:val="none" w:sz="0" w:space="0" w:color="auto"/>
      </w:divBdr>
    </w:div>
    <w:div w:id="1858500516">
      <w:bodyDiv w:val="1"/>
      <w:marLeft w:val="0"/>
      <w:marRight w:val="0"/>
      <w:marTop w:val="0"/>
      <w:marBottom w:val="0"/>
      <w:divBdr>
        <w:top w:val="none" w:sz="0" w:space="0" w:color="auto"/>
        <w:left w:val="none" w:sz="0" w:space="0" w:color="auto"/>
        <w:bottom w:val="none" w:sz="0" w:space="0" w:color="auto"/>
        <w:right w:val="none" w:sz="0" w:space="0" w:color="auto"/>
      </w:divBdr>
    </w:div>
    <w:div w:id="1921016681">
      <w:bodyDiv w:val="1"/>
      <w:marLeft w:val="0"/>
      <w:marRight w:val="0"/>
      <w:marTop w:val="0"/>
      <w:marBottom w:val="0"/>
      <w:divBdr>
        <w:top w:val="none" w:sz="0" w:space="0" w:color="auto"/>
        <w:left w:val="none" w:sz="0" w:space="0" w:color="auto"/>
        <w:bottom w:val="none" w:sz="0" w:space="0" w:color="auto"/>
        <w:right w:val="none" w:sz="0" w:space="0" w:color="auto"/>
      </w:divBdr>
    </w:div>
    <w:div w:id="1948732640">
      <w:bodyDiv w:val="1"/>
      <w:marLeft w:val="0"/>
      <w:marRight w:val="0"/>
      <w:marTop w:val="0"/>
      <w:marBottom w:val="0"/>
      <w:divBdr>
        <w:top w:val="none" w:sz="0" w:space="0" w:color="auto"/>
        <w:left w:val="none" w:sz="0" w:space="0" w:color="auto"/>
        <w:bottom w:val="none" w:sz="0" w:space="0" w:color="auto"/>
        <w:right w:val="none" w:sz="0" w:space="0" w:color="auto"/>
      </w:divBdr>
    </w:div>
    <w:div w:id="1966891215">
      <w:bodyDiv w:val="1"/>
      <w:marLeft w:val="0"/>
      <w:marRight w:val="0"/>
      <w:marTop w:val="0"/>
      <w:marBottom w:val="0"/>
      <w:divBdr>
        <w:top w:val="none" w:sz="0" w:space="0" w:color="auto"/>
        <w:left w:val="none" w:sz="0" w:space="0" w:color="auto"/>
        <w:bottom w:val="none" w:sz="0" w:space="0" w:color="auto"/>
        <w:right w:val="none" w:sz="0" w:space="0" w:color="auto"/>
      </w:divBdr>
    </w:div>
    <w:div w:id="2006854304">
      <w:bodyDiv w:val="1"/>
      <w:marLeft w:val="0"/>
      <w:marRight w:val="0"/>
      <w:marTop w:val="0"/>
      <w:marBottom w:val="0"/>
      <w:divBdr>
        <w:top w:val="none" w:sz="0" w:space="0" w:color="auto"/>
        <w:left w:val="none" w:sz="0" w:space="0" w:color="auto"/>
        <w:bottom w:val="none" w:sz="0" w:space="0" w:color="auto"/>
        <w:right w:val="none" w:sz="0" w:space="0" w:color="auto"/>
      </w:divBdr>
    </w:div>
    <w:div w:id="203869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anes@ed.ac.uk"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rush@ed.ac.uk" TargetMode="External"/><Relationship Id="rId14" Type="http://schemas.openxmlformats.org/officeDocument/2006/relationships/chart" Target="charts/chart5.xml"/><Relationship Id="rId22" Type="http://schemas.openxmlformats.org/officeDocument/2006/relationships/footer" Target="footer1.xml"/><Relationship Id="rId27" Type="http://schemas.openxmlformats.org/officeDocument/2006/relationships/chart" Target="charts/chart1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D:\University%20of%20Edinburgh\1.%20Data\9.%20PD7974-7%20DATA%20UPDATED\2.%20UK\3.%20Other%20buildings\1.%20Frequency%20ignition%20TOTAL%20FLOOR%20AREA%20PER%20BUILDINGS%20AT%20RISK\Fire%20frequency%20functions%20-%20More%20ranges\2e.%20Hospital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oleObject" Target="file:///D:\University%20of%20Edinburgh\1.%20Data\9.%20PD7974-7%20DATA%20UPDATED\2.%20UK\3.%20Other%20buildings\4c.c%20Fire%20spread%20and%20fire%20damage%20-%20FIRE%20AND%20TOTAL%20DAMAGE\TABLE%20A.6-7-8\Table%20A.6%20U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University%20of%20Edinburgh\1.%20Data\9.%20PD7974-7%20DATA%20UPDATED\2.%20UK\3.%20Other%20buildings\4c.c%20Fire%20spread%20and%20fire%20damage%20-%20FIRE%20AND%20TOTAL%20DAMAGE\TABLE%20A.6-7-8\Table%20A.6%20U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University%20of%20Edinburgh\1.%20Data\9.%20PD7974-7%20DATA%20UPDATED\2.%20UK\3.%20Other%20buildings\4c.c%20Fire%20spread%20and%20fire%20damage%20-%20FIRE%20AND%20TOTAL%20DAMAGE\TABLE%20A.6-7-8\Table%20A.6%20U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University%20of%20Edinburgh\1.%20Data\9.%20PD7974-7%20DATA%20UPDATED\2.%20UK\3.%20Other%20buildings\4c.c%20Fire%20spread%20and%20fire%20damage%20-%20FIRE%20AND%20TOTAL%20DAMAGE\TABLE%20A.6-7-8\Table%20A.6%20U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University%20of%20Edinburgh\1.%20Data\9.%20PD7974-7%20DATA%20UPDATED\2.%20UK\3.%20Other%20buildings\4c.c%20Fire%20spread%20and%20fire%20damage%20-%20FIRE%20AND%20TOTAL%20DAMAGE\TABLE%20A.6-7-8\Table%20A.6%20U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University%20of%20Edinburgh\1.%20Data\9.%20PD7974-7%20DATA%20UPDATED\2.%20UK\3.%20Other%20buildings\4c.c%20Fire%20spread%20and%20fire%20damage%20-%20FIRE%20AND%20TOTAL%20DAMAGE\TABLE%20A.6-7-8\Table%20A.6%20UK.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University%20of%20Edinburgh\1.%20Data\9.%20PD7974-7%20DATA%20UPDATED\2.%20UK\3.%20Other%20buildings\4c.c%20Fire%20spread%20and%20fire%20damage%20-%20FIRE%20AND%20TOTAL%20DAMAGE\TABLE%20A.6-7-8\Table%20A.6%20UK.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niversity%20of%20Edinburgh\1.%20Data\9.%20PD7974-7%20DATA%20UPDATED\2.%20UK\3.%20Other%20buildings\1.%20Frequency%20ignition%20TOTAL%20FLOOR%20AREA%20PER%20BUILDINGS%20AT%20RISK\Fire%20frequency%20functions%20-%20More%20ranges\1a.%20Overall%20indust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D:\University%20of%20Edinburgh\1.%20Data\9.%20PD7974-7%20DATA%20UPDATED\2.%20UK\3.%20Other%20buildings\1.%20Frequency%20ignition%20TOTAL%20FLOOR%20AREA%20PER%20BUILDINGS%20AT%20RISK\Fire%20frequency%20functions%20-%20More%20ranges\2a.%20Storag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oleObject" Target="file:///D:\University%20of%20Edinburgh\1.%20Data\9.%20PD7974-7%20DATA%20UPDATED\2.%20UK\3.%20Other%20buildings\1.%20Frequency%20ignition%20TOTAL%20FLOOR%20AREA%20PER%20BUILDINGS%20AT%20RISK\Fire%20frequency%20functions%20-%20More%20ranges\2b.%20Shop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oleObject" Target="file:///D:\University%20of%20Edinburgh\1.%20Data\9.%20PD7974-7%20DATA%20UPDATED\2.%20UK\3.%20Other%20buildings\1.%20Frequency%20ignition%20TOTAL%20FLOOR%20AREA%20PER%20BUILDINGS%20AT%20RISK\Fire%20frequency%20functions%20-%20More%20ranges\2c.%20Offic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24701143338341"/>
          <c:y val="4.226705091258405E-2"/>
          <c:w val="0.69626787280035418"/>
          <c:h val="0.80559585300293801"/>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Sheet1!$B$38:$B$50</c:f>
              <c:numCache>
                <c:formatCode>0.00%</c:formatCode>
                <c:ptCount val="13"/>
                <c:pt idx="0">
                  <c:v>6.1565259174725211E-3</c:v>
                </c:pt>
                <c:pt idx="1">
                  <c:v>2.3149759799484786E-3</c:v>
                </c:pt>
                <c:pt idx="2">
                  <c:v>1.6237730136250427E-3</c:v>
                </c:pt>
                <c:pt idx="3">
                  <c:v>2.6643166027913841E-4</c:v>
                </c:pt>
                <c:pt idx="4">
                  <c:v>4.9998263949168429E-3</c:v>
                </c:pt>
                <c:pt idx="5">
                  <c:v>4.2205965109735509E-4</c:v>
                </c:pt>
                <c:pt idx="6">
                  <c:v>5.7158297306285338E-3</c:v>
                </c:pt>
                <c:pt idx="7">
                  <c:v>4.5646310256587594E-3</c:v>
                </c:pt>
                <c:pt idx="8">
                  <c:v>2.2826312512969496E-3</c:v>
                </c:pt>
                <c:pt idx="9">
                  <c:v>2.4053880692751764E-3</c:v>
                </c:pt>
                <c:pt idx="10">
                  <c:v>4.1459369817578774E-4</c:v>
                </c:pt>
              </c:numCache>
            </c:numRef>
          </c:yVal>
          <c:smooth val="0"/>
          <c:extLst>
            <c:ext xmlns:c16="http://schemas.microsoft.com/office/drawing/2014/chart" uri="{C3380CC4-5D6E-409C-BE32-E72D297353CC}">
              <c16:uniqueId val="{00000000-97B2-4894-B182-95E0ADFBF1B8}"/>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Sheet1!$A$56:$A$68</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Sheet1!$B$56:$B$68</c:f>
              <c:numCache>
                <c:formatCode>0.00%</c:formatCode>
                <c:ptCount val="13"/>
                <c:pt idx="0">
                  <c:v>3.7158474288368449E-3</c:v>
                </c:pt>
                <c:pt idx="1">
                  <c:v>4.0287841337504791E-3</c:v>
                </c:pt>
                <c:pt idx="2">
                  <c:v>4.239648051776174E-3</c:v>
                </c:pt>
                <c:pt idx="3">
                  <c:v>4.402079421367007E-3</c:v>
                </c:pt>
                <c:pt idx="4">
                  <c:v>4.5124551369821256E-3</c:v>
                </c:pt>
                <c:pt idx="5">
                  <c:v>4.5966975584432572E-3</c:v>
                </c:pt>
                <c:pt idx="6">
                  <c:v>4.7728083749295378E-3</c:v>
                </c:pt>
                <c:pt idx="7">
                  <c:v>5.0226140335381565E-3</c:v>
                </c:pt>
                <c:pt idx="8">
                  <c:v>5.3458023448957502E-3</c:v>
                </c:pt>
                <c:pt idx="9">
                  <c:v>5.6542368683802973E-3</c:v>
                </c:pt>
                <c:pt idx="10">
                  <c:v>5.9501759159763003E-3</c:v>
                </c:pt>
              </c:numCache>
            </c:numRef>
          </c:yVal>
          <c:smooth val="0"/>
          <c:extLst>
            <c:ext xmlns:c16="http://schemas.microsoft.com/office/drawing/2014/chart" uri="{C3380CC4-5D6E-409C-BE32-E72D297353CC}">
              <c16:uniqueId val="{00000001-97B2-4894-B182-95E0ADFBF1B8}"/>
            </c:ext>
          </c:extLst>
        </c:ser>
        <c:ser>
          <c:idx val="2"/>
          <c:order val="2"/>
          <c:tx>
            <c:strRef>
              <c:f>Sheet1!$A$70</c:f>
              <c:strCache>
                <c:ptCount val="1"/>
                <c:pt idx="0">
                  <c:v>PD</c:v>
                </c:pt>
              </c:strCache>
              <c:extLst xmlns:c15="http://schemas.microsoft.com/office/drawing/2012/chart"/>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f>Sheet1!$A$74:$A$86</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Sheet1!$B$74:$B$86</c:f>
              <c:numCache>
                <c:formatCode>0.00%</c:formatCode>
                <c:ptCount val="13"/>
                <c:pt idx="0">
                  <c:v>9.3617518668902191E-3</c:v>
                </c:pt>
                <c:pt idx="1">
                  <c:v>1.6758355190333595E-2</c:v>
                </c:pt>
                <c:pt idx="2">
                  <c:v>2.4197878328258648E-2</c:v>
                </c:pt>
                <c:pt idx="3">
                  <c:v>3.1721749113210213E-2</c:v>
                </c:pt>
                <c:pt idx="4">
                  <c:v>3.7914469602642345E-2</c:v>
                </c:pt>
                <c:pt idx="5">
                  <c:v>4.3316320026770633E-2</c:v>
                </c:pt>
                <c:pt idx="6">
                  <c:v>5.6784707227496144E-2</c:v>
                </c:pt>
                <c:pt idx="7">
                  <c:v>8.1993096624978973E-2</c:v>
                </c:pt>
                <c:pt idx="8">
                  <c:v>0.12847096457972795</c:v>
                </c:pt>
                <c:pt idx="9">
                  <c:v>0.19241166202112608</c:v>
                </c:pt>
                <c:pt idx="10">
                  <c:v>0.27782881635131101</c:v>
                </c:pt>
              </c:numCache>
            </c:numRef>
          </c:yVal>
          <c:smooth val="0"/>
          <c:extLst xmlns:c15="http://schemas.microsoft.com/office/drawing/2012/chart">
            <c:ext xmlns:c16="http://schemas.microsoft.com/office/drawing/2014/chart" uri="{C3380CC4-5D6E-409C-BE32-E72D297353CC}">
              <c16:uniqueId val="{00000002-97B2-4894-B182-95E0ADFBF1B8}"/>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Sheet1!$A$38:$A$48</c:f>
              <c:numCache>
                <c:formatCode>General</c:formatCode>
                <c:ptCount val="11"/>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Sheet1!$B$38:$B$48</c:f>
              <c:numCache>
                <c:formatCode>0.00%</c:formatCode>
                <c:ptCount val="11"/>
                <c:pt idx="0">
                  <c:v>6.1565259174725211E-3</c:v>
                </c:pt>
                <c:pt idx="1">
                  <c:v>2.3149759799484786E-3</c:v>
                </c:pt>
                <c:pt idx="2">
                  <c:v>1.6237730136250427E-3</c:v>
                </c:pt>
                <c:pt idx="3">
                  <c:v>2.6643166027913841E-4</c:v>
                </c:pt>
                <c:pt idx="4">
                  <c:v>4.9998263949168429E-3</c:v>
                </c:pt>
                <c:pt idx="5">
                  <c:v>4.2205965109735509E-4</c:v>
                </c:pt>
                <c:pt idx="6">
                  <c:v>5.7158297306285338E-3</c:v>
                </c:pt>
                <c:pt idx="7">
                  <c:v>4.5646310256587594E-3</c:v>
                </c:pt>
                <c:pt idx="8">
                  <c:v>2.2826312512969496E-3</c:v>
                </c:pt>
                <c:pt idx="9">
                  <c:v>2.4053880692751764E-3</c:v>
                </c:pt>
                <c:pt idx="10">
                  <c:v>4.1459369817578774E-4</c:v>
                </c:pt>
              </c:numCache>
            </c:numRef>
          </c:yVal>
          <c:smooth val="0"/>
          <c:extLst>
            <c:ext xmlns:c16="http://schemas.microsoft.com/office/drawing/2014/chart" uri="{C3380CC4-5D6E-409C-BE32-E72D297353CC}">
              <c16:uniqueId val="{00000003-97B2-4894-B182-95E0ADFBF1B8}"/>
            </c:ext>
          </c:extLst>
        </c:ser>
        <c:dLbls>
          <c:showLegendKey val="0"/>
          <c:showVal val="0"/>
          <c:showCatName val="0"/>
          <c:showSerName val="0"/>
          <c:showPercent val="0"/>
          <c:showBubbleSize val="0"/>
        </c:dLbls>
        <c:axId val="1015649432"/>
        <c:axId val="1015651728"/>
        <c:extLst/>
      </c:scatterChart>
      <c:valAx>
        <c:axId val="1015649432"/>
        <c:scaling>
          <c:orientation val="minMax"/>
          <c:max val="15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r>
                  <a:rPr lang="en-GB" baseline="0"/>
                  <a:t> </a:t>
                </a:r>
              </a:p>
              <a:p>
                <a:pPr>
                  <a:defRPr/>
                </a:pPr>
                <a:r>
                  <a:rPr lang="en-GB" baseline="0"/>
                  <a:t>[fires/buildings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4073100730104437"/>
          <c:y val="0.52722242415963805"/>
          <c:w val="0.51022684457717316"/>
          <c:h val="0.22156614427901011"/>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99472123892354"/>
          <c:y val="4.226705091258405E-2"/>
          <c:w val="0.71701689530402724"/>
          <c:h val="0.80475682233340351"/>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Sheet1!$A$38:$A$46</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Sheet1!$B$38:$B$46</c:f>
              <c:numCache>
                <c:formatCode>0.00%</c:formatCode>
                <c:ptCount val="9"/>
                <c:pt idx="0">
                  <c:v>2.375478927203065E-2</c:v>
                </c:pt>
                <c:pt idx="1">
                  <c:v>4.9072411729503291E-3</c:v>
                </c:pt>
                <c:pt idx="2">
                  <c:v>3.8860103626943004E-3</c:v>
                </c:pt>
                <c:pt idx="3">
                  <c:v>2.719096423342397E-3</c:v>
                </c:pt>
                <c:pt idx="4">
                  <c:v>1.6522718738265114E-2</c:v>
                </c:pt>
                <c:pt idx="5">
                  <c:v>1.0094637223974764E-2</c:v>
                </c:pt>
                <c:pt idx="6">
                  <c:v>1.7665130568356373E-2</c:v>
                </c:pt>
                <c:pt idx="7">
                  <c:v>0.10600706713780919</c:v>
                </c:pt>
                <c:pt idx="8">
                  <c:v>0.64835164835164838</c:v>
                </c:pt>
              </c:numCache>
            </c:numRef>
          </c:yVal>
          <c:smooth val="0"/>
          <c:extLst>
            <c:ext xmlns:c16="http://schemas.microsoft.com/office/drawing/2014/chart" uri="{C3380CC4-5D6E-409C-BE32-E72D297353CC}">
              <c16:uniqueId val="{00000000-32B7-4D41-AE7E-E3460E955554}"/>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Sheet1!$A$56:$A$64</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Sheet1!$B$56:$B$64</c:f>
              <c:numCache>
                <c:formatCode>0.00%</c:formatCode>
                <c:ptCount val="9"/>
                <c:pt idx="0">
                  <c:v>1.7129558584548555E-2</c:v>
                </c:pt>
                <c:pt idx="1">
                  <c:v>1.9506654869960546E-2</c:v>
                </c:pt>
                <c:pt idx="2">
                  <c:v>2.1173387617975773E-2</c:v>
                </c:pt>
                <c:pt idx="3">
                  <c:v>2.2492197378094197E-2</c:v>
                </c:pt>
                <c:pt idx="4">
                  <c:v>2.3405436506510165E-2</c:v>
                </c:pt>
                <c:pt idx="5">
                  <c:v>2.4111652536353702E-2</c:v>
                </c:pt>
                <c:pt idx="6">
                  <c:v>2.5613475639546263E-2</c:v>
                </c:pt>
                <c:pt idx="7">
                  <c:v>2.7802001500259785E-2</c:v>
                </c:pt>
                <c:pt idx="8">
                  <c:v>3.0732823325625248E-2</c:v>
                </c:pt>
              </c:numCache>
            </c:numRef>
          </c:yVal>
          <c:smooth val="0"/>
          <c:extLst>
            <c:ext xmlns:c16="http://schemas.microsoft.com/office/drawing/2014/chart" uri="{C3380CC4-5D6E-409C-BE32-E72D297353CC}">
              <c16:uniqueId val="{00000001-32B7-4D41-AE7E-E3460E955554}"/>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Sheet1!$A$38:$A$46</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Sheet1!$B$38:$B$46</c:f>
              <c:numCache>
                <c:formatCode>0.00%</c:formatCode>
                <c:ptCount val="9"/>
                <c:pt idx="0">
                  <c:v>2.375478927203065E-2</c:v>
                </c:pt>
                <c:pt idx="1">
                  <c:v>4.9072411729503291E-3</c:v>
                </c:pt>
                <c:pt idx="2">
                  <c:v>3.8860103626943004E-3</c:v>
                </c:pt>
                <c:pt idx="3">
                  <c:v>2.719096423342397E-3</c:v>
                </c:pt>
                <c:pt idx="4">
                  <c:v>1.6522718738265114E-2</c:v>
                </c:pt>
                <c:pt idx="5">
                  <c:v>1.0094637223974764E-2</c:v>
                </c:pt>
                <c:pt idx="6">
                  <c:v>1.7665130568356373E-2</c:v>
                </c:pt>
                <c:pt idx="7">
                  <c:v>0.10600706713780919</c:v>
                </c:pt>
                <c:pt idx="8">
                  <c:v>0.64835164835164838</c:v>
                </c:pt>
              </c:numCache>
            </c:numRef>
          </c:yVal>
          <c:smooth val="0"/>
          <c:extLst>
            <c:ext xmlns:c16="http://schemas.microsoft.com/office/drawing/2014/chart" uri="{C3380CC4-5D6E-409C-BE32-E72D297353CC}">
              <c16:uniqueId val="{00000002-32B7-4D41-AE7E-E3460E955554}"/>
            </c:ext>
          </c:extLst>
        </c:ser>
        <c:ser>
          <c:idx val="4"/>
          <c:order val="4"/>
          <c:tx>
            <c:v>UK-Improved</c:v>
          </c:tx>
          <c:spPr>
            <a:ln w="25400" cap="rnd">
              <a:noFill/>
              <a:round/>
            </a:ln>
            <a:effectLst/>
          </c:spPr>
          <c:marker>
            <c:symbol val="circle"/>
            <c:size val="5"/>
            <c:spPr>
              <a:noFill/>
              <a:ln w="9525">
                <a:noFill/>
              </a:ln>
              <a:effectLst/>
            </c:spPr>
          </c:marker>
          <c:trendline>
            <c:spPr>
              <a:ln w="19050" cap="rnd">
                <a:solidFill>
                  <a:srgbClr val="FF0000"/>
                </a:solidFill>
                <a:prstDash val="lgDashDotDot"/>
              </a:ln>
              <a:effectLst/>
            </c:spPr>
            <c:trendlineType val="poly"/>
            <c:order val="3"/>
            <c:dispRSqr val="0"/>
            <c:dispEq val="0"/>
          </c:trendline>
          <c:xVal>
            <c:numRef>
              <c:f>Sheet1!$A$38:$A$46</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Sheet1!$B$38:$B$46</c:f>
              <c:numCache>
                <c:formatCode>0.00%</c:formatCode>
                <c:ptCount val="9"/>
                <c:pt idx="0">
                  <c:v>2.375478927203065E-2</c:v>
                </c:pt>
                <c:pt idx="1">
                  <c:v>4.9072411729503291E-3</c:v>
                </c:pt>
                <c:pt idx="2">
                  <c:v>3.8860103626943004E-3</c:v>
                </c:pt>
                <c:pt idx="3">
                  <c:v>2.719096423342397E-3</c:v>
                </c:pt>
                <c:pt idx="4">
                  <c:v>1.6522718738265114E-2</c:v>
                </c:pt>
                <c:pt idx="5">
                  <c:v>1.0094637223974764E-2</c:v>
                </c:pt>
                <c:pt idx="6">
                  <c:v>1.7665130568356373E-2</c:v>
                </c:pt>
                <c:pt idx="7">
                  <c:v>0.10600706713780919</c:v>
                </c:pt>
                <c:pt idx="8">
                  <c:v>0.64835164835164838</c:v>
                </c:pt>
              </c:numCache>
            </c:numRef>
          </c:yVal>
          <c:smooth val="0"/>
          <c:extLst>
            <c:ext xmlns:c16="http://schemas.microsoft.com/office/drawing/2014/chart" uri="{C3380CC4-5D6E-409C-BE32-E72D297353CC}">
              <c16:uniqueId val="{00000003-32B7-4D41-AE7E-E3460E955554}"/>
            </c:ext>
          </c:extLst>
        </c:ser>
        <c:dLbls>
          <c:showLegendKey val="0"/>
          <c:showVal val="0"/>
          <c:showCatName val="0"/>
          <c:showSerName val="0"/>
          <c:showPercent val="0"/>
          <c:showBubbleSize val="0"/>
        </c:dLbls>
        <c:axId val="1015649432"/>
        <c:axId val="1015651728"/>
        <c:extLst>
          <c:ext xmlns:c15="http://schemas.microsoft.com/office/drawing/2012/chart" uri="{02D57815-91ED-43cb-92C2-25804820EDAC}">
            <c15:filteredScatterSeries>
              <c15:ser>
                <c:idx val="2"/>
                <c:order val="2"/>
                <c:tx>
                  <c:strRef>
                    <c:extLst>
                      <c:ext uri="{02D57815-91ED-43cb-92C2-25804820EDAC}">
                        <c15:formulaRef>
                          <c15:sqref>Sheet1!$A$70</c15:sqref>
                        </c15:formulaRef>
                      </c:ext>
                    </c:extLst>
                    <c:strCache>
                      <c:ptCount val="1"/>
                      <c:pt idx="0">
                        <c:v>PD</c:v>
                      </c:pt>
                    </c:strCache>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extLst>
                      <c:ext uri="{02D57815-91ED-43cb-92C2-25804820EDAC}">
                        <c15:formulaRef>
                          <c15:sqref>Sheet1!$A$74:$A$82</c15:sqref>
                        </c15:formulaRef>
                      </c:ext>
                    </c:extLst>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extLst>
                      <c:ext uri="{02D57815-91ED-43cb-92C2-25804820EDAC}">
                        <c15:formulaRef>
                          <c15:sqref>Sheet1!$B$74:$B$82</c15:sqref>
                        </c15:formulaRef>
                      </c:ext>
                    </c:extLst>
                    <c:numCache>
                      <c:formatCode>0.00%</c:formatCode>
                      <c:ptCount val="9"/>
                      <c:pt idx="0">
                        <c:v>7.8262379212492624E-3</c:v>
                      </c:pt>
                      <c:pt idx="1">
                        <c:v>1.7839964570894783E-2</c:v>
                      </c:pt>
                      <c:pt idx="2">
                        <c:v>3.0003124511837391E-2</c:v>
                      </c:pt>
                      <c:pt idx="3">
                        <c:v>4.4010170038902729E-2</c:v>
                      </c:pt>
                      <c:pt idx="4">
                        <c:v>5.6643368624744186E-2</c:v>
                      </c:pt>
                      <c:pt idx="5">
                        <c:v>6.8392334055426232E-2</c:v>
                      </c:pt>
                      <c:pt idx="6">
                        <c:v>0.10032149318145848</c:v>
                      </c:pt>
                      <c:pt idx="7">
                        <c:v>0.16871996797837691</c:v>
                      </c:pt>
                      <c:pt idx="8">
                        <c:v>0.31852906975684087</c:v>
                      </c:pt>
                    </c:numCache>
                  </c:numRef>
                </c:yVal>
                <c:smooth val="0"/>
                <c:extLst>
                  <c:ext xmlns:c16="http://schemas.microsoft.com/office/drawing/2014/chart" uri="{C3380CC4-5D6E-409C-BE32-E72D297353CC}">
                    <c16:uniqueId val="{00000004-32B7-4D41-AE7E-E3460E955554}"/>
                  </c:ext>
                </c:extLst>
              </c15:ser>
            </c15:filteredScatterSeries>
          </c:ext>
        </c:extLst>
      </c:scatterChart>
      <c:valAx>
        <c:axId val="1015649432"/>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3"/>
        <c:delete val="1"/>
      </c:legendEntry>
      <c:layout>
        <c:manualLayout>
          <c:xMode val="edge"/>
          <c:yMode val="edge"/>
          <c:x val="0.21182475166942863"/>
          <c:y val="6.6872411310244559E-2"/>
          <c:w val="0.49519583713306076"/>
          <c:h val="0.21839060767212978"/>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63581591992291"/>
          <c:y val="2.7042169253945019E-2"/>
          <c:w val="0.70067801613001246"/>
          <c:h val="0.80339747219521573"/>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0.15671641791044777</c:v>
                </c:pt>
                <c:pt idx="1">
                  <c:v>1.8165304268846504E-2</c:v>
                </c:pt>
                <c:pt idx="2">
                  <c:v>1.2179603708416652E-2</c:v>
                </c:pt>
                <c:pt idx="3">
                  <c:v>5.2863436123348016E-3</c:v>
                </c:pt>
                <c:pt idx="4">
                  <c:v>2.0223523150612027E-2</c:v>
                </c:pt>
                <c:pt idx="5">
                  <c:v>7.992007992007992E-3</c:v>
                </c:pt>
                <c:pt idx="6">
                  <c:v>3.9660056657223795E-2</c:v>
                </c:pt>
                <c:pt idx="7">
                  <c:v>0.11724137931034483</c:v>
                </c:pt>
                <c:pt idx="8">
                  <c:v>0.23809523809523808</c:v>
                </c:pt>
                <c:pt idx="9">
                  <c:v>0.17142857142857143</c:v>
                </c:pt>
              </c:numCache>
            </c:numRef>
          </c:yVal>
          <c:smooth val="0"/>
          <c:extLst>
            <c:ext xmlns:c16="http://schemas.microsoft.com/office/drawing/2014/chart" uri="{C3380CC4-5D6E-409C-BE32-E72D297353CC}">
              <c16:uniqueId val="{00000000-16F6-4C30-BFEE-3650FEFC7F30}"/>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Sheet1!$A$56:$A$65</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Sheet1!$B$56:$B$65</c:f>
              <c:numCache>
                <c:formatCode>0.00%</c:formatCode>
                <c:ptCount val="10"/>
                <c:pt idx="0">
                  <c:v>2.9327886376297987E-2</c:v>
                </c:pt>
                <c:pt idx="1">
                  <c:v>3.1134088910737007E-2</c:v>
                </c:pt>
                <c:pt idx="2">
                  <c:v>3.2330483021528807E-2</c:v>
                </c:pt>
                <c:pt idx="3">
                  <c:v>3.3241511654011291E-2</c:v>
                </c:pt>
                <c:pt idx="4">
                  <c:v>3.3855570009367668E-2</c:v>
                </c:pt>
                <c:pt idx="5">
                  <c:v>3.4321605041843117E-2</c:v>
                </c:pt>
                <c:pt idx="6">
                  <c:v>3.5288740759705832E-2</c:v>
                </c:pt>
                <c:pt idx="7">
                  <c:v>3.664478627442172E-2</c:v>
                </c:pt>
                <c:pt idx="8">
                  <c:v>3.8373386700281183E-2</c:v>
                </c:pt>
                <c:pt idx="9">
                  <c:v>3.9997805234514731E-2</c:v>
                </c:pt>
              </c:numCache>
            </c:numRef>
          </c:yVal>
          <c:smooth val="0"/>
          <c:extLst>
            <c:ext xmlns:c16="http://schemas.microsoft.com/office/drawing/2014/chart" uri="{C3380CC4-5D6E-409C-BE32-E72D297353CC}">
              <c16:uniqueId val="{00000001-16F6-4C30-BFEE-3650FEFC7F30}"/>
            </c:ext>
          </c:extLst>
        </c:ser>
        <c:ser>
          <c:idx val="2"/>
          <c:order val="2"/>
          <c:tx>
            <c:strRef>
              <c:f>Sheet1!$A$70</c:f>
              <c:strCache>
                <c:ptCount val="1"/>
                <c:pt idx="0">
                  <c:v>PD</c:v>
                </c:pt>
              </c:strCache>
              <c:extLst xmlns:c15="http://schemas.microsoft.com/office/drawing/2012/chart"/>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f>Sheet1!$A$74:$A$83</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Sheet1!$B$74:$B$83</c:f>
              <c:numCache>
                <c:formatCode>0.00%</c:formatCode>
                <c:ptCount val="10"/>
                <c:pt idx="0">
                  <c:v>2.236067977499789E-3</c:v>
                </c:pt>
                <c:pt idx="1">
                  <c:v>5.0971327345413668E-3</c:v>
                </c:pt>
                <c:pt idx="2">
                  <c:v>8.5723212890963987E-3</c:v>
                </c:pt>
                <c:pt idx="3">
                  <c:v>1.2574334296829351E-2</c:v>
                </c:pt>
                <c:pt idx="4">
                  <c:v>1.6183819607069768E-2</c:v>
                </c:pt>
                <c:pt idx="5">
                  <c:v>1.9540666872978923E-2</c:v>
                </c:pt>
                <c:pt idx="6">
                  <c:v>2.8663283766130997E-2</c:v>
                </c:pt>
                <c:pt idx="7">
                  <c:v>4.8205705136679114E-2</c:v>
                </c:pt>
                <c:pt idx="8">
                  <c:v>9.1008305644811674E-2</c:v>
                </c:pt>
                <c:pt idx="9">
                  <c:v>0.16118548977353137</c:v>
                </c:pt>
              </c:numCache>
            </c:numRef>
          </c:yVal>
          <c:smooth val="0"/>
          <c:extLst xmlns:c15="http://schemas.microsoft.com/office/drawing/2012/chart">
            <c:ext xmlns:c16="http://schemas.microsoft.com/office/drawing/2014/chart" uri="{C3380CC4-5D6E-409C-BE32-E72D297353CC}">
              <c16:uniqueId val="{00000002-16F6-4C30-BFEE-3650FEFC7F30}"/>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0.15671641791044777</c:v>
                </c:pt>
                <c:pt idx="1">
                  <c:v>1.8165304268846504E-2</c:v>
                </c:pt>
                <c:pt idx="2">
                  <c:v>1.2179603708416652E-2</c:v>
                </c:pt>
                <c:pt idx="3">
                  <c:v>5.2863436123348016E-3</c:v>
                </c:pt>
                <c:pt idx="4">
                  <c:v>2.0223523150612027E-2</c:v>
                </c:pt>
                <c:pt idx="5">
                  <c:v>7.992007992007992E-3</c:v>
                </c:pt>
                <c:pt idx="6">
                  <c:v>3.9660056657223795E-2</c:v>
                </c:pt>
                <c:pt idx="7">
                  <c:v>0.11724137931034483</c:v>
                </c:pt>
                <c:pt idx="8">
                  <c:v>0.23809523809523808</c:v>
                </c:pt>
                <c:pt idx="9">
                  <c:v>0.17142857142857143</c:v>
                </c:pt>
              </c:numCache>
            </c:numRef>
          </c:yVal>
          <c:smooth val="0"/>
          <c:extLst>
            <c:ext xmlns:c16="http://schemas.microsoft.com/office/drawing/2014/chart" uri="{C3380CC4-5D6E-409C-BE32-E72D297353CC}">
              <c16:uniqueId val="{00000003-16F6-4C30-BFEE-3650FEFC7F30}"/>
            </c:ext>
          </c:extLst>
        </c:ser>
        <c:dLbls>
          <c:showLegendKey val="0"/>
          <c:showVal val="0"/>
          <c:showCatName val="0"/>
          <c:showSerName val="0"/>
          <c:showPercent val="0"/>
          <c:showBubbleSize val="0"/>
        </c:dLbls>
        <c:axId val="1015649432"/>
        <c:axId val="1015651728"/>
        <c:extLst/>
      </c:scatterChart>
      <c:valAx>
        <c:axId val="1015649432"/>
        <c:scaling>
          <c:orientation val="minMax"/>
          <c:max val="8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29705648976898841"/>
          <c:y val="9.8925512876018404E-2"/>
          <c:w val="0.51654446171075363"/>
          <c:h val="0.22585112762110263"/>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63581591992291"/>
          <c:y val="2.5113506477012954E-2"/>
          <c:w val="0.70421203413520383"/>
          <c:h val="0.81903608711657294"/>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0.15671641791044777</c:v>
                </c:pt>
                <c:pt idx="1">
                  <c:v>1.8165304268846504E-2</c:v>
                </c:pt>
                <c:pt idx="2">
                  <c:v>1.2179603708416652E-2</c:v>
                </c:pt>
                <c:pt idx="3">
                  <c:v>5.2863436123348016E-3</c:v>
                </c:pt>
                <c:pt idx="4">
                  <c:v>2.0223523150612027E-2</c:v>
                </c:pt>
                <c:pt idx="5">
                  <c:v>7.992007992007992E-3</c:v>
                </c:pt>
                <c:pt idx="6">
                  <c:v>3.9660056657223795E-2</c:v>
                </c:pt>
                <c:pt idx="7">
                  <c:v>0.11724137931034483</c:v>
                </c:pt>
                <c:pt idx="8">
                  <c:v>0.23809523809523808</c:v>
                </c:pt>
                <c:pt idx="9">
                  <c:v>0.17142857142857143</c:v>
                </c:pt>
              </c:numCache>
            </c:numRef>
          </c:yVal>
          <c:smooth val="0"/>
          <c:extLst>
            <c:ext xmlns:c16="http://schemas.microsoft.com/office/drawing/2014/chart" uri="{C3380CC4-5D6E-409C-BE32-E72D297353CC}">
              <c16:uniqueId val="{00000000-6AFF-4C61-A59E-84322E62E1E8}"/>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Sheet1!$A$56:$A$65</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Sheet1!$B$56:$B$65</c:f>
              <c:numCache>
                <c:formatCode>0.00%</c:formatCode>
                <c:ptCount val="10"/>
                <c:pt idx="0">
                  <c:v>2.9327886376297987E-2</c:v>
                </c:pt>
                <c:pt idx="1">
                  <c:v>3.1134088910737007E-2</c:v>
                </c:pt>
                <c:pt idx="2">
                  <c:v>3.2330483021528807E-2</c:v>
                </c:pt>
                <c:pt idx="3">
                  <c:v>3.3241511654011291E-2</c:v>
                </c:pt>
                <c:pt idx="4">
                  <c:v>3.3855570009367668E-2</c:v>
                </c:pt>
                <c:pt idx="5">
                  <c:v>3.4321605041843117E-2</c:v>
                </c:pt>
                <c:pt idx="6">
                  <c:v>3.5288740759705832E-2</c:v>
                </c:pt>
                <c:pt idx="7">
                  <c:v>3.664478627442172E-2</c:v>
                </c:pt>
                <c:pt idx="8">
                  <c:v>3.8373386700281183E-2</c:v>
                </c:pt>
                <c:pt idx="9">
                  <c:v>3.9997805234514731E-2</c:v>
                </c:pt>
              </c:numCache>
            </c:numRef>
          </c:yVal>
          <c:smooth val="0"/>
          <c:extLst>
            <c:ext xmlns:c16="http://schemas.microsoft.com/office/drawing/2014/chart" uri="{C3380CC4-5D6E-409C-BE32-E72D297353CC}">
              <c16:uniqueId val="{00000001-6AFF-4C61-A59E-84322E62E1E8}"/>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0.15671641791044777</c:v>
                </c:pt>
                <c:pt idx="1">
                  <c:v>1.8165304268846504E-2</c:v>
                </c:pt>
                <c:pt idx="2">
                  <c:v>1.2179603708416652E-2</c:v>
                </c:pt>
                <c:pt idx="3">
                  <c:v>5.2863436123348016E-3</c:v>
                </c:pt>
                <c:pt idx="4">
                  <c:v>2.0223523150612027E-2</c:v>
                </c:pt>
                <c:pt idx="5">
                  <c:v>7.992007992007992E-3</c:v>
                </c:pt>
                <c:pt idx="6">
                  <c:v>3.9660056657223795E-2</c:v>
                </c:pt>
                <c:pt idx="7">
                  <c:v>0.11724137931034483</c:v>
                </c:pt>
                <c:pt idx="8">
                  <c:v>0.23809523809523808</c:v>
                </c:pt>
                <c:pt idx="9">
                  <c:v>0.17142857142857143</c:v>
                </c:pt>
              </c:numCache>
            </c:numRef>
          </c:yVal>
          <c:smooth val="0"/>
          <c:extLst>
            <c:ext xmlns:c16="http://schemas.microsoft.com/office/drawing/2014/chart" uri="{C3380CC4-5D6E-409C-BE32-E72D297353CC}">
              <c16:uniqueId val="{00000002-6AFF-4C61-A59E-84322E62E1E8}"/>
            </c:ext>
          </c:extLst>
        </c:ser>
        <c:ser>
          <c:idx val="4"/>
          <c:order val="4"/>
          <c:tx>
            <c:v>UK-Improved</c:v>
          </c:tx>
          <c:spPr>
            <a:ln w="25400" cap="rnd">
              <a:noFill/>
              <a:round/>
            </a:ln>
            <a:effectLst/>
          </c:spPr>
          <c:marker>
            <c:symbol val="circle"/>
            <c:size val="5"/>
            <c:spPr>
              <a:noFill/>
              <a:ln w="9525">
                <a:noFill/>
              </a:ln>
              <a:effectLst/>
            </c:spPr>
          </c:marker>
          <c:trendline>
            <c:spPr>
              <a:ln w="19050" cap="rnd">
                <a:solidFill>
                  <a:srgbClr val="FF0000"/>
                </a:solidFill>
                <a:prstDash val="lgDashDotDot"/>
              </a:ln>
              <a:effectLst/>
            </c:spPr>
            <c:trendlineType val="poly"/>
            <c:order val="3"/>
            <c:dispRSqr val="0"/>
            <c:dispEq val="0"/>
          </c:trendline>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0.15671641791044777</c:v>
                </c:pt>
                <c:pt idx="1">
                  <c:v>1.8165304268846504E-2</c:v>
                </c:pt>
                <c:pt idx="2">
                  <c:v>1.2179603708416652E-2</c:v>
                </c:pt>
                <c:pt idx="3">
                  <c:v>5.2863436123348016E-3</c:v>
                </c:pt>
                <c:pt idx="4">
                  <c:v>2.0223523150612027E-2</c:v>
                </c:pt>
                <c:pt idx="5">
                  <c:v>7.992007992007992E-3</c:v>
                </c:pt>
                <c:pt idx="6">
                  <c:v>3.9660056657223795E-2</c:v>
                </c:pt>
                <c:pt idx="7">
                  <c:v>0.11724137931034483</c:v>
                </c:pt>
                <c:pt idx="8">
                  <c:v>0.23809523809523808</c:v>
                </c:pt>
                <c:pt idx="9">
                  <c:v>0.17142857142857143</c:v>
                </c:pt>
              </c:numCache>
            </c:numRef>
          </c:yVal>
          <c:smooth val="0"/>
          <c:extLst>
            <c:ext xmlns:c16="http://schemas.microsoft.com/office/drawing/2014/chart" uri="{C3380CC4-5D6E-409C-BE32-E72D297353CC}">
              <c16:uniqueId val="{00000003-6AFF-4C61-A59E-84322E62E1E8}"/>
            </c:ext>
          </c:extLst>
        </c:ser>
        <c:dLbls>
          <c:showLegendKey val="0"/>
          <c:showVal val="0"/>
          <c:showCatName val="0"/>
          <c:showSerName val="0"/>
          <c:showPercent val="0"/>
          <c:showBubbleSize val="0"/>
        </c:dLbls>
        <c:axId val="1015649432"/>
        <c:axId val="1015651728"/>
        <c:extLst>
          <c:ext xmlns:c15="http://schemas.microsoft.com/office/drawing/2012/chart" uri="{02D57815-91ED-43cb-92C2-25804820EDAC}">
            <c15:filteredScatterSeries>
              <c15:ser>
                <c:idx val="2"/>
                <c:order val="2"/>
                <c:tx>
                  <c:strRef>
                    <c:extLst>
                      <c:ext uri="{02D57815-91ED-43cb-92C2-25804820EDAC}">
                        <c15:formulaRef>
                          <c15:sqref>Sheet1!$A$70</c15:sqref>
                        </c15:formulaRef>
                      </c:ext>
                    </c:extLst>
                    <c:strCache>
                      <c:ptCount val="1"/>
                      <c:pt idx="0">
                        <c:v>PD</c:v>
                      </c:pt>
                    </c:strCache>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extLst>
                      <c:ext uri="{02D57815-91ED-43cb-92C2-25804820EDAC}">
                        <c15:formulaRef>
                          <c15:sqref>Sheet1!$A$74:$A$83</c15:sqref>
                        </c15:formulaRef>
                      </c:ext>
                    </c:extLst>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extLst>
                      <c:ext uri="{02D57815-91ED-43cb-92C2-25804820EDAC}">
                        <c15:formulaRef>
                          <c15:sqref>Sheet1!$B$74:$B$83</c15:sqref>
                        </c15:formulaRef>
                      </c:ext>
                    </c:extLst>
                    <c:numCache>
                      <c:formatCode>0.00%</c:formatCode>
                      <c:ptCount val="10"/>
                      <c:pt idx="0">
                        <c:v>2.236067977499789E-3</c:v>
                      </c:pt>
                      <c:pt idx="1">
                        <c:v>5.0971327345413668E-3</c:v>
                      </c:pt>
                      <c:pt idx="2">
                        <c:v>8.5723212890963987E-3</c:v>
                      </c:pt>
                      <c:pt idx="3">
                        <c:v>1.2574334296829351E-2</c:v>
                      </c:pt>
                      <c:pt idx="4">
                        <c:v>1.6183819607069768E-2</c:v>
                      </c:pt>
                      <c:pt idx="5">
                        <c:v>1.9540666872978923E-2</c:v>
                      </c:pt>
                      <c:pt idx="6">
                        <c:v>2.8663283766130997E-2</c:v>
                      </c:pt>
                      <c:pt idx="7">
                        <c:v>4.8205705136679114E-2</c:v>
                      </c:pt>
                      <c:pt idx="8">
                        <c:v>9.1008305644811674E-2</c:v>
                      </c:pt>
                      <c:pt idx="9">
                        <c:v>0.16118548977353137</c:v>
                      </c:pt>
                    </c:numCache>
                  </c:numRef>
                </c:yVal>
                <c:smooth val="0"/>
                <c:extLst>
                  <c:ext xmlns:c16="http://schemas.microsoft.com/office/drawing/2014/chart" uri="{C3380CC4-5D6E-409C-BE32-E72D297353CC}">
                    <c16:uniqueId val="{00000004-6AFF-4C61-A59E-84322E62E1E8}"/>
                  </c:ext>
                </c:extLst>
              </c15:ser>
            </c15:filteredScatterSeries>
          </c:ext>
        </c:extLst>
      </c:scatterChart>
      <c:valAx>
        <c:axId val="1015649432"/>
        <c:scaling>
          <c:orientation val="minMax"/>
          <c:max val="8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3"/>
        <c:delete val="1"/>
      </c:legendEntry>
      <c:layout>
        <c:manualLayout>
          <c:xMode val="edge"/>
          <c:yMode val="edge"/>
          <c:x val="0.24250857286720087"/>
          <c:y val="3.4762818717051724E-2"/>
          <c:w val="0.51022684457717316"/>
          <c:h val="0.21089211834407207"/>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66370920834453"/>
          <c:y val="5.1371852784523574E-2"/>
          <c:w val="0.79686567293752009"/>
          <c:h val="0.76575979595408983"/>
        </c:manualLayout>
      </c:layout>
      <c:lineChart>
        <c:grouping val="standard"/>
        <c:varyColors val="0"/>
        <c:ser>
          <c:idx val="0"/>
          <c:order val="0"/>
          <c:tx>
            <c:strRef>
              <c:f>'Table A.6'!$B$2:$B$3</c:f>
              <c:strCache>
                <c:ptCount val="2"/>
                <c:pt idx="0">
                  <c:v>S</c:v>
                </c:pt>
                <c:pt idx="1">
                  <c:v>PD</c:v>
                </c:pt>
              </c:strCache>
            </c:strRef>
          </c:tx>
          <c:spPr>
            <a:ln w="19050" cap="rnd">
              <a:solidFill>
                <a:schemeClr val="accent2"/>
              </a:solidFill>
              <a:round/>
            </a:ln>
            <a:effectLst/>
          </c:spPr>
          <c:marker>
            <c:symbol val="triangle"/>
            <c:size val="5"/>
            <c:spPr>
              <a:solidFill>
                <a:schemeClr val="accent2"/>
              </a:solidFill>
              <a:ln w="15875">
                <a:solidFill>
                  <a:schemeClr val="accent2"/>
                </a:solidFill>
              </a:ln>
              <a:effectLst/>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A.6'!$B$4:$B$12</c:f>
              <c:numCache>
                <c:formatCode>0.0%</c:formatCode>
                <c:ptCount val="9"/>
                <c:pt idx="0">
                  <c:v>0.11111111111111116</c:v>
                </c:pt>
                <c:pt idx="1">
                  <c:v>0.11111111111111116</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4086-4A4A-968E-2CEC20935044}"/>
            </c:ext>
          </c:extLst>
        </c:ser>
        <c:ser>
          <c:idx val="1"/>
          <c:order val="1"/>
          <c:tx>
            <c:strRef>
              <c:f>'Table A.6'!$C$2:$C$3</c:f>
              <c:strCache>
                <c:ptCount val="2"/>
                <c:pt idx="0">
                  <c:v>S</c:v>
                </c:pt>
                <c:pt idx="1">
                  <c:v>UK fire</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A.6'!$C$4:$C$12</c:f>
              <c:numCache>
                <c:formatCode>0.00%</c:formatCode>
                <c:ptCount val="9"/>
                <c:pt idx="0">
                  <c:v>6.6666666666666652E-2</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1-4086-4A4A-968E-2CEC20935044}"/>
            </c:ext>
          </c:extLst>
        </c:ser>
        <c:ser>
          <c:idx val="2"/>
          <c:order val="2"/>
          <c:tx>
            <c:strRef>
              <c:f>'Table A.6'!$D$2:$D$3</c:f>
              <c:strCache>
                <c:ptCount val="2"/>
                <c:pt idx="0">
                  <c:v>S</c:v>
                </c:pt>
                <c:pt idx="1">
                  <c:v>UK total</c:v>
                </c:pt>
              </c:strCache>
            </c:strRef>
          </c:tx>
          <c:spPr>
            <a:ln w="19050" cap="rnd">
              <a:solidFill>
                <a:schemeClr val="accent3"/>
              </a:solidFill>
              <a:round/>
            </a:ln>
            <a:effectLst/>
          </c:spPr>
          <c:marker>
            <c:symbol val="square"/>
            <c:size val="5"/>
            <c:spPr>
              <a:solidFill>
                <a:schemeClr val="accent3"/>
              </a:solidFill>
              <a:ln w="15875">
                <a:solidFill>
                  <a:schemeClr val="accent3"/>
                </a:solidFill>
              </a:ln>
              <a:effectLst/>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A.6'!$D$4:$D$12</c:f>
              <c:numCache>
                <c:formatCode>0.00%</c:formatCode>
                <c:ptCount val="9"/>
                <c:pt idx="0">
                  <c:v>0.26666666666666672</c:v>
                </c:pt>
                <c:pt idx="1">
                  <c:v>0.13333333333333339</c:v>
                </c:pt>
                <c:pt idx="2">
                  <c:v>0.13333333333333339</c:v>
                </c:pt>
                <c:pt idx="3">
                  <c:v>0.13333333333333339</c:v>
                </c:pt>
                <c:pt idx="4">
                  <c:v>0.13333333333333339</c:v>
                </c:pt>
                <c:pt idx="5">
                  <c:v>0.13333333333333339</c:v>
                </c:pt>
                <c:pt idx="6">
                  <c:v>0</c:v>
                </c:pt>
                <c:pt idx="7">
                  <c:v>0</c:v>
                </c:pt>
                <c:pt idx="8">
                  <c:v>0</c:v>
                </c:pt>
              </c:numCache>
            </c:numRef>
          </c:val>
          <c:smooth val="0"/>
          <c:extLst>
            <c:ext xmlns:c16="http://schemas.microsoft.com/office/drawing/2014/chart" uri="{C3380CC4-5D6E-409C-BE32-E72D297353CC}">
              <c16:uniqueId val="{00000002-4086-4A4A-968E-2CEC20935044}"/>
            </c:ext>
          </c:extLst>
        </c:ser>
        <c:ser>
          <c:idx val="3"/>
          <c:order val="3"/>
          <c:tx>
            <c:strRef>
              <c:f>'Table A.6'!$E$2:$E$3</c:f>
              <c:strCache>
                <c:ptCount val="2"/>
                <c:pt idx="0">
                  <c:v>S</c:v>
                </c:pt>
                <c:pt idx="1">
                  <c:v>USA</c:v>
                </c:pt>
              </c:strCache>
            </c:strRef>
          </c:tx>
          <c:spPr>
            <a:ln w="19050" cap="rnd">
              <a:solidFill>
                <a:schemeClr val="accent6"/>
              </a:solidFill>
              <a:prstDash val="solid"/>
              <a:round/>
            </a:ln>
            <a:effectLst/>
          </c:spPr>
          <c:marker>
            <c:symbol val="diamond"/>
            <c:size val="5"/>
            <c:spPr>
              <a:solidFill>
                <a:schemeClr val="accent6"/>
              </a:solidFill>
              <a:ln w="15875">
                <a:solidFill>
                  <a:schemeClr val="accent6"/>
                </a:solidFill>
                <a:prstDash val="solid"/>
              </a:ln>
              <a:effectLst/>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A.6'!$E$4:$E$12</c:f>
              <c:numCache>
                <c:formatCode>0.00%</c:formatCode>
                <c:ptCount val="9"/>
                <c:pt idx="0">
                  <c:v>0.34782608695652173</c:v>
                </c:pt>
                <c:pt idx="1">
                  <c:v>0.34782608695652173</c:v>
                </c:pt>
                <c:pt idx="2">
                  <c:v>0.34782608695652173</c:v>
                </c:pt>
                <c:pt idx="3">
                  <c:v>0.30434782608695654</c:v>
                </c:pt>
                <c:pt idx="4">
                  <c:v>0.30434782608695654</c:v>
                </c:pt>
                <c:pt idx="5">
                  <c:v>0.26086956521739135</c:v>
                </c:pt>
                <c:pt idx="6">
                  <c:v>8.6956521739130488E-2</c:v>
                </c:pt>
                <c:pt idx="7">
                  <c:v>8.6956521739130488E-2</c:v>
                </c:pt>
                <c:pt idx="8">
                  <c:v>0</c:v>
                </c:pt>
              </c:numCache>
            </c:numRef>
          </c:val>
          <c:smooth val="0"/>
          <c:extLst>
            <c:ext xmlns:c16="http://schemas.microsoft.com/office/drawing/2014/chart" uri="{C3380CC4-5D6E-409C-BE32-E72D297353CC}">
              <c16:uniqueId val="{00000003-4086-4A4A-968E-2CEC20935044}"/>
            </c:ext>
          </c:extLst>
        </c:ser>
        <c:ser>
          <c:idx val="4"/>
          <c:order val="4"/>
          <c:tx>
            <c:strRef>
              <c:f>'Table A.6'!$F$2:$F$3</c:f>
              <c:strCache>
                <c:ptCount val="2"/>
                <c:pt idx="0">
                  <c:v>NS</c:v>
                </c:pt>
                <c:pt idx="1">
                  <c:v>PD</c:v>
                </c:pt>
              </c:strCache>
            </c:strRef>
          </c:tx>
          <c:spPr>
            <a:ln w="19050" cap="rnd">
              <a:solidFill>
                <a:schemeClr val="accent2"/>
              </a:solidFill>
              <a:prstDash val="dash"/>
              <a:round/>
            </a:ln>
            <a:effectLst/>
          </c:spPr>
          <c:marker>
            <c:symbol val="triangle"/>
            <c:size val="5"/>
            <c:spPr>
              <a:solidFill>
                <a:schemeClr val="accent2"/>
              </a:solidFill>
              <a:ln w="15875">
                <a:solidFill>
                  <a:schemeClr val="accent2"/>
                </a:solidFill>
                <a:prstDash val="solid"/>
              </a:ln>
              <a:effectLst/>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A.6'!$F$4:$F$12</c:f>
              <c:numCache>
                <c:formatCode>0.0%</c:formatCode>
                <c:ptCount val="9"/>
                <c:pt idx="0">
                  <c:v>0.3080645161290323</c:v>
                </c:pt>
                <c:pt idx="1">
                  <c:v>0.23064516129032261</c:v>
                </c:pt>
                <c:pt idx="2">
                  <c:v>0.16827956989247317</c:v>
                </c:pt>
                <c:pt idx="3">
                  <c:v>8.5483870967741987E-2</c:v>
                </c:pt>
                <c:pt idx="4">
                  <c:v>4.8387096774193603E-2</c:v>
                </c:pt>
                <c:pt idx="5">
                  <c:v>2.9569892473118333E-2</c:v>
                </c:pt>
                <c:pt idx="6">
                  <c:v>1.1827956989247365E-2</c:v>
                </c:pt>
                <c:pt idx="7">
                  <c:v>4.838709677419408E-3</c:v>
                </c:pt>
                <c:pt idx="8">
                  <c:v>5.2909066017292616E-17</c:v>
                </c:pt>
              </c:numCache>
            </c:numRef>
          </c:val>
          <c:smooth val="0"/>
          <c:extLst>
            <c:ext xmlns:c16="http://schemas.microsoft.com/office/drawing/2014/chart" uri="{C3380CC4-5D6E-409C-BE32-E72D297353CC}">
              <c16:uniqueId val="{00000004-4086-4A4A-968E-2CEC20935044}"/>
            </c:ext>
          </c:extLst>
        </c:ser>
        <c:ser>
          <c:idx val="5"/>
          <c:order val="5"/>
          <c:tx>
            <c:strRef>
              <c:f>'Table A.6'!$G$2:$G$3</c:f>
              <c:strCache>
                <c:ptCount val="2"/>
                <c:pt idx="0">
                  <c:v>NS</c:v>
                </c:pt>
                <c:pt idx="1">
                  <c:v>UK fire</c:v>
                </c:pt>
              </c:strCache>
            </c:strRef>
          </c:tx>
          <c:spPr>
            <a:ln w="19050" cap="rnd">
              <a:solidFill>
                <a:schemeClr val="accent1"/>
              </a:solidFill>
              <a:prstDash val="dash"/>
              <a:round/>
            </a:ln>
            <a:effectLst/>
          </c:spPr>
          <c:marker>
            <c:symbol val="circle"/>
            <c:size val="5"/>
            <c:spPr>
              <a:solidFill>
                <a:schemeClr val="accent1"/>
              </a:solidFill>
              <a:ln w="15875">
                <a:solidFill>
                  <a:schemeClr val="accent1"/>
                </a:solidFill>
                <a:prstDash val="solid"/>
              </a:ln>
              <a:effectLst/>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A.6'!$G$4:$G$12</c:f>
              <c:numCache>
                <c:formatCode>0.00%</c:formatCode>
                <c:ptCount val="9"/>
                <c:pt idx="0">
                  <c:v>0.20566318926974669</c:v>
                </c:pt>
                <c:pt idx="1">
                  <c:v>0.15797317436661704</c:v>
                </c:pt>
                <c:pt idx="2">
                  <c:v>0.11773472429210138</c:v>
                </c:pt>
                <c:pt idx="3">
                  <c:v>7.1535022354694527E-2</c:v>
                </c:pt>
                <c:pt idx="4">
                  <c:v>4.5454545454545497E-2</c:v>
                </c:pt>
                <c:pt idx="5">
                  <c:v>2.384500745156487E-2</c:v>
                </c:pt>
                <c:pt idx="6">
                  <c:v>9.6870342771982528E-3</c:v>
                </c:pt>
                <c:pt idx="7">
                  <c:v>3.7257824143070457E-3</c:v>
                </c:pt>
                <c:pt idx="8">
                  <c:v>4.1199682554449168E-17</c:v>
                </c:pt>
              </c:numCache>
            </c:numRef>
          </c:val>
          <c:smooth val="0"/>
          <c:extLst>
            <c:ext xmlns:c16="http://schemas.microsoft.com/office/drawing/2014/chart" uri="{C3380CC4-5D6E-409C-BE32-E72D297353CC}">
              <c16:uniqueId val="{00000005-4086-4A4A-968E-2CEC20935044}"/>
            </c:ext>
          </c:extLst>
        </c:ser>
        <c:ser>
          <c:idx val="6"/>
          <c:order val="6"/>
          <c:tx>
            <c:strRef>
              <c:f>'Table A.6'!$H$2:$H$3</c:f>
              <c:strCache>
                <c:ptCount val="2"/>
                <c:pt idx="0">
                  <c:v>NS</c:v>
                </c:pt>
                <c:pt idx="1">
                  <c:v>UK total</c:v>
                </c:pt>
              </c:strCache>
            </c:strRef>
          </c:tx>
          <c:spPr>
            <a:ln>
              <a:solidFill>
                <a:schemeClr val="accent3"/>
              </a:solidFill>
              <a:prstDash val="dash"/>
            </a:ln>
          </c:spPr>
          <c:marker>
            <c:spPr>
              <a:solidFill>
                <a:schemeClr val="accent3"/>
              </a:solidFill>
              <a:ln w="15875">
                <a:solidFill>
                  <a:schemeClr val="accent3"/>
                </a:solidFill>
                <a:prstDash val="solid"/>
              </a:ln>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A.6'!$H$4:$H$12</c:f>
              <c:numCache>
                <c:formatCode>0.00%</c:formatCode>
                <c:ptCount val="9"/>
                <c:pt idx="0">
                  <c:v>0.33979135618479883</c:v>
                </c:pt>
                <c:pt idx="1">
                  <c:v>0.28912071535022354</c:v>
                </c:pt>
                <c:pt idx="2">
                  <c:v>0.23472429210134127</c:v>
                </c:pt>
                <c:pt idx="3">
                  <c:v>0.1646795827123696</c:v>
                </c:pt>
                <c:pt idx="4">
                  <c:v>0.10059612518628912</c:v>
                </c:pt>
                <c:pt idx="5">
                  <c:v>6.1102831594634872E-2</c:v>
                </c:pt>
                <c:pt idx="6">
                  <c:v>2.9061102831594632E-2</c:v>
                </c:pt>
                <c:pt idx="7">
                  <c:v>9.6870342771982094E-3</c:v>
                </c:pt>
                <c:pt idx="8">
                  <c:v>0</c:v>
                </c:pt>
              </c:numCache>
            </c:numRef>
          </c:val>
          <c:smooth val="0"/>
          <c:extLst>
            <c:ext xmlns:c16="http://schemas.microsoft.com/office/drawing/2014/chart" uri="{C3380CC4-5D6E-409C-BE32-E72D297353CC}">
              <c16:uniqueId val="{00000006-4086-4A4A-968E-2CEC20935044}"/>
            </c:ext>
          </c:extLst>
        </c:ser>
        <c:ser>
          <c:idx val="7"/>
          <c:order val="7"/>
          <c:tx>
            <c:strRef>
              <c:f>'Table A.6'!$I$2:$I$3</c:f>
              <c:strCache>
                <c:ptCount val="2"/>
                <c:pt idx="0">
                  <c:v>NS</c:v>
                </c:pt>
                <c:pt idx="1">
                  <c:v>USA</c:v>
                </c:pt>
              </c:strCache>
            </c:strRef>
          </c:tx>
          <c:spPr>
            <a:ln>
              <a:solidFill>
                <a:schemeClr val="accent6"/>
              </a:solidFill>
              <a:prstDash val="dash"/>
            </a:ln>
          </c:spPr>
          <c:marker>
            <c:symbol val="diamond"/>
            <c:size val="5"/>
            <c:spPr>
              <a:solidFill>
                <a:schemeClr val="accent6"/>
              </a:solidFill>
              <a:ln w="15875">
                <a:solidFill>
                  <a:schemeClr val="accent6"/>
                </a:solidFill>
                <a:prstDash val="solid"/>
              </a:ln>
            </c:spPr>
          </c:marker>
          <c:cat>
            <c:strRef>
              <c:f>'Table A.6'!$A$4:$A$12</c:f>
              <c:strCache>
                <c:ptCount val="9"/>
                <c:pt idx="0">
                  <c:v>A</c:v>
                </c:pt>
                <c:pt idx="1">
                  <c:v>B</c:v>
                </c:pt>
                <c:pt idx="2">
                  <c:v>C</c:v>
                </c:pt>
                <c:pt idx="3">
                  <c:v>D</c:v>
                </c:pt>
                <c:pt idx="4">
                  <c:v>E</c:v>
                </c:pt>
                <c:pt idx="5">
                  <c:v>F</c:v>
                </c:pt>
                <c:pt idx="6">
                  <c:v>G</c:v>
                </c:pt>
                <c:pt idx="7">
                  <c:v>H</c:v>
                </c:pt>
                <c:pt idx="8">
                  <c:v>I</c:v>
                </c:pt>
              </c:strCache>
            </c:strRef>
          </c:cat>
          <c:val>
            <c:numRef>
              <c:f>'Table A.6'!$I$4:$I$12</c:f>
              <c:numCache>
                <c:formatCode>0.00%</c:formatCode>
                <c:ptCount val="9"/>
                <c:pt idx="0">
                  <c:v>0.52380952380952384</c:v>
                </c:pt>
                <c:pt idx="1">
                  <c:v>0.5</c:v>
                </c:pt>
                <c:pt idx="2">
                  <c:v>0.5</c:v>
                </c:pt>
                <c:pt idx="3">
                  <c:v>0.45238095238095233</c:v>
                </c:pt>
                <c:pt idx="4">
                  <c:v>0.2857142857142857</c:v>
                </c:pt>
                <c:pt idx="5">
                  <c:v>0.19047619047619047</c:v>
                </c:pt>
                <c:pt idx="6">
                  <c:v>4.7619047619047672E-2</c:v>
                </c:pt>
                <c:pt idx="7">
                  <c:v>2.3809523809523836E-2</c:v>
                </c:pt>
                <c:pt idx="8">
                  <c:v>0</c:v>
                </c:pt>
              </c:numCache>
            </c:numRef>
          </c:val>
          <c:smooth val="0"/>
          <c:extLst>
            <c:ext xmlns:c16="http://schemas.microsoft.com/office/drawing/2014/chart" uri="{C3380CC4-5D6E-409C-BE32-E72D297353CC}">
              <c16:uniqueId val="{00000007-4086-4A4A-968E-2CEC20935044}"/>
            </c:ext>
          </c:extLst>
        </c:ser>
        <c:dLbls>
          <c:showLegendKey val="0"/>
          <c:showVal val="0"/>
          <c:showCatName val="0"/>
          <c:showSerName val="0"/>
          <c:showPercent val="0"/>
          <c:showBubbleSize val="0"/>
        </c:dLbls>
        <c:marker val="1"/>
        <c:smooth val="0"/>
        <c:axId val="697559432"/>
        <c:axId val="697552872"/>
      </c:lineChart>
      <c:catAx>
        <c:axId val="697559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Area damage [m</a:t>
                </a:r>
                <a:r>
                  <a:rPr lang="en-GB" baseline="30000"/>
                  <a:t>2</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2872"/>
        <c:crosses val="autoZero"/>
        <c:auto val="1"/>
        <c:lblAlgn val="ctr"/>
        <c:lblOffset val="100"/>
        <c:noMultiLvlLbl val="0"/>
      </c:catAx>
      <c:valAx>
        <c:axId val="6975528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 fires exceeding upper limit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9432"/>
        <c:crosses val="autoZero"/>
        <c:crossBetween val="between"/>
      </c:valAx>
    </c:plotArea>
    <c:legend>
      <c:legendPos val="b"/>
      <c:layout>
        <c:manualLayout>
          <c:xMode val="edge"/>
          <c:yMode val="edge"/>
          <c:x val="0.65124551823524812"/>
          <c:y val="1.0496330678357316E-2"/>
          <c:w val="0.34471034560591723"/>
          <c:h val="0.44773047531983456"/>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5356587868631"/>
          <c:y val="5.1371852784523574E-2"/>
          <c:w val="0.80127581626717825"/>
          <c:h val="0.76575979595408983"/>
        </c:manualLayout>
      </c:layout>
      <c:lineChart>
        <c:grouping val="standard"/>
        <c:varyColors val="0"/>
        <c:ser>
          <c:idx val="0"/>
          <c:order val="0"/>
          <c:tx>
            <c:strRef>
              <c:f>'Table A.6'!$L$2:$L$3</c:f>
              <c:strCache>
                <c:ptCount val="2"/>
                <c:pt idx="0">
                  <c:v>S</c:v>
                </c:pt>
                <c:pt idx="1">
                  <c:v>PD</c:v>
                </c:pt>
              </c:strCache>
            </c:strRef>
          </c:tx>
          <c:spPr>
            <a:ln w="19050" cap="rnd">
              <a:solidFill>
                <a:schemeClr val="accent2"/>
              </a:solidFill>
              <a:round/>
            </a:ln>
            <a:effectLst/>
          </c:spPr>
          <c:marker>
            <c:symbol val="triangle"/>
            <c:size val="5"/>
            <c:spPr>
              <a:solidFill>
                <a:schemeClr val="accent2"/>
              </a:solidFill>
              <a:ln w="15875">
                <a:solidFill>
                  <a:schemeClr val="accent2"/>
                </a:solidFill>
              </a:ln>
              <a:effectLst/>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A.6'!$L$4:$L$12</c:f>
              <c:numCache>
                <c:formatCode>0.0%</c:formatCode>
                <c:ptCount val="9"/>
                <c:pt idx="0">
                  <c:v>0.11811023622047245</c:v>
                </c:pt>
                <c:pt idx="1">
                  <c:v>4.724409448818899E-2</c:v>
                </c:pt>
                <c:pt idx="2">
                  <c:v>3.1496062992125998E-2</c:v>
                </c:pt>
                <c:pt idx="3">
                  <c:v>7.8740157480315098E-3</c:v>
                </c:pt>
                <c:pt idx="4">
                  <c:v>1.3877787807814457E-17</c:v>
                </c:pt>
                <c:pt idx="5">
                  <c:v>1.3877787807814457E-17</c:v>
                </c:pt>
                <c:pt idx="6">
                  <c:v>1.3877787807814457E-17</c:v>
                </c:pt>
                <c:pt idx="7">
                  <c:v>1.3877787807814457E-17</c:v>
                </c:pt>
                <c:pt idx="8">
                  <c:v>1.3877787807814457E-17</c:v>
                </c:pt>
              </c:numCache>
            </c:numRef>
          </c:val>
          <c:smooth val="0"/>
          <c:extLst>
            <c:ext xmlns:c16="http://schemas.microsoft.com/office/drawing/2014/chart" uri="{C3380CC4-5D6E-409C-BE32-E72D297353CC}">
              <c16:uniqueId val="{00000000-3E44-4E98-9811-40524906EA85}"/>
            </c:ext>
          </c:extLst>
        </c:ser>
        <c:ser>
          <c:idx val="1"/>
          <c:order val="1"/>
          <c:tx>
            <c:strRef>
              <c:f>'Table A.6'!$M$2:$M$3</c:f>
              <c:strCache>
                <c:ptCount val="2"/>
                <c:pt idx="0">
                  <c:v>S</c:v>
                </c:pt>
                <c:pt idx="1">
                  <c:v>UK fire</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A.6'!$M$4:$M$12</c:f>
              <c:numCache>
                <c:formatCode>0.00%</c:formatCode>
                <c:ptCount val="9"/>
                <c:pt idx="0">
                  <c:v>3.125E-2</c:v>
                </c:pt>
                <c:pt idx="1">
                  <c:v>1.5625E-2</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1-3E44-4E98-9811-40524906EA85}"/>
            </c:ext>
          </c:extLst>
        </c:ser>
        <c:ser>
          <c:idx val="2"/>
          <c:order val="2"/>
          <c:tx>
            <c:strRef>
              <c:f>'Table A.6'!$N$2:$N$3</c:f>
              <c:strCache>
                <c:ptCount val="2"/>
                <c:pt idx="0">
                  <c:v>S</c:v>
                </c:pt>
                <c:pt idx="1">
                  <c:v>UK total</c:v>
                </c:pt>
              </c:strCache>
            </c:strRef>
          </c:tx>
          <c:spPr>
            <a:ln w="19050" cap="rnd">
              <a:solidFill>
                <a:schemeClr val="accent3"/>
              </a:solidFill>
              <a:round/>
            </a:ln>
            <a:effectLst/>
          </c:spPr>
          <c:marker>
            <c:symbol val="square"/>
            <c:size val="5"/>
            <c:spPr>
              <a:solidFill>
                <a:schemeClr val="accent3"/>
              </a:solidFill>
              <a:ln w="15875">
                <a:solidFill>
                  <a:schemeClr val="accent3"/>
                </a:solidFill>
              </a:ln>
              <a:effectLst/>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A.6'!$N$4:$N$12</c:f>
              <c:numCache>
                <c:formatCode>0.00%</c:formatCode>
                <c:ptCount val="9"/>
                <c:pt idx="0">
                  <c:v>0.234375</c:v>
                </c:pt>
                <c:pt idx="1">
                  <c:v>0.203125</c:v>
                </c:pt>
                <c:pt idx="2">
                  <c:v>0.125</c:v>
                </c:pt>
                <c:pt idx="3">
                  <c:v>7.8125E-2</c:v>
                </c:pt>
                <c:pt idx="4">
                  <c:v>1.5625E-2</c:v>
                </c:pt>
                <c:pt idx="5">
                  <c:v>1.5625E-2</c:v>
                </c:pt>
                <c:pt idx="6">
                  <c:v>1.5625E-2</c:v>
                </c:pt>
                <c:pt idx="7">
                  <c:v>1.5625E-2</c:v>
                </c:pt>
                <c:pt idx="8">
                  <c:v>0</c:v>
                </c:pt>
              </c:numCache>
            </c:numRef>
          </c:val>
          <c:smooth val="0"/>
          <c:extLst>
            <c:ext xmlns:c16="http://schemas.microsoft.com/office/drawing/2014/chart" uri="{C3380CC4-5D6E-409C-BE32-E72D297353CC}">
              <c16:uniqueId val="{00000002-3E44-4E98-9811-40524906EA85}"/>
            </c:ext>
          </c:extLst>
        </c:ser>
        <c:ser>
          <c:idx val="3"/>
          <c:order val="3"/>
          <c:tx>
            <c:strRef>
              <c:f>'Table A.6'!$O$2:$O$3</c:f>
              <c:strCache>
                <c:ptCount val="2"/>
                <c:pt idx="0">
                  <c:v>S</c:v>
                </c:pt>
                <c:pt idx="1">
                  <c:v>USA</c:v>
                </c:pt>
              </c:strCache>
            </c:strRef>
          </c:tx>
          <c:spPr>
            <a:ln w="19050" cap="rnd">
              <a:solidFill>
                <a:schemeClr val="accent6"/>
              </a:solidFill>
              <a:prstDash val="solid"/>
              <a:round/>
            </a:ln>
            <a:effectLst/>
          </c:spPr>
          <c:marker>
            <c:symbol val="diamond"/>
            <c:size val="5"/>
            <c:spPr>
              <a:solidFill>
                <a:schemeClr val="accent6"/>
              </a:solidFill>
              <a:ln w="15875">
                <a:solidFill>
                  <a:schemeClr val="accent6"/>
                </a:solidFill>
                <a:prstDash val="solid"/>
              </a:ln>
              <a:effectLst/>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A.6'!$O$4:$O$12</c:f>
              <c:numCache>
                <c:formatCode>0.00%</c:formatCode>
                <c:ptCount val="9"/>
                <c:pt idx="0">
                  <c:v>0.36792452830188682</c:v>
                </c:pt>
                <c:pt idx="1">
                  <c:v>0.34905660377358494</c:v>
                </c:pt>
                <c:pt idx="2">
                  <c:v>0.339622641509434</c:v>
                </c:pt>
                <c:pt idx="3">
                  <c:v>0.33018867924528306</c:v>
                </c:pt>
                <c:pt idx="4">
                  <c:v>0.30188679245283023</c:v>
                </c:pt>
                <c:pt idx="5">
                  <c:v>0.24528301886792447</c:v>
                </c:pt>
                <c:pt idx="6">
                  <c:v>0.15094339622641506</c:v>
                </c:pt>
                <c:pt idx="7">
                  <c:v>0.12264150943396224</c:v>
                </c:pt>
                <c:pt idx="8">
                  <c:v>0</c:v>
                </c:pt>
              </c:numCache>
            </c:numRef>
          </c:val>
          <c:smooth val="0"/>
          <c:extLst>
            <c:ext xmlns:c16="http://schemas.microsoft.com/office/drawing/2014/chart" uri="{C3380CC4-5D6E-409C-BE32-E72D297353CC}">
              <c16:uniqueId val="{00000003-3E44-4E98-9811-40524906EA85}"/>
            </c:ext>
          </c:extLst>
        </c:ser>
        <c:ser>
          <c:idx val="4"/>
          <c:order val="4"/>
          <c:tx>
            <c:strRef>
              <c:f>'Table A.6'!$P$2:$P$3</c:f>
              <c:strCache>
                <c:ptCount val="2"/>
                <c:pt idx="0">
                  <c:v>NS</c:v>
                </c:pt>
                <c:pt idx="1">
                  <c:v>PD</c:v>
                </c:pt>
              </c:strCache>
            </c:strRef>
          </c:tx>
          <c:spPr>
            <a:ln w="19050" cap="rnd">
              <a:solidFill>
                <a:schemeClr val="accent2"/>
              </a:solidFill>
              <a:prstDash val="dash"/>
              <a:round/>
            </a:ln>
            <a:effectLst/>
          </c:spPr>
          <c:marker>
            <c:symbol val="triangle"/>
            <c:size val="5"/>
            <c:spPr>
              <a:solidFill>
                <a:schemeClr val="accent2"/>
              </a:solidFill>
              <a:ln w="15875">
                <a:solidFill>
                  <a:schemeClr val="accent2"/>
                </a:solidFill>
                <a:prstDash val="solid"/>
              </a:ln>
              <a:effectLst/>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A.6'!$P$4:$P$12</c:f>
              <c:numCache>
                <c:formatCode>0.0%</c:formatCode>
                <c:ptCount val="9"/>
                <c:pt idx="0">
                  <c:v>0.20119020370794227</c:v>
                </c:pt>
                <c:pt idx="1">
                  <c:v>0.13183794918745703</c:v>
                </c:pt>
                <c:pt idx="2">
                  <c:v>8.6289768825818208E-2</c:v>
                </c:pt>
                <c:pt idx="3">
                  <c:v>4.509040970473787E-2</c:v>
                </c:pt>
                <c:pt idx="4">
                  <c:v>2.7924010070954394E-2</c:v>
                </c:pt>
                <c:pt idx="5">
                  <c:v>1.579308766308074E-2</c:v>
                </c:pt>
                <c:pt idx="6">
                  <c:v>6.6376745250628869E-3</c:v>
                </c:pt>
                <c:pt idx="7">
                  <c:v>2.5177386129548529E-3</c:v>
                </c:pt>
                <c:pt idx="8">
                  <c:v>-5.6812193838240432E-17</c:v>
                </c:pt>
              </c:numCache>
            </c:numRef>
          </c:val>
          <c:smooth val="0"/>
          <c:extLst>
            <c:ext xmlns:c16="http://schemas.microsoft.com/office/drawing/2014/chart" uri="{C3380CC4-5D6E-409C-BE32-E72D297353CC}">
              <c16:uniqueId val="{00000004-3E44-4E98-9811-40524906EA85}"/>
            </c:ext>
          </c:extLst>
        </c:ser>
        <c:ser>
          <c:idx val="5"/>
          <c:order val="5"/>
          <c:tx>
            <c:strRef>
              <c:f>'Table A.6'!$Q$2:$Q$3</c:f>
              <c:strCache>
                <c:ptCount val="2"/>
                <c:pt idx="0">
                  <c:v>NS</c:v>
                </c:pt>
                <c:pt idx="1">
                  <c:v>UK fire</c:v>
                </c:pt>
              </c:strCache>
            </c:strRef>
          </c:tx>
          <c:spPr>
            <a:ln w="19050" cap="rnd">
              <a:solidFill>
                <a:schemeClr val="accent1"/>
              </a:solidFill>
              <a:prstDash val="dash"/>
              <a:round/>
            </a:ln>
            <a:effectLst/>
          </c:spPr>
          <c:marker>
            <c:symbol val="circle"/>
            <c:size val="5"/>
            <c:spPr>
              <a:solidFill>
                <a:schemeClr val="accent1"/>
              </a:solidFill>
              <a:ln w="15875">
                <a:solidFill>
                  <a:schemeClr val="accent1"/>
                </a:solidFill>
                <a:prstDash val="solid"/>
              </a:ln>
              <a:effectLst/>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A.6'!$Q$4:$Q$12</c:f>
              <c:numCache>
                <c:formatCode>0.00%</c:formatCode>
                <c:ptCount val="9"/>
                <c:pt idx="0">
                  <c:v>0.1265158964274008</c:v>
                </c:pt>
                <c:pt idx="1">
                  <c:v>6.8502130449033055E-2</c:v>
                </c:pt>
                <c:pt idx="2">
                  <c:v>4.1297935103244789E-2</c:v>
                </c:pt>
                <c:pt idx="3">
                  <c:v>2.5237627007538461E-2</c:v>
                </c:pt>
                <c:pt idx="4">
                  <c:v>1.5077023926581399E-2</c:v>
                </c:pt>
                <c:pt idx="5">
                  <c:v>6.8829891838740886E-3</c:v>
                </c:pt>
                <c:pt idx="6">
                  <c:v>3.9331366764994574E-3</c:v>
                </c:pt>
                <c:pt idx="7">
                  <c:v>2.6220911176662882E-3</c:v>
                </c:pt>
                <c:pt idx="8">
                  <c:v>-5.0740661672321608E-17</c:v>
                </c:pt>
              </c:numCache>
            </c:numRef>
          </c:val>
          <c:smooth val="0"/>
          <c:extLst>
            <c:ext xmlns:c16="http://schemas.microsoft.com/office/drawing/2014/chart" uri="{C3380CC4-5D6E-409C-BE32-E72D297353CC}">
              <c16:uniqueId val="{00000005-3E44-4E98-9811-40524906EA85}"/>
            </c:ext>
          </c:extLst>
        </c:ser>
        <c:ser>
          <c:idx val="6"/>
          <c:order val="6"/>
          <c:tx>
            <c:strRef>
              <c:f>'Table A.6'!$R$2:$R$3</c:f>
              <c:strCache>
                <c:ptCount val="2"/>
                <c:pt idx="0">
                  <c:v>NS</c:v>
                </c:pt>
                <c:pt idx="1">
                  <c:v>UK total</c:v>
                </c:pt>
              </c:strCache>
            </c:strRef>
          </c:tx>
          <c:spPr>
            <a:ln>
              <a:solidFill>
                <a:schemeClr val="accent3"/>
              </a:solidFill>
              <a:prstDash val="dash"/>
            </a:ln>
          </c:spPr>
          <c:marker>
            <c:symbol val="plus"/>
            <c:size val="5"/>
            <c:spPr>
              <a:solidFill>
                <a:schemeClr val="accent3"/>
              </a:solidFill>
              <a:ln w="15875">
                <a:solidFill>
                  <a:schemeClr val="accent3"/>
                </a:solidFill>
                <a:prstDash val="solid"/>
              </a:ln>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A.6'!$R$4:$R$12</c:f>
              <c:numCache>
                <c:formatCode>0.00%</c:formatCode>
                <c:ptCount val="9"/>
                <c:pt idx="0">
                  <c:v>0.27859718125204846</c:v>
                </c:pt>
                <c:pt idx="1">
                  <c:v>0.19108489019993441</c:v>
                </c:pt>
                <c:pt idx="2">
                  <c:v>0.12749918059652571</c:v>
                </c:pt>
                <c:pt idx="3">
                  <c:v>8.456243854473941E-2</c:v>
                </c:pt>
                <c:pt idx="4">
                  <c:v>4.7853162897410664E-2</c:v>
                </c:pt>
                <c:pt idx="5">
                  <c:v>2.5237627007538493E-2</c:v>
                </c:pt>
                <c:pt idx="6">
                  <c:v>1.1799410029498506E-2</c:v>
                </c:pt>
                <c:pt idx="7">
                  <c:v>6.2274664044575352E-3</c:v>
                </c:pt>
                <c:pt idx="8">
                  <c:v>-1.9949319973733282E-17</c:v>
                </c:pt>
              </c:numCache>
            </c:numRef>
          </c:val>
          <c:smooth val="0"/>
          <c:extLst>
            <c:ext xmlns:c16="http://schemas.microsoft.com/office/drawing/2014/chart" uri="{C3380CC4-5D6E-409C-BE32-E72D297353CC}">
              <c16:uniqueId val="{00000006-3E44-4E98-9811-40524906EA85}"/>
            </c:ext>
          </c:extLst>
        </c:ser>
        <c:ser>
          <c:idx val="7"/>
          <c:order val="7"/>
          <c:tx>
            <c:strRef>
              <c:f>'Table A.6'!$S$2:$S$3</c:f>
              <c:strCache>
                <c:ptCount val="2"/>
                <c:pt idx="0">
                  <c:v>NS</c:v>
                </c:pt>
                <c:pt idx="1">
                  <c:v>USA</c:v>
                </c:pt>
              </c:strCache>
            </c:strRef>
          </c:tx>
          <c:spPr>
            <a:ln>
              <a:solidFill>
                <a:schemeClr val="accent6"/>
              </a:solidFill>
              <a:prstDash val="dash"/>
            </a:ln>
          </c:spPr>
          <c:marker>
            <c:symbol val="diamond"/>
            <c:size val="5"/>
            <c:spPr>
              <a:solidFill>
                <a:schemeClr val="accent6"/>
              </a:solidFill>
              <a:ln w="15875">
                <a:solidFill>
                  <a:schemeClr val="accent6"/>
                </a:solidFill>
                <a:prstDash val="solid"/>
              </a:ln>
            </c:spPr>
          </c:marker>
          <c:cat>
            <c:strRef>
              <c:f>'Table A.6'!$K$4:$K$12</c:f>
              <c:strCache>
                <c:ptCount val="9"/>
                <c:pt idx="0">
                  <c:v>A</c:v>
                </c:pt>
                <c:pt idx="1">
                  <c:v>B</c:v>
                </c:pt>
                <c:pt idx="2">
                  <c:v>C</c:v>
                </c:pt>
                <c:pt idx="3">
                  <c:v>D</c:v>
                </c:pt>
                <c:pt idx="4">
                  <c:v>E</c:v>
                </c:pt>
                <c:pt idx="5">
                  <c:v>F</c:v>
                </c:pt>
                <c:pt idx="6">
                  <c:v>G</c:v>
                </c:pt>
                <c:pt idx="7">
                  <c:v>H</c:v>
                </c:pt>
                <c:pt idx="8">
                  <c:v>I</c:v>
                </c:pt>
              </c:strCache>
            </c:strRef>
          </c:cat>
          <c:val>
            <c:numRef>
              <c:f>'Table A.6'!$S$4:$S$12</c:f>
              <c:numCache>
                <c:formatCode>0.00%</c:formatCode>
                <c:ptCount val="9"/>
                <c:pt idx="0">
                  <c:v>0.47131147540983609</c:v>
                </c:pt>
                <c:pt idx="1">
                  <c:v>0.45491803278688525</c:v>
                </c:pt>
                <c:pt idx="2">
                  <c:v>0.43442622950819676</c:v>
                </c:pt>
                <c:pt idx="3">
                  <c:v>0.35245901639344257</c:v>
                </c:pt>
                <c:pt idx="4">
                  <c:v>0.22950819672131151</c:v>
                </c:pt>
                <c:pt idx="5">
                  <c:v>0.13934426229508201</c:v>
                </c:pt>
                <c:pt idx="6">
                  <c:v>6.1475409836065587E-2</c:v>
                </c:pt>
                <c:pt idx="7">
                  <c:v>1.6393442622950838E-2</c:v>
                </c:pt>
                <c:pt idx="8">
                  <c:v>0</c:v>
                </c:pt>
              </c:numCache>
            </c:numRef>
          </c:val>
          <c:smooth val="0"/>
          <c:extLst>
            <c:ext xmlns:c16="http://schemas.microsoft.com/office/drawing/2014/chart" uri="{C3380CC4-5D6E-409C-BE32-E72D297353CC}">
              <c16:uniqueId val="{00000007-3E44-4E98-9811-40524906EA85}"/>
            </c:ext>
          </c:extLst>
        </c:ser>
        <c:dLbls>
          <c:showLegendKey val="0"/>
          <c:showVal val="0"/>
          <c:showCatName val="0"/>
          <c:showSerName val="0"/>
          <c:showPercent val="0"/>
          <c:showBubbleSize val="0"/>
        </c:dLbls>
        <c:marker val="1"/>
        <c:smooth val="0"/>
        <c:axId val="697559432"/>
        <c:axId val="697552872"/>
      </c:lineChart>
      <c:catAx>
        <c:axId val="697559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Area damage [m</a:t>
                </a:r>
                <a:r>
                  <a:rPr lang="en-GB" baseline="30000"/>
                  <a:t>2</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2872"/>
        <c:crosses val="autoZero"/>
        <c:auto val="1"/>
        <c:lblAlgn val="ctr"/>
        <c:lblOffset val="100"/>
        <c:noMultiLvlLbl val="0"/>
      </c:catAx>
      <c:valAx>
        <c:axId val="6975528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 fires exceeding upper limit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9432"/>
        <c:crosses val="autoZero"/>
        <c:crossBetween val="between"/>
      </c:valAx>
    </c:plotArea>
    <c:legend>
      <c:legendPos val="b"/>
      <c:layout>
        <c:manualLayout>
          <c:xMode val="edge"/>
          <c:yMode val="edge"/>
          <c:x val="0.63360494491661534"/>
          <c:y val="1.6910698863091118E-2"/>
          <c:w val="0.34471044997491657"/>
          <c:h val="0.46697357987403598"/>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07385253800273"/>
          <c:y val="5.1371852784523574E-2"/>
          <c:w val="0.79245552960786181"/>
          <c:h val="0.76575979595408983"/>
        </c:manualLayout>
      </c:layout>
      <c:lineChart>
        <c:grouping val="standard"/>
        <c:varyColors val="0"/>
        <c:ser>
          <c:idx val="0"/>
          <c:order val="0"/>
          <c:tx>
            <c:strRef>
              <c:f>'Table A.7'!$B$14:$B$15</c:f>
              <c:strCache>
                <c:ptCount val="2"/>
                <c:pt idx="0">
                  <c:v>S</c:v>
                </c:pt>
                <c:pt idx="1">
                  <c:v>PD</c:v>
                </c:pt>
              </c:strCache>
            </c:strRef>
          </c:tx>
          <c:spPr>
            <a:ln w="19050" cap="rnd">
              <a:solidFill>
                <a:schemeClr val="accent2"/>
              </a:solidFill>
              <a:round/>
            </a:ln>
            <a:effectLst/>
          </c:spPr>
          <c:marker>
            <c:symbol val="triangle"/>
            <c:size val="5"/>
            <c:spPr>
              <a:solidFill>
                <a:schemeClr val="accent2"/>
              </a:solidFill>
              <a:ln w="15875">
                <a:solidFill>
                  <a:schemeClr val="accent2"/>
                </a:solidFill>
              </a:ln>
              <a:effectLst/>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A.7'!$B$16:$B$24</c:f>
              <c:numCache>
                <c:formatCode>0.00%</c:formatCode>
                <c:ptCount val="9"/>
                <c:pt idx="0">
                  <c:v>0.1434977578475336</c:v>
                </c:pt>
                <c:pt idx="1">
                  <c:v>0.10313901345291476</c:v>
                </c:pt>
                <c:pt idx="2">
                  <c:v>4.4843049327354223E-2</c:v>
                </c:pt>
                <c:pt idx="3">
                  <c:v>1.7937219730941666E-2</c:v>
                </c:pt>
                <c:pt idx="4">
                  <c:v>-3.8163916471489756E-17</c:v>
                </c:pt>
                <c:pt idx="5">
                  <c:v>-3.8163916471489756E-17</c:v>
                </c:pt>
                <c:pt idx="6">
                  <c:v>-3.8163916471489756E-17</c:v>
                </c:pt>
                <c:pt idx="7">
                  <c:v>-3.8163916471489756E-17</c:v>
                </c:pt>
                <c:pt idx="8">
                  <c:v>-3.8163916471489756E-17</c:v>
                </c:pt>
              </c:numCache>
            </c:numRef>
          </c:val>
          <c:smooth val="0"/>
          <c:extLst>
            <c:ext xmlns:c16="http://schemas.microsoft.com/office/drawing/2014/chart" uri="{C3380CC4-5D6E-409C-BE32-E72D297353CC}">
              <c16:uniqueId val="{00000000-0203-4EF8-8BC3-AF8D8C79099E}"/>
            </c:ext>
          </c:extLst>
        </c:ser>
        <c:ser>
          <c:idx val="1"/>
          <c:order val="1"/>
          <c:tx>
            <c:strRef>
              <c:f>'Table A.7'!$C$14:$C$15</c:f>
              <c:strCache>
                <c:ptCount val="2"/>
                <c:pt idx="0">
                  <c:v>S</c:v>
                </c:pt>
                <c:pt idx="1">
                  <c:v>UK fire</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A.7'!$C$16:$C$24</c:f>
              <c:numCache>
                <c:formatCode>0.00%</c:formatCode>
                <c:ptCount val="9"/>
                <c:pt idx="0">
                  <c:v>2.7027027027026973E-2</c:v>
                </c:pt>
                <c:pt idx="1">
                  <c:v>2.7027027027026973E-2</c:v>
                </c:pt>
                <c:pt idx="2">
                  <c:v>-5.5511151231257827E-17</c:v>
                </c:pt>
                <c:pt idx="3">
                  <c:v>-5.5511151231257827E-17</c:v>
                </c:pt>
                <c:pt idx="4">
                  <c:v>-5.5511151231257827E-17</c:v>
                </c:pt>
                <c:pt idx="5">
                  <c:v>-5.5511151231257827E-17</c:v>
                </c:pt>
                <c:pt idx="6">
                  <c:v>-5.5511151231257827E-17</c:v>
                </c:pt>
                <c:pt idx="7">
                  <c:v>-5.5511151231257827E-17</c:v>
                </c:pt>
                <c:pt idx="8">
                  <c:v>-5.5511151231257827E-17</c:v>
                </c:pt>
              </c:numCache>
            </c:numRef>
          </c:val>
          <c:smooth val="0"/>
          <c:extLst>
            <c:ext xmlns:c16="http://schemas.microsoft.com/office/drawing/2014/chart" uri="{C3380CC4-5D6E-409C-BE32-E72D297353CC}">
              <c16:uniqueId val="{00000001-0203-4EF8-8BC3-AF8D8C79099E}"/>
            </c:ext>
          </c:extLst>
        </c:ser>
        <c:ser>
          <c:idx val="2"/>
          <c:order val="2"/>
          <c:tx>
            <c:strRef>
              <c:f>'Table A.7'!$D$14:$D$15</c:f>
              <c:strCache>
                <c:ptCount val="2"/>
                <c:pt idx="0">
                  <c:v>S</c:v>
                </c:pt>
                <c:pt idx="1">
                  <c:v>UK total</c:v>
                </c:pt>
              </c:strCache>
            </c:strRef>
          </c:tx>
          <c:spPr>
            <a:ln w="19050" cap="rnd">
              <a:solidFill>
                <a:schemeClr val="accent3"/>
              </a:solidFill>
              <a:round/>
            </a:ln>
            <a:effectLst/>
          </c:spPr>
          <c:marker>
            <c:symbol val="square"/>
            <c:size val="5"/>
            <c:spPr>
              <a:solidFill>
                <a:schemeClr val="accent3"/>
              </a:solidFill>
              <a:ln w="15875">
                <a:solidFill>
                  <a:schemeClr val="accent3"/>
                </a:solidFill>
              </a:ln>
              <a:effectLst/>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A.7'!$D$16:$D$24</c:f>
              <c:numCache>
                <c:formatCode>0.00%</c:formatCode>
                <c:ptCount val="9"/>
                <c:pt idx="0">
                  <c:v>0.32432432432432434</c:v>
                </c:pt>
                <c:pt idx="1">
                  <c:v>0.29729729729729731</c:v>
                </c:pt>
                <c:pt idx="2">
                  <c:v>0.21621621621621623</c:v>
                </c:pt>
                <c:pt idx="3">
                  <c:v>0.16216216216216217</c:v>
                </c:pt>
                <c:pt idx="4">
                  <c:v>0.10810810810810811</c:v>
                </c:pt>
                <c:pt idx="5">
                  <c:v>8.1081081081081086E-2</c:v>
                </c:pt>
                <c:pt idx="6">
                  <c:v>2.7027027027027029E-2</c:v>
                </c:pt>
                <c:pt idx="7">
                  <c:v>2.7027027027027029E-2</c:v>
                </c:pt>
                <c:pt idx="8">
                  <c:v>0</c:v>
                </c:pt>
              </c:numCache>
            </c:numRef>
          </c:val>
          <c:smooth val="0"/>
          <c:extLst>
            <c:ext xmlns:c16="http://schemas.microsoft.com/office/drawing/2014/chart" uri="{C3380CC4-5D6E-409C-BE32-E72D297353CC}">
              <c16:uniqueId val="{00000002-0203-4EF8-8BC3-AF8D8C79099E}"/>
            </c:ext>
          </c:extLst>
        </c:ser>
        <c:ser>
          <c:idx val="3"/>
          <c:order val="3"/>
          <c:tx>
            <c:strRef>
              <c:f>'Table A.7'!$E$14:$E$15</c:f>
              <c:strCache>
                <c:ptCount val="2"/>
                <c:pt idx="0">
                  <c:v>S</c:v>
                </c:pt>
                <c:pt idx="1">
                  <c:v>USA</c:v>
                </c:pt>
              </c:strCache>
            </c:strRef>
          </c:tx>
          <c:spPr>
            <a:ln w="19050" cap="rnd">
              <a:solidFill>
                <a:schemeClr val="accent6"/>
              </a:solidFill>
              <a:prstDash val="solid"/>
              <a:round/>
            </a:ln>
            <a:effectLst/>
          </c:spPr>
          <c:marker>
            <c:symbol val="diamond"/>
            <c:size val="5"/>
            <c:spPr>
              <a:solidFill>
                <a:schemeClr val="accent6"/>
              </a:solidFill>
              <a:ln w="15875">
                <a:solidFill>
                  <a:schemeClr val="accent6"/>
                </a:solidFill>
                <a:prstDash val="solid"/>
              </a:ln>
              <a:effectLst/>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A.7'!$E$16:$E$24</c:f>
              <c:numCache>
                <c:formatCode>0.00%</c:formatCode>
                <c:ptCount val="9"/>
                <c:pt idx="0">
                  <c:v>0.40322580645161288</c:v>
                </c:pt>
                <c:pt idx="1">
                  <c:v>0.40322580645161288</c:v>
                </c:pt>
                <c:pt idx="2">
                  <c:v>0.40322580645161288</c:v>
                </c:pt>
                <c:pt idx="3">
                  <c:v>0.37096774193548387</c:v>
                </c:pt>
                <c:pt idx="4">
                  <c:v>0.30645161290322576</c:v>
                </c:pt>
                <c:pt idx="5">
                  <c:v>0.25806451612903225</c:v>
                </c:pt>
                <c:pt idx="6">
                  <c:v>0.16129032258064513</c:v>
                </c:pt>
                <c:pt idx="7">
                  <c:v>0.16129032258064513</c:v>
                </c:pt>
                <c:pt idx="8">
                  <c:v>0</c:v>
                </c:pt>
              </c:numCache>
            </c:numRef>
          </c:val>
          <c:smooth val="0"/>
          <c:extLst>
            <c:ext xmlns:c16="http://schemas.microsoft.com/office/drawing/2014/chart" uri="{C3380CC4-5D6E-409C-BE32-E72D297353CC}">
              <c16:uniqueId val="{00000003-0203-4EF8-8BC3-AF8D8C79099E}"/>
            </c:ext>
          </c:extLst>
        </c:ser>
        <c:ser>
          <c:idx val="4"/>
          <c:order val="4"/>
          <c:tx>
            <c:strRef>
              <c:f>'Table A.7'!$F$14:$F$15</c:f>
              <c:strCache>
                <c:ptCount val="2"/>
                <c:pt idx="0">
                  <c:v>NS</c:v>
                </c:pt>
                <c:pt idx="1">
                  <c:v>PD</c:v>
                </c:pt>
              </c:strCache>
            </c:strRef>
          </c:tx>
          <c:spPr>
            <a:ln w="19050" cap="rnd">
              <a:solidFill>
                <a:schemeClr val="accent2"/>
              </a:solidFill>
              <a:prstDash val="dash"/>
              <a:round/>
            </a:ln>
            <a:effectLst/>
          </c:spPr>
          <c:marker>
            <c:symbol val="triangle"/>
            <c:size val="5"/>
            <c:spPr>
              <a:solidFill>
                <a:schemeClr val="accent2"/>
              </a:solidFill>
              <a:ln w="15875">
                <a:solidFill>
                  <a:schemeClr val="accent2"/>
                </a:solidFill>
                <a:prstDash val="solid"/>
              </a:ln>
              <a:effectLst/>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A.7'!$F$16:$F$24</c:f>
              <c:numCache>
                <c:formatCode>0.00%</c:formatCode>
                <c:ptCount val="9"/>
                <c:pt idx="0">
                  <c:v>0.24649689289630805</c:v>
                </c:pt>
                <c:pt idx="1">
                  <c:v>0.17107347386377486</c:v>
                </c:pt>
                <c:pt idx="2">
                  <c:v>0.11465821859388331</c:v>
                </c:pt>
                <c:pt idx="3">
                  <c:v>6.2263921043012101E-2</c:v>
                </c:pt>
                <c:pt idx="4">
                  <c:v>3.5335689045936439E-2</c:v>
                </c:pt>
                <c:pt idx="5">
                  <c:v>1.986109418788843E-2</c:v>
                </c:pt>
                <c:pt idx="6">
                  <c:v>7.6763738272207071E-3</c:v>
                </c:pt>
                <c:pt idx="7">
                  <c:v>4.1428049226270676E-3</c:v>
                </c:pt>
                <c:pt idx="8">
                  <c:v>4.163336342344337E-17</c:v>
                </c:pt>
              </c:numCache>
            </c:numRef>
          </c:val>
          <c:smooth val="0"/>
          <c:extLst>
            <c:ext xmlns:c16="http://schemas.microsoft.com/office/drawing/2014/chart" uri="{C3380CC4-5D6E-409C-BE32-E72D297353CC}">
              <c16:uniqueId val="{00000004-0203-4EF8-8BC3-AF8D8C79099E}"/>
            </c:ext>
          </c:extLst>
        </c:ser>
        <c:ser>
          <c:idx val="5"/>
          <c:order val="5"/>
          <c:tx>
            <c:strRef>
              <c:f>'Table A.7'!$G$14:$G$15</c:f>
              <c:strCache>
                <c:ptCount val="2"/>
                <c:pt idx="0">
                  <c:v>NS</c:v>
                </c:pt>
                <c:pt idx="1">
                  <c:v>UK fire</c:v>
                </c:pt>
              </c:strCache>
            </c:strRef>
          </c:tx>
          <c:spPr>
            <a:ln w="19050" cap="rnd">
              <a:solidFill>
                <a:schemeClr val="accent1"/>
              </a:solidFill>
              <a:prstDash val="dash"/>
              <a:round/>
            </a:ln>
            <a:effectLst/>
          </c:spPr>
          <c:marker>
            <c:symbol val="circle"/>
            <c:size val="5"/>
            <c:spPr>
              <a:solidFill>
                <a:schemeClr val="accent1"/>
              </a:solidFill>
              <a:ln w="15875">
                <a:solidFill>
                  <a:schemeClr val="accent1"/>
                </a:solidFill>
                <a:prstDash val="solid"/>
              </a:ln>
              <a:effectLst/>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A.7'!$G$16:$G$24</c:f>
              <c:numCache>
                <c:formatCode>0.00%</c:formatCode>
                <c:ptCount val="9"/>
                <c:pt idx="0">
                  <c:v>0.16921269095182134</c:v>
                </c:pt>
                <c:pt idx="1">
                  <c:v>0.11398354876615742</c:v>
                </c:pt>
                <c:pt idx="2">
                  <c:v>7.168037602820207E-2</c:v>
                </c:pt>
                <c:pt idx="3">
                  <c:v>3.9952996474735561E-2</c:v>
                </c:pt>
                <c:pt idx="4">
                  <c:v>1.6451233842538146E-2</c:v>
                </c:pt>
                <c:pt idx="5">
                  <c:v>2.3501762632196967E-3</c:v>
                </c:pt>
                <c:pt idx="6">
                  <c:v>2.3501762632196967E-3</c:v>
                </c:pt>
                <c:pt idx="7">
                  <c:v>-4.4669129506402783E-17</c:v>
                </c:pt>
                <c:pt idx="8">
                  <c:v>-4.4669129506402783E-17</c:v>
                </c:pt>
              </c:numCache>
            </c:numRef>
          </c:val>
          <c:smooth val="0"/>
          <c:extLst>
            <c:ext xmlns:c16="http://schemas.microsoft.com/office/drawing/2014/chart" uri="{C3380CC4-5D6E-409C-BE32-E72D297353CC}">
              <c16:uniqueId val="{00000005-0203-4EF8-8BC3-AF8D8C79099E}"/>
            </c:ext>
          </c:extLst>
        </c:ser>
        <c:ser>
          <c:idx val="6"/>
          <c:order val="6"/>
          <c:tx>
            <c:strRef>
              <c:f>'Table A.7'!$H$14:$H$15</c:f>
              <c:strCache>
                <c:ptCount val="2"/>
                <c:pt idx="0">
                  <c:v>NS</c:v>
                </c:pt>
                <c:pt idx="1">
                  <c:v>UK total</c:v>
                </c:pt>
              </c:strCache>
            </c:strRef>
          </c:tx>
          <c:spPr>
            <a:ln>
              <a:solidFill>
                <a:schemeClr val="accent3"/>
              </a:solidFill>
              <a:prstDash val="dash"/>
            </a:ln>
          </c:spPr>
          <c:marker>
            <c:spPr>
              <a:solidFill>
                <a:schemeClr val="accent3"/>
              </a:solidFill>
              <a:ln w="15875">
                <a:solidFill>
                  <a:schemeClr val="accent3"/>
                </a:solidFill>
                <a:prstDash val="solid"/>
              </a:ln>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A.7'!$H$16:$H$24</c:f>
              <c:numCache>
                <c:formatCode>0.00%</c:formatCode>
                <c:ptCount val="9"/>
                <c:pt idx="0">
                  <c:v>0.30199764982373678</c:v>
                </c:pt>
                <c:pt idx="1">
                  <c:v>0.23736780258519391</c:v>
                </c:pt>
                <c:pt idx="2">
                  <c:v>0.18801410105757935</c:v>
                </c:pt>
                <c:pt idx="3">
                  <c:v>0.12455934195064633</c:v>
                </c:pt>
                <c:pt idx="4">
                  <c:v>5.7579318448883698E-2</c:v>
                </c:pt>
                <c:pt idx="5">
                  <c:v>2.2326674500587576E-2</c:v>
                </c:pt>
                <c:pt idx="6">
                  <c:v>9.4007050528789986E-3</c:v>
                </c:pt>
                <c:pt idx="7">
                  <c:v>2.3501762632197739E-3</c:v>
                </c:pt>
                <c:pt idx="8">
                  <c:v>3.2526065174565133E-17</c:v>
                </c:pt>
              </c:numCache>
            </c:numRef>
          </c:val>
          <c:smooth val="0"/>
          <c:extLst>
            <c:ext xmlns:c16="http://schemas.microsoft.com/office/drawing/2014/chart" uri="{C3380CC4-5D6E-409C-BE32-E72D297353CC}">
              <c16:uniqueId val="{00000006-0203-4EF8-8BC3-AF8D8C79099E}"/>
            </c:ext>
          </c:extLst>
        </c:ser>
        <c:ser>
          <c:idx val="7"/>
          <c:order val="7"/>
          <c:tx>
            <c:strRef>
              <c:f>'Table A.7'!$I$14:$I$15</c:f>
              <c:strCache>
                <c:ptCount val="2"/>
                <c:pt idx="0">
                  <c:v>NS</c:v>
                </c:pt>
                <c:pt idx="1">
                  <c:v>USA</c:v>
                </c:pt>
              </c:strCache>
            </c:strRef>
          </c:tx>
          <c:spPr>
            <a:ln>
              <a:solidFill>
                <a:schemeClr val="accent6"/>
              </a:solidFill>
              <a:prstDash val="dash"/>
            </a:ln>
          </c:spPr>
          <c:marker>
            <c:symbol val="diamond"/>
            <c:size val="5"/>
            <c:spPr>
              <a:solidFill>
                <a:schemeClr val="accent6"/>
              </a:solidFill>
              <a:ln w="15875">
                <a:solidFill>
                  <a:schemeClr val="accent6"/>
                </a:solidFill>
                <a:prstDash val="solid"/>
              </a:ln>
            </c:spPr>
          </c:marker>
          <c:cat>
            <c:strRef>
              <c:f>'Table A.7'!$A$16:$A$24</c:f>
              <c:strCache>
                <c:ptCount val="9"/>
                <c:pt idx="0">
                  <c:v>A</c:v>
                </c:pt>
                <c:pt idx="1">
                  <c:v>B</c:v>
                </c:pt>
                <c:pt idx="2">
                  <c:v>C</c:v>
                </c:pt>
                <c:pt idx="3">
                  <c:v>D</c:v>
                </c:pt>
                <c:pt idx="4">
                  <c:v>E</c:v>
                </c:pt>
                <c:pt idx="5">
                  <c:v>F</c:v>
                </c:pt>
                <c:pt idx="6">
                  <c:v>G</c:v>
                </c:pt>
                <c:pt idx="7">
                  <c:v>H</c:v>
                </c:pt>
                <c:pt idx="8">
                  <c:v>I</c:v>
                </c:pt>
              </c:strCache>
            </c:strRef>
          </c:cat>
          <c:val>
            <c:numRef>
              <c:f>'Table A.7'!$I$16:$I$24</c:f>
              <c:numCache>
                <c:formatCode>0.00%</c:formatCode>
                <c:ptCount val="9"/>
                <c:pt idx="0">
                  <c:v>0.5714285714285714</c:v>
                </c:pt>
                <c:pt idx="1">
                  <c:v>0.56043956043956045</c:v>
                </c:pt>
                <c:pt idx="2">
                  <c:v>0.53846153846153844</c:v>
                </c:pt>
                <c:pt idx="3">
                  <c:v>0.40659340659340659</c:v>
                </c:pt>
                <c:pt idx="4">
                  <c:v>0.2857142857142857</c:v>
                </c:pt>
                <c:pt idx="5">
                  <c:v>0.21978021978021978</c:v>
                </c:pt>
                <c:pt idx="6">
                  <c:v>6.5934065934065922E-2</c:v>
                </c:pt>
                <c:pt idx="7">
                  <c:v>4.3956043956043911E-2</c:v>
                </c:pt>
                <c:pt idx="8">
                  <c:v>0</c:v>
                </c:pt>
              </c:numCache>
            </c:numRef>
          </c:val>
          <c:smooth val="0"/>
          <c:extLst>
            <c:ext xmlns:c16="http://schemas.microsoft.com/office/drawing/2014/chart" uri="{C3380CC4-5D6E-409C-BE32-E72D297353CC}">
              <c16:uniqueId val="{00000007-0203-4EF8-8BC3-AF8D8C79099E}"/>
            </c:ext>
          </c:extLst>
        </c:ser>
        <c:dLbls>
          <c:showLegendKey val="0"/>
          <c:showVal val="0"/>
          <c:showCatName val="0"/>
          <c:showSerName val="0"/>
          <c:showPercent val="0"/>
          <c:showBubbleSize val="0"/>
        </c:dLbls>
        <c:marker val="1"/>
        <c:smooth val="0"/>
        <c:axId val="697559432"/>
        <c:axId val="697552872"/>
      </c:lineChart>
      <c:catAx>
        <c:axId val="697559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Area damage [m</a:t>
                </a:r>
                <a:r>
                  <a:rPr lang="en-GB" baseline="30000"/>
                  <a:t>2</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2872"/>
        <c:crosses val="autoZero"/>
        <c:auto val="1"/>
        <c:lblAlgn val="ctr"/>
        <c:lblOffset val="100"/>
        <c:noMultiLvlLbl val="0"/>
      </c:catAx>
      <c:valAx>
        <c:axId val="6975528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 fires exceeding upper limit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9432"/>
        <c:crosses val="autoZero"/>
        <c:crossBetween val="between"/>
      </c:valAx>
    </c:plotArea>
    <c:legend>
      <c:legendPos val="b"/>
      <c:layout>
        <c:manualLayout>
          <c:xMode val="edge"/>
          <c:yMode val="edge"/>
          <c:x val="0.63801508824627351"/>
          <c:y val="4.0819624936235125E-3"/>
          <c:w val="0.34471044997491657"/>
          <c:h val="0.46055921168930219"/>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66370920834453"/>
          <c:y val="5.1371852784523574E-2"/>
          <c:w val="0.79686567293752009"/>
          <c:h val="0.76575979595408983"/>
        </c:manualLayout>
      </c:layout>
      <c:lineChart>
        <c:grouping val="standard"/>
        <c:varyColors val="0"/>
        <c:ser>
          <c:idx val="0"/>
          <c:order val="0"/>
          <c:tx>
            <c:strRef>
              <c:f>'Table A.7'!$U$14:$U$15</c:f>
              <c:strCache>
                <c:ptCount val="2"/>
                <c:pt idx="0">
                  <c:v>S</c:v>
                </c:pt>
                <c:pt idx="1">
                  <c:v>PD</c:v>
                </c:pt>
              </c:strCache>
            </c:strRef>
          </c:tx>
          <c:spPr>
            <a:ln w="19050" cap="rnd">
              <a:solidFill>
                <a:schemeClr val="accent2"/>
              </a:solidFill>
              <a:round/>
            </a:ln>
            <a:effectLst/>
          </c:spPr>
          <c:marker>
            <c:symbol val="triangle"/>
            <c:size val="5"/>
            <c:spPr>
              <a:solidFill>
                <a:schemeClr val="accent2"/>
              </a:solidFill>
              <a:ln w="15875">
                <a:solidFill>
                  <a:schemeClr val="accent2"/>
                </a:solidFill>
              </a:ln>
              <a:effectLst/>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A.7'!$U$16:$U$24</c:f>
              <c:numCache>
                <c:formatCode>0.00%</c:formatCode>
                <c:ptCount val="9"/>
                <c:pt idx="0">
                  <c:v>0.11864406779661019</c:v>
                </c:pt>
                <c:pt idx="1">
                  <c:v>5.6497175141242952E-2</c:v>
                </c:pt>
                <c:pt idx="2">
                  <c:v>2.5423728813559334E-2</c:v>
                </c:pt>
                <c:pt idx="3">
                  <c:v>8.4745762711864528E-3</c:v>
                </c:pt>
                <c:pt idx="4">
                  <c:v>5.6497175141243059E-3</c:v>
                </c:pt>
                <c:pt idx="5">
                  <c:v>5.6497175141243059E-3</c:v>
                </c:pt>
                <c:pt idx="6">
                  <c:v>1.214306433183765E-17</c:v>
                </c:pt>
                <c:pt idx="7">
                  <c:v>1.214306433183765E-17</c:v>
                </c:pt>
                <c:pt idx="8">
                  <c:v>1.214306433183765E-17</c:v>
                </c:pt>
              </c:numCache>
            </c:numRef>
          </c:val>
          <c:smooth val="0"/>
          <c:extLst>
            <c:ext xmlns:c16="http://schemas.microsoft.com/office/drawing/2014/chart" uri="{C3380CC4-5D6E-409C-BE32-E72D297353CC}">
              <c16:uniqueId val="{00000000-356B-4FD4-853E-A8ECFF12E4F7}"/>
            </c:ext>
          </c:extLst>
        </c:ser>
        <c:ser>
          <c:idx val="1"/>
          <c:order val="1"/>
          <c:tx>
            <c:strRef>
              <c:f>'Table A.7'!$V$14:$V$15</c:f>
              <c:strCache>
                <c:ptCount val="2"/>
                <c:pt idx="0">
                  <c:v>S</c:v>
                </c:pt>
                <c:pt idx="1">
                  <c:v>UK fire</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A.7'!$V$16:$V$24</c:f>
              <c:numCache>
                <c:formatCode>0.00%</c:formatCode>
                <c:ptCount val="9"/>
                <c:pt idx="0">
                  <c:v>0.16363636363636369</c:v>
                </c:pt>
                <c:pt idx="1">
                  <c:v>7.2727272727272779E-2</c:v>
                </c:pt>
                <c:pt idx="2">
                  <c:v>3.6363636363636417E-2</c:v>
                </c:pt>
                <c:pt idx="3">
                  <c:v>1.8181818181818236E-2</c:v>
                </c:pt>
                <c:pt idx="4">
                  <c:v>1.8181818181818236E-2</c:v>
                </c:pt>
                <c:pt idx="5">
                  <c:v>5.5511151231257827E-17</c:v>
                </c:pt>
                <c:pt idx="6">
                  <c:v>5.5511151231257827E-17</c:v>
                </c:pt>
                <c:pt idx="7">
                  <c:v>5.5511151231257827E-17</c:v>
                </c:pt>
                <c:pt idx="8">
                  <c:v>5.5511151231257827E-17</c:v>
                </c:pt>
              </c:numCache>
            </c:numRef>
          </c:val>
          <c:smooth val="0"/>
          <c:extLst>
            <c:ext xmlns:c16="http://schemas.microsoft.com/office/drawing/2014/chart" uri="{C3380CC4-5D6E-409C-BE32-E72D297353CC}">
              <c16:uniqueId val="{00000001-356B-4FD4-853E-A8ECFF12E4F7}"/>
            </c:ext>
          </c:extLst>
        </c:ser>
        <c:ser>
          <c:idx val="2"/>
          <c:order val="2"/>
          <c:tx>
            <c:strRef>
              <c:f>'Table A.7'!$W$14:$W$15</c:f>
              <c:strCache>
                <c:ptCount val="2"/>
                <c:pt idx="0">
                  <c:v>S</c:v>
                </c:pt>
                <c:pt idx="1">
                  <c:v>UK total</c:v>
                </c:pt>
              </c:strCache>
            </c:strRef>
          </c:tx>
          <c:spPr>
            <a:ln w="19050" cap="rnd">
              <a:solidFill>
                <a:schemeClr val="accent3"/>
              </a:solidFill>
              <a:round/>
            </a:ln>
            <a:effectLst/>
          </c:spPr>
          <c:marker>
            <c:symbol val="square"/>
            <c:size val="5"/>
            <c:spPr>
              <a:solidFill>
                <a:schemeClr val="accent3"/>
              </a:solidFill>
              <a:ln w="15875">
                <a:solidFill>
                  <a:schemeClr val="accent3"/>
                </a:solidFill>
              </a:ln>
              <a:effectLst/>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A.7'!$W$16:$W$24</c:f>
              <c:numCache>
                <c:formatCode>0.00%</c:formatCode>
                <c:ptCount val="9"/>
                <c:pt idx="0">
                  <c:v>0.38181818181818183</c:v>
                </c:pt>
                <c:pt idx="1">
                  <c:v>0.32727272727272727</c:v>
                </c:pt>
                <c:pt idx="2">
                  <c:v>0.30909090909090908</c:v>
                </c:pt>
                <c:pt idx="3">
                  <c:v>0.27272727272727271</c:v>
                </c:pt>
                <c:pt idx="4">
                  <c:v>0.14545454545454545</c:v>
                </c:pt>
                <c:pt idx="5">
                  <c:v>9.0909090909090912E-2</c:v>
                </c:pt>
                <c:pt idx="6">
                  <c:v>7.2727272727272724E-2</c:v>
                </c:pt>
                <c:pt idx="7">
                  <c:v>3.6363636363636362E-2</c:v>
                </c:pt>
                <c:pt idx="8">
                  <c:v>0</c:v>
                </c:pt>
              </c:numCache>
            </c:numRef>
          </c:val>
          <c:smooth val="0"/>
          <c:extLst>
            <c:ext xmlns:c16="http://schemas.microsoft.com/office/drawing/2014/chart" uri="{C3380CC4-5D6E-409C-BE32-E72D297353CC}">
              <c16:uniqueId val="{00000002-356B-4FD4-853E-A8ECFF12E4F7}"/>
            </c:ext>
          </c:extLst>
        </c:ser>
        <c:ser>
          <c:idx val="3"/>
          <c:order val="3"/>
          <c:tx>
            <c:strRef>
              <c:f>'Table A.7'!$X$14:$X$15</c:f>
              <c:strCache>
                <c:ptCount val="2"/>
                <c:pt idx="0">
                  <c:v>S</c:v>
                </c:pt>
                <c:pt idx="1">
                  <c:v>USA</c:v>
                </c:pt>
              </c:strCache>
            </c:strRef>
          </c:tx>
          <c:spPr>
            <a:ln w="19050" cap="rnd">
              <a:solidFill>
                <a:schemeClr val="accent6"/>
              </a:solidFill>
              <a:prstDash val="solid"/>
              <a:round/>
            </a:ln>
            <a:effectLst/>
          </c:spPr>
          <c:marker>
            <c:symbol val="diamond"/>
            <c:size val="5"/>
            <c:spPr>
              <a:solidFill>
                <a:schemeClr val="accent6"/>
              </a:solidFill>
              <a:ln w="15875">
                <a:solidFill>
                  <a:schemeClr val="accent6"/>
                </a:solidFill>
                <a:prstDash val="solid"/>
              </a:ln>
              <a:effectLst/>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A.7'!$X$16:$X$24</c:f>
              <c:numCache>
                <c:formatCode>0.00%</c:formatCode>
                <c:ptCount val="9"/>
                <c:pt idx="0">
                  <c:v>0.29032258064516125</c:v>
                </c:pt>
                <c:pt idx="1">
                  <c:v>0.29032258064516125</c:v>
                </c:pt>
                <c:pt idx="2">
                  <c:v>0.29032258064516125</c:v>
                </c:pt>
                <c:pt idx="3">
                  <c:v>0.25806451612903225</c:v>
                </c:pt>
                <c:pt idx="4">
                  <c:v>0.23655913978494625</c:v>
                </c:pt>
                <c:pt idx="5">
                  <c:v>0.17204301075268813</c:v>
                </c:pt>
                <c:pt idx="6">
                  <c:v>0.12903225806451613</c:v>
                </c:pt>
                <c:pt idx="7">
                  <c:v>8.6021505376344121E-2</c:v>
                </c:pt>
                <c:pt idx="8">
                  <c:v>0</c:v>
                </c:pt>
              </c:numCache>
            </c:numRef>
          </c:val>
          <c:smooth val="0"/>
          <c:extLst>
            <c:ext xmlns:c16="http://schemas.microsoft.com/office/drawing/2014/chart" uri="{C3380CC4-5D6E-409C-BE32-E72D297353CC}">
              <c16:uniqueId val="{00000003-356B-4FD4-853E-A8ECFF12E4F7}"/>
            </c:ext>
          </c:extLst>
        </c:ser>
        <c:ser>
          <c:idx val="4"/>
          <c:order val="4"/>
          <c:tx>
            <c:strRef>
              <c:f>'Table A.7'!$Y$14:$Y$15</c:f>
              <c:strCache>
                <c:ptCount val="2"/>
                <c:pt idx="0">
                  <c:v>NS</c:v>
                </c:pt>
                <c:pt idx="1">
                  <c:v>PD</c:v>
                </c:pt>
              </c:strCache>
            </c:strRef>
          </c:tx>
          <c:spPr>
            <a:ln w="19050" cap="rnd">
              <a:solidFill>
                <a:schemeClr val="accent2"/>
              </a:solidFill>
              <a:prstDash val="dash"/>
              <a:round/>
            </a:ln>
            <a:effectLst/>
          </c:spPr>
          <c:marker>
            <c:symbol val="triangle"/>
            <c:size val="5"/>
            <c:spPr>
              <a:solidFill>
                <a:schemeClr val="accent2"/>
              </a:solidFill>
              <a:ln w="15875">
                <a:solidFill>
                  <a:schemeClr val="accent2"/>
                </a:solidFill>
                <a:prstDash val="solid"/>
              </a:ln>
              <a:effectLst/>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A.7'!$Y$16:$Y$24</c:f>
              <c:numCache>
                <c:formatCode>0.00%</c:formatCode>
                <c:ptCount val="9"/>
                <c:pt idx="0">
                  <c:v>0.41971228615863143</c:v>
                </c:pt>
                <c:pt idx="1">
                  <c:v>0.2793545878693624</c:v>
                </c:pt>
                <c:pt idx="2">
                  <c:v>0.17379471228615867</c:v>
                </c:pt>
                <c:pt idx="3">
                  <c:v>8.125972006220844E-2</c:v>
                </c:pt>
                <c:pt idx="4">
                  <c:v>4.6850699844479045E-2</c:v>
                </c:pt>
                <c:pt idx="5">
                  <c:v>2.4300155520995376E-2</c:v>
                </c:pt>
                <c:pt idx="6">
                  <c:v>9.9144634525661374E-3</c:v>
                </c:pt>
                <c:pt idx="7">
                  <c:v>5.2488335925350328E-3</c:v>
                </c:pt>
                <c:pt idx="8">
                  <c:v>4.0766001685454967E-17</c:v>
                </c:pt>
              </c:numCache>
            </c:numRef>
          </c:val>
          <c:smooth val="0"/>
          <c:extLst>
            <c:ext xmlns:c16="http://schemas.microsoft.com/office/drawing/2014/chart" uri="{C3380CC4-5D6E-409C-BE32-E72D297353CC}">
              <c16:uniqueId val="{00000004-356B-4FD4-853E-A8ECFF12E4F7}"/>
            </c:ext>
          </c:extLst>
        </c:ser>
        <c:ser>
          <c:idx val="5"/>
          <c:order val="5"/>
          <c:tx>
            <c:strRef>
              <c:f>'Table A.7'!$Z$14:$Z$15</c:f>
              <c:strCache>
                <c:ptCount val="2"/>
                <c:pt idx="0">
                  <c:v>NS</c:v>
                </c:pt>
                <c:pt idx="1">
                  <c:v>UK fire</c:v>
                </c:pt>
              </c:strCache>
            </c:strRef>
          </c:tx>
          <c:spPr>
            <a:ln w="19050" cap="rnd">
              <a:solidFill>
                <a:schemeClr val="accent1"/>
              </a:solidFill>
              <a:prstDash val="dash"/>
              <a:round/>
            </a:ln>
            <a:effectLst/>
          </c:spPr>
          <c:marker>
            <c:symbol val="circle"/>
            <c:size val="5"/>
            <c:spPr>
              <a:solidFill>
                <a:schemeClr val="accent1"/>
              </a:solidFill>
              <a:ln w="15875">
                <a:solidFill>
                  <a:schemeClr val="accent1"/>
                </a:solidFill>
                <a:prstDash val="solid"/>
              </a:ln>
              <a:effectLst/>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A.7'!$Z$16:$Z$24</c:f>
              <c:numCache>
                <c:formatCode>0.00%</c:formatCode>
                <c:ptCount val="9"/>
                <c:pt idx="0">
                  <c:v>0.24461722488038273</c:v>
                </c:pt>
                <c:pt idx="1">
                  <c:v>0.15729665071770332</c:v>
                </c:pt>
                <c:pt idx="2">
                  <c:v>9.6889952153110026E-2</c:v>
                </c:pt>
                <c:pt idx="3">
                  <c:v>5.861244019138754E-2</c:v>
                </c:pt>
                <c:pt idx="4">
                  <c:v>3.11004784688995E-2</c:v>
                </c:pt>
                <c:pt idx="5">
                  <c:v>1.9736842105263136E-2</c:v>
                </c:pt>
                <c:pt idx="6">
                  <c:v>7.7751196172248585E-3</c:v>
                </c:pt>
                <c:pt idx="7">
                  <c:v>4.1866028708133756E-3</c:v>
                </c:pt>
                <c:pt idx="8">
                  <c:v>-2.1684043449710089E-17</c:v>
                </c:pt>
              </c:numCache>
            </c:numRef>
          </c:val>
          <c:smooth val="0"/>
          <c:extLst>
            <c:ext xmlns:c16="http://schemas.microsoft.com/office/drawing/2014/chart" uri="{C3380CC4-5D6E-409C-BE32-E72D297353CC}">
              <c16:uniqueId val="{00000005-356B-4FD4-853E-A8ECFF12E4F7}"/>
            </c:ext>
          </c:extLst>
        </c:ser>
        <c:ser>
          <c:idx val="6"/>
          <c:order val="6"/>
          <c:tx>
            <c:strRef>
              <c:f>'Table A.7'!$AA$14:$AA$15</c:f>
              <c:strCache>
                <c:ptCount val="2"/>
                <c:pt idx="0">
                  <c:v>NS</c:v>
                </c:pt>
                <c:pt idx="1">
                  <c:v>UK total</c:v>
                </c:pt>
              </c:strCache>
            </c:strRef>
          </c:tx>
          <c:spPr>
            <a:ln>
              <a:solidFill>
                <a:schemeClr val="accent3"/>
              </a:solidFill>
              <a:prstDash val="dash"/>
            </a:ln>
          </c:spPr>
          <c:marker>
            <c:spPr>
              <a:solidFill>
                <a:schemeClr val="accent3"/>
              </a:solidFill>
              <a:ln w="15875">
                <a:solidFill>
                  <a:schemeClr val="accent3"/>
                </a:solidFill>
                <a:prstDash val="solid"/>
              </a:ln>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A.7'!$AA$16:$AA$24</c:f>
              <c:numCache>
                <c:formatCode>0.00%</c:formatCode>
                <c:ptCount val="9"/>
                <c:pt idx="0">
                  <c:v>0.41028708133971292</c:v>
                </c:pt>
                <c:pt idx="1">
                  <c:v>0.3133971291866029</c:v>
                </c:pt>
                <c:pt idx="2">
                  <c:v>0.2356459330143541</c:v>
                </c:pt>
                <c:pt idx="3">
                  <c:v>0.14832535885167469</c:v>
                </c:pt>
                <c:pt idx="4">
                  <c:v>8.074162679425842E-2</c:v>
                </c:pt>
                <c:pt idx="5">
                  <c:v>4.8444976076555069E-2</c:v>
                </c:pt>
                <c:pt idx="6">
                  <c:v>1.6148325358851717E-2</c:v>
                </c:pt>
                <c:pt idx="7">
                  <c:v>7.7751196172249227E-3</c:v>
                </c:pt>
                <c:pt idx="8">
                  <c:v>4.2500725161431774E-17</c:v>
                </c:pt>
              </c:numCache>
            </c:numRef>
          </c:val>
          <c:smooth val="0"/>
          <c:extLst>
            <c:ext xmlns:c16="http://schemas.microsoft.com/office/drawing/2014/chart" uri="{C3380CC4-5D6E-409C-BE32-E72D297353CC}">
              <c16:uniqueId val="{00000006-356B-4FD4-853E-A8ECFF12E4F7}"/>
            </c:ext>
          </c:extLst>
        </c:ser>
        <c:ser>
          <c:idx val="7"/>
          <c:order val="7"/>
          <c:tx>
            <c:strRef>
              <c:f>'Table A.7'!$AB$14:$AB$15</c:f>
              <c:strCache>
                <c:ptCount val="2"/>
                <c:pt idx="0">
                  <c:v>NS</c:v>
                </c:pt>
                <c:pt idx="1">
                  <c:v>USA</c:v>
                </c:pt>
              </c:strCache>
            </c:strRef>
          </c:tx>
          <c:spPr>
            <a:ln>
              <a:solidFill>
                <a:schemeClr val="accent6"/>
              </a:solidFill>
              <a:prstDash val="dash"/>
            </a:ln>
          </c:spPr>
          <c:marker>
            <c:symbol val="diamond"/>
            <c:size val="5"/>
            <c:spPr>
              <a:solidFill>
                <a:schemeClr val="accent6"/>
              </a:solidFill>
              <a:ln w="15875">
                <a:solidFill>
                  <a:schemeClr val="accent6"/>
                </a:solidFill>
                <a:prstDash val="solid"/>
              </a:ln>
            </c:spPr>
          </c:marker>
          <c:cat>
            <c:strRef>
              <c:f>'Table A.7'!$T$16:$T$24</c:f>
              <c:strCache>
                <c:ptCount val="9"/>
                <c:pt idx="0">
                  <c:v>A</c:v>
                </c:pt>
                <c:pt idx="1">
                  <c:v>B</c:v>
                </c:pt>
                <c:pt idx="2">
                  <c:v>C</c:v>
                </c:pt>
                <c:pt idx="3">
                  <c:v>D</c:v>
                </c:pt>
                <c:pt idx="4">
                  <c:v>E</c:v>
                </c:pt>
                <c:pt idx="5">
                  <c:v>F</c:v>
                </c:pt>
                <c:pt idx="6">
                  <c:v>G</c:v>
                </c:pt>
                <c:pt idx="7">
                  <c:v>H</c:v>
                </c:pt>
                <c:pt idx="8">
                  <c:v>I</c:v>
                </c:pt>
              </c:strCache>
            </c:strRef>
          </c:cat>
          <c:val>
            <c:numRef>
              <c:f>'Table A.7'!$AB$16:$AB$24</c:f>
              <c:numCache>
                <c:formatCode>0.00%</c:formatCode>
                <c:ptCount val="9"/>
                <c:pt idx="0">
                  <c:v>0.57079646017699115</c:v>
                </c:pt>
                <c:pt idx="1">
                  <c:v>0.54867256637168138</c:v>
                </c:pt>
                <c:pt idx="2">
                  <c:v>0.51769911504424782</c:v>
                </c:pt>
                <c:pt idx="3">
                  <c:v>0.42035398230088494</c:v>
                </c:pt>
                <c:pt idx="4">
                  <c:v>0.31858407079646023</c:v>
                </c:pt>
                <c:pt idx="5">
                  <c:v>0.2168141592920354</c:v>
                </c:pt>
                <c:pt idx="6">
                  <c:v>9.2920353982300918E-2</c:v>
                </c:pt>
                <c:pt idx="7">
                  <c:v>3.9823008849557473E-2</c:v>
                </c:pt>
                <c:pt idx="8">
                  <c:v>0</c:v>
                </c:pt>
              </c:numCache>
            </c:numRef>
          </c:val>
          <c:smooth val="0"/>
          <c:extLst>
            <c:ext xmlns:c16="http://schemas.microsoft.com/office/drawing/2014/chart" uri="{C3380CC4-5D6E-409C-BE32-E72D297353CC}">
              <c16:uniqueId val="{00000007-356B-4FD4-853E-A8ECFF12E4F7}"/>
            </c:ext>
          </c:extLst>
        </c:ser>
        <c:dLbls>
          <c:showLegendKey val="0"/>
          <c:showVal val="0"/>
          <c:showCatName val="0"/>
          <c:showSerName val="0"/>
          <c:showPercent val="0"/>
          <c:showBubbleSize val="0"/>
        </c:dLbls>
        <c:marker val="1"/>
        <c:smooth val="0"/>
        <c:axId val="697559432"/>
        <c:axId val="697552872"/>
      </c:lineChart>
      <c:catAx>
        <c:axId val="697559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Area damage [m</a:t>
                </a:r>
                <a:r>
                  <a:rPr lang="en-GB" baseline="30000"/>
                  <a:t>2</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2872"/>
        <c:crosses val="autoZero"/>
        <c:auto val="1"/>
        <c:lblAlgn val="ctr"/>
        <c:lblOffset val="100"/>
        <c:noMultiLvlLbl val="0"/>
      </c:catAx>
      <c:valAx>
        <c:axId val="6975528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 fires exceeding upper limit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9432"/>
        <c:crosses val="autoZero"/>
        <c:crossBetween val="between"/>
      </c:valAx>
    </c:plotArea>
    <c:legend>
      <c:legendPos val="b"/>
      <c:layout>
        <c:manualLayout>
          <c:xMode val="edge"/>
          <c:yMode val="edge"/>
          <c:x val="0.63801508824627351"/>
          <c:y val="4.0819624936235125E-3"/>
          <c:w val="0.34471044997491657"/>
          <c:h val="0.48621668442823734"/>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25356587868631"/>
          <c:y val="5.1371852784523574E-2"/>
          <c:w val="0.80127581626717825"/>
          <c:h val="0.76575979595408983"/>
        </c:manualLayout>
      </c:layout>
      <c:lineChart>
        <c:grouping val="standard"/>
        <c:varyColors val="0"/>
        <c:ser>
          <c:idx val="0"/>
          <c:order val="0"/>
          <c:tx>
            <c:strRef>
              <c:f>'Table A.7'!$AM$14:$AM$15</c:f>
              <c:strCache>
                <c:ptCount val="2"/>
                <c:pt idx="0">
                  <c:v>S</c:v>
                </c:pt>
                <c:pt idx="1">
                  <c:v>PD</c:v>
                </c:pt>
              </c:strCache>
            </c:strRef>
          </c:tx>
          <c:spPr>
            <a:ln w="19050" cap="rnd">
              <a:solidFill>
                <a:schemeClr val="accent2"/>
              </a:solidFill>
              <a:round/>
            </a:ln>
            <a:effectLst/>
          </c:spPr>
          <c:marker>
            <c:symbol val="triangle"/>
            <c:size val="5"/>
            <c:spPr>
              <a:solidFill>
                <a:schemeClr val="accent2"/>
              </a:solidFill>
              <a:ln w="15875">
                <a:solidFill>
                  <a:schemeClr val="accent2"/>
                </a:solidFill>
              </a:ln>
              <a:effectLst/>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A.7'!$AM$16:$AM$24</c:f>
              <c:numCache>
                <c:formatCode>0.00%</c:formatCode>
                <c:ptCount val="9"/>
                <c:pt idx="0">
                  <c:v>0.14207650273224048</c:v>
                </c:pt>
                <c:pt idx="1">
                  <c:v>9.8360655737704972E-2</c:v>
                </c:pt>
                <c:pt idx="2">
                  <c:v>4.9180327868852514E-2</c:v>
                </c:pt>
                <c:pt idx="3">
                  <c:v>2.1857923497267815E-2</c:v>
                </c:pt>
                <c:pt idx="4">
                  <c:v>1.0928961748633935E-2</c:v>
                </c:pt>
                <c:pt idx="5">
                  <c:v>5.5511151231257827E-17</c:v>
                </c:pt>
                <c:pt idx="6">
                  <c:v>5.5511151231257827E-17</c:v>
                </c:pt>
                <c:pt idx="7">
                  <c:v>5.5511151231257827E-17</c:v>
                </c:pt>
                <c:pt idx="8">
                  <c:v>5.5511151231257827E-17</c:v>
                </c:pt>
              </c:numCache>
            </c:numRef>
          </c:val>
          <c:smooth val="0"/>
          <c:extLst>
            <c:ext xmlns:c16="http://schemas.microsoft.com/office/drawing/2014/chart" uri="{C3380CC4-5D6E-409C-BE32-E72D297353CC}">
              <c16:uniqueId val="{00000000-9D84-4AE7-8791-F901138F0EB2}"/>
            </c:ext>
          </c:extLst>
        </c:ser>
        <c:ser>
          <c:idx val="1"/>
          <c:order val="1"/>
          <c:tx>
            <c:strRef>
              <c:f>'Table A.7'!$AN$14:$AN$15</c:f>
              <c:strCache>
                <c:ptCount val="2"/>
                <c:pt idx="0">
                  <c:v>S</c:v>
                </c:pt>
                <c:pt idx="1">
                  <c:v>UK fire</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A.7'!$AN$16:$AN$24</c:f>
              <c:numCache>
                <c:formatCode>0.00%</c:formatCode>
                <c:ptCount val="9"/>
                <c:pt idx="0">
                  <c:v>9.0062111801242239E-2</c:v>
                </c:pt>
                <c:pt idx="1">
                  <c:v>5.2795031055900624E-2</c:v>
                </c:pt>
                <c:pt idx="2">
                  <c:v>3.4161490683229816E-2</c:v>
                </c:pt>
                <c:pt idx="3">
                  <c:v>1.5527950310559008E-2</c:v>
                </c:pt>
                <c:pt idx="4">
                  <c:v>1.2422360248447208E-2</c:v>
                </c:pt>
                <c:pt idx="5">
                  <c:v>6.2111801242236055E-3</c:v>
                </c:pt>
                <c:pt idx="6">
                  <c:v>3.1055900621118045E-3</c:v>
                </c:pt>
                <c:pt idx="7">
                  <c:v>3.1055900621118045E-3</c:v>
                </c:pt>
                <c:pt idx="8">
                  <c:v>3.4694469519536142E-18</c:v>
                </c:pt>
              </c:numCache>
            </c:numRef>
          </c:val>
          <c:smooth val="0"/>
          <c:extLst>
            <c:ext xmlns:c16="http://schemas.microsoft.com/office/drawing/2014/chart" uri="{C3380CC4-5D6E-409C-BE32-E72D297353CC}">
              <c16:uniqueId val="{00000001-9D84-4AE7-8791-F901138F0EB2}"/>
            </c:ext>
          </c:extLst>
        </c:ser>
        <c:ser>
          <c:idx val="2"/>
          <c:order val="2"/>
          <c:tx>
            <c:strRef>
              <c:f>'Table A.7'!$AO$14:$AO$15</c:f>
              <c:strCache>
                <c:ptCount val="2"/>
                <c:pt idx="0">
                  <c:v>S</c:v>
                </c:pt>
                <c:pt idx="1">
                  <c:v>UK total</c:v>
                </c:pt>
              </c:strCache>
            </c:strRef>
          </c:tx>
          <c:spPr>
            <a:ln w="19050" cap="rnd">
              <a:solidFill>
                <a:schemeClr val="accent3"/>
              </a:solidFill>
              <a:round/>
            </a:ln>
            <a:effectLst/>
          </c:spPr>
          <c:marker>
            <c:symbol val="square"/>
            <c:size val="5"/>
            <c:spPr>
              <a:solidFill>
                <a:schemeClr val="accent3"/>
              </a:solidFill>
              <a:ln w="15875">
                <a:solidFill>
                  <a:schemeClr val="accent3"/>
                </a:solidFill>
              </a:ln>
              <a:effectLst/>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A.7'!$AO$16:$AO$24</c:f>
              <c:numCache>
                <c:formatCode>0.00%</c:formatCode>
                <c:ptCount val="9"/>
                <c:pt idx="0">
                  <c:v>0.2857142857142857</c:v>
                </c:pt>
                <c:pt idx="1">
                  <c:v>0.22049689440993786</c:v>
                </c:pt>
                <c:pt idx="2">
                  <c:v>0.18322981366459623</c:v>
                </c:pt>
                <c:pt idx="3">
                  <c:v>0.13664596273291921</c:v>
                </c:pt>
                <c:pt idx="4">
                  <c:v>9.6273291925465798E-2</c:v>
                </c:pt>
                <c:pt idx="5">
                  <c:v>5.9006211180124182E-2</c:v>
                </c:pt>
                <c:pt idx="6">
                  <c:v>3.4161490683229774E-2</c:v>
                </c:pt>
                <c:pt idx="7">
                  <c:v>1.2422360248447166E-2</c:v>
                </c:pt>
                <c:pt idx="8">
                  <c:v>-3.8163916471489756E-17</c:v>
                </c:pt>
              </c:numCache>
            </c:numRef>
          </c:val>
          <c:smooth val="0"/>
          <c:extLst>
            <c:ext xmlns:c16="http://schemas.microsoft.com/office/drawing/2014/chart" uri="{C3380CC4-5D6E-409C-BE32-E72D297353CC}">
              <c16:uniqueId val="{00000002-9D84-4AE7-8791-F901138F0EB2}"/>
            </c:ext>
          </c:extLst>
        </c:ser>
        <c:ser>
          <c:idx val="3"/>
          <c:order val="3"/>
          <c:tx>
            <c:strRef>
              <c:f>'Table A.7'!$AP$14:$AP$15</c:f>
              <c:strCache>
                <c:ptCount val="2"/>
                <c:pt idx="0">
                  <c:v>S</c:v>
                </c:pt>
                <c:pt idx="1">
                  <c:v>USA</c:v>
                </c:pt>
              </c:strCache>
            </c:strRef>
          </c:tx>
          <c:spPr>
            <a:ln w="19050" cap="rnd">
              <a:solidFill>
                <a:schemeClr val="accent6"/>
              </a:solidFill>
              <a:prstDash val="solid"/>
              <a:round/>
            </a:ln>
            <a:effectLst/>
          </c:spPr>
          <c:marker>
            <c:symbol val="diamond"/>
            <c:size val="5"/>
            <c:spPr>
              <a:solidFill>
                <a:schemeClr val="accent6"/>
              </a:solidFill>
              <a:ln w="15875">
                <a:solidFill>
                  <a:schemeClr val="accent6"/>
                </a:solidFill>
                <a:prstDash val="solid"/>
              </a:ln>
              <a:effectLst/>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A.7'!$AP$16:$AP$24</c:f>
              <c:numCache>
                <c:formatCode>0.00%</c:formatCode>
                <c:ptCount val="9"/>
                <c:pt idx="0">
                  <c:v>0.33507853403141363</c:v>
                </c:pt>
                <c:pt idx="1">
                  <c:v>0.32286212914485168</c:v>
                </c:pt>
                <c:pt idx="2">
                  <c:v>0.31588132635253052</c:v>
                </c:pt>
                <c:pt idx="3">
                  <c:v>0.27225130890052351</c:v>
                </c:pt>
                <c:pt idx="4">
                  <c:v>0.23211169284467714</c:v>
                </c:pt>
                <c:pt idx="5">
                  <c:v>0.20593368237347298</c:v>
                </c:pt>
                <c:pt idx="6">
                  <c:v>0.12041884816753923</c:v>
                </c:pt>
                <c:pt idx="7">
                  <c:v>8.5514834205933643E-2</c:v>
                </c:pt>
                <c:pt idx="8">
                  <c:v>0</c:v>
                </c:pt>
              </c:numCache>
            </c:numRef>
          </c:val>
          <c:smooth val="0"/>
          <c:extLst>
            <c:ext xmlns:c16="http://schemas.microsoft.com/office/drawing/2014/chart" uri="{C3380CC4-5D6E-409C-BE32-E72D297353CC}">
              <c16:uniqueId val="{00000003-9D84-4AE7-8791-F901138F0EB2}"/>
            </c:ext>
          </c:extLst>
        </c:ser>
        <c:ser>
          <c:idx val="4"/>
          <c:order val="4"/>
          <c:tx>
            <c:strRef>
              <c:f>'Table A.7'!$AQ$14:$AQ$15</c:f>
              <c:strCache>
                <c:ptCount val="2"/>
                <c:pt idx="0">
                  <c:v>NS</c:v>
                </c:pt>
                <c:pt idx="1">
                  <c:v>PD</c:v>
                </c:pt>
              </c:strCache>
            </c:strRef>
          </c:tx>
          <c:spPr>
            <a:ln w="19050" cap="rnd">
              <a:solidFill>
                <a:schemeClr val="accent2"/>
              </a:solidFill>
              <a:prstDash val="dash"/>
              <a:round/>
            </a:ln>
            <a:effectLst/>
          </c:spPr>
          <c:marker>
            <c:symbol val="triangle"/>
            <c:size val="5"/>
            <c:spPr>
              <a:solidFill>
                <a:schemeClr val="accent2"/>
              </a:solidFill>
              <a:ln w="15875">
                <a:solidFill>
                  <a:schemeClr val="accent2"/>
                </a:solidFill>
                <a:prstDash val="solid"/>
              </a:ln>
              <a:effectLst/>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A.7'!$AQ$16:$AQ$24</c:f>
              <c:numCache>
                <c:formatCode>0.00%</c:formatCode>
                <c:ptCount val="9"/>
                <c:pt idx="0">
                  <c:v>0.20711704197942726</c:v>
                </c:pt>
                <c:pt idx="1">
                  <c:v>0.13900472616068943</c:v>
                </c:pt>
                <c:pt idx="2">
                  <c:v>8.2846816791770889E-2</c:v>
                </c:pt>
                <c:pt idx="3">
                  <c:v>3.7948290241868195E-2</c:v>
                </c:pt>
                <c:pt idx="4">
                  <c:v>2.0155685293299943E-2</c:v>
                </c:pt>
                <c:pt idx="5">
                  <c:v>1.0703363914373059E-2</c:v>
                </c:pt>
                <c:pt idx="6">
                  <c:v>2.7800945232137591E-3</c:v>
                </c:pt>
                <c:pt idx="7">
                  <c:v>6.9502363080341722E-4</c:v>
                </c:pt>
                <c:pt idx="8">
                  <c:v>-3.0140820395097023E-17</c:v>
                </c:pt>
              </c:numCache>
            </c:numRef>
          </c:val>
          <c:smooth val="0"/>
          <c:extLst>
            <c:ext xmlns:c16="http://schemas.microsoft.com/office/drawing/2014/chart" uri="{C3380CC4-5D6E-409C-BE32-E72D297353CC}">
              <c16:uniqueId val="{00000004-9D84-4AE7-8791-F901138F0EB2}"/>
            </c:ext>
          </c:extLst>
        </c:ser>
        <c:ser>
          <c:idx val="5"/>
          <c:order val="5"/>
          <c:tx>
            <c:strRef>
              <c:f>'Table A.7'!$AR$14:$AR$15</c:f>
              <c:strCache>
                <c:ptCount val="2"/>
                <c:pt idx="0">
                  <c:v>NS</c:v>
                </c:pt>
                <c:pt idx="1">
                  <c:v>UK fire</c:v>
                </c:pt>
              </c:strCache>
            </c:strRef>
          </c:tx>
          <c:spPr>
            <a:ln w="19050" cap="rnd">
              <a:solidFill>
                <a:schemeClr val="accent1"/>
              </a:solidFill>
              <a:prstDash val="dash"/>
              <a:round/>
            </a:ln>
            <a:effectLst/>
          </c:spPr>
          <c:marker>
            <c:symbol val="circle"/>
            <c:size val="5"/>
            <c:spPr>
              <a:solidFill>
                <a:schemeClr val="accent1"/>
              </a:solidFill>
              <a:ln w="15875">
                <a:solidFill>
                  <a:schemeClr val="accent1"/>
                </a:solidFill>
                <a:prstDash val="solid"/>
              </a:ln>
              <a:effectLst/>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A.7'!$AR$16:$AR$24</c:f>
              <c:numCache>
                <c:formatCode>0.00%</c:formatCode>
                <c:ptCount val="9"/>
                <c:pt idx="0">
                  <c:v>0.18276818084879509</c:v>
                </c:pt>
                <c:pt idx="1">
                  <c:v>0.1120708040093837</c:v>
                </c:pt>
                <c:pt idx="2">
                  <c:v>7.4002985711239103E-2</c:v>
                </c:pt>
                <c:pt idx="3">
                  <c:v>4.1480059714224811E-2</c:v>
                </c:pt>
                <c:pt idx="4">
                  <c:v>2.5058647899338909E-2</c:v>
                </c:pt>
                <c:pt idx="5">
                  <c:v>1.5674984005118395E-2</c:v>
                </c:pt>
                <c:pt idx="6">
                  <c:v>8.4239709959479971E-3</c:v>
                </c:pt>
                <c:pt idx="7">
                  <c:v>4.6918319471102917E-3</c:v>
                </c:pt>
                <c:pt idx="8">
                  <c:v>3.3827107781547738E-17</c:v>
                </c:pt>
              </c:numCache>
            </c:numRef>
          </c:val>
          <c:smooth val="0"/>
          <c:extLst>
            <c:ext xmlns:c16="http://schemas.microsoft.com/office/drawing/2014/chart" uri="{C3380CC4-5D6E-409C-BE32-E72D297353CC}">
              <c16:uniqueId val="{00000005-9D84-4AE7-8791-F901138F0EB2}"/>
            </c:ext>
          </c:extLst>
        </c:ser>
        <c:ser>
          <c:idx val="6"/>
          <c:order val="6"/>
          <c:tx>
            <c:strRef>
              <c:f>'Table A.7'!$AS$14:$AS$15</c:f>
              <c:strCache>
                <c:ptCount val="2"/>
                <c:pt idx="0">
                  <c:v>NS</c:v>
                </c:pt>
                <c:pt idx="1">
                  <c:v>UK total</c:v>
                </c:pt>
              </c:strCache>
            </c:strRef>
          </c:tx>
          <c:spPr>
            <a:ln>
              <a:solidFill>
                <a:schemeClr val="accent3"/>
              </a:solidFill>
              <a:prstDash val="dash"/>
            </a:ln>
          </c:spPr>
          <c:marker>
            <c:spPr>
              <a:solidFill>
                <a:schemeClr val="accent3"/>
              </a:solidFill>
              <a:ln w="15875">
                <a:solidFill>
                  <a:schemeClr val="accent3"/>
                </a:solidFill>
                <a:prstDash val="solid"/>
              </a:ln>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A.7'!$AS$16:$AS$24</c:f>
              <c:numCache>
                <c:formatCode>0.00%</c:formatCode>
                <c:ptCount val="9"/>
                <c:pt idx="0">
                  <c:v>0.35018127532522925</c:v>
                </c:pt>
                <c:pt idx="1">
                  <c:v>0.26786095116229469</c:v>
                </c:pt>
                <c:pt idx="2">
                  <c:v>0.19961612284069094</c:v>
                </c:pt>
                <c:pt idx="3">
                  <c:v>0.12731925783749198</c:v>
                </c:pt>
                <c:pt idx="4">
                  <c:v>7.1230539560673906E-2</c:v>
                </c:pt>
                <c:pt idx="5">
                  <c:v>3.8387715930902101E-2</c:v>
                </c:pt>
                <c:pt idx="6">
                  <c:v>1.9087225421198541E-2</c:v>
                </c:pt>
                <c:pt idx="7">
                  <c:v>8.5306035402004602E-3</c:v>
                </c:pt>
                <c:pt idx="8">
                  <c:v>0</c:v>
                </c:pt>
              </c:numCache>
            </c:numRef>
          </c:val>
          <c:smooth val="0"/>
          <c:extLst>
            <c:ext xmlns:c16="http://schemas.microsoft.com/office/drawing/2014/chart" uri="{C3380CC4-5D6E-409C-BE32-E72D297353CC}">
              <c16:uniqueId val="{00000006-9D84-4AE7-8791-F901138F0EB2}"/>
            </c:ext>
          </c:extLst>
        </c:ser>
        <c:ser>
          <c:idx val="7"/>
          <c:order val="7"/>
          <c:tx>
            <c:strRef>
              <c:f>'Table A.7'!$AT$14:$AT$15</c:f>
              <c:strCache>
                <c:ptCount val="2"/>
                <c:pt idx="0">
                  <c:v>NS</c:v>
                </c:pt>
                <c:pt idx="1">
                  <c:v>USA</c:v>
                </c:pt>
              </c:strCache>
            </c:strRef>
          </c:tx>
          <c:spPr>
            <a:ln>
              <a:solidFill>
                <a:schemeClr val="accent6"/>
              </a:solidFill>
              <a:prstDash val="dash"/>
            </a:ln>
          </c:spPr>
          <c:marker>
            <c:symbol val="diamond"/>
            <c:size val="5"/>
            <c:spPr>
              <a:solidFill>
                <a:schemeClr val="accent6"/>
              </a:solidFill>
              <a:ln w="15875">
                <a:solidFill>
                  <a:schemeClr val="accent6"/>
                </a:solidFill>
                <a:prstDash val="solid"/>
              </a:ln>
            </c:spPr>
          </c:marker>
          <c:cat>
            <c:strRef>
              <c:f>'Table A.7'!$AL$16:$AL$24</c:f>
              <c:strCache>
                <c:ptCount val="9"/>
                <c:pt idx="0">
                  <c:v>A</c:v>
                </c:pt>
                <c:pt idx="1">
                  <c:v>B</c:v>
                </c:pt>
                <c:pt idx="2">
                  <c:v>C</c:v>
                </c:pt>
                <c:pt idx="3">
                  <c:v>D</c:v>
                </c:pt>
                <c:pt idx="4">
                  <c:v>E</c:v>
                </c:pt>
                <c:pt idx="5">
                  <c:v>F</c:v>
                </c:pt>
                <c:pt idx="6">
                  <c:v>G</c:v>
                </c:pt>
                <c:pt idx="7">
                  <c:v>H</c:v>
                </c:pt>
                <c:pt idx="8">
                  <c:v>I</c:v>
                </c:pt>
              </c:strCache>
            </c:strRef>
          </c:cat>
          <c:val>
            <c:numRef>
              <c:f>'Table A.7'!$AT$16:$AT$24</c:f>
              <c:numCache>
                <c:formatCode>0.00%</c:formatCode>
                <c:ptCount val="9"/>
                <c:pt idx="0">
                  <c:v>0.46692607003891051</c:v>
                </c:pt>
                <c:pt idx="1">
                  <c:v>0.45525291828793779</c:v>
                </c:pt>
                <c:pt idx="2">
                  <c:v>0.42736705577172507</c:v>
                </c:pt>
                <c:pt idx="3">
                  <c:v>0.33333333333333337</c:v>
                </c:pt>
                <c:pt idx="4">
                  <c:v>0.23994811932555127</c:v>
                </c:pt>
                <c:pt idx="5">
                  <c:v>0.15499351491569391</c:v>
                </c:pt>
                <c:pt idx="6">
                  <c:v>7.0038910505836549E-2</c:v>
                </c:pt>
                <c:pt idx="7">
                  <c:v>2.7885862516212723E-2</c:v>
                </c:pt>
                <c:pt idx="8">
                  <c:v>0</c:v>
                </c:pt>
              </c:numCache>
            </c:numRef>
          </c:val>
          <c:smooth val="0"/>
          <c:extLst>
            <c:ext xmlns:c16="http://schemas.microsoft.com/office/drawing/2014/chart" uri="{C3380CC4-5D6E-409C-BE32-E72D297353CC}">
              <c16:uniqueId val="{00000007-9D84-4AE7-8791-F901138F0EB2}"/>
            </c:ext>
          </c:extLst>
        </c:ser>
        <c:dLbls>
          <c:showLegendKey val="0"/>
          <c:showVal val="0"/>
          <c:showCatName val="0"/>
          <c:showSerName val="0"/>
          <c:showPercent val="0"/>
          <c:showBubbleSize val="0"/>
        </c:dLbls>
        <c:marker val="1"/>
        <c:smooth val="0"/>
        <c:axId val="697559432"/>
        <c:axId val="697552872"/>
      </c:lineChart>
      <c:catAx>
        <c:axId val="697559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Area damage [m</a:t>
                </a:r>
                <a:r>
                  <a:rPr lang="en-GB" baseline="30000"/>
                  <a:t>2</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2872"/>
        <c:crosses val="autoZero"/>
        <c:auto val="1"/>
        <c:lblAlgn val="ctr"/>
        <c:lblOffset val="100"/>
        <c:noMultiLvlLbl val="0"/>
      </c:catAx>
      <c:valAx>
        <c:axId val="697552872"/>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 fires exceeding upper limit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9432"/>
        <c:crosses val="autoZero"/>
        <c:crossBetween val="between"/>
      </c:valAx>
    </c:plotArea>
    <c:legend>
      <c:legendPos val="b"/>
      <c:layout>
        <c:manualLayout>
          <c:xMode val="edge"/>
          <c:yMode val="edge"/>
          <c:x val="0.63360494491661534"/>
          <c:y val="2.9739435232558731E-2"/>
          <c:w val="0.34471044997491657"/>
          <c:h val="0.45414484350456835"/>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4342254902812"/>
          <c:y val="5.1371852784523574E-2"/>
          <c:w val="0.80568595959683653"/>
          <c:h val="0.76575979595408983"/>
        </c:manualLayout>
      </c:layout>
      <c:lineChart>
        <c:grouping val="standard"/>
        <c:varyColors val="0"/>
        <c:ser>
          <c:idx val="0"/>
          <c:order val="0"/>
          <c:tx>
            <c:strRef>
              <c:f>'Table A.8'!$B$18:$B$19</c:f>
              <c:strCache>
                <c:ptCount val="2"/>
                <c:pt idx="0">
                  <c:v>S</c:v>
                </c:pt>
                <c:pt idx="1">
                  <c:v>PD</c:v>
                </c:pt>
              </c:strCache>
            </c:strRef>
          </c:tx>
          <c:spPr>
            <a:ln w="19050" cap="rnd">
              <a:solidFill>
                <a:schemeClr val="accent2"/>
              </a:solidFill>
              <a:round/>
            </a:ln>
            <a:effectLst/>
          </c:spPr>
          <c:marker>
            <c:symbol val="triangle"/>
            <c:size val="5"/>
            <c:spPr>
              <a:solidFill>
                <a:schemeClr val="accent2"/>
              </a:solidFill>
              <a:ln w="15875">
                <a:solidFill>
                  <a:schemeClr val="accent2"/>
                </a:solidFill>
              </a:ln>
              <a:effectLst/>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A.8'!$B$20:$B$28</c:f>
              <c:numCache>
                <c:formatCode>0.00%</c:formatCode>
                <c:ptCount val="9"/>
                <c:pt idx="0">
                  <c:v>5.7142857142857162E-2</c:v>
                </c:pt>
                <c:pt idx="1">
                  <c:v>2.8571428571428591E-2</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71D8-40CB-8D56-DBB1BCA9444D}"/>
            </c:ext>
          </c:extLst>
        </c:ser>
        <c:ser>
          <c:idx val="1"/>
          <c:order val="1"/>
          <c:tx>
            <c:strRef>
              <c:f>'Table A.8'!$C$18:$C$19</c:f>
              <c:strCache>
                <c:ptCount val="2"/>
                <c:pt idx="0">
                  <c:v>S</c:v>
                </c:pt>
                <c:pt idx="1">
                  <c:v>UK fire</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A.8'!$C$20:$C$28</c:f>
              <c:numCache>
                <c:formatCode>0.00%</c:formatCode>
                <c:ptCount val="9"/>
                <c:pt idx="0">
                  <c:v>0.19999999999999996</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1-71D8-40CB-8D56-DBB1BCA9444D}"/>
            </c:ext>
          </c:extLst>
        </c:ser>
        <c:ser>
          <c:idx val="2"/>
          <c:order val="2"/>
          <c:tx>
            <c:strRef>
              <c:f>'Table A.8'!$D$18:$D$19</c:f>
              <c:strCache>
                <c:ptCount val="2"/>
                <c:pt idx="0">
                  <c:v>S</c:v>
                </c:pt>
                <c:pt idx="1">
                  <c:v>UK total</c:v>
                </c:pt>
              </c:strCache>
            </c:strRef>
          </c:tx>
          <c:spPr>
            <a:ln w="19050" cap="rnd">
              <a:solidFill>
                <a:schemeClr val="accent3"/>
              </a:solidFill>
              <a:round/>
            </a:ln>
            <a:effectLst/>
          </c:spPr>
          <c:marker>
            <c:symbol val="square"/>
            <c:size val="5"/>
            <c:spPr>
              <a:solidFill>
                <a:schemeClr val="accent3"/>
              </a:solidFill>
              <a:ln w="15875">
                <a:solidFill>
                  <a:schemeClr val="accent3"/>
                </a:solidFill>
              </a:ln>
              <a:effectLst/>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A.8'!$D$20:$D$28</c:f>
              <c:numCache>
                <c:formatCode>0.00%</c:formatCode>
                <c:ptCount val="9"/>
                <c:pt idx="0">
                  <c:v>0.7</c:v>
                </c:pt>
                <c:pt idx="1">
                  <c:v>0.39999999999999997</c:v>
                </c:pt>
                <c:pt idx="2">
                  <c:v>0.39999999999999997</c:v>
                </c:pt>
                <c:pt idx="3">
                  <c:v>0.19999999999999996</c:v>
                </c:pt>
                <c:pt idx="4">
                  <c:v>9.999999999999995E-2</c:v>
                </c:pt>
                <c:pt idx="5">
                  <c:v>0</c:v>
                </c:pt>
                <c:pt idx="6">
                  <c:v>0</c:v>
                </c:pt>
                <c:pt idx="7">
                  <c:v>0</c:v>
                </c:pt>
                <c:pt idx="8">
                  <c:v>0</c:v>
                </c:pt>
              </c:numCache>
            </c:numRef>
          </c:val>
          <c:smooth val="0"/>
          <c:extLst>
            <c:ext xmlns:c16="http://schemas.microsoft.com/office/drawing/2014/chart" uri="{C3380CC4-5D6E-409C-BE32-E72D297353CC}">
              <c16:uniqueId val="{00000002-71D8-40CB-8D56-DBB1BCA9444D}"/>
            </c:ext>
          </c:extLst>
        </c:ser>
        <c:ser>
          <c:idx val="3"/>
          <c:order val="3"/>
          <c:tx>
            <c:strRef>
              <c:f>'Table A.8'!$E$18:$E$19</c:f>
              <c:strCache>
                <c:ptCount val="2"/>
                <c:pt idx="0">
                  <c:v>S</c:v>
                </c:pt>
                <c:pt idx="1">
                  <c:v>USA</c:v>
                </c:pt>
              </c:strCache>
            </c:strRef>
          </c:tx>
          <c:spPr>
            <a:ln w="19050" cap="rnd">
              <a:solidFill>
                <a:schemeClr val="accent6"/>
              </a:solidFill>
              <a:prstDash val="solid"/>
              <a:round/>
            </a:ln>
            <a:effectLst/>
          </c:spPr>
          <c:marker>
            <c:symbol val="diamond"/>
            <c:size val="5"/>
            <c:spPr>
              <a:solidFill>
                <a:schemeClr val="accent6"/>
              </a:solidFill>
              <a:ln w="15875">
                <a:solidFill>
                  <a:schemeClr val="accent6"/>
                </a:solidFill>
                <a:prstDash val="solid"/>
              </a:ln>
              <a:effectLst/>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A.8'!$E$20:$E$28</c:f>
              <c:numCache>
                <c:formatCode>0.00%</c:formatCode>
                <c:ptCount val="9"/>
                <c:pt idx="0">
                  <c:v>0.29411764705882348</c:v>
                </c:pt>
                <c:pt idx="1">
                  <c:v>0.27450980392156865</c:v>
                </c:pt>
                <c:pt idx="2">
                  <c:v>0.26274509803921564</c:v>
                </c:pt>
                <c:pt idx="3">
                  <c:v>0.25490196078431371</c:v>
                </c:pt>
                <c:pt idx="4">
                  <c:v>0.23921568627450984</c:v>
                </c:pt>
                <c:pt idx="5">
                  <c:v>0.2196078431372549</c:v>
                </c:pt>
                <c:pt idx="6">
                  <c:v>0.15294117647058825</c:v>
                </c:pt>
                <c:pt idx="7">
                  <c:v>8.2352941176470629E-2</c:v>
                </c:pt>
                <c:pt idx="8">
                  <c:v>0</c:v>
                </c:pt>
              </c:numCache>
            </c:numRef>
          </c:val>
          <c:smooth val="0"/>
          <c:extLst>
            <c:ext xmlns:c16="http://schemas.microsoft.com/office/drawing/2014/chart" uri="{C3380CC4-5D6E-409C-BE32-E72D297353CC}">
              <c16:uniqueId val="{00000003-71D8-40CB-8D56-DBB1BCA9444D}"/>
            </c:ext>
          </c:extLst>
        </c:ser>
        <c:ser>
          <c:idx val="4"/>
          <c:order val="4"/>
          <c:tx>
            <c:strRef>
              <c:f>'Table A.8'!$F$18:$F$19</c:f>
              <c:strCache>
                <c:ptCount val="2"/>
                <c:pt idx="0">
                  <c:v>NS</c:v>
                </c:pt>
                <c:pt idx="1">
                  <c:v>PD</c:v>
                </c:pt>
              </c:strCache>
            </c:strRef>
          </c:tx>
          <c:spPr>
            <a:ln w="19050" cap="rnd">
              <a:solidFill>
                <a:schemeClr val="accent2"/>
              </a:solidFill>
              <a:prstDash val="dash"/>
              <a:round/>
            </a:ln>
            <a:effectLst/>
          </c:spPr>
          <c:marker>
            <c:symbol val="triangle"/>
            <c:size val="5"/>
            <c:spPr>
              <a:solidFill>
                <a:schemeClr val="accent2"/>
              </a:solidFill>
              <a:ln w="15875">
                <a:solidFill>
                  <a:schemeClr val="accent2"/>
                </a:solidFill>
                <a:prstDash val="solid"/>
              </a:ln>
              <a:effectLst/>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A.8'!$F$20:$F$28</c:f>
              <c:numCache>
                <c:formatCode>0.00%</c:formatCode>
                <c:ptCount val="9"/>
                <c:pt idx="0">
                  <c:v>0.14996074326092645</c:v>
                </c:pt>
                <c:pt idx="1">
                  <c:v>0.10756346506150222</c:v>
                </c:pt>
                <c:pt idx="2">
                  <c:v>7.1970688301491753E-2</c:v>
                </c:pt>
                <c:pt idx="3">
                  <c:v>3.9518450667364563E-2</c:v>
                </c:pt>
                <c:pt idx="4">
                  <c:v>2.1983773881182934E-2</c:v>
                </c:pt>
                <c:pt idx="5">
                  <c:v>1.3870714472651136E-2</c:v>
                </c:pt>
                <c:pt idx="6">
                  <c:v>5.7576550641193387E-3</c:v>
                </c:pt>
                <c:pt idx="7">
                  <c:v>3.6639623135304878E-3</c:v>
                </c:pt>
                <c:pt idx="8">
                  <c:v>0</c:v>
                </c:pt>
              </c:numCache>
            </c:numRef>
          </c:val>
          <c:smooth val="0"/>
          <c:extLst>
            <c:ext xmlns:c16="http://schemas.microsoft.com/office/drawing/2014/chart" uri="{C3380CC4-5D6E-409C-BE32-E72D297353CC}">
              <c16:uniqueId val="{00000004-71D8-40CB-8D56-DBB1BCA9444D}"/>
            </c:ext>
          </c:extLst>
        </c:ser>
        <c:ser>
          <c:idx val="5"/>
          <c:order val="5"/>
          <c:tx>
            <c:strRef>
              <c:f>'Table A.8'!$G$18:$G$19</c:f>
              <c:strCache>
                <c:ptCount val="2"/>
                <c:pt idx="0">
                  <c:v>NS</c:v>
                </c:pt>
                <c:pt idx="1">
                  <c:v>UK fire</c:v>
                </c:pt>
              </c:strCache>
            </c:strRef>
          </c:tx>
          <c:spPr>
            <a:ln w="19050" cap="rnd">
              <a:solidFill>
                <a:schemeClr val="accent1"/>
              </a:solidFill>
              <a:prstDash val="dash"/>
              <a:round/>
            </a:ln>
            <a:effectLst/>
          </c:spPr>
          <c:marker>
            <c:symbol val="circle"/>
            <c:size val="5"/>
            <c:spPr>
              <a:solidFill>
                <a:schemeClr val="accent1"/>
              </a:solidFill>
              <a:ln w="15875">
                <a:solidFill>
                  <a:schemeClr val="accent1"/>
                </a:solidFill>
                <a:prstDash val="solid"/>
              </a:ln>
              <a:effectLst/>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A.8'!$G$20:$G$28</c:f>
              <c:numCache>
                <c:formatCode>0.00%</c:formatCode>
                <c:ptCount val="9"/>
                <c:pt idx="0">
                  <c:v>0.1875</c:v>
                </c:pt>
                <c:pt idx="1">
                  <c:v>0.10197368421052631</c:v>
                </c:pt>
                <c:pt idx="2">
                  <c:v>5.921052631578947E-2</c:v>
                </c:pt>
                <c:pt idx="3">
                  <c:v>2.9605263157894735E-2</c:v>
                </c:pt>
                <c:pt idx="4">
                  <c:v>2.6315789473684209E-2</c:v>
                </c:pt>
                <c:pt idx="5">
                  <c:v>1.3157894736842105E-2</c:v>
                </c:pt>
                <c:pt idx="6">
                  <c:v>3.2894736842105261E-3</c:v>
                </c:pt>
                <c:pt idx="7">
                  <c:v>3.2894736842105261E-3</c:v>
                </c:pt>
                <c:pt idx="8">
                  <c:v>0</c:v>
                </c:pt>
              </c:numCache>
            </c:numRef>
          </c:val>
          <c:smooth val="0"/>
          <c:extLst>
            <c:ext xmlns:c16="http://schemas.microsoft.com/office/drawing/2014/chart" uri="{C3380CC4-5D6E-409C-BE32-E72D297353CC}">
              <c16:uniqueId val="{00000005-71D8-40CB-8D56-DBB1BCA9444D}"/>
            </c:ext>
          </c:extLst>
        </c:ser>
        <c:ser>
          <c:idx val="6"/>
          <c:order val="6"/>
          <c:tx>
            <c:strRef>
              <c:f>'Table A.8'!$H$18:$H$19</c:f>
              <c:strCache>
                <c:ptCount val="2"/>
                <c:pt idx="0">
                  <c:v>NS</c:v>
                </c:pt>
                <c:pt idx="1">
                  <c:v>UK total</c:v>
                </c:pt>
              </c:strCache>
            </c:strRef>
          </c:tx>
          <c:spPr>
            <a:ln>
              <a:solidFill>
                <a:schemeClr val="accent3"/>
              </a:solidFill>
              <a:prstDash val="dash"/>
            </a:ln>
          </c:spPr>
          <c:marker>
            <c:spPr>
              <a:solidFill>
                <a:schemeClr val="accent3"/>
              </a:solidFill>
              <a:ln w="15875">
                <a:solidFill>
                  <a:schemeClr val="accent3"/>
                </a:solidFill>
                <a:prstDash val="solid"/>
              </a:ln>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A.8'!$H$20:$H$28</c:f>
              <c:numCache>
                <c:formatCode>0.00%</c:formatCode>
                <c:ptCount val="9"/>
                <c:pt idx="0">
                  <c:v>0.42763157894736847</c:v>
                </c:pt>
                <c:pt idx="1">
                  <c:v>0.30921052631578955</c:v>
                </c:pt>
                <c:pt idx="2">
                  <c:v>0.22039473684210534</c:v>
                </c:pt>
                <c:pt idx="3">
                  <c:v>0.12828947368421062</c:v>
                </c:pt>
                <c:pt idx="4">
                  <c:v>7.5657894736842202E-2</c:v>
                </c:pt>
                <c:pt idx="5">
                  <c:v>4.9342105263157993E-2</c:v>
                </c:pt>
                <c:pt idx="6">
                  <c:v>1.9736842105263257E-2</c:v>
                </c:pt>
                <c:pt idx="7">
                  <c:v>1.3157894736842205E-2</c:v>
                </c:pt>
                <c:pt idx="8">
                  <c:v>1.0061396160665481E-16</c:v>
                </c:pt>
              </c:numCache>
            </c:numRef>
          </c:val>
          <c:smooth val="0"/>
          <c:extLst>
            <c:ext xmlns:c16="http://schemas.microsoft.com/office/drawing/2014/chart" uri="{C3380CC4-5D6E-409C-BE32-E72D297353CC}">
              <c16:uniqueId val="{00000006-71D8-40CB-8D56-DBB1BCA9444D}"/>
            </c:ext>
          </c:extLst>
        </c:ser>
        <c:ser>
          <c:idx val="7"/>
          <c:order val="7"/>
          <c:tx>
            <c:strRef>
              <c:f>'Table A.8'!$I$18:$I$19</c:f>
              <c:strCache>
                <c:ptCount val="2"/>
                <c:pt idx="0">
                  <c:v>NS</c:v>
                </c:pt>
                <c:pt idx="1">
                  <c:v>USA</c:v>
                </c:pt>
              </c:strCache>
            </c:strRef>
          </c:tx>
          <c:spPr>
            <a:ln>
              <a:solidFill>
                <a:schemeClr val="accent6"/>
              </a:solidFill>
              <a:prstDash val="dash"/>
            </a:ln>
          </c:spPr>
          <c:marker>
            <c:symbol val="diamond"/>
            <c:size val="5"/>
            <c:spPr>
              <a:solidFill>
                <a:schemeClr val="accent6"/>
              </a:solidFill>
              <a:ln w="15875">
                <a:solidFill>
                  <a:schemeClr val="accent6"/>
                </a:solidFill>
                <a:prstDash val="solid"/>
              </a:ln>
            </c:spPr>
          </c:marker>
          <c:cat>
            <c:strRef>
              <c:f>'Table A.8'!$A$20:$A$28</c:f>
              <c:strCache>
                <c:ptCount val="9"/>
                <c:pt idx="0">
                  <c:v>A</c:v>
                </c:pt>
                <c:pt idx="1">
                  <c:v>B</c:v>
                </c:pt>
                <c:pt idx="2">
                  <c:v>C</c:v>
                </c:pt>
                <c:pt idx="3">
                  <c:v>D</c:v>
                </c:pt>
                <c:pt idx="4">
                  <c:v>E</c:v>
                </c:pt>
                <c:pt idx="5">
                  <c:v>F</c:v>
                </c:pt>
                <c:pt idx="6">
                  <c:v>G</c:v>
                </c:pt>
                <c:pt idx="7">
                  <c:v>H</c:v>
                </c:pt>
                <c:pt idx="8">
                  <c:v>I</c:v>
                </c:pt>
              </c:strCache>
            </c:strRef>
          </c:cat>
          <c:val>
            <c:numRef>
              <c:f>'Table A.8'!$I$20:$I$28</c:f>
              <c:numCache>
                <c:formatCode>0.00%</c:formatCode>
                <c:ptCount val="9"/>
                <c:pt idx="0">
                  <c:v>0.4135021097046413</c:v>
                </c:pt>
                <c:pt idx="1">
                  <c:v>0.379746835443038</c:v>
                </c:pt>
                <c:pt idx="2">
                  <c:v>0.33333333333333337</c:v>
                </c:pt>
                <c:pt idx="3">
                  <c:v>0.27848101265822789</c:v>
                </c:pt>
                <c:pt idx="4">
                  <c:v>0.240506329113924</c:v>
                </c:pt>
                <c:pt idx="5">
                  <c:v>0.17721518987341767</c:v>
                </c:pt>
                <c:pt idx="6">
                  <c:v>7.1729957805907185E-2</c:v>
                </c:pt>
                <c:pt idx="7">
                  <c:v>3.3755274261603407E-2</c:v>
                </c:pt>
                <c:pt idx="8">
                  <c:v>0</c:v>
                </c:pt>
              </c:numCache>
            </c:numRef>
          </c:val>
          <c:smooth val="0"/>
          <c:extLst>
            <c:ext xmlns:c16="http://schemas.microsoft.com/office/drawing/2014/chart" uri="{C3380CC4-5D6E-409C-BE32-E72D297353CC}">
              <c16:uniqueId val="{00000007-71D8-40CB-8D56-DBB1BCA9444D}"/>
            </c:ext>
          </c:extLst>
        </c:ser>
        <c:dLbls>
          <c:showLegendKey val="0"/>
          <c:showVal val="0"/>
          <c:showCatName val="0"/>
          <c:showSerName val="0"/>
          <c:showPercent val="0"/>
          <c:showBubbleSize val="0"/>
        </c:dLbls>
        <c:marker val="1"/>
        <c:smooth val="0"/>
        <c:axId val="697559432"/>
        <c:axId val="697552872"/>
      </c:lineChart>
      <c:catAx>
        <c:axId val="697559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Area damage [m</a:t>
                </a:r>
                <a:r>
                  <a:rPr lang="en-GB" baseline="30000"/>
                  <a:t>2</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2872"/>
        <c:crosses val="autoZero"/>
        <c:auto val="1"/>
        <c:lblAlgn val="ctr"/>
        <c:lblOffset val="100"/>
        <c:noMultiLvlLbl val="0"/>
      </c:catAx>
      <c:valAx>
        <c:axId val="6975528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 fires exceeding upper limit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9432"/>
        <c:crosses val="autoZero"/>
        <c:crossBetween val="between"/>
      </c:valAx>
    </c:plotArea>
    <c:legend>
      <c:legendPos val="b"/>
      <c:layout>
        <c:manualLayout>
          <c:xMode val="edge"/>
          <c:yMode val="edge"/>
          <c:x val="0.61155422826832428"/>
          <c:y val="3.6153803417292532E-2"/>
          <c:w val="0.34471044997491657"/>
          <c:h val="0.44773047531983456"/>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4342254902812"/>
          <c:y val="5.1371852784523574E-2"/>
          <c:w val="0.80568595959683653"/>
          <c:h val="0.76575979595408983"/>
        </c:manualLayout>
      </c:layout>
      <c:lineChart>
        <c:grouping val="standard"/>
        <c:varyColors val="0"/>
        <c:ser>
          <c:idx val="0"/>
          <c:order val="0"/>
          <c:tx>
            <c:strRef>
              <c:f>'Table A.8'!$T$18:$T$19</c:f>
              <c:strCache>
                <c:ptCount val="2"/>
                <c:pt idx="0">
                  <c:v>A</c:v>
                </c:pt>
                <c:pt idx="1">
                  <c:v>PD</c:v>
                </c:pt>
              </c:strCache>
            </c:strRef>
          </c:tx>
          <c:spPr>
            <a:ln w="19050" cap="rnd">
              <a:solidFill>
                <a:schemeClr val="accent2"/>
              </a:solidFill>
              <a:round/>
            </a:ln>
            <a:effectLst/>
          </c:spPr>
          <c:marker>
            <c:symbol val="triangle"/>
            <c:size val="5"/>
            <c:spPr>
              <a:solidFill>
                <a:schemeClr val="accent2"/>
              </a:solidFill>
              <a:ln w="15875">
                <a:solidFill>
                  <a:schemeClr val="accent2"/>
                </a:solidFill>
              </a:ln>
              <a:effectLst/>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A.8'!$T$20:$T$28</c:f>
              <c:numCache>
                <c:formatCode>0.00%</c:formatCode>
                <c:ptCount val="9"/>
                <c:pt idx="0">
                  <c:v>0.23359073359073357</c:v>
                </c:pt>
                <c:pt idx="1">
                  <c:v>0.17374517374517373</c:v>
                </c:pt>
                <c:pt idx="2">
                  <c:v>0.14092664092664092</c:v>
                </c:pt>
                <c:pt idx="3">
                  <c:v>8.3011583011583012E-2</c:v>
                </c:pt>
                <c:pt idx="4">
                  <c:v>6.3706563706563704E-2</c:v>
                </c:pt>
                <c:pt idx="5">
                  <c:v>3.8610038610038609E-2</c:v>
                </c:pt>
                <c:pt idx="6">
                  <c:v>1.3513513513513514E-2</c:v>
                </c:pt>
                <c:pt idx="7">
                  <c:v>1.9305019305019318E-3</c:v>
                </c:pt>
                <c:pt idx="8">
                  <c:v>0</c:v>
                </c:pt>
              </c:numCache>
            </c:numRef>
          </c:val>
          <c:smooth val="0"/>
          <c:extLst>
            <c:ext xmlns:c16="http://schemas.microsoft.com/office/drawing/2014/chart" uri="{C3380CC4-5D6E-409C-BE32-E72D297353CC}">
              <c16:uniqueId val="{00000000-01B3-4EE9-96B0-3CA120A00A9B}"/>
            </c:ext>
          </c:extLst>
        </c:ser>
        <c:ser>
          <c:idx val="1"/>
          <c:order val="1"/>
          <c:tx>
            <c:strRef>
              <c:f>'Table A.8'!$U$18:$U$19</c:f>
              <c:strCache>
                <c:ptCount val="2"/>
                <c:pt idx="0">
                  <c:v>A</c:v>
                </c:pt>
                <c:pt idx="1">
                  <c:v>UK fire</c:v>
                </c:pt>
              </c:strCache>
            </c:strRef>
          </c:tx>
          <c:spPr>
            <a:ln w="19050" cap="rnd">
              <a:solidFill>
                <a:schemeClr val="accent1"/>
              </a:solidFill>
              <a:round/>
            </a:ln>
            <a:effectLst/>
          </c:spPr>
          <c:marker>
            <c:symbol val="circle"/>
            <c:size val="5"/>
            <c:spPr>
              <a:solidFill>
                <a:schemeClr val="accent1"/>
              </a:solidFill>
              <a:ln w="15875">
                <a:solidFill>
                  <a:schemeClr val="accent1"/>
                </a:solidFill>
              </a:ln>
              <a:effectLst/>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A.8'!$U$20:$U$28</c:f>
              <c:numCache>
                <c:formatCode>0.00%</c:formatCode>
                <c:ptCount val="9"/>
                <c:pt idx="0">
                  <c:v>0.11976047904191611</c:v>
                </c:pt>
                <c:pt idx="1">
                  <c:v>9.5808383233532884E-2</c:v>
                </c:pt>
                <c:pt idx="2">
                  <c:v>5.3892215568862228E-2</c:v>
                </c:pt>
                <c:pt idx="3">
                  <c:v>2.3952095808383186E-2</c:v>
                </c:pt>
                <c:pt idx="4">
                  <c:v>1.7964071856287379E-2</c:v>
                </c:pt>
                <c:pt idx="5">
                  <c:v>1.1976047904191571E-2</c:v>
                </c:pt>
                <c:pt idx="6">
                  <c:v>5.9880239520957619E-3</c:v>
                </c:pt>
                <c:pt idx="7">
                  <c:v>5.9880239520957619E-3</c:v>
                </c:pt>
                <c:pt idx="8">
                  <c:v>-4.6837533851373792E-17</c:v>
                </c:pt>
              </c:numCache>
            </c:numRef>
          </c:val>
          <c:smooth val="0"/>
          <c:extLst>
            <c:ext xmlns:c16="http://schemas.microsoft.com/office/drawing/2014/chart" uri="{C3380CC4-5D6E-409C-BE32-E72D297353CC}">
              <c16:uniqueId val="{00000001-01B3-4EE9-96B0-3CA120A00A9B}"/>
            </c:ext>
          </c:extLst>
        </c:ser>
        <c:ser>
          <c:idx val="2"/>
          <c:order val="2"/>
          <c:tx>
            <c:strRef>
              <c:f>'Table A.8'!$V$18:$V$19</c:f>
              <c:strCache>
                <c:ptCount val="2"/>
                <c:pt idx="0">
                  <c:v>A</c:v>
                </c:pt>
                <c:pt idx="1">
                  <c:v>UK total</c:v>
                </c:pt>
              </c:strCache>
            </c:strRef>
          </c:tx>
          <c:spPr>
            <a:ln w="19050" cap="rnd">
              <a:solidFill>
                <a:schemeClr val="accent3"/>
              </a:solidFill>
              <a:round/>
            </a:ln>
            <a:effectLst/>
          </c:spPr>
          <c:marker>
            <c:symbol val="square"/>
            <c:size val="5"/>
            <c:spPr>
              <a:solidFill>
                <a:schemeClr val="accent3"/>
              </a:solidFill>
              <a:ln w="15875">
                <a:solidFill>
                  <a:schemeClr val="accent3"/>
                </a:solidFill>
              </a:ln>
              <a:effectLst/>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A.8'!$V$20:$V$28</c:f>
              <c:numCache>
                <c:formatCode>0.00%</c:formatCode>
                <c:ptCount val="9"/>
                <c:pt idx="0">
                  <c:v>0.23353293413173648</c:v>
                </c:pt>
                <c:pt idx="1">
                  <c:v>0.1736526946107784</c:v>
                </c:pt>
                <c:pt idx="2">
                  <c:v>0.14371257485029937</c:v>
                </c:pt>
                <c:pt idx="3">
                  <c:v>8.9820359281437084E-2</c:v>
                </c:pt>
                <c:pt idx="4">
                  <c:v>4.7904191616766428E-2</c:v>
                </c:pt>
                <c:pt idx="5">
                  <c:v>2.3952095808383193E-2</c:v>
                </c:pt>
                <c:pt idx="6">
                  <c:v>5.9880239520957688E-3</c:v>
                </c:pt>
                <c:pt idx="7">
                  <c:v>5.9880239520957688E-3</c:v>
                </c:pt>
                <c:pt idx="8">
                  <c:v>-3.9898639947466563E-17</c:v>
                </c:pt>
              </c:numCache>
            </c:numRef>
          </c:val>
          <c:smooth val="0"/>
          <c:extLst>
            <c:ext xmlns:c16="http://schemas.microsoft.com/office/drawing/2014/chart" uri="{C3380CC4-5D6E-409C-BE32-E72D297353CC}">
              <c16:uniqueId val="{00000002-01B3-4EE9-96B0-3CA120A00A9B}"/>
            </c:ext>
          </c:extLst>
        </c:ser>
        <c:ser>
          <c:idx val="3"/>
          <c:order val="3"/>
          <c:tx>
            <c:strRef>
              <c:f>'Table A.8'!$W$18:$W$19</c:f>
              <c:strCache>
                <c:ptCount val="2"/>
                <c:pt idx="0">
                  <c:v>A</c:v>
                </c:pt>
                <c:pt idx="1">
                  <c:v>USA</c:v>
                </c:pt>
              </c:strCache>
            </c:strRef>
          </c:tx>
          <c:spPr>
            <a:ln w="19050" cap="rnd">
              <a:solidFill>
                <a:schemeClr val="accent6"/>
              </a:solidFill>
              <a:prstDash val="solid"/>
              <a:round/>
            </a:ln>
            <a:effectLst/>
          </c:spPr>
          <c:marker>
            <c:symbol val="diamond"/>
            <c:size val="5"/>
            <c:spPr>
              <a:solidFill>
                <a:schemeClr val="accent6"/>
              </a:solidFill>
              <a:ln w="15875">
                <a:solidFill>
                  <a:schemeClr val="accent6"/>
                </a:solidFill>
                <a:prstDash val="solid"/>
              </a:ln>
              <a:effectLst/>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A.8'!$W$20:$W$28</c:f>
              <c:numCache>
                <c:formatCode>0.00%</c:formatCode>
                <c:ptCount val="9"/>
                <c:pt idx="0">
                  <c:v>0.66666666666666674</c:v>
                </c:pt>
                <c:pt idx="1">
                  <c:v>0.66666666666666674</c:v>
                </c:pt>
                <c:pt idx="2">
                  <c:v>0.58333333333333326</c:v>
                </c:pt>
                <c:pt idx="3">
                  <c:v>0.58333333333333326</c:v>
                </c:pt>
                <c:pt idx="4">
                  <c:v>0.5</c:v>
                </c:pt>
                <c:pt idx="5">
                  <c:v>0.41666666666666663</c:v>
                </c:pt>
                <c:pt idx="6">
                  <c:v>8.333333333333337E-2</c:v>
                </c:pt>
                <c:pt idx="7">
                  <c:v>8.333333333333337E-2</c:v>
                </c:pt>
                <c:pt idx="8">
                  <c:v>0</c:v>
                </c:pt>
              </c:numCache>
            </c:numRef>
          </c:val>
          <c:smooth val="0"/>
          <c:extLst>
            <c:ext xmlns:c16="http://schemas.microsoft.com/office/drawing/2014/chart" uri="{C3380CC4-5D6E-409C-BE32-E72D297353CC}">
              <c16:uniqueId val="{00000003-01B3-4EE9-96B0-3CA120A00A9B}"/>
            </c:ext>
          </c:extLst>
        </c:ser>
        <c:ser>
          <c:idx val="4"/>
          <c:order val="4"/>
          <c:tx>
            <c:strRef>
              <c:f>'Table A.8'!$X$18:$X$19</c:f>
              <c:strCache>
                <c:ptCount val="2"/>
                <c:pt idx="0">
                  <c:v>B</c:v>
                </c:pt>
                <c:pt idx="1">
                  <c:v>PD</c:v>
                </c:pt>
              </c:strCache>
            </c:strRef>
          </c:tx>
          <c:spPr>
            <a:ln w="19050" cap="rnd">
              <a:solidFill>
                <a:schemeClr val="accent2"/>
              </a:solidFill>
              <a:prstDash val="dash"/>
              <a:round/>
            </a:ln>
            <a:effectLst/>
          </c:spPr>
          <c:marker>
            <c:symbol val="triangle"/>
            <c:size val="5"/>
            <c:spPr>
              <a:solidFill>
                <a:schemeClr val="accent2"/>
              </a:solidFill>
              <a:ln w="15875">
                <a:solidFill>
                  <a:schemeClr val="accent2"/>
                </a:solidFill>
                <a:prstDash val="solid"/>
              </a:ln>
              <a:effectLst/>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A.8'!$X$20:$X$28</c:f>
              <c:numCache>
                <c:formatCode>0.0%</c:formatCode>
                <c:ptCount val="9"/>
                <c:pt idx="0">
                  <c:v>0.19751037344398337</c:v>
                </c:pt>
                <c:pt idx="1">
                  <c:v>0.11950207468879664</c:v>
                </c:pt>
                <c:pt idx="2">
                  <c:v>7.0539419087136901E-2</c:v>
                </c:pt>
                <c:pt idx="3">
                  <c:v>2.5726141078838145E-2</c:v>
                </c:pt>
                <c:pt idx="4">
                  <c:v>1.078838174273856E-2</c:v>
                </c:pt>
                <c:pt idx="5">
                  <c:v>7.4688796680497625E-3</c:v>
                </c:pt>
                <c:pt idx="6">
                  <c:v>5.809128630705364E-3</c:v>
                </c:pt>
                <c:pt idx="7">
                  <c:v>-3.0357660829594124E-17</c:v>
                </c:pt>
                <c:pt idx="8">
                  <c:v>-3.0357660829594124E-17</c:v>
                </c:pt>
              </c:numCache>
            </c:numRef>
          </c:val>
          <c:smooth val="0"/>
          <c:extLst>
            <c:ext xmlns:c16="http://schemas.microsoft.com/office/drawing/2014/chart" uri="{C3380CC4-5D6E-409C-BE32-E72D297353CC}">
              <c16:uniqueId val="{00000004-01B3-4EE9-96B0-3CA120A00A9B}"/>
            </c:ext>
          </c:extLst>
        </c:ser>
        <c:ser>
          <c:idx val="5"/>
          <c:order val="5"/>
          <c:tx>
            <c:strRef>
              <c:f>'Table A.8'!$Y$18:$Y$19</c:f>
              <c:strCache>
                <c:ptCount val="2"/>
                <c:pt idx="0">
                  <c:v>B</c:v>
                </c:pt>
                <c:pt idx="1">
                  <c:v>UK fire</c:v>
                </c:pt>
              </c:strCache>
            </c:strRef>
          </c:tx>
          <c:spPr>
            <a:ln w="19050" cap="rnd">
              <a:solidFill>
                <a:schemeClr val="accent1"/>
              </a:solidFill>
              <a:prstDash val="dash"/>
              <a:round/>
            </a:ln>
            <a:effectLst/>
          </c:spPr>
          <c:marker>
            <c:symbol val="circle"/>
            <c:size val="5"/>
            <c:spPr>
              <a:solidFill>
                <a:schemeClr val="accent1"/>
              </a:solidFill>
              <a:ln w="15875">
                <a:solidFill>
                  <a:schemeClr val="accent1"/>
                </a:solidFill>
                <a:prstDash val="solid"/>
              </a:ln>
              <a:effectLst/>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A.8'!$Y$20:$Y$28</c:f>
              <c:numCache>
                <c:formatCode>0.0%</c:formatCode>
                <c:ptCount val="9"/>
                <c:pt idx="0">
                  <c:v>0.25136612021857918</c:v>
                </c:pt>
                <c:pt idx="1">
                  <c:v>0.17486338797814202</c:v>
                </c:pt>
                <c:pt idx="2">
                  <c:v>0.11748633879781414</c:v>
                </c:pt>
                <c:pt idx="3">
                  <c:v>6.284153005464474E-2</c:v>
                </c:pt>
                <c:pt idx="4">
                  <c:v>4.0983606557376984E-2</c:v>
                </c:pt>
                <c:pt idx="5">
                  <c:v>3.0054644808743106E-2</c:v>
                </c:pt>
                <c:pt idx="6">
                  <c:v>1.3661202185792285E-2</c:v>
                </c:pt>
                <c:pt idx="7">
                  <c:v>5.4644808743168748E-3</c:v>
                </c:pt>
                <c:pt idx="8">
                  <c:v>-6.5052130349130266E-17</c:v>
                </c:pt>
              </c:numCache>
            </c:numRef>
          </c:val>
          <c:smooth val="0"/>
          <c:extLst>
            <c:ext xmlns:c16="http://schemas.microsoft.com/office/drawing/2014/chart" uri="{C3380CC4-5D6E-409C-BE32-E72D297353CC}">
              <c16:uniqueId val="{00000005-01B3-4EE9-96B0-3CA120A00A9B}"/>
            </c:ext>
          </c:extLst>
        </c:ser>
        <c:ser>
          <c:idx val="6"/>
          <c:order val="6"/>
          <c:tx>
            <c:strRef>
              <c:f>'Table A.8'!$Z$18:$Z$19</c:f>
              <c:strCache>
                <c:ptCount val="2"/>
                <c:pt idx="0">
                  <c:v>B</c:v>
                </c:pt>
                <c:pt idx="1">
                  <c:v>UK total</c:v>
                </c:pt>
              </c:strCache>
            </c:strRef>
          </c:tx>
          <c:spPr>
            <a:ln>
              <a:solidFill>
                <a:schemeClr val="accent3"/>
              </a:solidFill>
              <a:prstDash val="dash"/>
            </a:ln>
          </c:spPr>
          <c:marker>
            <c:spPr>
              <a:solidFill>
                <a:schemeClr val="accent3"/>
              </a:solidFill>
              <a:ln w="15875">
                <a:solidFill>
                  <a:schemeClr val="accent3"/>
                </a:solidFill>
                <a:prstDash val="solid"/>
              </a:ln>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A.8'!$Z$20:$Z$28</c:f>
              <c:numCache>
                <c:formatCode>0.0%</c:formatCode>
                <c:ptCount val="9"/>
                <c:pt idx="0">
                  <c:v>0.4699453551912568</c:v>
                </c:pt>
                <c:pt idx="1">
                  <c:v>0.36065573770491799</c:v>
                </c:pt>
                <c:pt idx="2">
                  <c:v>0.24590163934426224</c:v>
                </c:pt>
                <c:pt idx="3">
                  <c:v>0.15846994535519121</c:v>
                </c:pt>
                <c:pt idx="4">
                  <c:v>0.1147540983606557</c:v>
                </c:pt>
                <c:pt idx="5">
                  <c:v>6.0109289617486301E-2</c:v>
                </c:pt>
                <c:pt idx="6">
                  <c:v>3.5519125683060072E-2</c:v>
                </c:pt>
                <c:pt idx="7">
                  <c:v>8.1967213114753738E-3</c:v>
                </c:pt>
                <c:pt idx="8">
                  <c:v>-3.6429192995512949E-17</c:v>
                </c:pt>
              </c:numCache>
            </c:numRef>
          </c:val>
          <c:smooth val="0"/>
          <c:extLst>
            <c:ext xmlns:c16="http://schemas.microsoft.com/office/drawing/2014/chart" uri="{C3380CC4-5D6E-409C-BE32-E72D297353CC}">
              <c16:uniqueId val="{00000006-01B3-4EE9-96B0-3CA120A00A9B}"/>
            </c:ext>
          </c:extLst>
        </c:ser>
        <c:ser>
          <c:idx val="7"/>
          <c:order val="7"/>
          <c:tx>
            <c:strRef>
              <c:f>'Table A.8'!$AA$18:$AA$19</c:f>
              <c:strCache>
                <c:ptCount val="2"/>
                <c:pt idx="0">
                  <c:v>B</c:v>
                </c:pt>
                <c:pt idx="1">
                  <c:v>USA</c:v>
                </c:pt>
              </c:strCache>
            </c:strRef>
          </c:tx>
          <c:spPr>
            <a:ln>
              <a:solidFill>
                <a:schemeClr val="accent6"/>
              </a:solidFill>
              <a:prstDash val="dash"/>
            </a:ln>
          </c:spPr>
          <c:marker>
            <c:symbol val="diamond"/>
            <c:size val="5"/>
            <c:spPr>
              <a:solidFill>
                <a:schemeClr val="accent6"/>
              </a:solidFill>
              <a:ln w="15875">
                <a:solidFill>
                  <a:schemeClr val="accent6"/>
                </a:solidFill>
                <a:prstDash val="solid"/>
              </a:ln>
            </c:spPr>
          </c:marker>
          <c:cat>
            <c:strRef>
              <c:f>'Table A.8'!$S$20:$S$28</c:f>
              <c:strCache>
                <c:ptCount val="9"/>
                <c:pt idx="0">
                  <c:v>A</c:v>
                </c:pt>
                <c:pt idx="1">
                  <c:v>B</c:v>
                </c:pt>
                <c:pt idx="2">
                  <c:v>C</c:v>
                </c:pt>
                <c:pt idx="3">
                  <c:v>D</c:v>
                </c:pt>
                <c:pt idx="4">
                  <c:v>E</c:v>
                </c:pt>
                <c:pt idx="5">
                  <c:v>F</c:v>
                </c:pt>
                <c:pt idx="6">
                  <c:v>G</c:v>
                </c:pt>
                <c:pt idx="7">
                  <c:v>H</c:v>
                </c:pt>
                <c:pt idx="8">
                  <c:v>I</c:v>
                </c:pt>
              </c:strCache>
            </c:strRef>
          </c:cat>
          <c:val>
            <c:numRef>
              <c:f>'Table A.8'!$AA$20:$AA$28</c:f>
              <c:numCache>
                <c:formatCode>0.0%</c:formatCode>
                <c:ptCount val="9"/>
                <c:pt idx="0">
                  <c:v>0.52380952380952384</c:v>
                </c:pt>
                <c:pt idx="1">
                  <c:v>0.5</c:v>
                </c:pt>
                <c:pt idx="2">
                  <c:v>0.4285714285714286</c:v>
                </c:pt>
                <c:pt idx="3">
                  <c:v>0.30952380952380953</c:v>
                </c:pt>
                <c:pt idx="4">
                  <c:v>0.25</c:v>
                </c:pt>
                <c:pt idx="5">
                  <c:v>0.20238095238095233</c:v>
                </c:pt>
                <c:pt idx="6">
                  <c:v>7.1428571428571397E-2</c:v>
                </c:pt>
                <c:pt idx="7">
                  <c:v>3.5714285714285698E-2</c:v>
                </c:pt>
                <c:pt idx="8">
                  <c:v>0</c:v>
                </c:pt>
              </c:numCache>
            </c:numRef>
          </c:val>
          <c:smooth val="0"/>
          <c:extLst>
            <c:ext xmlns:c16="http://schemas.microsoft.com/office/drawing/2014/chart" uri="{C3380CC4-5D6E-409C-BE32-E72D297353CC}">
              <c16:uniqueId val="{00000007-01B3-4EE9-96B0-3CA120A00A9B}"/>
            </c:ext>
          </c:extLst>
        </c:ser>
        <c:dLbls>
          <c:showLegendKey val="0"/>
          <c:showVal val="0"/>
          <c:showCatName val="0"/>
          <c:showSerName val="0"/>
          <c:showPercent val="0"/>
          <c:showBubbleSize val="0"/>
        </c:dLbls>
        <c:marker val="1"/>
        <c:smooth val="0"/>
        <c:axId val="697559432"/>
        <c:axId val="697552872"/>
      </c:lineChart>
      <c:catAx>
        <c:axId val="6975594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Area damage [m</a:t>
                </a:r>
                <a:r>
                  <a:rPr lang="en-GB" baseline="30000"/>
                  <a:t>2</a:t>
                </a:r>
                <a:r>
                  <a:rPr lang="en-GB"/>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2872"/>
        <c:crosses val="autoZero"/>
        <c:auto val="1"/>
        <c:lblAlgn val="ctr"/>
        <c:lblOffset val="100"/>
        <c:noMultiLvlLbl val="0"/>
      </c:catAx>
      <c:valAx>
        <c:axId val="6975528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 fires exceeding upper limit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7559432"/>
        <c:crosses val="autoZero"/>
        <c:crossBetween val="between"/>
      </c:valAx>
    </c:plotArea>
    <c:legend>
      <c:legendPos val="b"/>
      <c:layout>
        <c:manualLayout>
          <c:xMode val="edge"/>
          <c:yMode val="edge"/>
          <c:x val="0.66888609155388101"/>
          <c:y val="4.0819624936235116E-3"/>
          <c:w val="0.3270697722872844"/>
          <c:h val="0.44773047531983456"/>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6571547630416"/>
          <c:y val="4.226705091258405E-2"/>
          <c:w val="0.69626787280035418"/>
          <c:h val="0.80559585300293801"/>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Sheet1!$B$38:$B$50</c:f>
              <c:numCache>
                <c:formatCode>0.00%</c:formatCode>
                <c:ptCount val="13"/>
                <c:pt idx="0">
                  <c:v>6.1565259174725211E-3</c:v>
                </c:pt>
                <c:pt idx="1">
                  <c:v>2.3149759799484786E-3</c:v>
                </c:pt>
                <c:pt idx="2">
                  <c:v>1.6237730136250427E-3</c:v>
                </c:pt>
                <c:pt idx="3">
                  <c:v>2.6643166027913841E-4</c:v>
                </c:pt>
                <c:pt idx="4">
                  <c:v>4.9998263949168429E-3</c:v>
                </c:pt>
                <c:pt idx="5">
                  <c:v>4.2205965109735509E-4</c:v>
                </c:pt>
                <c:pt idx="6">
                  <c:v>5.7158297306285338E-3</c:v>
                </c:pt>
                <c:pt idx="7">
                  <c:v>4.5646310256587594E-3</c:v>
                </c:pt>
                <c:pt idx="8">
                  <c:v>2.2826312512969496E-3</c:v>
                </c:pt>
                <c:pt idx="9">
                  <c:v>2.4053880692751764E-3</c:v>
                </c:pt>
                <c:pt idx="10">
                  <c:v>4.1459369817578774E-4</c:v>
                </c:pt>
              </c:numCache>
            </c:numRef>
          </c:yVal>
          <c:smooth val="0"/>
          <c:extLst>
            <c:ext xmlns:c16="http://schemas.microsoft.com/office/drawing/2014/chart" uri="{C3380CC4-5D6E-409C-BE32-E72D297353CC}">
              <c16:uniqueId val="{00000000-35A9-460E-A0D3-B38403839E1F}"/>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Sheet1!$A$56:$A$68</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Sheet1!$B$56:$B$68</c:f>
              <c:numCache>
                <c:formatCode>0.00%</c:formatCode>
                <c:ptCount val="13"/>
                <c:pt idx="0">
                  <c:v>3.7158474288368449E-3</c:v>
                </c:pt>
                <c:pt idx="1">
                  <c:v>4.0287841337504791E-3</c:v>
                </c:pt>
                <c:pt idx="2">
                  <c:v>4.239648051776174E-3</c:v>
                </c:pt>
                <c:pt idx="3">
                  <c:v>4.402079421367007E-3</c:v>
                </c:pt>
                <c:pt idx="4">
                  <c:v>4.5124551369821256E-3</c:v>
                </c:pt>
                <c:pt idx="5">
                  <c:v>4.5966975584432572E-3</c:v>
                </c:pt>
                <c:pt idx="6">
                  <c:v>4.7728083749295378E-3</c:v>
                </c:pt>
                <c:pt idx="7">
                  <c:v>5.0226140335381565E-3</c:v>
                </c:pt>
                <c:pt idx="8">
                  <c:v>5.3458023448957502E-3</c:v>
                </c:pt>
                <c:pt idx="9">
                  <c:v>5.6542368683802973E-3</c:v>
                </c:pt>
                <c:pt idx="10">
                  <c:v>5.9501759159763003E-3</c:v>
                </c:pt>
              </c:numCache>
            </c:numRef>
          </c:yVal>
          <c:smooth val="0"/>
          <c:extLst>
            <c:ext xmlns:c16="http://schemas.microsoft.com/office/drawing/2014/chart" uri="{C3380CC4-5D6E-409C-BE32-E72D297353CC}">
              <c16:uniqueId val="{00000001-35A9-460E-A0D3-B38403839E1F}"/>
            </c:ext>
          </c:extLst>
        </c:ser>
        <c:ser>
          <c:idx val="3"/>
          <c:order val="3"/>
          <c:tx>
            <c:strRef>
              <c:f>Sheet1!$A$36</c:f>
              <c:strCache>
                <c:ptCount val="1"/>
                <c:pt idx="0">
                  <c:v>UK-Improved</c:v>
                </c:pt>
              </c:strCache>
            </c:strRef>
          </c:tx>
          <c:spPr>
            <a:ln w="25400" cap="rnd">
              <a:noFill/>
              <a:round/>
            </a:ln>
            <a:effectLst/>
          </c:spPr>
          <c:marker>
            <c:symbol val="circle"/>
            <c:size val="5"/>
            <c:spPr>
              <a:noFill/>
              <a:ln w="9525">
                <a:noFill/>
              </a:ln>
              <a:effectLst/>
            </c:spPr>
          </c:marker>
          <c:trendline>
            <c:spPr>
              <a:ln w="19050" cap="rnd">
                <a:solidFill>
                  <a:srgbClr val="FF0000"/>
                </a:solidFill>
                <a:prstDash val="lgDashDotDot"/>
              </a:ln>
              <a:effectLst/>
            </c:spPr>
            <c:trendlineType val="poly"/>
            <c:order val="3"/>
            <c:dispRSqr val="0"/>
            <c:dispEq val="0"/>
          </c:trendline>
          <c:xVal>
            <c:numRef>
              <c:f>Sheet1!$A$38:$A$48</c:f>
              <c:numCache>
                <c:formatCode>General</c:formatCode>
                <c:ptCount val="11"/>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Sheet1!$B$38:$B$48</c:f>
              <c:numCache>
                <c:formatCode>0.00%</c:formatCode>
                <c:ptCount val="11"/>
                <c:pt idx="0">
                  <c:v>6.1565259174725211E-3</c:v>
                </c:pt>
                <c:pt idx="1">
                  <c:v>2.3149759799484786E-3</c:v>
                </c:pt>
                <c:pt idx="2">
                  <c:v>1.6237730136250427E-3</c:v>
                </c:pt>
                <c:pt idx="3">
                  <c:v>2.6643166027913841E-4</c:v>
                </c:pt>
                <c:pt idx="4">
                  <c:v>4.9998263949168429E-3</c:v>
                </c:pt>
                <c:pt idx="5">
                  <c:v>4.2205965109735509E-4</c:v>
                </c:pt>
                <c:pt idx="6">
                  <c:v>5.7158297306285338E-3</c:v>
                </c:pt>
                <c:pt idx="7">
                  <c:v>4.5646310256587594E-3</c:v>
                </c:pt>
                <c:pt idx="8">
                  <c:v>2.2826312512969496E-3</c:v>
                </c:pt>
                <c:pt idx="9">
                  <c:v>2.4053880692751764E-3</c:v>
                </c:pt>
                <c:pt idx="10">
                  <c:v>4.1459369817578774E-4</c:v>
                </c:pt>
              </c:numCache>
            </c:numRef>
          </c:yVal>
          <c:smooth val="0"/>
          <c:extLst>
            <c:ext xmlns:c16="http://schemas.microsoft.com/office/drawing/2014/chart" uri="{C3380CC4-5D6E-409C-BE32-E72D297353CC}">
              <c16:uniqueId val="{00000002-35A9-460E-A0D3-B38403839E1F}"/>
            </c:ext>
          </c:extLst>
        </c:ser>
        <c:ser>
          <c:idx val="4"/>
          <c:order val="4"/>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Sheet1!$A$38:$A$48</c:f>
              <c:numCache>
                <c:formatCode>General</c:formatCode>
                <c:ptCount val="11"/>
                <c:pt idx="0">
                  <c:v>25</c:v>
                </c:pt>
                <c:pt idx="1">
                  <c:v>75</c:v>
                </c:pt>
                <c:pt idx="2">
                  <c:v>150</c:v>
                </c:pt>
                <c:pt idx="3">
                  <c:v>250</c:v>
                </c:pt>
                <c:pt idx="4">
                  <c:v>350</c:v>
                </c:pt>
                <c:pt idx="5">
                  <c:v>450</c:v>
                </c:pt>
                <c:pt idx="6">
                  <c:v>750</c:v>
                </c:pt>
                <c:pt idx="7">
                  <c:v>1500</c:v>
                </c:pt>
                <c:pt idx="8">
                  <c:v>3500</c:v>
                </c:pt>
                <c:pt idx="9">
                  <c:v>7500</c:v>
                </c:pt>
                <c:pt idx="10">
                  <c:v>15000</c:v>
                </c:pt>
              </c:numCache>
            </c:numRef>
          </c:xVal>
          <c:yVal>
            <c:numRef>
              <c:f>Sheet1!$B$38:$B$48</c:f>
              <c:numCache>
                <c:formatCode>0.00%</c:formatCode>
                <c:ptCount val="11"/>
                <c:pt idx="0">
                  <c:v>6.1565259174725211E-3</c:v>
                </c:pt>
                <c:pt idx="1">
                  <c:v>2.3149759799484786E-3</c:v>
                </c:pt>
                <c:pt idx="2">
                  <c:v>1.6237730136250427E-3</c:v>
                </c:pt>
                <c:pt idx="3">
                  <c:v>2.6643166027913841E-4</c:v>
                </c:pt>
                <c:pt idx="4">
                  <c:v>4.9998263949168429E-3</c:v>
                </c:pt>
                <c:pt idx="5">
                  <c:v>4.2205965109735509E-4</c:v>
                </c:pt>
                <c:pt idx="6">
                  <c:v>5.7158297306285338E-3</c:v>
                </c:pt>
                <c:pt idx="7">
                  <c:v>4.5646310256587594E-3</c:v>
                </c:pt>
                <c:pt idx="8">
                  <c:v>2.2826312512969496E-3</c:v>
                </c:pt>
                <c:pt idx="9">
                  <c:v>2.4053880692751764E-3</c:v>
                </c:pt>
                <c:pt idx="10">
                  <c:v>4.1459369817578774E-4</c:v>
                </c:pt>
              </c:numCache>
            </c:numRef>
          </c:yVal>
          <c:smooth val="0"/>
          <c:extLst>
            <c:ext xmlns:c16="http://schemas.microsoft.com/office/drawing/2014/chart" uri="{C3380CC4-5D6E-409C-BE32-E72D297353CC}">
              <c16:uniqueId val="{00000003-35A9-460E-A0D3-B38403839E1F}"/>
            </c:ext>
          </c:extLst>
        </c:ser>
        <c:dLbls>
          <c:showLegendKey val="0"/>
          <c:showVal val="0"/>
          <c:showCatName val="0"/>
          <c:showSerName val="0"/>
          <c:showPercent val="0"/>
          <c:showBubbleSize val="0"/>
        </c:dLbls>
        <c:axId val="1015649432"/>
        <c:axId val="1015651728"/>
        <c:extLst>
          <c:ext xmlns:c15="http://schemas.microsoft.com/office/drawing/2012/chart" uri="{02D57815-91ED-43cb-92C2-25804820EDAC}">
            <c15:filteredScatterSeries>
              <c15:ser>
                <c:idx val="2"/>
                <c:order val="2"/>
                <c:tx>
                  <c:strRef>
                    <c:extLst>
                      <c:ext uri="{02D57815-91ED-43cb-92C2-25804820EDAC}">
                        <c15:formulaRef>
                          <c15:sqref>Sheet1!$A$70</c15:sqref>
                        </c15:formulaRef>
                      </c:ext>
                    </c:extLst>
                    <c:strCache>
                      <c:ptCount val="1"/>
                      <c:pt idx="0">
                        <c:v>PD</c:v>
                      </c:pt>
                    </c:strCache>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extLst>
                      <c:ext uri="{02D57815-91ED-43cb-92C2-25804820EDAC}">
                        <c15:formulaRef>
                          <c15:sqref>Sheet1!$A$74:$A$86</c15:sqref>
                        </c15:formulaRef>
                      </c:ext>
                    </c:extLst>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numCache>
                  </c:numRef>
                </c:xVal>
                <c:yVal>
                  <c:numRef>
                    <c:extLst>
                      <c:ext uri="{02D57815-91ED-43cb-92C2-25804820EDAC}">
                        <c15:formulaRef>
                          <c15:sqref>Sheet1!$B$74:$B$86</c15:sqref>
                        </c15:formulaRef>
                      </c:ext>
                    </c:extLst>
                    <c:numCache>
                      <c:formatCode>0.00%</c:formatCode>
                      <c:ptCount val="13"/>
                      <c:pt idx="0">
                        <c:v>9.3617518668902191E-3</c:v>
                      </c:pt>
                      <c:pt idx="1">
                        <c:v>1.6758355190333595E-2</c:v>
                      </c:pt>
                      <c:pt idx="2">
                        <c:v>2.4197878328258648E-2</c:v>
                      </c:pt>
                      <c:pt idx="3">
                        <c:v>3.1721749113210213E-2</c:v>
                      </c:pt>
                      <c:pt idx="4">
                        <c:v>3.7914469602642345E-2</c:v>
                      </c:pt>
                      <c:pt idx="5">
                        <c:v>4.3316320026770633E-2</c:v>
                      </c:pt>
                      <c:pt idx="6">
                        <c:v>5.6784707227496144E-2</c:v>
                      </c:pt>
                      <c:pt idx="7">
                        <c:v>8.1993096624978973E-2</c:v>
                      </c:pt>
                      <c:pt idx="8">
                        <c:v>0.12847096457972795</c:v>
                      </c:pt>
                      <c:pt idx="9">
                        <c:v>0.19241166202112608</c:v>
                      </c:pt>
                      <c:pt idx="10">
                        <c:v>0.27782881635131101</c:v>
                      </c:pt>
                    </c:numCache>
                  </c:numRef>
                </c:yVal>
                <c:smooth val="0"/>
                <c:extLst>
                  <c:ext xmlns:c16="http://schemas.microsoft.com/office/drawing/2014/chart" uri="{C3380CC4-5D6E-409C-BE32-E72D297353CC}">
                    <c16:uniqueId val="{00000004-35A9-460E-A0D3-B38403839E1F}"/>
                  </c:ext>
                </c:extLst>
              </c15:ser>
            </c15:filteredScatterSeries>
          </c:ext>
        </c:extLst>
      </c:scatterChart>
      <c:valAx>
        <c:axId val="1015649432"/>
        <c:scaling>
          <c:orientation val="minMax"/>
          <c:max val="15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39848978635112736"/>
          <c:y val="0.24207099810847663"/>
          <c:w val="0.5190471312364896"/>
          <c:h val="0.22055717748601034"/>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63581591992291"/>
          <c:y val="4.226705091258405E-2"/>
          <c:w val="0.70421203413520383"/>
          <c:h val="0.80559585300293801"/>
        </c:manualLayout>
      </c:layout>
      <c:scatterChart>
        <c:scatterStyle val="lineMarker"/>
        <c:varyColors val="0"/>
        <c:ser>
          <c:idx val="0"/>
          <c:order val="0"/>
          <c:tx>
            <c:v>UK-Improved</c:v>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numCache>
            </c:numRef>
          </c:xVal>
          <c:yVal>
            <c:numRef>
              <c:f>Sheet1!$B$38:$B$50</c:f>
              <c:numCache>
                <c:formatCode>0.00%</c:formatCode>
                <c:ptCount val="13"/>
                <c:pt idx="0">
                  <c:v>2.7423452333199625E-2</c:v>
                </c:pt>
                <c:pt idx="1">
                  <c:v>2.3467600700525393E-2</c:v>
                </c:pt>
                <c:pt idx="2">
                  <c:v>1.0685483870967741E-2</c:v>
                </c:pt>
                <c:pt idx="3">
                  <c:v>2.8901734104046241E-3</c:v>
                </c:pt>
                <c:pt idx="4">
                  <c:v>2.5352112676056339E-2</c:v>
                </c:pt>
                <c:pt idx="5">
                  <c:v>1.1210762331838565E-3</c:v>
                </c:pt>
                <c:pt idx="6">
                  <c:v>3.7808219178082192E-2</c:v>
                </c:pt>
                <c:pt idx="7">
                  <c:v>2.5150905432595575E-2</c:v>
                </c:pt>
                <c:pt idx="8">
                  <c:v>1.555023923444976E-2</c:v>
                </c:pt>
                <c:pt idx="9">
                  <c:v>1.6447368421052631E-3</c:v>
                </c:pt>
              </c:numCache>
            </c:numRef>
          </c:yVal>
          <c:smooth val="0"/>
          <c:extLst>
            <c:ext xmlns:c16="http://schemas.microsoft.com/office/drawing/2014/chart" uri="{C3380CC4-5D6E-409C-BE32-E72D297353CC}">
              <c16:uniqueId val="{00000001-D465-A540-BD25-E42995A0A5E0}"/>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Sheet1!$A$56:$A$68</c:f>
              <c:numCache>
                <c:formatCode>General</c:formatCode>
                <c:ptCount val="13"/>
                <c:pt idx="0">
                  <c:v>25</c:v>
                </c:pt>
                <c:pt idx="1">
                  <c:v>75</c:v>
                </c:pt>
                <c:pt idx="2">
                  <c:v>150</c:v>
                </c:pt>
                <c:pt idx="3">
                  <c:v>250</c:v>
                </c:pt>
                <c:pt idx="4">
                  <c:v>350</c:v>
                </c:pt>
                <c:pt idx="5">
                  <c:v>450</c:v>
                </c:pt>
                <c:pt idx="6">
                  <c:v>750</c:v>
                </c:pt>
                <c:pt idx="7">
                  <c:v>1500</c:v>
                </c:pt>
                <c:pt idx="8">
                  <c:v>3500</c:v>
                </c:pt>
                <c:pt idx="9">
                  <c:v>7500</c:v>
                </c:pt>
              </c:numCache>
            </c:numRef>
          </c:xVal>
          <c:yVal>
            <c:numRef>
              <c:f>Sheet1!$B$56:$B$68</c:f>
              <c:numCache>
                <c:formatCode>0.00%</c:formatCode>
                <c:ptCount val="13"/>
                <c:pt idx="0">
                  <c:v>7.0573334154794776E-2</c:v>
                </c:pt>
                <c:pt idx="1">
                  <c:v>0.10015745382480164</c:v>
                </c:pt>
                <c:pt idx="2">
                  <c:v>0.12491411079466412</c:v>
                </c:pt>
                <c:pt idx="3">
                  <c:v>0.14699660426330177</c:v>
                </c:pt>
                <c:pt idx="4">
                  <c:v>0.16363395840344308</c:v>
                </c:pt>
                <c:pt idx="5">
                  <c:v>0.17727771308836093</c:v>
                </c:pt>
                <c:pt idx="6">
                  <c:v>0.20861711835254165</c:v>
                </c:pt>
                <c:pt idx="7">
                  <c:v>0.26018255097754883</c:v>
                </c:pt>
                <c:pt idx="8">
                  <c:v>0.34083179596856694</c:v>
                </c:pt>
                <c:pt idx="9">
                  <c:v>0.43452684156534932</c:v>
                </c:pt>
              </c:numCache>
            </c:numRef>
          </c:yVal>
          <c:smooth val="0"/>
          <c:extLst>
            <c:ext xmlns:c16="http://schemas.microsoft.com/office/drawing/2014/chart" uri="{C3380CC4-5D6E-409C-BE32-E72D297353CC}">
              <c16:uniqueId val="{00000003-D465-A540-BD25-E42995A0A5E0}"/>
            </c:ext>
          </c:extLst>
        </c:ser>
        <c:ser>
          <c:idx val="2"/>
          <c:order val="2"/>
          <c:tx>
            <c:strRef>
              <c:f>Sheet1!$A$70</c:f>
              <c:strCache>
                <c:ptCount val="1"/>
                <c:pt idx="0">
                  <c:v>PD</c:v>
                </c:pt>
              </c:strCache>
              <c:extLst xmlns:c15="http://schemas.microsoft.com/office/drawing/2012/chart"/>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f>Sheet1!$A$74:$A$86</c:f>
              <c:numCache>
                <c:formatCode>General</c:formatCode>
                <c:ptCount val="13"/>
                <c:pt idx="0">
                  <c:v>25</c:v>
                </c:pt>
                <c:pt idx="1">
                  <c:v>75</c:v>
                </c:pt>
                <c:pt idx="2">
                  <c:v>150</c:v>
                </c:pt>
                <c:pt idx="3">
                  <c:v>250</c:v>
                </c:pt>
                <c:pt idx="4">
                  <c:v>350</c:v>
                </c:pt>
                <c:pt idx="5">
                  <c:v>450</c:v>
                </c:pt>
                <c:pt idx="6">
                  <c:v>750</c:v>
                </c:pt>
                <c:pt idx="7">
                  <c:v>1500</c:v>
                </c:pt>
                <c:pt idx="8">
                  <c:v>3500</c:v>
                </c:pt>
                <c:pt idx="9">
                  <c:v>7500</c:v>
                </c:pt>
              </c:numCache>
            </c:numRef>
          </c:xVal>
          <c:yVal>
            <c:numRef>
              <c:f>Sheet1!$B$74:$B$86</c:f>
              <c:numCache>
                <c:formatCode>0.00%</c:formatCode>
                <c:ptCount val="13"/>
                <c:pt idx="0">
                  <c:v>3.3500000000000001E-3</c:v>
                </c:pt>
                <c:pt idx="1">
                  <c:v>5.8023702053557396E-3</c:v>
                </c:pt>
                <c:pt idx="2">
                  <c:v>8.2057906383236467E-3</c:v>
                </c:pt>
                <c:pt idx="3">
                  <c:v>1.0593630161564071E-2</c:v>
                </c:pt>
                <c:pt idx="4">
                  <c:v>1.2534552245692705E-2</c:v>
                </c:pt>
                <c:pt idx="5">
                  <c:v>1.4212846301849606E-2</c:v>
                </c:pt>
                <c:pt idx="6">
                  <c:v>1.8348705676423067E-2</c:v>
                </c:pt>
                <c:pt idx="7">
                  <c:v>2.5948988419589692E-2</c:v>
                </c:pt>
                <c:pt idx="8">
                  <c:v>3.9637734546767431E-2</c:v>
                </c:pt>
                <c:pt idx="9">
                  <c:v>5.8023702053557391E-2</c:v>
                </c:pt>
              </c:numCache>
            </c:numRef>
          </c:yVal>
          <c:smooth val="0"/>
          <c:extLst xmlns:c15="http://schemas.microsoft.com/office/drawing/2012/chart">
            <c:ext xmlns:c16="http://schemas.microsoft.com/office/drawing/2014/chart" uri="{C3380CC4-5D6E-409C-BE32-E72D297353CC}">
              <c16:uniqueId val="{00000005-D465-A540-BD25-E42995A0A5E0}"/>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2.7423452333199625E-2</c:v>
                </c:pt>
                <c:pt idx="1">
                  <c:v>2.3467600700525393E-2</c:v>
                </c:pt>
                <c:pt idx="2">
                  <c:v>1.0685483870967741E-2</c:v>
                </c:pt>
                <c:pt idx="3">
                  <c:v>2.8901734104046241E-3</c:v>
                </c:pt>
                <c:pt idx="4">
                  <c:v>2.5352112676056339E-2</c:v>
                </c:pt>
                <c:pt idx="5">
                  <c:v>1.1210762331838565E-3</c:v>
                </c:pt>
                <c:pt idx="6">
                  <c:v>3.7808219178082192E-2</c:v>
                </c:pt>
                <c:pt idx="7">
                  <c:v>2.5150905432595575E-2</c:v>
                </c:pt>
                <c:pt idx="8">
                  <c:v>1.555023923444976E-2</c:v>
                </c:pt>
                <c:pt idx="9">
                  <c:v>1.6447368421052631E-3</c:v>
                </c:pt>
              </c:numCache>
            </c:numRef>
          </c:yVal>
          <c:smooth val="0"/>
          <c:extLst>
            <c:ext xmlns:c16="http://schemas.microsoft.com/office/drawing/2014/chart" uri="{C3380CC4-5D6E-409C-BE32-E72D297353CC}">
              <c16:uniqueId val="{00000006-D465-A540-BD25-E42995A0A5E0}"/>
            </c:ext>
          </c:extLst>
        </c:ser>
        <c:dLbls>
          <c:showLegendKey val="0"/>
          <c:showVal val="0"/>
          <c:showCatName val="0"/>
          <c:showSerName val="0"/>
          <c:showPercent val="0"/>
          <c:showBubbleSize val="0"/>
        </c:dLbls>
        <c:axId val="1015649432"/>
        <c:axId val="1015651728"/>
        <c:extLst/>
      </c:scatterChart>
      <c:valAx>
        <c:axId val="1015649432"/>
        <c:scaling>
          <c:orientation val="minMax"/>
          <c:max val="8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36269400724027473"/>
          <c:y val="0.43294908630393569"/>
          <c:w val="0.53518651954613716"/>
          <c:h val="0.20940344085921925"/>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63581591992291"/>
          <c:y val="4.226705091258405E-2"/>
          <c:w val="0.70067801613001246"/>
          <c:h val="0.80643580975488915"/>
        </c:manualLayout>
      </c:layout>
      <c:scatterChart>
        <c:scatterStyle val="lineMarker"/>
        <c:varyColors val="0"/>
        <c:ser>
          <c:idx val="0"/>
          <c:order val="0"/>
          <c:tx>
            <c:v>UK-Improved</c:v>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numCache>
            </c:numRef>
          </c:xVal>
          <c:yVal>
            <c:numRef>
              <c:f>Sheet1!$B$38:$B$50</c:f>
              <c:numCache>
                <c:formatCode>0.00%</c:formatCode>
                <c:ptCount val="13"/>
                <c:pt idx="0">
                  <c:v>2.7423452333199625E-2</c:v>
                </c:pt>
                <c:pt idx="1">
                  <c:v>2.3467600700525393E-2</c:v>
                </c:pt>
                <c:pt idx="2">
                  <c:v>1.0685483870967741E-2</c:v>
                </c:pt>
                <c:pt idx="3">
                  <c:v>2.8901734104046241E-3</c:v>
                </c:pt>
                <c:pt idx="4">
                  <c:v>2.5352112676056339E-2</c:v>
                </c:pt>
                <c:pt idx="5">
                  <c:v>1.1210762331838565E-3</c:v>
                </c:pt>
                <c:pt idx="6">
                  <c:v>3.7808219178082192E-2</c:v>
                </c:pt>
                <c:pt idx="7">
                  <c:v>2.5150905432595575E-2</c:v>
                </c:pt>
                <c:pt idx="8">
                  <c:v>1.555023923444976E-2</c:v>
                </c:pt>
                <c:pt idx="9">
                  <c:v>1.6447368421052631E-3</c:v>
                </c:pt>
              </c:numCache>
            </c:numRef>
          </c:yVal>
          <c:smooth val="0"/>
          <c:extLst>
            <c:ext xmlns:c16="http://schemas.microsoft.com/office/drawing/2014/chart" uri="{C3380CC4-5D6E-409C-BE32-E72D297353CC}">
              <c16:uniqueId val="{00000001-6F09-5A40-879A-5588D6F41D42}"/>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2.7423452333199625E-2</c:v>
                </c:pt>
                <c:pt idx="1">
                  <c:v>2.3467600700525393E-2</c:v>
                </c:pt>
                <c:pt idx="2">
                  <c:v>1.0685483870967741E-2</c:v>
                </c:pt>
                <c:pt idx="3">
                  <c:v>2.8901734104046241E-3</c:v>
                </c:pt>
                <c:pt idx="4">
                  <c:v>2.5352112676056339E-2</c:v>
                </c:pt>
                <c:pt idx="5">
                  <c:v>1.1210762331838565E-3</c:v>
                </c:pt>
                <c:pt idx="6">
                  <c:v>3.7808219178082192E-2</c:v>
                </c:pt>
                <c:pt idx="7">
                  <c:v>2.5150905432595575E-2</c:v>
                </c:pt>
                <c:pt idx="8">
                  <c:v>1.555023923444976E-2</c:v>
                </c:pt>
                <c:pt idx="9">
                  <c:v>1.6447368421052631E-3</c:v>
                </c:pt>
              </c:numCache>
            </c:numRef>
          </c:yVal>
          <c:smooth val="0"/>
          <c:extLst>
            <c:ext xmlns:c16="http://schemas.microsoft.com/office/drawing/2014/chart" uri="{C3380CC4-5D6E-409C-BE32-E72D297353CC}">
              <c16:uniqueId val="{00000002-6F09-5A40-879A-5588D6F41D42}"/>
            </c:ext>
          </c:extLst>
        </c:ser>
        <c:ser>
          <c:idx val="4"/>
          <c:order val="4"/>
          <c:tx>
            <c:v>UK-Improved</c:v>
          </c:tx>
          <c:spPr>
            <a:ln w="25400" cap="rnd">
              <a:noFill/>
              <a:round/>
            </a:ln>
            <a:effectLst/>
          </c:spPr>
          <c:marker>
            <c:symbol val="circle"/>
            <c:size val="5"/>
            <c:spPr>
              <a:noFill/>
              <a:ln w="9525">
                <a:noFill/>
              </a:ln>
              <a:effectLst/>
            </c:spPr>
          </c:marker>
          <c:trendline>
            <c:spPr>
              <a:ln w="19050" cap="rnd">
                <a:solidFill>
                  <a:srgbClr val="FF0000"/>
                </a:solidFill>
                <a:prstDash val="lgDashDotDot"/>
              </a:ln>
              <a:effectLst/>
            </c:spPr>
            <c:trendlineType val="poly"/>
            <c:order val="2"/>
            <c:dispRSqr val="0"/>
            <c:dispEq val="0"/>
          </c:trendline>
          <c:xVal>
            <c:numRef>
              <c:f>Sheet1!$A$38:$A$47</c:f>
              <c:numCache>
                <c:formatCode>General</c:formatCode>
                <c:ptCount val="10"/>
                <c:pt idx="0">
                  <c:v>25</c:v>
                </c:pt>
                <c:pt idx="1">
                  <c:v>75</c:v>
                </c:pt>
                <c:pt idx="2">
                  <c:v>150</c:v>
                </c:pt>
                <c:pt idx="3">
                  <c:v>250</c:v>
                </c:pt>
                <c:pt idx="4">
                  <c:v>350</c:v>
                </c:pt>
                <c:pt idx="5">
                  <c:v>450</c:v>
                </c:pt>
                <c:pt idx="6">
                  <c:v>750</c:v>
                </c:pt>
                <c:pt idx="7">
                  <c:v>1500</c:v>
                </c:pt>
                <c:pt idx="8">
                  <c:v>3500</c:v>
                </c:pt>
                <c:pt idx="9">
                  <c:v>7500</c:v>
                </c:pt>
              </c:numCache>
            </c:numRef>
          </c:xVal>
          <c:yVal>
            <c:numRef>
              <c:f>Sheet1!$B$38:$B$47</c:f>
              <c:numCache>
                <c:formatCode>0.00%</c:formatCode>
                <c:ptCount val="10"/>
                <c:pt idx="0">
                  <c:v>2.7423452333199625E-2</c:v>
                </c:pt>
                <c:pt idx="1">
                  <c:v>2.3467600700525393E-2</c:v>
                </c:pt>
                <c:pt idx="2">
                  <c:v>1.0685483870967741E-2</c:v>
                </c:pt>
                <c:pt idx="3">
                  <c:v>2.8901734104046241E-3</c:v>
                </c:pt>
                <c:pt idx="4">
                  <c:v>2.5352112676056339E-2</c:v>
                </c:pt>
                <c:pt idx="5">
                  <c:v>1.1210762331838565E-3</c:v>
                </c:pt>
                <c:pt idx="6">
                  <c:v>3.7808219178082192E-2</c:v>
                </c:pt>
                <c:pt idx="7">
                  <c:v>2.5150905432595575E-2</c:v>
                </c:pt>
                <c:pt idx="8">
                  <c:v>1.555023923444976E-2</c:v>
                </c:pt>
                <c:pt idx="9">
                  <c:v>1.6447368421052631E-3</c:v>
                </c:pt>
              </c:numCache>
            </c:numRef>
          </c:yVal>
          <c:smooth val="0"/>
          <c:extLst>
            <c:ext xmlns:c16="http://schemas.microsoft.com/office/drawing/2014/chart" uri="{C3380CC4-5D6E-409C-BE32-E72D297353CC}">
              <c16:uniqueId val="{00000004-6F09-5A40-879A-5588D6F41D42}"/>
            </c:ext>
          </c:extLst>
        </c:ser>
        <c:dLbls>
          <c:showLegendKey val="0"/>
          <c:showVal val="0"/>
          <c:showCatName val="0"/>
          <c:showSerName val="0"/>
          <c:showPercent val="0"/>
          <c:showBubbleSize val="0"/>
        </c:dLbls>
        <c:axId val="1015649432"/>
        <c:axId val="1015651728"/>
        <c:extLst>
          <c:ext xmlns:c15="http://schemas.microsoft.com/office/drawing/2012/chart" uri="{02D57815-91ED-43cb-92C2-25804820EDAC}">
            <c15:filteredScatterSeries>
              <c15:ser>
                <c:idx val="1"/>
                <c:order val="1"/>
                <c:tx>
                  <c:strRef>
                    <c:extLst>
                      <c:ext uri="{02D57815-91ED-43cb-92C2-25804820EDAC}">
                        <c15:formulaRef>
                          <c15:sqref>Sheet1!$A$52</c15:sqref>
                        </c15:formulaRef>
                      </c:ext>
                    </c:extLst>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extLst>
                      <c:ext uri="{02D57815-91ED-43cb-92C2-25804820EDAC}">
                        <c15:formulaRef>
                          <c15:sqref>Sheet1!$A$56:$A$68</c15:sqref>
                        </c15:formulaRef>
                      </c:ext>
                    </c:extLst>
                    <c:numCache>
                      <c:formatCode>General</c:formatCode>
                      <c:ptCount val="13"/>
                      <c:pt idx="0">
                        <c:v>25</c:v>
                      </c:pt>
                      <c:pt idx="1">
                        <c:v>75</c:v>
                      </c:pt>
                      <c:pt idx="2">
                        <c:v>150</c:v>
                      </c:pt>
                      <c:pt idx="3">
                        <c:v>250</c:v>
                      </c:pt>
                      <c:pt idx="4">
                        <c:v>350</c:v>
                      </c:pt>
                      <c:pt idx="5">
                        <c:v>450</c:v>
                      </c:pt>
                      <c:pt idx="6">
                        <c:v>750</c:v>
                      </c:pt>
                      <c:pt idx="7">
                        <c:v>1500</c:v>
                      </c:pt>
                      <c:pt idx="8">
                        <c:v>3500</c:v>
                      </c:pt>
                      <c:pt idx="9">
                        <c:v>7500</c:v>
                      </c:pt>
                    </c:numCache>
                  </c:numRef>
                </c:xVal>
                <c:yVal>
                  <c:numRef>
                    <c:extLst>
                      <c:ext uri="{02D57815-91ED-43cb-92C2-25804820EDAC}">
                        <c15:formulaRef>
                          <c15:sqref>Sheet1!$B$56:$B$68</c15:sqref>
                        </c15:formulaRef>
                      </c:ext>
                    </c:extLst>
                    <c:numCache>
                      <c:formatCode>0.00%</c:formatCode>
                      <c:ptCount val="13"/>
                      <c:pt idx="0">
                        <c:v>7.0573334154794776E-2</c:v>
                      </c:pt>
                      <c:pt idx="1">
                        <c:v>0.10015745382480164</c:v>
                      </c:pt>
                      <c:pt idx="2">
                        <c:v>0.12491411079466412</c:v>
                      </c:pt>
                      <c:pt idx="3">
                        <c:v>0.14699660426330177</c:v>
                      </c:pt>
                      <c:pt idx="4">
                        <c:v>0.16363395840344308</c:v>
                      </c:pt>
                      <c:pt idx="5">
                        <c:v>0.17727771308836093</c:v>
                      </c:pt>
                      <c:pt idx="6">
                        <c:v>0.20861711835254165</c:v>
                      </c:pt>
                      <c:pt idx="7">
                        <c:v>0.26018255097754883</c:v>
                      </c:pt>
                      <c:pt idx="8">
                        <c:v>0.34083179596856694</c:v>
                      </c:pt>
                      <c:pt idx="9">
                        <c:v>0.43452684156534932</c:v>
                      </c:pt>
                    </c:numCache>
                  </c:numRef>
                </c:yVal>
                <c:smooth val="0"/>
                <c:extLst>
                  <c:ext xmlns:c16="http://schemas.microsoft.com/office/drawing/2014/chart" uri="{C3380CC4-5D6E-409C-BE32-E72D297353CC}">
                    <c16:uniqueId val="{00000006-6F09-5A40-879A-5588D6F41D42}"/>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Sheet1!$A$70</c15:sqref>
                        </c15:formulaRef>
                      </c:ext>
                    </c:extLst>
                    <c:strCache>
                      <c:ptCount val="1"/>
                      <c:pt idx="0">
                        <c:v>PD</c:v>
                      </c:pt>
                    </c:strCache>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extLst xmlns:c15="http://schemas.microsoft.com/office/drawing/2012/chart">
                      <c:ext xmlns:c15="http://schemas.microsoft.com/office/drawing/2012/chart" uri="{02D57815-91ED-43cb-92C2-25804820EDAC}">
                        <c15:formulaRef>
                          <c15:sqref>Sheet1!$A$74:$A$86</c15:sqref>
                        </c15:formulaRef>
                      </c:ext>
                    </c:extLst>
                    <c:numCache>
                      <c:formatCode>General</c:formatCode>
                      <c:ptCount val="13"/>
                      <c:pt idx="0">
                        <c:v>25</c:v>
                      </c:pt>
                      <c:pt idx="1">
                        <c:v>75</c:v>
                      </c:pt>
                      <c:pt idx="2">
                        <c:v>150</c:v>
                      </c:pt>
                      <c:pt idx="3">
                        <c:v>250</c:v>
                      </c:pt>
                      <c:pt idx="4">
                        <c:v>350</c:v>
                      </c:pt>
                      <c:pt idx="5">
                        <c:v>450</c:v>
                      </c:pt>
                      <c:pt idx="6">
                        <c:v>750</c:v>
                      </c:pt>
                      <c:pt idx="7">
                        <c:v>1500</c:v>
                      </c:pt>
                      <c:pt idx="8">
                        <c:v>3500</c:v>
                      </c:pt>
                      <c:pt idx="9">
                        <c:v>7500</c:v>
                      </c:pt>
                    </c:numCache>
                  </c:numRef>
                </c:xVal>
                <c:yVal>
                  <c:numRef>
                    <c:extLst xmlns:c15="http://schemas.microsoft.com/office/drawing/2012/chart">
                      <c:ext xmlns:c15="http://schemas.microsoft.com/office/drawing/2012/chart" uri="{02D57815-91ED-43cb-92C2-25804820EDAC}">
                        <c15:formulaRef>
                          <c15:sqref>Sheet1!$B$74:$B$86</c15:sqref>
                        </c15:formulaRef>
                      </c:ext>
                    </c:extLst>
                    <c:numCache>
                      <c:formatCode>0.00%</c:formatCode>
                      <c:ptCount val="13"/>
                      <c:pt idx="0">
                        <c:v>3.3500000000000001E-3</c:v>
                      </c:pt>
                      <c:pt idx="1">
                        <c:v>5.8023702053557396E-3</c:v>
                      </c:pt>
                      <c:pt idx="2">
                        <c:v>8.2057906383236467E-3</c:v>
                      </c:pt>
                      <c:pt idx="3">
                        <c:v>1.0593630161564071E-2</c:v>
                      </c:pt>
                      <c:pt idx="4">
                        <c:v>1.2534552245692705E-2</c:v>
                      </c:pt>
                      <c:pt idx="5">
                        <c:v>1.4212846301849606E-2</c:v>
                      </c:pt>
                      <c:pt idx="6">
                        <c:v>1.8348705676423067E-2</c:v>
                      </c:pt>
                      <c:pt idx="7">
                        <c:v>2.5948988419589692E-2</c:v>
                      </c:pt>
                      <c:pt idx="8">
                        <c:v>3.9637734546767431E-2</c:v>
                      </c:pt>
                      <c:pt idx="9">
                        <c:v>5.8023702053557391E-2</c:v>
                      </c:pt>
                    </c:numCache>
                  </c:numRef>
                </c:yVal>
                <c:smooth val="0"/>
                <c:extLst xmlns:c15="http://schemas.microsoft.com/office/drawing/2012/chart">
                  <c:ext xmlns:c16="http://schemas.microsoft.com/office/drawing/2014/chart" uri="{C3380CC4-5D6E-409C-BE32-E72D297353CC}">
                    <c16:uniqueId val="{00000008-6F09-5A40-879A-5588D6F41D42}"/>
                  </c:ext>
                </c:extLst>
              </c15:ser>
            </c15:filteredScatterSeries>
          </c:ext>
        </c:extLst>
      </c:scatterChart>
      <c:valAx>
        <c:axId val="1015649432"/>
        <c:scaling>
          <c:orientation val="minMax"/>
          <c:max val="8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2"/>
        <c:delete val="1"/>
      </c:legendEntry>
      <c:layout>
        <c:manualLayout>
          <c:xMode val="edge"/>
          <c:yMode val="edge"/>
          <c:x val="0.39960760142027452"/>
          <c:y val="4.9744517013291599E-2"/>
          <c:w val="0.52345727456614777"/>
          <c:h val="0.18709874585288719"/>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6571547630416"/>
          <c:y val="4.226705091258405E-2"/>
          <c:w val="0.68303744281137957"/>
          <c:h val="0.79551498285589939"/>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Sheet1!$B$38:$B$50</c:f>
              <c:numCache>
                <c:formatCode>0.00%</c:formatCode>
                <c:ptCount val="13"/>
                <c:pt idx="0">
                  <c:v>2.6889513089894939E-3</c:v>
                </c:pt>
                <c:pt idx="1">
                  <c:v>1.3489250900066742E-3</c:v>
                </c:pt>
                <c:pt idx="2">
                  <c:v>2.6663309064784433E-3</c:v>
                </c:pt>
                <c:pt idx="3">
                  <c:v>2.2665248161339562E-3</c:v>
                </c:pt>
                <c:pt idx="4">
                  <c:v>7.710888145670754E-3</c:v>
                </c:pt>
                <c:pt idx="5">
                  <c:v>4.0759691267019341E-3</c:v>
                </c:pt>
                <c:pt idx="6">
                  <c:v>6.644668444605162E-3</c:v>
                </c:pt>
                <c:pt idx="7">
                  <c:v>9.9386958944826312E-3</c:v>
                </c:pt>
                <c:pt idx="8">
                  <c:v>7.2486605735896624E-3</c:v>
                </c:pt>
                <c:pt idx="9">
                  <c:v>2.2799817601459188E-3</c:v>
                </c:pt>
                <c:pt idx="10">
                  <c:v>3.2000000000000002E-3</c:v>
                </c:pt>
                <c:pt idx="11">
                  <c:v>1.3333333333333334E-2</c:v>
                </c:pt>
              </c:numCache>
            </c:numRef>
          </c:yVal>
          <c:smooth val="0"/>
          <c:extLst>
            <c:ext xmlns:c16="http://schemas.microsoft.com/office/drawing/2014/chart" uri="{C3380CC4-5D6E-409C-BE32-E72D297353CC}">
              <c16:uniqueId val="{00000000-3E26-4A3F-9F66-9336E890BA2C}"/>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Sheet1!$A$56:$A$68</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Sheet1!$B$56:$B$68</c:f>
              <c:numCache>
                <c:formatCode>0.00%</c:formatCode>
                <c:ptCount val="13"/>
                <c:pt idx="0">
                  <c:v>3.1961876911700479E-3</c:v>
                </c:pt>
                <c:pt idx="1">
                  <c:v>3.3823961191560741E-3</c:v>
                </c:pt>
                <c:pt idx="2">
                  <c:v>3.5054228510016158E-3</c:v>
                </c:pt>
                <c:pt idx="3">
                  <c:v>3.5989443544539169E-3</c:v>
                </c:pt>
                <c:pt idx="4">
                  <c:v>3.661904283011616E-3</c:v>
                </c:pt>
                <c:pt idx="5">
                  <c:v>3.7096471774748689E-3</c:v>
                </c:pt>
                <c:pt idx="6">
                  <c:v>3.8086172007962792E-3</c:v>
                </c:pt>
                <c:pt idx="7">
                  <c:v>3.947146725594099E-3</c:v>
                </c:pt>
                <c:pt idx="8">
                  <c:v>4.1233466302070514E-3</c:v>
                </c:pt>
                <c:pt idx="9">
                  <c:v>4.2885470746757181E-3</c:v>
                </c:pt>
                <c:pt idx="10">
                  <c:v>4.4445329238715098E-3</c:v>
                </c:pt>
                <c:pt idx="11">
                  <c:v>4.6429360569897535E-3</c:v>
                </c:pt>
              </c:numCache>
            </c:numRef>
          </c:yVal>
          <c:smooth val="0"/>
          <c:extLst>
            <c:ext xmlns:c16="http://schemas.microsoft.com/office/drawing/2014/chart" uri="{C3380CC4-5D6E-409C-BE32-E72D297353CC}">
              <c16:uniqueId val="{00000001-3E26-4A3F-9F66-9336E890BA2C}"/>
            </c:ext>
          </c:extLst>
        </c:ser>
        <c:ser>
          <c:idx val="2"/>
          <c:order val="2"/>
          <c:tx>
            <c:strRef>
              <c:f>Sheet1!$A$70</c:f>
              <c:strCache>
                <c:ptCount val="1"/>
                <c:pt idx="0">
                  <c:v>PD</c:v>
                </c:pt>
              </c:strCache>
              <c:extLst xmlns:c15="http://schemas.microsoft.com/office/drawing/2012/chart"/>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f>Sheet1!$A$74:$A$86</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Sheet1!$B$74:$B$86</c:f>
              <c:numCache>
                <c:formatCode>0.00%</c:formatCode>
                <c:ptCount val="13"/>
                <c:pt idx="0">
                  <c:v>1.6500000000000002E-3</c:v>
                </c:pt>
                <c:pt idx="1">
                  <c:v>4.9500000000000004E-3</c:v>
                </c:pt>
                <c:pt idx="2">
                  <c:v>9.9000000000000008E-3</c:v>
                </c:pt>
                <c:pt idx="3">
                  <c:v>1.6500000000000001E-2</c:v>
                </c:pt>
                <c:pt idx="4">
                  <c:v>2.3100000000000002E-2</c:v>
                </c:pt>
                <c:pt idx="5">
                  <c:v>2.9700000000000001E-2</c:v>
                </c:pt>
                <c:pt idx="6">
                  <c:v>4.9500000000000002E-2</c:v>
                </c:pt>
                <c:pt idx="7">
                  <c:v>9.9000000000000005E-2</c:v>
                </c:pt>
                <c:pt idx="8">
                  <c:v>0.23100000000000001</c:v>
                </c:pt>
                <c:pt idx="9">
                  <c:v>0.49500000000000005</c:v>
                </c:pt>
                <c:pt idx="10">
                  <c:v>0.9900000000000001</c:v>
                </c:pt>
                <c:pt idx="11">
                  <c:v>2.31</c:v>
                </c:pt>
              </c:numCache>
            </c:numRef>
          </c:yVal>
          <c:smooth val="0"/>
          <c:extLst xmlns:c15="http://schemas.microsoft.com/office/drawing/2012/chart">
            <c:ext xmlns:c16="http://schemas.microsoft.com/office/drawing/2014/chart" uri="{C3380CC4-5D6E-409C-BE32-E72D297353CC}">
              <c16:uniqueId val="{00000002-3E26-4A3F-9F66-9336E890BA2C}"/>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Sheet1!$A$38:$A$49</c:f>
              <c:numCache>
                <c:formatCode>General</c:formatCode>
                <c:ptCount val="12"/>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Sheet1!$B$38:$B$49</c:f>
              <c:numCache>
                <c:formatCode>0.00%</c:formatCode>
                <c:ptCount val="12"/>
                <c:pt idx="0">
                  <c:v>2.6889513089894939E-3</c:v>
                </c:pt>
                <c:pt idx="1">
                  <c:v>1.3489250900066742E-3</c:v>
                </c:pt>
                <c:pt idx="2">
                  <c:v>2.6663309064784433E-3</c:v>
                </c:pt>
                <c:pt idx="3">
                  <c:v>2.2665248161339562E-3</c:v>
                </c:pt>
                <c:pt idx="4">
                  <c:v>7.710888145670754E-3</c:v>
                </c:pt>
                <c:pt idx="5">
                  <c:v>4.0759691267019341E-3</c:v>
                </c:pt>
                <c:pt idx="6">
                  <c:v>6.644668444605162E-3</c:v>
                </c:pt>
                <c:pt idx="7">
                  <c:v>9.9386958944826312E-3</c:v>
                </c:pt>
                <c:pt idx="8">
                  <c:v>7.2486605735896624E-3</c:v>
                </c:pt>
                <c:pt idx="9">
                  <c:v>2.2799817601459188E-3</c:v>
                </c:pt>
                <c:pt idx="10">
                  <c:v>3.2000000000000002E-3</c:v>
                </c:pt>
                <c:pt idx="11">
                  <c:v>1.3333333333333334E-2</c:v>
                </c:pt>
              </c:numCache>
            </c:numRef>
          </c:yVal>
          <c:smooth val="0"/>
          <c:extLst>
            <c:ext xmlns:c16="http://schemas.microsoft.com/office/drawing/2014/chart" uri="{C3380CC4-5D6E-409C-BE32-E72D297353CC}">
              <c16:uniqueId val="{00000003-3E26-4A3F-9F66-9336E890BA2C}"/>
            </c:ext>
          </c:extLst>
        </c:ser>
        <c:dLbls>
          <c:showLegendKey val="0"/>
          <c:showVal val="0"/>
          <c:showCatName val="0"/>
          <c:showSerName val="0"/>
          <c:showPercent val="0"/>
          <c:showBubbleSize val="0"/>
        </c:dLbls>
        <c:axId val="1015649432"/>
        <c:axId val="1015651728"/>
        <c:extLst/>
      </c:scatterChart>
      <c:valAx>
        <c:axId val="1015649432"/>
        <c:scaling>
          <c:orientation val="minMax"/>
          <c:max val="4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38248756391669353"/>
          <c:y val="0.41213408051816097"/>
          <c:w val="0.51966524581340234"/>
          <c:h val="0.20471977903673541"/>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88758475201624"/>
          <c:y val="2.7042169253945019E-2"/>
          <c:w val="0.68303744281137957"/>
          <c:h val="0.80586384367124098"/>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Sheet1!$B$38:$B$50</c:f>
              <c:numCache>
                <c:formatCode>0.00%</c:formatCode>
                <c:ptCount val="13"/>
                <c:pt idx="0">
                  <c:v>2.6889513089894939E-3</c:v>
                </c:pt>
                <c:pt idx="1">
                  <c:v>1.3489250900066742E-3</c:v>
                </c:pt>
                <c:pt idx="2">
                  <c:v>2.6663309064784433E-3</c:v>
                </c:pt>
                <c:pt idx="3">
                  <c:v>2.2665248161339562E-3</c:v>
                </c:pt>
                <c:pt idx="4">
                  <c:v>7.710888145670754E-3</c:v>
                </c:pt>
                <c:pt idx="5">
                  <c:v>4.0759691267019341E-3</c:v>
                </c:pt>
                <c:pt idx="6">
                  <c:v>6.644668444605162E-3</c:v>
                </c:pt>
                <c:pt idx="7">
                  <c:v>9.9386958944826312E-3</c:v>
                </c:pt>
                <c:pt idx="8">
                  <c:v>7.2486605735896624E-3</c:v>
                </c:pt>
                <c:pt idx="9">
                  <c:v>2.2799817601459188E-3</c:v>
                </c:pt>
                <c:pt idx="10">
                  <c:v>3.2000000000000002E-3</c:v>
                </c:pt>
                <c:pt idx="11">
                  <c:v>1.3333333333333334E-2</c:v>
                </c:pt>
              </c:numCache>
            </c:numRef>
          </c:yVal>
          <c:smooth val="0"/>
          <c:extLst>
            <c:ext xmlns:c16="http://schemas.microsoft.com/office/drawing/2014/chart" uri="{C3380CC4-5D6E-409C-BE32-E72D297353CC}">
              <c16:uniqueId val="{00000000-2437-4AE0-A681-E4B16CD8A898}"/>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Sheet1!$A$56:$A$68</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Sheet1!$B$56:$B$68</c:f>
              <c:numCache>
                <c:formatCode>0.00%</c:formatCode>
                <c:ptCount val="13"/>
                <c:pt idx="0">
                  <c:v>3.1961876911700479E-3</c:v>
                </c:pt>
                <c:pt idx="1">
                  <c:v>3.3823961191560741E-3</c:v>
                </c:pt>
                <c:pt idx="2">
                  <c:v>3.5054228510016158E-3</c:v>
                </c:pt>
                <c:pt idx="3">
                  <c:v>3.5989443544539169E-3</c:v>
                </c:pt>
                <c:pt idx="4">
                  <c:v>3.661904283011616E-3</c:v>
                </c:pt>
                <c:pt idx="5">
                  <c:v>3.7096471774748689E-3</c:v>
                </c:pt>
                <c:pt idx="6">
                  <c:v>3.8086172007962792E-3</c:v>
                </c:pt>
                <c:pt idx="7">
                  <c:v>3.947146725594099E-3</c:v>
                </c:pt>
                <c:pt idx="8">
                  <c:v>4.1233466302070514E-3</c:v>
                </c:pt>
                <c:pt idx="9">
                  <c:v>4.2885470746757181E-3</c:v>
                </c:pt>
                <c:pt idx="10">
                  <c:v>4.4445329238715098E-3</c:v>
                </c:pt>
                <c:pt idx="11">
                  <c:v>4.6429360569897535E-3</c:v>
                </c:pt>
              </c:numCache>
            </c:numRef>
          </c:yVal>
          <c:smooth val="0"/>
          <c:extLst>
            <c:ext xmlns:c16="http://schemas.microsoft.com/office/drawing/2014/chart" uri="{C3380CC4-5D6E-409C-BE32-E72D297353CC}">
              <c16:uniqueId val="{00000001-2437-4AE0-A681-E4B16CD8A898}"/>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Sheet1!$A$38:$A$49</c:f>
              <c:numCache>
                <c:formatCode>General</c:formatCode>
                <c:ptCount val="12"/>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Sheet1!$B$38:$B$49</c:f>
              <c:numCache>
                <c:formatCode>0.00%</c:formatCode>
                <c:ptCount val="12"/>
                <c:pt idx="0">
                  <c:v>2.6889513089894939E-3</c:v>
                </c:pt>
                <c:pt idx="1">
                  <c:v>1.3489250900066742E-3</c:v>
                </c:pt>
                <c:pt idx="2">
                  <c:v>2.6663309064784433E-3</c:v>
                </c:pt>
                <c:pt idx="3">
                  <c:v>2.2665248161339562E-3</c:v>
                </c:pt>
                <c:pt idx="4">
                  <c:v>7.710888145670754E-3</c:v>
                </c:pt>
                <c:pt idx="5">
                  <c:v>4.0759691267019341E-3</c:v>
                </c:pt>
                <c:pt idx="6">
                  <c:v>6.644668444605162E-3</c:v>
                </c:pt>
                <c:pt idx="7">
                  <c:v>9.9386958944826312E-3</c:v>
                </c:pt>
                <c:pt idx="8">
                  <c:v>7.2486605735896624E-3</c:v>
                </c:pt>
                <c:pt idx="9">
                  <c:v>2.2799817601459188E-3</c:v>
                </c:pt>
                <c:pt idx="10">
                  <c:v>3.2000000000000002E-3</c:v>
                </c:pt>
                <c:pt idx="11">
                  <c:v>1.3333333333333334E-2</c:v>
                </c:pt>
              </c:numCache>
            </c:numRef>
          </c:yVal>
          <c:smooth val="0"/>
          <c:extLst>
            <c:ext xmlns:c16="http://schemas.microsoft.com/office/drawing/2014/chart" uri="{C3380CC4-5D6E-409C-BE32-E72D297353CC}">
              <c16:uniqueId val="{00000002-2437-4AE0-A681-E4B16CD8A898}"/>
            </c:ext>
          </c:extLst>
        </c:ser>
        <c:ser>
          <c:idx val="4"/>
          <c:order val="4"/>
          <c:tx>
            <c:v>UK-Improved</c:v>
          </c:tx>
          <c:spPr>
            <a:ln w="25400" cap="rnd">
              <a:noFill/>
              <a:round/>
            </a:ln>
            <a:effectLst/>
          </c:spPr>
          <c:marker>
            <c:symbol val="circle"/>
            <c:size val="5"/>
            <c:spPr>
              <a:noFill/>
              <a:ln w="9525">
                <a:noFill/>
              </a:ln>
              <a:effectLst/>
            </c:spPr>
          </c:marker>
          <c:trendline>
            <c:spPr>
              <a:ln w="19050" cap="rnd">
                <a:solidFill>
                  <a:srgbClr val="FF0000"/>
                </a:solidFill>
                <a:prstDash val="lgDashDotDot"/>
              </a:ln>
              <a:effectLst/>
            </c:spPr>
            <c:trendlineType val="poly"/>
            <c:order val="2"/>
            <c:dispRSqr val="0"/>
            <c:dispEq val="0"/>
          </c:trendline>
          <c:xVal>
            <c:numRef>
              <c:f>Sheet1!$A$38:$A$49</c:f>
              <c:numCache>
                <c:formatCode>General</c:formatCode>
                <c:ptCount val="12"/>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Sheet1!$B$38:$B$49</c:f>
              <c:numCache>
                <c:formatCode>0.00%</c:formatCode>
                <c:ptCount val="12"/>
                <c:pt idx="0">
                  <c:v>2.6889513089894939E-3</c:v>
                </c:pt>
                <c:pt idx="1">
                  <c:v>1.3489250900066742E-3</c:v>
                </c:pt>
                <c:pt idx="2">
                  <c:v>2.6663309064784433E-3</c:v>
                </c:pt>
                <c:pt idx="3">
                  <c:v>2.2665248161339562E-3</c:v>
                </c:pt>
                <c:pt idx="4">
                  <c:v>7.710888145670754E-3</c:v>
                </c:pt>
                <c:pt idx="5">
                  <c:v>4.0759691267019341E-3</c:v>
                </c:pt>
                <c:pt idx="6">
                  <c:v>6.644668444605162E-3</c:v>
                </c:pt>
                <c:pt idx="7">
                  <c:v>9.9386958944826312E-3</c:v>
                </c:pt>
                <c:pt idx="8">
                  <c:v>7.2486605735896624E-3</c:v>
                </c:pt>
                <c:pt idx="9">
                  <c:v>2.2799817601459188E-3</c:v>
                </c:pt>
                <c:pt idx="10">
                  <c:v>3.2000000000000002E-3</c:v>
                </c:pt>
                <c:pt idx="11">
                  <c:v>1.3333333333333334E-2</c:v>
                </c:pt>
              </c:numCache>
            </c:numRef>
          </c:yVal>
          <c:smooth val="0"/>
          <c:extLst>
            <c:ext xmlns:c16="http://schemas.microsoft.com/office/drawing/2014/chart" uri="{C3380CC4-5D6E-409C-BE32-E72D297353CC}">
              <c16:uniqueId val="{00000003-2437-4AE0-A681-E4B16CD8A898}"/>
            </c:ext>
          </c:extLst>
        </c:ser>
        <c:dLbls>
          <c:showLegendKey val="0"/>
          <c:showVal val="0"/>
          <c:showCatName val="0"/>
          <c:showSerName val="0"/>
          <c:showPercent val="0"/>
          <c:showBubbleSize val="0"/>
        </c:dLbls>
        <c:axId val="1015649432"/>
        <c:axId val="1015651728"/>
        <c:extLst>
          <c:ext xmlns:c15="http://schemas.microsoft.com/office/drawing/2012/chart" uri="{02D57815-91ED-43cb-92C2-25804820EDAC}">
            <c15:filteredScatterSeries>
              <c15:ser>
                <c:idx val="2"/>
                <c:order val="2"/>
                <c:tx>
                  <c:strRef>
                    <c:extLst>
                      <c:ext uri="{02D57815-91ED-43cb-92C2-25804820EDAC}">
                        <c15:formulaRef>
                          <c15:sqref>Sheet1!$A$70</c15:sqref>
                        </c15:formulaRef>
                      </c:ext>
                    </c:extLst>
                    <c:strCache>
                      <c:ptCount val="1"/>
                      <c:pt idx="0">
                        <c:v>PD</c:v>
                      </c:pt>
                    </c:strCache>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extLst>
                      <c:ext uri="{02D57815-91ED-43cb-92C2-25804820EDAC}">
                        <c15:formulaRef>
                          <c15:sqref>Sheet1!$A$74:$A$86</c15:sqref>
                        </c15:formulaRef>
                      </c:ext>
                    </c:extLst>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extLst>
                      <c:ext uri="{02D57815-91ED-43cb-92C2-25804820EDAC}">
                        <c15:formulaRef>
                          <c15:sqref>Sheet1!$B$74:$B$86</c15:sqref>
                        </c15:formulaRef>
                      </c:ext>
                    </c:extLst>
                    <c:numCache>
                      <c:formatCode>0.00%</c:formatCode>
                      <c:ptCount val="13"/>
                      <c:pt idx="0">
                        <c:v>1.6500000000000002E-3</c:v>
                      </c:pt>
                      <c:pt idx="1">
                        <c:v>4.9500000000000004E-3</c:v>
                      </c:pt>
                      <c:pt idx="2">
                        <c:v>9.9000000000000008E-3</c:v>
                      </c:pt>
                      <c:pt idx="3">
                        <c:v>1.6500000000000001E-2</c:v>
                      </c:pt>
                      <c:pt idx="4">
                        <c:v>2.3100000000000002E-2</c:v>
                      </c:pt>
                      <c:pt idx="5">
                        <c:v>2.9700000000000001E-2</c:v>
                      </c:pt>
                      <c:pt idx="6">
                        <c:v>4.9500000000000002E-2</c:v>
                      </c:pt>
                      <c:pt idx="7">
                        <c:v>9.9000000000000005E-2</c:v>
                      </c:pt>
                      <c:pt idx="8">
                        <c:v>0.23100000000000001</c:v>
                      </c:pt>
                      <c:pt idx="9">
                        <c:v>0.49500000000000005</c:v>
                      </c:pt>
                      <c:pt idx="10">
                        <c:v>0.9900000000000001</c:v>
                      </c:pt>
                      <c:pt idx="11">
                        <c:v>2.31</c:v>
                      </c:pt>
                    </c:numCache>
                  </c:numRef>
                </c:yVal>
                <c:smooth val="0"/>
                <c:extLst>
                  <c:ext xmlns:c16="http://schemas.microsoft.com/office/drawing/2014/chart" uri="{C3380CC4-5D6E-409C-BE32-E72D297353CC}">
                    <c16:uniqueId val="{00000004-2437-4AE0-A681-E4B16CD8A898}"/>
                  </c:ext>
                </c:extLst>
              </c15:ser>
            </c15:filteredScatterSeries>
          </c:ext>
        </c:extLst>
      </c:scatterChart>
      <c:valAx>
        <c:axId val="1015649432"/>
        <c:scaling>
          <c:orientation val="minMax"/>
          <c:max val="4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3"/>
        <c:delete val="1"/>
      </c:legendEntry>
      <c:layout>
        <c:manualLayout>
          <c:xMode val="edge"/>
          <c:yMode val="edge"/>
          <c:x val="0.38248756391669353"/>
          <c:y val="0.12490397682941791"/>
          <c:w val="0.51966524581340234"/>
          <c:h val="0.21791830563961043"/>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24701143338341"/>
          <c:y val="2.7042169253945019E-2"/>
          <c:w val="0.70067801613001246"/>
          <c:h val="0.80720732551150787"/>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Sheet1!$B$38:$B$50</c:f>
              <c:numCache>
                <c:formatCode>0.00%</c:formatCode>
                <c:ptCount val="13"/>
                <c:pt idx="0">
                  <c:v>5.2936728006049909E-4</c:v>
                </c:pt>
                <c:pt idx="1">
                  <c:v>3.7396746483055974E-4</c:v>
                </c:pt>
                <c:pt idx="2">
                  <c:v>9.2355595429717389E-4</c:v>
                </c:pt>
                <c:pt idx="3">
                  <c:v>6.0864272671941571E-4</c:v>
                </c:pt>
                <c:pt idx="4">
                  <c:v>2.3284242388963267E-3</c:v>
                </c:pt>
                <c:pt idx="5">
                  <c:v>1.188734455010973E-3</c:v>
                </c:pt>
                <c:pt idx="6">
                  <c:v>1.7381500446281767E-3</c:v>
                </c:pt>
                <c:pt idx="7">
                  <c:v>5.6575576430401365E-3</c:v>
                </c:pt>
                <c:pt idx="8">
                  <c:v>7.470651013874066E-3</c:v>
                </c:pt>
                <c:pt idx="9">
                  <c:v>1.4010507880910683E-2</c:v>
                </c:pt>
                <c:pt idx="10">
                  <c:v>6.1099796334012219E-3</c:v>
                </c:pt>
                <c:pt idx="11">
                  <c:v>9.7560975609756097E-3</c:v>
                </c:pt>
              </c:numCache>
            </c:numRef>
          </c:yVal>
          <c:smooth val="0"/>
          <c:extLst>
            <c:ext xmlns:c16="http://schemas.microsoft.com/office/drawing/2014/chart" uri="{C3380CC4-5D6E-409C-BE32-E72D297353CC}">
              <c16:uniqueId val="{00000000-B54C-46BE-A404-D52E43142D8B}"/>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Sheet1!$A$56:$A$68</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Sheet1!$B$56:$B$68</c:f>
              <c:numCache>
                <c:formatCode>0.00%</c:formatCode>
                <c:ptCount val="13"/>
                <c:pt idx="0">
                  <c:v>9.3049082706416831E-4</c:v>
                </c:pt>
                <c:pt idx="1">
                  <c:v>9.4369766448891633E-4</c:v>
                </c:pt>
                <c:pt idx="2">
                  <c:v>9.5212652683149268E-4</c:v>
                </c:pt>
                <c:pt idx="3">
                  <c:v>9.583864559260868E-4</c:v>
                </c:pt>
                <c:pt idx="4">
                  <c:v>9.6253223202455592E-4</c:v>
                </c:pt>
                <c:pt idx="5">
                  <c:v>9.6564044860472284E-4</c:v>
                </c:pt>
                <c:pt idx="6">
                  <c:v>9.7198922743693726E-4</c:v>
                </c:pt>
                <c:pt idx="7">
                  <c:v>9.8067078266889833E-4</c:v>
                </c:pt>
                <c:pt idx="8">
                  <c:v>9.9138844546720539E-4</c:v>
                </c:pt>
                <c:pt idx="9">
                  <c:v>1.0011289566612576E-3</c:v>
                </c:pt>
                <c:pt idx="10">
                  <c:v>1.0100707803834079E-3</c:v>
                </c:pt>
                <c:pt idx="11">
                  <c:v>1.021109753112982E-3</c:v>
                </c:pt>
              </c:numCache>
            </c:numRef>
          </c:yVal>
          <c:smooth val="0"/>
          <c:extLst>
            <c:ext xmlns:c16="http://schemas.microsoft.com/office/drawing/2014/chart" uri="{C3380CC4-5D6E-409C-BE32-E72D297353CC}">
              <c16:uniqueId val="{00000001-B54C-46BE-A404-D52E43142D8B}"/>
            </c:ext>
          </c:extLst>
        </c:ser>
        <c:ser>
          <c:idx val="2"/>
          <c:order val="2"/>
          <c:tx>
            <c:strRef>
              <c:f>Sheet1!$A$70</c:f>
              <c:strCache>
                <c:ptCount val="1"/>
                <c:pt idx="0">
                  <c:v>PD</c:v>
                </c:pt>
              </c:strCache>
              <c:extLst xmlns:c15="http://schemas.microsoft.com/office/drawing/2012/chart"/>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f>Sheet1!$A$74:$A$86</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Sheet1!$B$74:$B$86</c:f>
              <c:numCache>
                <c:formatCode>0.00%</c:formatCode>
                <c:ptCount val="13"/>
                <c:pt idx="0">
                  <c:v>1.0690500039246009E-3</c:v>
                </c:pt>
                <c:pt idx="1">
                  <c:v>2.8734731850271387E-3</c:v>
                </c:pt>
                <c:pt idx="2">
                  <c:v>5.3620905638533363E-3</c:v>
                </c:pt>
                <c:pt idx="3">
                  <c:v>8.4917660244941424E-3</c:v>
                </c:pt>
                <c:pt idx="4">
                  <c:v>1.1495113177379276E-2</c:v>
                </c:pt>
                <c:pt idx="5">
                  <c:v>1.4412631209350171E-2</c:v>
                </c:pt>
                <c:pt idx="6">
                  <c:v>2.2824808825901651E-2</c:v>
                </c:pt>
                <c:pt idx="7">
                  <c:v>4.2592599320173487E-2</c:v>
                </c:pt>
                <c:pt idx="8">
                  <c:v>9.1308929581435092E-2</c:v>
                </c:pt>
                <c:pt idx="9">
                  <c:v>0.18130390102597682</c:v>
                </c:pt>
                <c:pt idx="10">
                  <c:v>0.33832504230312055</c:v>
                </c:pt>
                <c:pt idx="11">
                  <c:v>0.72529260848985022</c:v>
                </c:pt>
              </c:numCache>
            </c:numRef>
          </c:yVal>
          <c:smooth val="0"/>
          <c:extLst xmlns:c15="http://schemas.microsoft.com/office/drawing/2012/chart">
            <c:ext xmlns:c16="http://schemas.microsoft.com/office/drawing/2014/chart" uri="{C3380CC4-5D6E-409C-BE32-E72D297353CC}">
              <c16:uniqueId val="{00000002-B54C-46BE-A404-D52E43142D8B}"/>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Sheet1!$A$38:$A$49</c:f>
              <c:numCache>
                <c:formatCode>General</c:formatCode>
                <c:ptCount val="12"/>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Sheet1!$B$38:$B$49</c:f>
              <c:numCache>
                <c:formatCode>0.00%</c:formatCode>
                <c:ptCount val="12"/>
                <c:pt idx="0">
                  <c:v>5.2936728006049909E-4</c:v>
                </c:pt>
                <c:pt idx="1">
                  <c:v>3.7396746483055974E-4</c:v>
                </c:pt>
                <c:pt idx="2">
                  <c:v>9.2355595429717389E-4</c:v>
                </c:pt>
                <c:pt idx="3">
                  <c:v>6.0864272671941571E-4</c:v>
                </c:pt>
                <c:pt idx="4">
                  <c:v>2.3284242388963267E-3</c:v>
                </c:pt>
                <c:pt idx="5">
                  <c:v>1.188734455010973E-3</c:v>
                </c:pt>
                <c:pt idx="6">
                  <c:v>1.7381500446281767E-3</c:v>
                </c:pt>
                <c:pt idx="7">
                  <c:v>5.6575576430401365E-3</c:v>
                </c:pt>
                <c:pt idx="8">
                  <c:v>7.470651013874066E-3</c:v>
                </c:pt>
                <c:pt idx="9">
                  <c:v>1.4010507880910683E-2</c:v>
                </c:pt>
                <c:pt idx="10">
                  <c:v>6.1099796334012219E-3</c:v>
                </c:pt>
                <c:pt idx="11">
                  <c:v>9.7560975609756097E-3</c:v>
                </c:pt>
              </c:numCache>
            </c:numRef>
          </c:yVal>
          <c:smooth val="0"/>
          <c:extLst>
            <c:ext xmlns:c16="http://schemas.microsoft.com/office/drawing/2014/chart" uri="{C3380CC4-5D6E-409C-BE32-E72D297353CC}">
              <c16:uniqueId val="{00000003-B54C-46BE-A404-D52E43142D8B}"/>
            </c:ext>
          </c:extLst>
        </c:ser>
        <c:dLbls>
          <c:showLegendKey val="0"/>
          <c:showVal val="0"/>
          <c:showCatName val="0"/>
          <c:showSerName val="0"/>
          <c:showPercent val="0"/>
          <c:showBubbleSize val="0"/>
        </c:dLbls>
        <c:axId val="1015649432"/>
        <c:axId val="1015651728"/>
        <c:extLst/>
      </c:scatterChart>
      <c:valAx>
        <c:axId val="1015649432"/>
        <c:scaling>
          <c:orientation val="minMax"/>
          <c:max val="4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39571799390566809"/>
          <c:y val="3.3401940605704242E-2"/>
          <c:w val="0.5214414570835757"/>
          <c:h val="0.21108844781641342"/>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76571547630416"/>
          <c:y val="4.226705091258405E-2"/>
          <c:w val="0.69626787280035418"/>
          <c:h val="0.79894056171528971"/>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Sheet1!$A$38:$A$50</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Sheet1!$B$38:$B$50</c:f>
              <c:numCache>
                <c:formatCode>0.00%</c:formatCode>
                <c:ptCount val="13"/>
                <c:pt idx="0">
                  <c:v>5.2936728006049909E-4</c:v>
                </c:pt>
                <c:pt idx="1">
                  <c:v>3.7396746483055974E-4</c:v>
                </c:pt>
                <c:pt idx="2">
                  <c:v>9.2355595429717389E-4</c:v>
                </c:pt>
                <c:pt idx="3">
                  <c:v>6.0864272671941571E-4</c:v>
                </c:pt>
                <c:pt idx="4">
                  <c:v>2.3284242388963267E-3</c:v>
                </c:pt>
                <c:pt idx="5">
                  <c:v>1.188734455010973E-3</c:v>
                </c:pt>
                <c:pt idx="6">
                  <c:v>1.7381500446281767E-3</c:v>
                </c:pt>
                <c:pt idx="7">
                  <c:v>5.6575576430401365E-3</c:v>
                </c:pt>
                <c:pt idx="8">
                  <c:v>7.470651013874066E-3</c:v>
                </c:pt>
                <c:pt idx="9">
                  <c:v>1.4010507880910683E-2</c:v>
                </c:pt>
                <c:pt idx="10">
                  <c:v>6.1099796334012219E-3</c:v>
                </c:pt>
                <c:pt idx="11">
                  <c:v>9.7560975609756097E-3</c:v>
                </c:pt>
              </c:numCache>
            </c:numRef>
          </c:yVal>
          <c:smooth val="0"/>
          <c:extLst>
            <c:ext xmlns:c16="http://schemas.microsoft.com/office/drawing/2014/chart" uri="{C3380CC4-5D6E-409C-BE32-E72D297353CC}">
              <c16:uniqueId val="{00000000-3EDD-4A45-990A-5ABCAF310FF7}"/>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Sheet1!$A$56:$A$68</c:f>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Sheet1!$B$56:$B$68</c:f>
              <c:numCache>
                <c:formatCode>0.00%</c:formatCode>
                <c:ptCount val="13"/>
                <c:pt idx="0">
                  <c:v>9.3049082706416831E-4</c:v>
                </c:pt>
                <c:pt idx="1">
                  <c:v>9.4369766448891633E-4</c:v>
                </c:pt>
                <c:pt idx="2">
                  <c:v>9.5212652683149268E-4</c:v>
                </c:pt>
                <c:pt idx="3">
                  <c:v>9.583864559260868E-4</c:v>
                </c:pt>
                <c:pt idx="4">
                  <c:v>9.6253223202455592E-4</c:v>
                </c:pt>
                <c:pt idx="5">
                  <c:v>9.6564044860472284E-4</c:v>
                </c:pt>
                <c:pt idx="6">
                  <c:v>9.7198922743693726E-4</c:v>
                </c:pt>
                <c:pt idx="7">
                  <c:v>9.8067078266889833E-4</c:v>
                </c:pt>
                <c:pt idx="8">
                  <c:v>9.9138844546720539E-4</c:v>
                </c:pt>
                <c:pt idx="9">
                  <c:v>1.0011289566612576E-3</c:v>
                </c:pt>
                <c:pt idx="10">
                  <c:v>1.0100707803834079E-3</c:v>
                </c:pt>
                <c:pt idx="11">
                  <c:v>1.021109753112982E-3</c:v>
                </c:pt>
              </c:numCache>
            </c:numRef>
          </c:yVal>
          <c:smooth val="0"/>
          <c:extLst>
            <c:ext xmlns:c16="http://schemas.microsoft.com/office/drawing/2014/chart" uri="{C3380CC4-5D6E-409C-BE32-E72D297353CC}">
              <c16:uniqueId val="{00000001-3EDD-4A45-990A-5ABCAF310FF7}"/>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Sheet1!$A$38:$A$49</c:f>
              <c:numCache>
                <c:formatCode>General</c:formatCode>
                <c:ptCount val="12"/>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Sheet1!$B$38:$B$49</c:f>
              <c:numCache>
                <c:formatCode>0.00%</c:formatCode>
                <c:ptCount val="12"/>
                <c:pt idx="0">
                  <c:v>5.2936728006049909E-4</c:v>
                </c:pt>
                <c:pt idx="1">
                  <c:v>3.7396746483055974E-4</c:v>
                </c:pt>
                <c:pt idx="2">
                  <c:v>9.2355595429717389E-4</c:v>
                </c:pt>
                <c:pt idx="3">
                  <c:v>6.0864272671941571E-4</c:v>
                </c:pt>
                <c:pt idx="4">
                  <c:v>2.3284242388963267E-3</c:v>
                </c:pt>
                <c:pt idx="5">
                  <c:v>1.188734455010973E-3</c:v>
                </c:pt>
                <c:pt idx="6">
                  <c:v>1.7381500446281767E-3</c:v>
                </c:pt>
                <c:pt idx="7">
                  <c:v>5.6575576430401365E-3</c:v>
                </c:pt>
                <c:pt idx="8">
                  <c:v>7.470651013874066E-3</c:v>
                </c:pt>
                <c:pt idx="9">
                  <c:v>1.4010507880910683E-2</c:v>
                </c:pt>
                <c:pt idx="10">
                  <c:v>6.1099796334012219E-3</c:v>
                </c:pt>
                <c:pt idx="11">
                  <c:v>9.7560975609756097E-3</c:v>
                </c:pt>
              </c:numCache>
            </c:numRef>
          </c:yVal>
          <c:smooth val="0"/>
          <c:extLst>
            <c:ext xmlns:c16="http://schemas.microsoft.com/office/drawing/2014/chart" uri="{C3380CC4-5D6E-409C-BE32-E72D297353CC}">
              <c16:uniqueId val="{00000002-3EDD-4A45-990A-5ABCAF310FF7}"/>
            </c:ext>
          </c:extLst>
        </c:ser>
        <c:ser>
          <c:idx val="4"/>
          <c:order val="4"/>
          <c:tx>
            <c:v>UK-Improved</c:v>
          </c:tx>
          <c:spPr>
            <a:ln w="25400" cap="rnd">
              <a:noFill/>
              <a:round/>
            </a:ln>
            <a:effectLst/>
          </c:spPr>
          <c:marker>
            <c:symbol val="circle"/>
            <c:size val="5"/>
            <c:spPr>
              <a:noFill/>
              <a:ln w="9525">
                <a:noFill/>
              </a:ln>
              <a:effectLst/>
            </c:spPr>
          </c:marker>
          <c:trendline>
            <c:spPr>
              <a:ln w="19050" cap="rnd">
                <a:solidFill>
                  <a:srgbClr val="FF0000"/>
                </a:solidFill>
                <a:prstDash val="lgDashDotDot"/>
              </a:ln>
              <a:effectLst/>
            </c:spPr>
            <c:trendlineType val="poly"/>
            <c:order val="2"/>
            <c:dispRSqr val="0"/>
            <c:dispEq val="0"/>
          </c:trendline>
          <c:xVal>
            <c:numRef>
              <c:f>Sheet1!$A$38:$A$49</c:f>
              <c:numCache>
                <c:formatCode>General</c:formatCode>
                <c:ptCount val="12"/>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f>Sheet1!$B$38:$B$49</c:f>
              <c:numCache>
                <c:formatCode>0.00%</c:formatCode>
                <c:ptCount val="12"/>
                <c:pt idx="0">
                  <c:v>5.2936728006049909E-4</c:v>
                </c:pt>
                <c:pt idx="1">
                  <c:v>3.7396746483055974E-4</c:v>
                </c:pt>
                <c:pt idx="2">
                  <c:v>9.2355595429717389E-4</c:v>
                </c:pt>
                <c:pt idx="3">
                  <c:v>6.0864272671941571E-4</c:v>
                </c:pt>
                <c:pt idx="4">
                  <c:v>2.3284242388963267E-3</c:v>
                </c:pt>
                <c:pt idx="5">
                  <c:v>1.188734455010973E-3</c:v>
                </c:pt>
                <c:pt idx="6">
                  <c:v>1.7381500446281767E-3</c:v>
                </c:pt>
                <c:pt idx="7">
                  <c:v>5.6575576430401365E-3</c:v>
                </c:pt>
                <c:pt idx="8">
                  <c:v>7.470651013874066E-3</c:v>
                </c:pt>
                <c:pt idx="9">
                  <c:v>1.4010507880910683E-2</c:v>
                </c:pt>
                <c:pt idx="10">
                  <c:v>6.1099796334012219E-3</c:v>
                </c:pt>
                <c:pt idx="11">
                  <c:v>9.7560975609756097E-3</c:v>
                </c:pt>
              </c:numCache>
            </c:numRef>
          </c:yVal>
          <c:smooth val="0"/>
          <c:extLst>
            <c:ext xmlns:c16="http://schemas.microsoft.com/office/drawing/2014/chart" uri="{C3380CC4-5D6E-409C-BE32-E72D297353CC}">
              <c16:uniqueId val="{00000003-3EDD-4A45-990A-5ABCAF310FF7}"/>
            </c:ext>
          </c:extLst>
        </c:ser>
        <c:dLbls>
          <c:showLegendKey val="0"/>
          <c:showVal val="0"/>
          <c:showCatName val="0"/>
          <c:showSerName val="0"/>
          <c:showPercent val="0"/>
          <c:showBubbleSize val="0"/>
        </c:dLbls>
        <c:axId val="1015649432"/>
        <c:axId val="1015651728"/>
        <c:extLst>
          <c:ext xmlns:c15="http://schemas.microsoft.com/office/drawing/2012/chart" uri="{02D57815-91ED-43cb-92C2-25804820EDAC}">
            <c15:filteredScatterSeries>
              <c15:ser>
                <c:idx val="2"/>
                <c:order val="2"/>
                <c:tx>
                  <c:strRef>
                    <c:extLst>
                      <c:ext uri="{02D57815-91ED-43cb-92C2-25804820EDAC}">
                        <c15:formulaRef>
                          <c15:sqref>Sheet1!$A$70</c15:sqref>
                        </c15:formulaRef>
                      </c:ext>
                    </c:extLst>
                    <c:strCache>
                      <c:ptCount val="1"/>
                      <c:pt idx="0">
                        <c:v>PD</c:v>
                      </c:pt>
                    </c:strCache>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extLst>
                      <c:ext uri="{02D57815-91ED-43cb-92C2-25804820EDAC}">
                        <c15:formulaRef>
                          <c15:sqref>Sheet1!$A$74:$A$86</c15:sqref>
                        </c15:formulaRef>
                      </c:ext>
                    </c:extLst>
                    <c:numCache>
                      <c:formatCode>General</c:formatCode>
                      <c:ptCount val="13"/>
                      <c:pt idx="0">
                        <c:v>25</c:v>
                      </c:pt>
                      <c:pt idx="1">
                        <c:v>75</c:v>
                      </c:pt>
                      <c:pt idx="2">
                        <c:v>150</c:v>
                      </c:pt>
                      <c:pt idx="3">
                        <c:v>250</c:v>
                      </c:pt>
                      <c:pt idx="4">
                        <c:v>350</c:v>
                      </c:pt>
                      <c:pt idx="5">
                        <c:v>450</c:v>
                      </c:pt>
                      <c:pt idx="6">
                        <c:v>750</c:v>
                      </c:pt>
                      <c:pt idx="7">
                        <c:v>1500</c:v>
                      </c:pt>
                      <c:pt idx="8">
                        <c:v>3500</c:v>
                      </c:pt>
                      <c:pt idx="9">
                        <c:v>7500</c:v>
                      </c:pt>
                      <c:pt idx="10">
                        <c:v>15000</c:v>
                      </c:pt>
                      <c:pt idx="11">
                        <c:v>35000</c:v>
                      </c:pt>
                    </c:numCache>
                  </c:numRef>
                </c:xVal>
                <c:yVal>
                  <c:numRef>
                    <c:extLst>
                      <c:ext uri="{02D57815-91ED-43cb-92C2-25804820EDAC}">
                        <c15:formulaRef>
                          <c15:sqref>Sheet1!$B$74:$B$86</c15:sqref>
                        </c15:formulaRef>
                      </c:ext>
                    </c:extLst>
                    <c:numCache>
                      <c:formatCode>0.00%</c:formatCode>
                      <c:ptCount val="13"/>
                      <c:pt idx="0">
                        <c:v>1.0690500039246009E-3</c:v>
                      </c:pt>
                      <c:pt idx="1">
                        <c:v>2.8734731850271387E-3</c:v>
                      </c:pt>
                      <c:pt idx="2">
                        <c:v>5.3620905638533363E-3</c:v>
                      </c:pt>
                      <c:pt idx="3">
                        <c:v>8.4917660244941424E-3</c:v>
                      </c:pt>
                      <c:pt idx="4">
                        <c:v>1.1495113177379276E-2</c:v>
                      </c:pt>
                      <c:pt idx="5">
                        <c:v>1.4412631209350171E-2</c:v>
                      </c:pt>
                      <c:pt idx="6">
                        <c:v>2.2824808825901651E-2</c:v>
                      </c:pt>
                      <c:pt idx="7">
                        <c:v>4.2592599320173487E-2</c:v>
                      </c:pt>
                      <c:pt idx="8">
                        <c:v>9.1308929581435092E-2</c:v>
                      </c:pt>
                      <c:pt idx="9">
                        <c:v>0.18130390102597682</c:v>
                      </c:pt>
                      <c:pt idx="10">
                        <c:v>0.33832504230312055</c:v>
                      </c:pt>
                      <c:pt idx="11">
                        <c:v>0.72529260848985022</c:v>
                      </c:pt>
                    </c:numCache>
                  </c:numRef>
                </c:yVal>
                <c:smooth val="0"/>
                <c:extLst>
                  <c:ext xmlns:c16="http://schemas.microsoft.com/office/drawing/2014/chart" uri="{C3380CC4-5D6E-409C-BE32-E72D297353CC}">
                    <c16:uniqueId val="{00000004-3EDD-4A45-990A-5ABCAF310FF7}"/>
                  </c:ext>
                </c:extLst>
              </c15:ser>
            </c15:filteredScatterSeries>
          </c:ext>
        </c:extLst>
      </c:scatterChart>
      <c:valAx>
        <c:axId val="1015649432"/>
        <c:scaling>
          <c:orientation val="minMax"/>
          <c:max val="40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3"/>
        <c:delete val="1"/>
      </c:legendEntry>
      <c:layout>
        <c:manualLayout>
          <c:xMode val="edge"/>
          <c:yMode val="edge"/>
          <c:x val="0.40591063382788278"/>
          <c:y val="4.952873981019941E-2"/>
          <c:w val="0.51442516212485567"/>
          <c:h val="0.20729614032000776"/>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81552926060649"/>
          <c:y val="4.226705091258405E-2"/>
          <c:w val="0.70067801613001246"/>
          <c:h val="0.80559585300293801"/>
        </c:manualLayout>
      </c:layout>
      <c:scatterChart>
        <c:scatterStyle val="lineMarker"/>
        <c:varyColors val="0"/>
        <c:ser>
          <c:idx val="0"/>
          <c:order val="0"/>
          <c:tx>
            <c:strRef>
              <c:f>Sheet1!$A$36</c:f>
              <c:strCache>
                <c:ptCount val="1"/>
                <c:pt idx="0">
                  <c:v>UK-Improved</c:v>
                </c:pt>
              </c:strCache>
            </c:strRef>
          </c:tx>
          <c:spPr>
            <a:ln w="28575" cap="rnd">
              <a:noFill/>
              <a:round/>
            </a:ln>
            <a:effectLst/>
          </c:spPr>
          <c:marker>
            <c:symbol val="circle"/>
            <c:size val="5"/>
            <c:spPr>
              <a:noFill/>
              <a:ln w="9525">
                <a:noFill/>
              </a:ln>
              <a:effectLst/>
            </c:spPr>
          </c:marker>
          <c:trendline>
            <c:spPr>
              <a:ln w="19050" cap="rnd">
                <a:solidFill>
                  <a:schemeClr val="accent1"/>
                </a:solidFill>
                <a:prstDash val="lgDashDot"/>
              </a:ln>
              <a:effectLst/>
            </c:spPr>
            <c:trendlineType val="power"/>
            <c:dispRSqr val="0"/>
            <c:dispEq val="0"/>
          </c:trendline>
          <c:xVal>
            <c:numRef>
              <c:f>Sheet1!$A$38:$A$46</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Sheet1!$B$38:$B$46</c:f>
              <c:numCache>
                <c:formatCode>0.00%</c:formatCode>
                <c:ptCount val="9"/>
                <c:pt idx="0">
                  <c:v>2.375478927203065E-2</c:v>
                </c:pt>
                <c:pt idx="1">
                  <c:v>4.9072411729503291E-3</c:v>
                </c:pt>
                <c:pt idx="2">
                  <c:v>3.8860103626943004E-3</c:v>
                </c:pt>
                <c:pt idx="3">
                  <c:v>2.719096423342397E-3</c:v>
                </c:pt>
                <c:pt idx="4">
                  <c:v>1.6522718738265114E-2</c:v>
                </c:pt>
                <c:pt idx="5">
                  <c:v>1.0094637223974764E-2</c:v>
                </c:pt>
                <c:pt idx="6">
                  <c:v>1.7665130568356373E-2</c:v>
                </c:pt>
                <c:pt idx="7">
                  <c:v>0.10600706713780919</c:v>
                </c:pt>
                <c:pt idx="8">
                  <c:v>0.64835164835164838</c:v>
                </c:pt>
              </c:numCache>
            </c:numRef>
          </c:yVal>
          <c:smooth val="0"/>
          <c:extLst>
            <c:ext xmlns:c16="http://schemas.microsoft.com/office/drawing/2014/chart" uri="{C3380CC4-5D6E-409C-BE32-E72D297353CC}">
              <c16:uniqueId val="{00000000-C1E4-459A-9344-CA16FA315A66}"/>
            </c:ext>
          </c:extLst>
        </c:ser>
        <c:ser>
          <c:idx val="1"/>
          <c:order val="1"/>
          <c:tx>
            <c:strRef>
              <c:f>Sheet1!$A$52</c:f>
              <c:strCache>
                <c:ptCount val="1"/>
                <c:pt idx="0">
                  <c:v>UK-Rutstein</c:v>
                </c:pt>
              </c:strCache>
            </c:strRef>
          </c:tx>
          <c:spPr>
            <a:ln w="25400" cap="rnd">
              <a:noFill/>
              <a:round/>
            </a:ln>
            <a:effectLst/>
          </c:spPr>
          <c:marker>
            <c:symbol val="circle"/>
            <c:size val="5"/>
            <c:spPr>
              <a:noFill/>
              <a:ln w="9525">
                <a:noFill/>
              </a:ln>
              <a:effectLst/>
            </c:spPr>
          </c:marker>
          <c:trendline>
            <c:spPr>
              <a:ln w="19050" cap="rnd">
                <a:solidFill>
                  <a:srgbClr val="00B050"/>
                </a:solidFill>
                <a:prstDash val="sysDot"/>
              </a:ln>
              <a:effectLst/>
            </c:spPr>
            <c:trendlineType val="power"/>
            <c:dispRSqr val="0"/>
            <c:dispEq val="0"/>
          </c:trendline>
          <c:xVal>
            <c:numRef>
              <c:f>Sheet1!$A$56:$A$64</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Sheet1!$B$56:$B$64</c:f>
              <c:numCache>
                <c:formatCode>0.00%</c:formatCode>
                <c:ptCount val="9"/>
                <c:pt idx="0">
                  <c:v>1.7129558584548555E-2</c:v>
                </c:pt>
                <c:pt idx="1">
                  <c:v>1.9506654869960546E-2</c:v>
                </c:pt>
                <c:pt idx="2">
                  <c:v>2.1173387617975773E-2</c:v>
                </c:pt>
                <c:pt idx="3">
                  <c:v>2.2492197378094197E-2</c:v>
                </c:pt>
                <c:pt idx="4">
                  <c:v>2.3405436506510165E-2</c:v>
                </c:pt>
                <c:pt idx="5">
                  <c:v>2.4111652536353702E-2</c:v>
                </c:pt>
                <c:pt idx="6">
                  <c:v>2.5613475639546263E-2</c:v>
                </c:pt>
                <c:pt idx="7">
                  <c:v>2.7802001500259785E-2</c:v>
                </c:pt>
                <c:pt idx="8">
                  <c:v>3.0732823325625248E-2</c:v>
                </c:pt>
              </c:numCache>
            </c:numRef>
          </c:yVal>
          <c:smooth val="0"/>
          <c:extLst>
            <c:ext xmlns:c16="http://schemas.microsoft.com/office/drawing/2014/chart" uri="{C3380CC4-5D6E-409C-BE32-E72D297353CC}">
              <c16:uniqueId val="{00000001-C1E4-459A-9344-CA16FA315A66}"/>
            </c:ext>
          </c:extLst>
        </c:ser>
        <c:ser>
          <c:idx val="2"/>
          <c:order val="2"/>
          <c:tx>
            <c:strRef>
              <c:f>Sheet1!$A$70</c:f>
              <c:strCache>
                <c:ptCount val="1"/>
                <c:pt idx="0">
                  <c:v>PD</c:v>
                </c:pt>
              </c:strCache>
              <c:extLst xmlns:c15="http://schemas.microsoft.com/office/drawing/2012/chart"/>
            </c:strRef>
          </c:tx>
          <c:spPr>
            <a:ln w="25400" cap="rnd">
              <a:noFill/>
              <a:round/>
            </a:ln>
            <a:effectLst/>
          </c:spPr>
          <c:marker>
            <c:symbol val="circle"/>
            <c:size val="5"/>
            <c:spPr>
              <a:noFill/>
              <a:ln w="9525">
                <a:noFill/>
              </a:ln>
              <a:effectLst/>
            </c:spPr>
          </c:marker>
          <c:trendline>
            <c:spPr>
              <a:ln w="19050" cap="rnd">
                <a:solidFill>
                  <a:schemeClr val="accent6"/>
                </a:solidFill>
                <a:prstDash val="dash"/>
              </a:ln>
              <a:effectLst/>
            </c:spPr>
            <c:trendlineType val="power"/>
            <c:dispRSqr val="0"/>
            <c:dispEq val="0"/>
          </c:trendline>
          <c:xVal>
            <c:numRef>
              <c:f>Sheet1!$A$74:$A$82</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Sheet1!$B$74:$B$82</c:f>
              <c:numCache>
                <c:formatCode>0.00%</c:formatCode>
                <c:ptCount val="9"/>
                <c:pt idx="0">
                  <c:v>7.8262379212492624E-3</c:v>
                </c:pt>
                <c:pt idx="1">
                  <c:v>1.7839964570894783E-2</c:v>
                </c:pt>
                <c:pt idx="2">
                  <c:v>3.0003124511837391E-2</c:v>
                </c:pt>
                <c:pt idx="3">
                  <c:v>4.4010170038902729E-2</c:v>
                </c:pt>
                <c:pt idx="4">
                  <c:v>5.6643368624744186E-2</c:v>
                </c:pt>
                <c:pt idx="5">
                  <c:v>6.8392334055426232E-2</c:v>
                </c:pt>
                <c:pt idx="6">
                  <c:v>0.10032149318145848</c:v>
                </c:pt>
                <c:pt idx="7">
                  <c:v>0.16871996797837691</c:v>
                </c:pt>
                <c:pt idx="8">
                  <c:v>0.31852906975684087</c:v>
                </c:pt>
              </c:numCache>
            </c:numRef>
          </c:yVal>
          <c:smooth val="0"/>
          <c:extLst xmlns:c15="http://schemas.microsoft.com/office/drawing/2012/chart">
            <c:ext xmlns:c16="http://schemas.microsoft.com/office/drawing/2014/chart" uri="{C3380CC4-5D6E-409C-BE32-E72D297353CC}">
              <c16:uniqueId val="{00000002-C1E4-459A-9344-CA16FA315A66}"/>
            </c:ext>
          </c:extLst>
        </c:ser>
        <c:ser>
          <c:idx val="3"/>
          <c:order val="3"/>
          <c:tx>
            <c:v>UK fire statistics</c:v>
          </c:tx>
          <c:spPr>
            <a:ln w="25400" cap="rnd">
              <a:noFill/>
              <a:round/>
            </a:ln>
            <a:effectLst/>
          </c:spPr>
          <c:marker>
            <c:symbol val="circle"/>
            <c:size val="5"/>
            <c:spPr>
              <a:solidFill>
                <a:schemeClr val="accent1"/>
              </a:solidFill>
              <a:ln w="9525">
                <a:solidFill>
                  <a:schemeClr val="accent1"/>
                </a:solidFill>
              </a:ln>
              <a:effectLst/>
            </c:spPr>
          </c:marker>
          <c:xVal>
            <c:numRef>
              <c:f>Sheet1!$A$38:$A$46</c:f>
              <c:numCache>
                <c:formatCode>General</c:formatCode>
                <c:ptCount val="9"/>
                <c:pt idx="0">
                  <c:v>25</c:v>
                </c:pt>
                <c:pt idx="1">
                  <c:v>75</c:v>
                </c:pt>
                <c:pt idx="2">
                  <c:v>150</c:v>
                </c:pt>
                <c:pt idx="3">
                  <c:v>250</c:v>
                </c:pt>
                <c:pt idx="4">
                  <c:v>350</c:v>
                </c:pt>
                <c:pt idx="5">
                  <c:v>450</c:v>
                </c:pt>
                <c:pt idx="6">
                  <c:v>750</c:v>
                </c:pt>
                <c:pt idx="7">
                  <c:v>1500</c:v>
                </c:pt>
                <c:pt idx="8">
                  <c:v>3500</c:v>
                </c:pt>
              </c:numCache>
            </c:numRef>
          </c:xVal>
          <c:yVal>
            <c:numRef>
              <c:f>Sheet1!$B$38:$B$46</c:f>
              <c:numCache>
                <c:formatCode>0.00%</c:formatCode>
                <c:ptCount val="9"/>
                <c:pt idx="0">
                  <c:v>2.375478927203065E-2</c:v>
                </c:pt>
                <c:pt idx="1">
                  <c:v>4.9072411729503291E-3</c:v>
                </c:pt>
                <c:pt idx="2">
                  <c:v>3.8860103626943004E-3</c:v>
                </c:pt>
                <c:pt idx="3">
                  <c:v>2.719096423342397E-3</c:v>
                </c:pt>
                <c:pt idx="4">
                  <c:v>1.6522718738265114E-2</c:v>
                </c:pt>
                <c:pt idx="5">
                  <c:v>1.0094637223974764E-2</c:v>
                </c:pt>
                <c:pt idx="6">
                  <c:v>1.7665130568356373E-2</c:v>
                </c:pt>
                <c:pt idx="7">
                  <c:v>0.10600706713780919</c:v>
                </c:pt>
                <c:pt idx="8">
                  <c:v>0.64835164835164838</c:v>
                </c:pt>
              </c:numCache>
            </c:numRef>
          </c:yVal>
          <c:smooth val="0"/>
          <c:extLst>
            <c:ext xmlns:c16="http://schemas.microsoft.com/office/drawing/2014/chart" uri="{C3380CC4-5D6E-409C-BE32-E72D297353CC}">
              <c16:uniqueId val="{00000003-C1E4-459A-9344-CA16FA315A66}"/>
            </c:ext>
          </c:extLst>
        </c:ser>
        <c:dLbls>
          <c:showLegendKey val="0"/>
          <c:showVal val="0"/>
          <c:showCatName val="0"/>
          <c:showSerName val="0"/>
          <c:showPercent val="0"/>
          <c:showBubbleSize val="0"/>
        </c:dLbls>
        <c:axId val="1015649432"/>
        <c:axId val="1015651728"/>
        <c:extLst/>
      </c:scatterChart>
      <c:valAx>
        <c:axId val="1015649432"/>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Tot floor space [m</a:t>
                </a:r>
                <a:r>
                  <a:rPr lang="en-GB" baseline="30000"/>
                  <a:t>2</a:t>
                </a:r>
                <a:r>
                  <a:rPr lang="en-GB"/>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51728"/>
        <c:crosses val="autoZero"/>
        <c:crossBetween val="midCat"/>
      </c:valAx>
      <c:valAx>
        <c:axId val="10156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Frequency</a:t>
                </a:r>
              </a:p>
              <a:p>
                <a:pPr>
                  <a:defRPr/>
                </a:pPr>
                <a:r>
                  <a:rPr lang="en-GB"/>
                  <a:t>[fires/buildings</a:t>
                </a:r>
                <a:r>
                  <a:rPr lang="en-GB" baseline="0"/>
                  <a:t> at risk]</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5649432"/>
        <c:crosses val="autoZero"/>
        <c:crossBetween val="midCat"/>
      </c:valAx>
      <c:spPr>
        <a:noFill/>
        <a:ln>
          <a:noFill/>
        </a:ln>
        <a:effectLst/>
      </c:spPr>
    </c:plotArea>
    <c:legend>
      <c:legendPos val="r"/>
      <c:legendEntry>
        <c:idx val="0"/>
        <c:delete val="1"/>
      </c:legendEntry>
      <c:legendEntry>
        <c:idx val="1"/>
        <c:delete val="1"/>
      </c:legendEntry>
      <c:legendEntry>
        <c:idx val="2"/>
        <c:delete val="1"/>
      </c:legendEntry>
      <c:layout>
        <c:manualLayout>
          <c:xMode val="edge"/>
          <c:yMode val="edge"/>
          <c:x val="0.22323555200583389"/>
          <c:y val="5.4271207866144047E-2"/>
          <c:w val="0.53668770455512249"/>
          <c:h val="0.20915154644187559"/>
        </c:manualLayout>
      </c:layout>
      <c:overlay val="0"/>
      <c:spPr>
        <a:solidFill>
          <a:schemeClr val="bg1">
            <a:alpha val="7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9A776-A084-4326-A52D-45B05AEE4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17</Pages>
  <Words>20086</Words>
  <Characters>114493</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McAllister, Sara -FS</dc:creator>
  <cp:keywords/>
  <dc:description/>
  <cp:lastModifiedBy>MANES Martina</cp:lastModifiedBy>
  <cp:revision>56</cp:revision>
  <dcterms:created xsi:type="dcterms:W3CDTF">2019-12-11T10:10:00Z</dcterms:created>
  <dcterms:modified xsi:type="dcterms:W3CDTF">2020-04-29T15:49:00Z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ba7b5dcd-e671-3c55-aed1-b045e936ca2d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