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8.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9.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0.xml" ContentType="application/vnd.openxmlformats-officedocument.drawingml.chart+xml"/>
  <Override PartName="/word/charts/style29.xml" ContentType="application/vnd.ms-office.chartstyle+xml"/>
  <Override PartName="/word/charts/colors2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EF222" w14:textId="3733871C" w:rsidR="00820C1C" w:rsidRPr="00E87E42" w:rsidRDefault="00820C1C" w:rsidP="00820C1C">
      <w:pPr>
        <w:pStyle w:val="Heading-Title"/>
        <w:jc w:val="both"/>
        <w:rPr>
          <w:sz w:val="28"/>
          <w:szCs w:val="28"/>
        </w:rPr>
      </w:pPr>
      <w:r w:rsidRPr="00E87E42">
        <w:rPr>
          <w:sz w:val="28"/>
          <w:szCs w:val="28"/>
        </w:rPr>
        <w:t xml:space="preserve">A critical evaluation of </w:t>
      </w:r>
      <w:r w:rsidR="0047316D" w:rsidRPr="00E87E42">
        <w:rPr>
          <w:sz w:val="28"/>
          <w:szCs w:val="28"/>
        </w:rPr>
        <w:t>BS</w:t>
      </w:r>
      <w:r w:rsidR="00AF058A" w:rsidRPr="00E87E42">
        <w:rPr>
          <w:sz w:val="28"/>
          <w:szCs w:val="28"/>
        </w:rPr>
        <w:t xml:space="preserve"> </w:t>
      </w:r>
      <w:r w:rsidRPr="00E87E42">
        <w:rPr>
          <w:sz w:val="28"/>
          <w:szCs w:val="28"/>
        </w:rPr>
        <w:t>PD</w:t>
      </w:r>
      <w:r w:rsidR="0047316D" w:rsidRPr="00E87E42">
        <w:rPr>
          <w:sz w:val="28"/>
          <w:szCs w:val="28"/>
        </w:rPr>
        <w:t xml:space="preserve"> </w:t>
      </w:r>
      <w:r w:rsidRPr="00E87E42">
        <w:rPr>
          <w:sz w:val="28"/>
          <w:szCs w:val="28"/>
        </w:rPr>
        <w:t>7974-7 STRUCTURAL FIRE</w:t>
      </w:r>
      <w:r w:rsidR="00F6231F" w:rsidRPr="00E87E42">
        <w:rPr>
          <w:sz w:val="28"/>
          <w:szCs w:val="28"/>
        </w:rPr>
        <w:t xml:space="preserve"> response data Based on</w:t>
      </w:r>
      <w:r w:rsidRPr="00E87E42">
        <w:rPr>
          <w:sz w:val="28"/>
          <w:szCs w:val="28"/>
        </w:rPr>
        <w:t xml:space="preserve"> USA fire statistics.</w:t>
      </w:r>
    </w:p>
    <w:p w14:paraId="0531773F" w14:textId="7FE1088A" w:rsidR="00953BDC" w:rsidRPr="00E87E42" w:rsidRDefault="00953BDC" w:rsidP="00953BDC"/>
    <w:p w14:paraId="55B868BA" w14:textId="36701E5F" w:rsidR="00953BDC" w:rsidRPr="00E87E42" w:rsidRDefault="00A216BE" w:rsidP="003F668C">
      <w:pPr>
        <w:pStyle w:val="Heading1"/>
      </w:pPr>
      <w:r w:rsidRPr="00E87E42">
        <w:t>Abstract</w:t>
      </w:r>
    </w:p>
    <w:p w14:paraId="22417272" w14:textId="11ED7CAF" w:rsidR="00C54EB6" w:rsidRPr="00E87E42" w:rsidRDefault="00DB0F18" w:rsidP="00836131">
      <w:r w:rsidRPr="00E87E42">
        <w:t>Probabilistic techniques deal with the randomness of variables and reliability of safety system but their application</w:t>
      </w:r>
      <w:r w:rsidR="002A6A74" w:rsidRPr="00E87E42">
        <w:t xml:space="preserve"> in fire safety engineering</w:t>
      </w:r>
      <w:r w:rsidRPr="00E87E42">
        <w:t xml:space="preserve"> is limited due to the lack of data related to real structures subjected to real fires. This </w:t>
      </w:r>
      <w:proofErr w:type="gramStart"/>
      <w:r w:rsidR="00CD0443" w:rsidRPr="00E87E42">
        <w:t>can be over</w:t>
      </w:r>
      <w:r w:rsidR="002A6A74" w:rsidRPr="00E87E42">
        <w:t>come</w:t>
      </w:r>
      <w:proofErr w:type="gramEnd"/>
      <w:r w:rsidR="002A6A74" w:rsidRPr="00E87E42">
        <w:t xml:space="preserve"> by analysis of</w:t>
      </w:r>
      <w:r w:rsidR="00CD0443" w:rsidRPr="00E87E42">
        <w:t xml:space="preserve"> national fire </w:t>
      </w:r>
      <w:r w:rsidRPr="00E87E42">
        <w:t xml:space="preserve">statistics </w:t>
      </w:r>
      <w:r w:rsidR="002A6A74" w:rsidRPr="00E87E42">
        <w:t xml:space="preserve">provided </w:t>
      </w:r>
      <w:r w:rsidRPr="00E87E42">
        <w:t xml:space="preserve">by fire </w:t>
      </w:r>
      <w:r w:rsidR="00174B19" w:rsidRPr="00E87E42">
        <w:t>departments</w:t>
      </w:r>
      <w:r w:rsidR="00DB56BE" w:rsidRPr="00E87E42">
        <w:t>. Fire statistics database</w:t>
      </w:r>
      <w:r w:rsidR="00174B19" w:rsidRPr="00E87E42">
        <w:t>s</w:t>
      </w:r>
      <w:r w:rsidR="00953E12" w:rsidRPr="00E87E42">
        <w:t xml:space="preserve"> </w:t>
      </w:r>
      <w:r w:rsidR="00174B19" w:rsidRPr="00E87E42">
        <w:t>are</w:t>
      </w:r>
      <w:r w:rsidRPr="00E87E42">
        <w:t xml:space="preserve"> a collection of data from real structures subjected to real fires</w:t>
      </w:r>
      <w:r w:rsidR="00B90FD5" w:rsidRPr="00E87E42">
        <w:t xml:space="preserve"> and</w:t>
      </w:r>
      <w:r w:rsidR="00F1601D" w:rsidRPr="00E87E42">
        <w:t xml:space="preserve"> </w:t>
      </w:r>
      <w:r w:rsidR="00E729B5" w:rsidRPr="00E87E42">
        <w:t xml:space="preserve">provides an understanding of real effectiveness of different fire safety measures (i.e. compartmentation) </w:t>
      </w:r>
      <w:r w:rsidR="00F1601D" w:rsidRPr="00E87E42">
        <w:t xml:space="preserve">which influence </w:t>
      </w:r>
      <w:r w:rsidR="00211884" w:rsidRPr="00E87E42">
        <w:t xml:space="preserve">the </w:t>
      </w:r>
      <w:r w:rsidR="00F1601D" w:rsidRPr="00E87E42">
        <w:t>spread and growth of fire</w:t>
      </w:r>
      <w:r w:rsidR="00E729B5" w:rsidRPr="00E87E42">
        <w:t>, and ultimately their monetary consequence</w:t>
      </w:r>
      <w:r w:rsidR="00F1601D" w:rsidRPr="00E87E42">
        <w:t xml:space="preserve">. </w:t>
      </w:r>
      <w:r w:rsidR="00097A4D" w:rsidRPr="00E87E42">
        <w:t xml:space="preserve">The </w:t>
      </w:r>
      <w:r w:rsidR="00B24035" w:rsidRPr="00E87E42">
        <w:t xml:space="preserve">ability to understand the realistic responses of </w:t>
      </w:r>
      <w:r w:rsidR="001A4FF2" w:rsidRPr="00E87E42">
        <w:t xml:space="preserve">buildings </w:t>
      </w:r>
      <w:r w:rsidR="00B24035" w:rsidRPr="00E87E42">
        <w:t>in fire is the fundamental basis of</w:t>
      </w:r>
      <w:r w:rsidR="00370957" w:rsidRPr="00E87E42">
        <w:t xml:space="preserve"> </w:t>
      </w:r>
      <w:r w:rsidR="00857643" w:rsidRPr="00E87E42">
        <w:t xml:space="preserve">British Standards </w:t>
      </w:r>
      <w:r w:rsidR="00174B19" w:rsidRPr="00E87E42">
        <w:t>PD 7974</w:t>
      </w:r>
      <w:r w:rsidR="00B24035" w:rsidRPr="00E87E42">
        <w:t>-</w:t>
      </w:r>
      <w:r w:rsidR="005F6E9F" w:rsidRPr="00E87E42">
        <w:t>7</w:t>
      </w:r>
      <w:r w:rsidR="004A7F30" w:rsidRPr="00E87E42">
        <w:t>,</w:t>
      </w:r>
      <w:r w:rsidR="005F6E9F" w:rsidRPr="00E87E42">
        <w:t xml:space="preserve"> </w:t>
      </w:r>
      <w:r w:rsidR="00B24035" w:rsidRPr="00E87E42">
        <w:t xml:space="preserve">which provides data to perform </w:t>
      </w:r>
      <w:r w:rsidR="00174B19" w:rsidRPr="00E87E42">
        <w:t>probabilistic risk assessment</w:t>
      </w:r>
      <w:r w:rsidR="00B24035" w:rsidRPr="00E87E42">
        <w:t>s for fire</w:t>
      </w:r>
      <w:r w:rsidR="005F6E9F" w:rsidRPr="00E87E42">
        <w:t xml:space="preserve">. </w:t>
      </w:r>
      <w:r w:rsidR="00B24035" w:rsidRPr="00E87E42">
        <w:t xml:space="preserve">However, the current data </w:t>
      </w:r>
      <w:r w:rsidR="001A4FF2" w:rsidRPr="00E87E42">
        <w:t>presented</w:t>
      </w:r>
      <w:r w:rsidR="00B24035" w:rsidRPr="00E87E42">
        <w:t xml:space="preserve"> by </w:t>
      </w:r>
      <w:r w:rsidR="0047316D" w:rsidRPr="00E87E42">
        <w:t>BS</w:t>
      </w:r>
      <w:r w:rsidR="00AF058A" w:rsidRPr="00E87E42">
        <w:t xml:space="preserve"> </w:t>
      </w:r>
      <w:r w:rsidR="0047316D" w:rsidRPr="00E87E42">
        <w:t>PD</w:t>
      </w:r>
      <w:r w:rsidR="00B24035" w:rsidRPr="00E87E42">
        <w:t xml:space="preserve"> 7974-7:2003 </w:t>
      </w:r>
      <w:r w:rsidR="00211FE5" w:rsidRPr="00E87E42">
        <w:t xml:space="preserve">(referred to as PD 7974-7 within this paper) </w:t>
      </w:r>
      <w:r w:rsidR="00B24035" w:rsidRPr="00E87E42">
        <w:t xml:space="preserve">was developed between </w:t>
      </w:r>
      <w:r w:rsidR="009F6872">
        <w:t>1966 and</w:t>
      </w:r>
      <w:r w:rsidR="00962FDC" w:rsidRPr="00E87E42">
        <w:t xml:space="preserve"> 1987</w:t>
      </w:r>
      <w:r w:rsidR="00027FBA" w:rsidRPr="00E87E42">
        <w:t xml:space="preserve">. This research has used </w:t>
      </w:r>
      <w:r w:rsidR="00E25CD3" w:rsidRPr="00E87E42">
        <w:t>the USA fire statistic database</w:t>
      </w:r>
      <w:r w:rsidR="00027FBA" w:rsidRPr="00E87E42">
        <w:t xml:space="preserve"> of 2014 to recreate the tables present in the PD</w:t>
      </w:r>
      <w:r w:rsidR="00AF058A" w:rsidRPr="00E87E42">
        <w:t xml:space="preserve"> </w:t>
      </w:r>
      <w:r w:rsidR="00027FBA" w:rsidRPr="00E87E42">
        <w:t>7974-7, compare the results</w:t>
      </w:r>
      <w:r w:rsidR="00A20E5F" w:rsidRPr="00E87E42">
        <w:t>,</w:t>
      </w:r>
      <w:r w:rsidR="00027FBA" w:rsidRPr="00E87E42">
        <w:t xml:space="preserve"> and understand the</w:t>
      </w:r>
      <w:r w:rsidR="00E729B5" w:rsidRPr="00E87E42">
        <w:t>ir</w:t>
      </w:r>
      <w:r w:rsidR="00027FBA" w:rsidRPr="00E87E42">
        <w:t xml:space="preserve"> </w:t>
      </w:r>
      <w:r w:rsidR="00174B19" w:rsidRPr="00E87E42">
        <w:t>evolution</w:t>
      </w:r>
      <w:r w:rsidR="007A5955" w:rsidRPr="00E87E42">
        <w:t xml:space="preserve"> in time</w:t>
      </w:r>
      <w:r w:rsidR="00E729B5" w:rsidRPr="00E87E42">
        <w:t xml:space="preserve">. </w:t>
      </w:r>
      <w:r w:rsidR="004A7F30" w:rsidRPr="00E87E42">
        <w:t xml:space="preserve">The comparison between </w:t>
      </w:r>
      <w:r w:rsidR="0047316D" w:rsidRPr="00E87E42">
        <w:t>PD</w:t>
      </w:r>
      <w:r w:rsidR="004A7F30" w:rsidRPr="00E87E42">
        <w:t xml:space="preserve"> 7974-7 and the USA</w:t>
      </w:r>
      <w:r w:rsidR="004A7F30" w:rsidRPr="00E87E42" w:rsidDel="004A7F30">
        <w:t xml:space="preserve"> </w:t>
      </w:r>
      <w:r w:rsidR="0047316D" w:rsidRPr="00E87E42">
        <w:t xml:space="preserve">fire </w:t>
      </w:r>
      <w:r w:rsidR="00CF33CD" w:rsidRPr="00E87E42">
        <w:t xml:space="preserve">statistics </w:t>
      </w:r>
      <w:r w:rsidR="001E7D13" w:rsidRPr="00E87E42">
        <w:t xml:space="preserve">introduced in </w:t>
      </w:r>
      <w:r w:rsidR="0047316D" w:rsidRPr="00E87E42">
        <w:t>this paper show</w:t>
      </w:r>
      <w:r w:rsidR="00FA5365" w:rsidRPr="00E87E42">
        <w:t>s</w:t>
      </w:r>
      <w:r w:rsidR="0047316D" w:rsidRPr="00E87E42">
        <w:t xml:space="preserve"> that modern</w:t>
      </w:r>
      <w:r w:rsidR="00CF33CD" w:rsidRPr="00E87E42">
        <w:t xml:space="preserve"> </w:t>
      </w:r>
      <w:r w:rsidR="004A7F30" w:rsidRPr="00E87E42">
        <w:t xml:space="preserve">fire frequency </w:t>
      </w:r>
      <w:r w:rsidR="0047316D" w:rsidRPr="00E87E42">
        <w:t>can be</w:t>
      </w:r>
      <w:r w:rsidR="004A7F30" w:rsidRPr="00E87E42">
        <w:t xml:space="preserve"> up to more than 10 time</w:t>
      </w:r>
      <w:r w:rsidR="00B90FD5" w:rsidRPr="00E87E42">
        <w:t xml:space="preserve">s </w:t>
      </w:r>
      <w:r w:rsidR="002652B8">
        <w:t xml:space="preserve">smaller </w:t>
      </w:r>
      <w:r w:rsidR="0047316D" w:rsidRPr="00E87E42">
        <w:t>than presented in PD 7974-7</w:t>
      </w:r>
      <w:r w:rsidR="00A438DC" w:rsidRPr="00E87E42">
        <w:t>;</w:t>
      </w:r>
      <w:r w:rsidR="004A7F30" w:rsidRPr="00E87E42">
        <w:t xml:space="preserve"> </w:t>
      </w:r>
      <w:r w:rsidR="00B90FD5" w:rsidRPr="00E87E42">
        <w:t xml:space="preserve">area </w:t>
      </w:r>
      <w:r w:rsidR="00097A4D" w:rsidRPr="00E87E42">
        <w:t>damage</w:t>
      </w:r>
      <w:r w:rsidR="004A7F30" w:rsidRPr="00E87E42">
        <w:t xml:space="preserve"> in m</w:t>
      </w:r>
      <w:r w:rsidR="004A7F30" w:rsidRPr="00E87E42">
        <w:rPr>
          <w:vertAlign w:val="superscript"/>
        </w:rPr>
        <w:t>2</w:t>
      </w:r>
      <w:r w:rsidR="0071330B" w:rsidRPr="00E87E42">
        <w:t xml:space="preserve"> and </w:t>
      </w:r>
      <w:r w:rsidR="00097A4D" w:rsidRPr="00E87E42">
        <w:t xml:space="preserve"> </w:t>
      </w:r>
      <w:r w:rsidR="00370957" w:rsidRPr="00E87E42">
        <w:t>spread of fire</w:t>
      </w:r>
      <w:r w:rsidR="00B90FD5" w:rsidRPr="00E87E42">
        <w:t xml:space="preserve"> </w:t>
      </w:r>
      <w:r w:rsidR="0071330B" w:rsidRPr="00E87E42">
        <w:t xml:space="preserve">are linked to </w:t>
      </w:r>
      <w:r w:rsidR="001120C5" w:rsidRPr="00E87E42">
        <w:t xml:space="preserve">automatic extinguish systems </w:t>
      </w:r>
      <w:r w:rsidR="00A438DC" w:rsidRPr="00E87E42">
        <w:t>effectiveness</w:t>
      </w:r>
      <w:r w:rsidR="00AF058A" w:rsidRPr="00E87E42">
        <w:t xml:space="preserve"> and greater in the USA</w:t>
      </w:r>
      <w:r w:rsidR="00361DA0" w:rsidRPr="00E87E42">
        <w:t xml:space="preserve"> fire statistics</w:t>
      </w:r>
      <w:r w:rsidR="00AF058A" w:rsidRPr="00E87E42">
        <w:t xml:space="preserve"> than predicted by PD 7974-7</w:t>
      </w:r>
      <w:r w:rsidR="0071330B" w:rsidRPr="00E87E42">
        <w:t>.</w:t>
      </w:r>
      <w:r w:rsidR="001120C5" w:rsidRPr="00E87E42">
        <w:t xml:space="preserve"> </w:t>
      </w:r>
      <w:r w:rsidR="0071330B" w:rsidRPr="00E87E42">
        <w:t>This c</w:t>
      </w:r>
      <w:r w:rsidR="004A7F30" w:rsidRPr="00E87E42">
        <w:t>learly demonstrate the</w:t>
      </w:r>
      <w:r w:rsidR="00CF33CD" w:rsidRPr="00E87E42">
        <w:t xml:space="preserve"> </w:t>
      </w:r>
      <w:r w:rsidR="004A7F30" w:rsidRPr="00E87E42">
        <w:t>need of updates</w:t>
      </w:r>
      <w:r w:rsidR="0071330B" w:rsidRPr="00E87E42">
        <w:t xml:space="preserve"> to PD 7974-7 and</w:t>
      </w:r>
      <w:r w:rsidR="00370957" w:rsidRPr="00E87E42">
        <w:t xml:space="preserve"> </w:t>
      </w:r>
      <w:r w:rsidR="00097A4D" w:rsidRPr="00E87E42">
        <w:t>feed</w:t>
      </w:r>
      <w:r w:rsidR="0071330B" w:rsidRPr="00E87E42">
        <w:t>s</w:t>
      </w:r>
      <w:r w:rsidR="00097A4D" w:rsidRPr="00E87E42">
        <w:t xml:space="preserve"> toward</w:t>
      </w:r>
      <w:r w:rsidR="00836131" w:rsidRPr="00E87E42">
        <w:t>s</w:t>
      </w:r>
      <w:r w:rsidR="00097A4D" w:rsidRPr="00E87E42">
        <w:t xml:space="preserve"> a better understanding of the robustness, and potentially the resilience, of real structures in fire.</w:t>
      </w:r>
    </w:p>
    <w:p w14:paraId="76063700" w14:textId="1C3180FE" w:rsidR="00BC3206" w:rsidRPr="00E87E42" w:rsidRDefault="00C54EB6" w:rsidP="00C54EB6">
      <w:r w:rsidRPr="00E87E42">
        <w:rPr>
          <w:b/>
        </w:rPr>
        <w:t xml:space="preserve">KEYWORDS: </w:t>
      </w:r>
      <w:r w:rsidRPr="00E87E42">
        <w:t xml:space="preserve">probabilistic risk assessment, fire statistics, </w:t>
      </w:r>
      <w:r w:rsidR="008A53DB" w:rsidRPr="00E87E42">
        <w:t>fire frequency, fire damage</w:t>
      </w:r>
      <w:r w:rsidRPr="00E87E42">
        <w:t xml:space="preserve">, fire safety systems, </w:t>
      </w:r>
      <w:r w:rsidR="006C1CCE" w:rsidRPr="00E87E42">
        <w:t>fire</w:t>
      </w:r>
      <w:r w:rsidRPr="00E87E42">
        <w:t xml:space="preserve"> financial loss</w:t>
      </w:r>
      <w:r w:rsidR="008A53DB" w:rsidRPr="00E87E42">
        <w:t>, performance based-design.</w:t>
      </w:r>
    </w:p>
    <w:p w14:paraId="4A2DEB66" w14:textId="67B222FF" w:rsidR="00940EF7" w:rsidRPr="00E87E42" w:rsidRDefault="008A53DB" w:rsidP="00940EF7">
      <w:pPr>
        <w:pStyle w:val="Heading1"/>
        <w:numPr>
          <w:ilvl w:val="0"/>
          <w:numId w:val="35"/>
        </w:numPr>
        <w:spacing w:before="120"/>
      </w:pPr>
      <w:r w:rsidRPr="00E87E42">
        <w:t>Introduction</w:t>
      </w:r>
    </w:p>
    <w:p w14:paraId="3330B1A2" w14:textId="5A6BF3BD" w:rsidR="00FA363C" w:rsidRPr="00E87E42" w:rsidRDefault="00E77E64" w:rsidP="005C4148">
      <w:pPr>
        <w:spacing w:before="120"/>
      </w:pPr>
      <w:r w:rsidRPr="00E87E42">
        <w:t>F</w:t>
      </w:r>
      <w:r w:rsidR="00FA363C" w:rsidRPr="00E87E42">
        <w:t xml:space="preserve">ire design codes and regulations are transitioning from </w:t>
      </w:r>
      <w:r w:rsidR="00836131" w:rsidRPr="00E87E42">
        <w:t xml:space="preserve">a </w:t>
      </w:r>
      <w:r w:rsidR="00227CFB" w:rsidRPr="00E87E42">
        <w:t>prescriptive</w:t>
      </w:r>
      <w:r w:rsidR="00FA363C" w:rsidRPr="00E87E42">
        <w:t xml:space="preserve"> basis to more of a performance-based design </w:t>
      </w:r>
      <w:proofErr w:type="gramStart"/>
      <w:r w:rsidR="00FA363C" w:rsidRPr="00E87E42">
        <w:t>paradigm</w:t>
      </w:r>
      <w:proofErr w:type="gramEnd"/>
      <w:r w:rsidR="00FA363C" w:rsidRPr="00E87E42">
        <w:t xml:space="preserve">. This is due to perceived lack of regular updates within the codes, limiting the creation of innovative and diverse design solutions </w:t>
      </w:r>
      <w:r w:rsidR="00FA363C" w:rsidRPr="00E87E42">
        <w:fldChar w:fldCharType="begin" w:fldLock="1"/>
      </w:r>
      <w:r w:rsidR="00BC5ED7" w:rsidRPr="00E87E42">
        <w:instrText>ADDIN CSL_CITATION {"citationItems":[{"id":"ITEM-1","itemData":{"author":[{"dropping-particle":"V.","family":"Hadjisophocleous","given":"George","non-dropping-particle":"","parse-names":false,"suffix":""},{"dropping-particle":"","family":"Benichou","given":"Noureddine","non-dropping-particle":"","parse-names":false,"suffix":""},{"dropping-particle":"","family":"Tamim","given":"Amal S.","non-dropping-particle":"","parse-names":false,"suffix":""}],"container-title":"Journal of Fire Protection Engineering","id":"ITEM-1","issue":"1","issued":{"date-parts":[["1998"]]},"page":"12-40","title":"Literature review of performance- based fire codes and design environment","type":"article-journal","volume":"9"},"uris":["http://www.mendeley.com/documents/?uuid=dbf4ee6b-ee3f-4b37-9bad-c94d81f28962","http://www.mendeley.com/documents/?uuid=f4d3d52c-335a-4b21-acaf-f00ab510438e"]}],"mendeley":{"formattedCitation":"[1]","plainTextFormattedCitation":"[1]","previouslyFormattedCitation":"[1]"},"properties":{"noteIndex":0},"schema":"https://github.com/citation-style-language/schema/raw/master/csl-citation.json"}</w:instrText>
      </w:r>
      <w:r w:rsidR="00FA363C" w:rsidRPr="00E87E42">
        <w:fldChar w:fldCharType="separate"/>
      </w:r>
      <w:r w:rsidR="00FA363C" w:rsidRPr="00E87E42">
        <w:rPr>
          <w:noProof/>
        </w:rPr>
        <w:t>[1]</w:t>
      </w:r>
      <w:r w:rsidR="00FA363C" w:rsidRPr="00E87E42">
        <w:fldChar w:fldCharType="end"/>
      </w:r>
      <w:r w:rsidR="00227CFB" w:rsidRPr="00E87E42">
        <w:t xml:space="preserve">. The fundamentals of performance-based design (PBD) are to ‘enable improvement of structural fire safety in fire, to increase the design flexibility, and reduce the costs of fire protection to structures’ </w:t>
      </w:r>
      <w:r w:rsidR="00227CFB" w:rsidRPr="00E87E42">
        <w:fldChar w:fldCharType="begin" w:fldLock="1"/>
      </w:r>
      <w:r w:rsidR="00F53880" w:rsidRPr="00E87E42">
        <w:instrText>ADDIN CSL_CITATION {"citationItems":[{"id":"ITEM-1","itemData":{"ISBN":"9780203868713","author":[{"dropping-particle":"","family":"Wang","given":"Yong","non-dropping-particle":"","parse-names":false,"suffix":""},{"dropping-particle":"","family":"Burgess","given":"Ian","non-dropping-particle":"","parse-names":false,"suffix":""},{"dropping-particle":"","family":"Wald","given":"Frantsek","non-dropping-particle":"","parse-names":false,"suffix":""},{"dropping-particle":"","family":"Gillie","given":"Martin","non-dropping-particle":"","parse-names":false,"suffix":""}],"id":"ITEM-1","issued":{"date-parts":[["2012"]]},"number-of-pages":"394","publisher":"CRC Press","title":"Preformance-Based Fire Engineering of Structures","type":"book"},"uris":["http://www.mendeley.com/documents/?uuid=9a9cb14f-e7b7-4732-8a41-a250db9364ea","http://www.mendeley.com/documents/?uuid=f63e40b1-96d2-42f0-add8-bbf9e11d6fd2"]}],"mendeley":{"formattedCitation":"[2]","plainTextFormattedCitation":"[2]","previouslyFormattedCitation":"[2]"},"properties":{"noteIndex":0},"schema":"https://github.com/citation-style-language/schema/raw/master/csl-citation.json"}</w:instrText>
      </w:r>
      <w:r w:rsidR="00227CFB" w:rsidRPr="00E87E42">
        <w:fldChar w:fldCharType="separate"/>
      </w:r>
      <w:r w:rsidR="00227CFB" w:rsidRPr="00E87E42">
        <w:rPr>
          <w:noProof/>
        </w:rPr>
        <w:t>[2]</w:t>
      </w:r>
      <w:r w:rsidR="00227CFB" w:rsidRPr="00E87E42">
        <w:fldChar w:fldCharType="end"/>
      </w:r>
      <w:r w:rsidR="00227CFB" w:rsidRPr="00E87E42">
        <w:t xml:space="preserve">. One of the methods available </w:t>
      </w:r>
      <w:r w:rsidR="004559B5">
        <w:t xml:space="preserve">to be used by engineers is </w:t>
      </w:r>
      <w:r w:rsidR="00F16828">
        <w:t>to adopt</w:t>
      </w:r>
      <w:r w:rsidR="00227CFB" w:rsidRPr="00E87E42">
        <w:t xml:space="preserve"> a probabilistic assessment of the fire and its </w:t>
      </w:r>
      <w:r w:rsidR="00E20474" w:rsidRPr="00E87E42">
        <w:t>consequences</w:t>
      </w:r>
      <w:r w:rsidR="00227CFB" w:rsidRPr="00E87E42">
        <w:t xml:space="preserve"> on the structure, and within the UK there are codes (PD 7974 parts 7 and 8) that provide data and methods to assess the risks of fire and their impact </w:t>
      </w:r>
      <w:r w:rsidR="00227CFB" w:rsidRPr="00E87E42">
        <w:fldChar w:fldCharType="begin" w:fldLock="1"/>
      </w:r>
      <w:r w:rsidR="00BC5ED7" w:rsidRPr="00E87E42">
        <w:instrText>ADDIN CSL_CITATION {"citationItems":[{"id":"ITEM-1","itemData":{"author":[{"dropping-particle":"","family":"BSI","given":"","non-dropping-particle":"","parse-names":false,"suffix":""}],"id":"ITEM-1","issued":{"date-parts":[["2003"]]},"title":"PD 7974-7: Application of fire safety engineering principles to the design of buildings — Part 7 : Probabilistic risk assessment","type":"article-journal","volume":"3"},"uris":["http://www.mendeley.com/documents/?uuid=939ef726-1b50-4e5c-b39d-a90e50ef2a69"]},{"id":"ITEM-2","itemData":{"author":[{"dropping-particle":"","family":"BSI","given":"","non-dropping-particle":"","parse-names":false,"suffix":""}],"id":"ITEM-2","issued":{"date-parts":[["2012"]]},"title":"PD 7974-8:2012: Application of fire safety engineering principles to the design of buildings; Part 8: Property protection, business and mission continuity, and resilience","type":"report"},"uris":["http://www.mendeley.com/documents/?uuid=bce62417-6c98-4bb4-9bfa-2cca5591333a"]}],"mendeley":{"formattedCitation":"[3], [4]","plainTextFormattedCitation":"[3], [4]","previouslyFormattedCitation":"[3], [4]"},"properties":{"noteIndex":0},"schema":"https://github.com/citation-style-language/schema/raw/master/csl-citation.json"}</w:instrText>
      </w:r>
      <w:r w:rsidR="00227CFB" w:rsidRPr="00E87E42">
        <w:fldChar w:fldCharType="separate"/>
      </w:r>
      <w:r w:rsidR="00227CFB" w:rsidRPr="00E87E42">
        <w:rPr>
          <w:noProof/>
        </w:rPr>
        <w:t>[3], [4]</w:t>
      </w:r>
      <w:r w:rsidR="00227CFB" w:rsidRPr="00E87E42">
        <w:fldChar w:fldCharType="end"/>
      </w:r>
      <w:r w:rsidR="00227CFB" w:rsidRPr="00E87E42">
        <w:t>.</w:t>
      </w:r>
      <w:r w:rsidR="005F4F44" w:rsidRPr="00E87E42">
        <w:t xml:space="preserve"> However</w:t>
      </w:r>
      <w:r w:rsidR="00E20474" w:rsidRPr="00E87E42">
        <w:t>,</w:t>
      </w:r>
      <w:r w:rsidR="005F4F44" w:rsidRPr="00E87E42">
        <w:t xml:space="preserve"> like their prescriptive counterparts, data within the probabilistic codes (i.e. </w:t>
      </w:r>
      <w:r w:rsidR="005F4F44" w:rsidRPr="00E87E42">
        <w:fldChar w:fldCharType="begin" w:fldLock="1"/>
      </w:r>
      <w:r w:rsidR="00BC5ED7" w:rsidRPr="00E87E42">
        <w:instrText>ADDIN CSL_CITATION {"citationItems":[{"id":"ITEM-1","itemData":{"author":[{"dropping-particle":"","family":"BSI","given":"","non-dropping-particle":"","parse-names":false,"suffix":""}],"id":"ITEM-1","issued":{"date-parts":[["2003"]]},"title":"PD 7974-7: Application of fire safety engineering principles to the design of buildings — Part 7 : Probabilistic risk assessment","type":"article-journal","volume":"3"},"uris":["http://www.mendeley.com/documents/?uuid=939ef726-1b50-4e5c-b39d-a90e50ef2a69"]}],"mendeley":{"formattedCitation":"[3]","plainTextFormattedCitation":"[3]","previouslyFormattedCitation":"[3]"},"properties":{"noteIndex":0},"schema":"https://github.com/citation-style-language/schema/raw/master/csl-citation.json"}</w:instrText>
      </w:r>
      <w:r w:rsidR="005F4F44" w:rsidRPr="00E87E42">
        <w:fldChar w:fldCharType="separate"/>
      </w:r>
      <w:r w:rsidR="00214A6C" w:rsidRPr="00E87E42">
        <w:rPr>
          <w:noProof/>
        </w:rPr>
        <w:t>[3]</w:t>
      </w:r>
      <w:r w:rsidR="005F4F44" w:rsidRPr="00E87E42">
        <w:fldChar w:fldCharType="end"/>
      </w:r>
      <w:r w:rsidR="005F4F44" w:rsidRPr="00E87E42">
        <w:t>) are often decades old, and as such the</w:t>
      </w:r>
      <w:r w:rsidR="00EB0544" w:rsidRPr="00E87E42">
        <w:t>y</w:t>
      </w:r>
      <w:r w:rsidR="005F4F44" w:rsidRPr="00E87E42">
        <w:t xml:space="preserve"> add an extra level of uncertainty about their validity to be used in the current context. </w:t>
      </w:r>
    </w:p>
    <w:p w14:paraId="3EAAB854" w14:textId="0653888A" w:rsidR="005F4F44" w:rsidRPr="00E87E42" w:rsidRDefault="005F4F44" w:rsidP="005F4F44">
      <w:proofErr w:type="gramStart"/>
      <w:r w:rsidRPr="00E87E42">
        <w:t>Governments regulations aim to ensure life safety</w:t>
      </w:r>
      <w:r w:rsidR="002C612E" w:rsidRPr="00E87E42">
        <w:t xml:space="preserve"> </w:t>
      </w:r>
      <w:r w:rsidR="0060313C" w:rsidRPr="00E87E42">
        <w:t xml:space="preserve">(i.e. means of warning and escape in the Approved Document B for dwellings </w:t>
      </w:r>
      <w:proofErr w:type="gramEnd"/>
      <w:r w:rsidR="0060313C" w:rsidRPr="00E87E42">
        <w:fldChar w:fldCharType="begin" w:fldLock="1"/>
      </w:r>
      <w:r w:rsidR="008A55B5" w:rsidRPr="00E87E42">
        <w:instrText>ADDIN CSL_CITATION {"citationItems":[{"id":"ITEM-1","itemData":{"ISBN":"978-1-85946-488-5","author":[{"dropping-particle":"","family":"HM Government","given":"","non-dropping-particle":"","parse-names":false,"suffix":""}],"id":"ITEM-1","issued":{"date-parts":[["2006"]]},"title":"The Building Regulations 2010 Fire Safety: Approved document B Volume 1 - Dwellinghouses","type":"report","volume":"1"},"uris":["http://www.mendeley.com/documents/?uuid=d57f847f-1561-4768-b172-cee739a5e607","http://www.mendeley.com/documents/?uuid=bf6f197f-3ca7-4ae6-b37f-8dd3dcafa1a2"]}],"mendeley":{"formattedCitation":"[5]","plainTextFormattedCitation":"[5]","previouslyFormattedCitation":"[5]"},"properties":{"noteIndex":0},"schema":"https://github.com/citation-style-language/schema/raw/master/csl-citation.json"}</w:instrText>
      </w:r>
      <w:r w:rsidR="0060313C" w:rsidRPr="00E87E42">
        <w:fldChar w:fldCharType="separate"/>
      </w:r>
      <w:r w:rsidR="0060313C" w:rsidRPr="00E87E42">
        <w:rPr>
          <w:noProof/>
        </w:rPr>
        <w:t>[5]</w:t>
      </w:r>
      <w:r w:rsidR="0060313C" w:rsidRPr="00E87E42">
        <w:fldChar w:fldCharType="end"/>
      </w:r>
      <w:proofErr w:type="gramStart"/>
      <w:r w:rsidR="0060313C" w:rsidRPr="00E87E42">
        <w:t xml:space="preserve"> and b</w:t>
      </w:r>
      <w:r w:rsidR="000F2976" w:rsidRPr="00E87E42">
        <w:t>uildings other than dwelling</w:t>
      </w:r>
      <w:r w:rsidR="0060313C" w:rsidRPr="00E87E42">
        <w:t xml:space="preserve"> houses </w:t>
      </w:r>
      <w:proofErr w:type="gramEnd"/>
      <w:r w:rsidR="0060313C" w:rsidRPr="00E87E42">
        <w:fldChar w:fldCharType="begin" w:fldLock="1"/>
      </w:r>
      <w:r w:rsidR="008A55B5" w:rsidRPr="00E87E42">
        <w:instrText>ADDIN CSL_CITATION {"citationItems":[{"id":"ITEM-1","itemData":{"DOI":"10.1016/B978-0-7506-8580-1.00027-0","ISBN":"9780750685801","ISSN":"01945181","PMID":"1342765","author":[{"dropping-particle":"","family":"HM Government","given":"","non-dropping-particle":"","parse-names":false,"suffix":""}],"id":"ITEM-1","issued":{"date-parts":[["2006"]]},"title":"The Building Regulations 2010 Fire Safety Approved Document B - Buildings Other Than Dwelling Houses","type":"report","volume":"2"},"uris":["http://www.mendeley.com/documents/?uuid=650f46fe-0a56-4f10-8a0e-019fe0583d0a","http://www.mendeley.com/documents/?uuid=b1b1585d-b767-4413-ba9f-eb7b604a6d8e"]}],"mendeley":{"formattedCitation":"[6]","plainTextFormattedCitation":"[6]","previouslyFormattedCitation":"[6]"},"properties":{"noteIndex":0},"schema":"https://github.com/citation-style-language/schema/raw/master/csl-citation.json"}</w:instrText>
      </w:r>
      <w:r w:rsidR="0060313C" w:rsidRPr="00E87E42">
        <w:fldChar w:fldCharType="separate"/>
      </w:r>
      <w:r w:rsidR="0060313C" w:rsidRPr="00E87E42">
        <w:rPr>
          <w:noProof/>
        </w:rPr>
        <w:t>[6]</w:t>
      </w:r>
      <w:r w:rsidR="0060313C" w:rsidRPr="00E87E42">
        <w:fldChar w:fldCharType="end"/>
      </w:r>
      <w:proofErr w:type="gramStart"/>
      <w:r w:rsidR="0060313C" w:rsidRPr="00E87E42">
        <w:t xml:space="preserve"> in England)</w:t>
      </w:r>
      <w:r w:rsidRPr="00E87E42">
        <w:t xml:space="preserve">, and previsions of prescriptive codes </w:t>
      </w:r>
      <w:r w:rsidR="00E77E64" w:rsidRPr="00E87E42">
        <w:t xml:space="preserve">(i.e. </w:t>
      </w:r>
      <w:proofErr w:type="gramEnd"/>
      <w:r w:rsidRPr="00E87E42">
        <w:fldChar w:fldCharType="begin" w:fldLock="1"/>
      </w:r>
      <w:r w:rsidR="00E77E64" w:rsidRPr="00E87E42">
        <w:instrText>ADDIN CSL_CITATION {"citationItems":[{"id":"ITEM-1","itemData":{"DOI":"[Authority: The European Union Per Regulation 305/2011, Directive 98/34/EC, Directive 2004/18/EC]","ISBN":"978 0 580 61759 1","abstract":"I n o r d e r t o p r o m o t e p u b l i c e d u c a t i o n a n d p u b l i c s a f e t y , e q u a l j u s t i c e f o r a l l , a b e t t e r i n f o r m e d c i t i z e n r y , t h e r u l e o f l a w , w o r l d t r a d e a n d w o r l d p e a c e , t h i s l e g a l d o c u m e n t i s h e r e b y m a d e a v a i l a b l e o n a n o n c o m m e r c i a l b a s i s , a s i t i s t h e r i g h t o f a l l h u m a n s t o k n o w a n d s p e a k t h e l a w s t h a t g o v e r n t h e m .","author":[{"dropping-particle":"","family":"BS EN 1992-1-1","given":"","non-dropping-particle":"","parse-names":false,"suffix":""}],"container-title":"British Standards Institution","id":"ITEM-1","issue":"2004","issued":{"date-parts":[["2004"]]},"page":"230","title":"Eurocode 2: Design of concrete structures - Part 1-1 : General rules and rules for buildings","type":"article-journal","volume":"1"},"uris":["http://www.mendeley.com/documents/?uuid=2dfd77d7-03ef-455a-959d-f1eebac3ceaf","http://www.mendeley.com/documents/?uuid=19e2b66a-aac3-4c89-93f4-b46bac8f66b1"]}],"mendeley":{"formattedCitation":"[7]","plainTextFormattedCitation":"[7]","previouslyFormattedCitation":"[7]"},"properties":{"noteIndex":0},"schema":"https://github.com/citation-style-language/schema/raw/master/csl-citation.json"}</w:instrText>
      </w:r>
      <w:r w:rsidRPr="00E87E42">
        <w:fldChar w:fldCharType="separate"/>
      </w:r>
      <w:r w:rsidR="00E77E64" w:rsidRPr="00E87E42">
        <w:rPr>
          <w:noProof/>
        </w:rPr>
        <w:t>[7]</w:t>
      </w:r>
      <w:r w:rsidRPr="00E87E42">
        <w:fldChar w:fldCharType="end"/>
      </w:r>
      <w:proofErr w:type="gramStart"/>
      <w:r w:rsidR="00393211" w:rsidRPr="00E87E42">
        <w:t xml:space="preserve">) </w:t>
      </w:r>
      <w:r w:rsidRPr="00E87E42">
        <w:t xml:space="preserve">assume that the intended life safety fire performance criteria are implicitly satisfied by meeting the minimum </w:t>
      </w:r>
      <w:r w:rsidRPr="00E87E42">
        <w:lastRenderedPageBreak/>
        <w:t>code requirements for design and detailing of structural and non-structural components</w:t>
      </w:r>
      <w:r w:rsidR="005E780E" w:rsidRPr="00E87E42">
        <w:t xml:space="preserve"> </w:t>
      </w:r>
      <w:proofErr w:type="gramEnd"/>
      <w:r w:rsidR="005E780E" w:rsidRPr="00E87E42">
        <w:fldChar w:fldCharType="begin" w:fldLock="1"/>
      </w:r>
      <w:r w:rsidR="00BC5ED7" w:rsidRPr="00E87E42">
        <w:instrText>ADDIN CSL_CITATION {"citationItems":[{"id":"ITEM-1","itemData":{"author":[{"dropping-particle":"","family":"Hopkin","given":"D.","non-dropping-particle":"","parse-names":false,"suffix":""},{"dropping-particle":"","family":"Coile","given":"R.","non-dropping-particle":"Van","parse-names":false,"suffix":""},{"dropping-particle":"","family":"Lange","given":"D.","non-dropping-particle":"","parse-names":false,"suffix":""}],"container-title":"SFPE Europe","id":"ITEM-1","issued":{"date-parts":[["2017"]]},"title":"Certain Uncertainty - Demonstrating Safety in Fire Engineering Design and the Need for Safety Targets.","type":"article-magazine"},"uris":["http://www.mendeley.com/documents/?uuid=383f1c56-ca94-4a35-ae8c-6dbe133d2c9a"]}],"mendeley":{"formattedCitation":"[8]","plainTextFormattedCitation":"[8]","previouslyFormattedCitation":"[8]"},"properties":{"noteIndex":0},"schema":"https://github.com/citation-style-language/schema/raw/master/csl-citation.json"}</w:instrText>
      </w:r>
      <w:r w:rsidR="005E780E" w:rsidRPr="00E87E42">
        <w:fldChar w:fldCharType="separate"/>
      </w:r>
      <w:r w:rsidR="0060313C" w:rsidRPr="00E87E42">
        <w:rPr>
          <w:noProof/>
        </w:rPr>
        <w:t>[8]</w:t>
      </w:r>
      <w:r w:rsidR="005E780E" w:rsidRPr="00E87E42">
        <w:fldChar w:fldCharType="end"/>
      </w:r>
      <w:proofErr w:type="gramStart"/>
      <w:r w:rsidR="00EB0173" w:rsidRPr="00E87E42">
        <w:t>.</w:t>
      </w:r>
      <w:proofErr w:type="gramEnd"/>
      <w:r w:rsidR="00EB0173" w:rsidRPr="00E87E42">
        <w:t xml:space="preserve"> In the USA, life safety </w:t>
      </w:r>
      <w:r w:rsidR="00E77E64" w:rsidRPr="00E87E42">
        <w:t>goals are</w:t>
      </w:r>
      <w:r w:rsidR="00EB0173" w:rsidRPr="00E87E42">
        <w:t xml:space="preserve"> covered by the fact that every new and existing building shall comply with the NFPA 1: Fire Code and NFPA 101</w:t>
      </w:r>
      <w:r w:rsidR="003F33FA" w:rsidRPr="00E87E42">
        <w:t xml:space="preserve"> </w:t>
      </w:r>
      <w:r w:rsidR="003717CB" w:rsidRPr="00E87E42">
        <w:fldChar w:fldCharType="begin" w:fldLock="1"/>
      </w:r>
      <w:r w:rsidR="008A55B5" w:rsidRPr="00E87E42">
        <w:instrText>ADDIN CSL_CITATION {"citationItems":[{"id":"ITEM-1","itemData":{"author":[{"dropping-particle":"","family":"National Fire Protection Association and National Fire Protection Association. Technical Committee on Uniform Fire Code.","given":"","non-dropping-particle":"","parse-names":false,"suffix":""}],"id":"ITEM-1","issued":{"date-parts":[["2006"]]},"title":"NFPA 1 Uniform Fire Code. National Fire Protection Association.","type":"report"},"uris":["http://www.mendeley.com/documents/?uuid=0539b5ea-dd8f-4fc5-b98a-ddeb0b7c3a5b","http://www.mendeley.com/documents/?uuid=28f39f4b-7887-4d8f-8ace-c1b15076da99"]}],"mendeley":{"formattedCitation":"[9]","plainTextFormattedCitation":"[9]","previouslyFormattedCitation":"[9]"},"properties":{"noteIndex":0},"schema":"https://github.com/citation-style-language/schema/raw/master/csl-citation.json"}</w:instrText>
      </w:r>
      <w:r w:rsidR="003717CB" w:rsidRPr="00E87E42">
        <w:fldChar w:fldCharType="separate"/>
      </w:r>
      <w:r w:rsidR="0060313C" w:rsidRPr="00E87E42">
        <w:rPr>
          <w:noProof/>
        </w:rPr>
        <w:t>[9]</w:t>
      </w:r>
      <w:r w:rsidR="003717CB" w:rsidRPr="00E87E42">
        <w:fldChar w:fldCharType="end"/>
      </w:r>
      <w:r w:rsidR="003717CB" w:rsidRPr="00E87E42">
        <w:t xml:space="preserve">, </w:t>
      </w:r>
      <w:r w:rsidR="003717CB" w:rsidRPr="00E87E42">
        <w:fldChar w:fldCharType="begin" w:fldLock="1"/>
      </w:r>
      <w:r w:rsidR="008A55B5" w:rsidRPr="00E87E42">
        <w:instrText>ADDIN CSL_CITATION {"citationItems":[{"id":"ITEM-1","itemData":{"author":[{"dropping-particle":"","family":"National Fire Protection Association.","given":"","non-dropping-particle":"","parse-names":false,"suffix":""}],"id":"ITEM-1","issued":{"date-parts":[["2000"]]},"title":"NFPA 101, Life Safety Code 2000 edition.","type":"report"},"uris":["http://www.mendeley.com/documents/?uuid=4bcf36bd-2752-4a38-9aeb-9a3249a7464e","http://www.mendeley.com/documents/?uuid=de3069dc-7838-46e4-9f3f-4896690ff2b9"]}],"mendeley":{"formattedCitation":"[10]","plainTextFormattedCitation":"[10]","previouslyFormattedCitation":"[10]"},"properties":{"noteIndex":0},"schema":"https://github.com/citation-style-language/schema/raw/master/csl-citation.json"}</w:instrText>
      </w:r>
      <w:r w:rsidR="003717CB" w:rsidRPr="00E87E42">
        <w:fldChar w:fldCharType="separate"/>
      </w:r>
      <w:r w:rsidR="0060313C" w:rsidRPr="00E87E42">
        <w:rPr>
          <w:noProof/>
        </w:rPr>
        <w:t>[10]</w:t>
      </w:r>
      <w:r w:rsidR="003717CB" w:rsidRPr="00E87E42">
        <w:fldChar w:fldCharType="end"/>
      </w:r>
      <w:r w:rsidRPr="00E87E42">
        <w:t xml:space="preserve">. </w:t>
      </w:r>
      <w:proofErr w:type="gramStart"/>
      <w:r w:rsidRPr="00E87E42">
        <w:t xml:space="preserve">These life safety goals have been shown to be more and more well satisfied </w:t>
      </w:r>
      <w:r w:rsidR="001C5D58" w:rsidRPr="00E87E42">
        <w:t>since the early 2000s</w:t>
      </w:r>
      <w:r w:rsidRPr="00E87E42">
        <w:t xml:space="preserve">; </w:t>
      </w:r>
      <w:r w:rsidR="001C5D58" w:rsidRPr="00E87E42">
        <w:t xml:space="preserve">the number of </w:t>
      </w:r>
      <w:r w:rsidR="00C6669E" w:rsidRPr="00E87E42">
        <w:t xml:space="preserve">primary </w:t>
      </w:r>
      <w:r w:rsidR="001C5D58" w:rsidRPr="00E87E42">
        <w:t xml:space="preserve">fires </w:t>
      </w:r>
      <w:r w:rsidR="00C6669E" w:rsidRPr="00E87E42">
        <w:t xml:space="preserve">(i.e. in structures rather than outdoor or vehicular) </w:t>
      </w:r>
      <w:r w:rsidR="001C5D58" w:rsidRPr="00E87E42">
        <w:t>in the UK ha</w:t>
      </w:r>
      <w:r w:rsidR="00B77AD8" w:rsidRPr="00E87E42">
        <w:t>s</w:t>
      </w:r>
      <w:r w:rsidR="001C5D58" w:rsidRPr="00E87E42">
        <w:t xml:space="preserve"> decreased from a peak of </w:t>
      </w:r>
      <w:r w:rsidR="00C6669E" w:rsidRPr="00E87E42">
        <w:t>178,000</w:t>
      </w:r>
      <w:r w:rsidR="001C5D58" w:rsidRPr="00E87E42">
        <w:t xml:space="preserve">, </w:t>
      </w:r>
      <w:r w:rsidR="00C6669E" w:rsidRPr="00E87E42">
        <w:t>in 2003/04</w:t>
      </w:r>
      <w:r w:rsidR="001C5D58" w:rsidRPr="00E87E42">
        <w:t xml:space="preserve"> to </w:t>
      </w:r>
      <w:r w:rsidR="00C6669E" w:rsidRPr="00E87E42">
        <w:t>75,000</w:t>
      </w:r>
      <w:r w:rsidR="001C5D58" w:rsidRPr="00E87E42">
        <w:t xml:space="preserve"> in 2016/17, with fire related </w:t>
      </w:r>
      <w:r w:rsidRPr="00E87E42">
        <w:t xml:space="preserve">deaths in the UK reduced from </w:t>
      </w:r>
      <w:r w:rsidR="001C5D58" w:rsidRPr="00E87E42">
        <w:t>around 45</w:t>
      </w:r>
      <w:r w:rsidR="00C6669E" w:rsidRPr="00E87E42">
        <w:t>4</w:t>
      </w:r>
      <w:r w:rsidR="001C5D58" w:rsidRPr="00E87E42">
        <w:t xml:space="preserve"> in 2003/04 to 261 in 2016/17</w:t>
      </w:r>
      <w:r w:rsidR="009A3717" w:rsidRPr="00E87E42">
        <w:t xml:space="preserve"> </w:t>
      </w:r>
      <w:r w:rsidR="001C5D58" w:rsidRPr="00E87E42">
        <w:fldChar w:fldCharType="begin" w:fldLock="1"/>
      </w:r>
      <w:r w:rsidR="00376A31" w:rsidRPr="00E87E42">
        <w:instrText>ADDIN CSL_CITATION {"citationItems":[{"id":"ITEM-1","itemData":{"author":[{"dropping-particle":"","family":"Bryant","given":"Stephanie","non-dropping-particle":"","parse-names":false,"suffix":""},{"dropping-particle":"","family":"Preston","given":"Isabel","non-dropping-particle":"","parse-names":false,"suffix":""}],"id":"ITEM-1","issue":"October","issued":{"date-parts":[["2017"]]},"title":"Focus on trends in fires and fire- related fatalities","type":"article-journal"},"uris":["http://www.mendeley.com/documents/?uuid=d10b8c82-ff16-48c7-9fa4-a1c4027b8dd4","http://www.mendeley.com/documents/?uuid=b6799be3-f327-4909-bdef-5cc0704e9d9f"]}],"mendeley":{"formattedCitation":"[11]","plainTextFormattedCitation":"[11]","previouslyFormattedCitation":"[11]"},"properties":{"noteIndex":0},"schema":"https://github.com/citation-style-language/schema/raw/master/csl-citation.json"}</w:instrText>
      </w:r>
      <w:r w:rsidR="001C5D58" w:rsidRPr="00E87E42">
        <w:fldChar w:fldCharType="separate"/>
      </w:r>
      <w:r w:rsidR="0060313C" w:rsidRPr="00E87E42">
        <w:rPr>
          <w:noProof/>
        </w:rPr>
        <w:t>[11]</w:t>
      </w:r>
      <w:r w:rsidR="001C5D58" w:rsidRPr="00E87E42">
        <w:fldChar w:fldCharType="end"/>
      </w:r>
      <w:r w:rsidR="001C5D58" w:rsidRPr="00E87E42">
        <w:t>.</w:t>
      </w:r>
      <w:proofErr w:type="gramEnd"/>
      <w:r w:rsidRPr="00E87E42">
        <w:t xml:space="preserve">  </w:t>
      </w:r>
      <w:r w:rsidR="001C5D58" w:rsidRPr="00E87E42">
        <w:t>A similar picture also emerges from the US</w:t>
      </w:r>
      <w:r w:rsidR="006728B6" w:rsidRPr="00E87E42">
        <w:t>A</w:t>
      </w:r>
      <w:r w:rsidR="001C5D58" w:rsidRPr="00E87E42">
        <w:t xml:space="preserve"> where in 2003</w:t>
      </w:r>
      <w:r w:rsidR="009A3717" w:rsidRPr="00E87E42">
        <w:t xml:space="preserve"> 520,000 structure</w:t>
      </w:r>
      <w:r w:rsidR="00C6669E" w:rsidRPr="00E87E42">
        <w:t xml:space="preserve"> fires </w:t>
      </w:r>
      <w:r w:rsidR="009A3717" w:rsidRPr="00E87E42">
        <w:t>caused 3,385</w:t>
      </w:r>
      <w:r w:rsidR="00C6669E" w:rsidRPr="00E87E42">
        <w:t xml:space="preserve"> deaths compared to 475,500 structure fires with 2,950 deaths in 2016</w:t>
      </w:r>
      <w:r w:rsidR="009A3717" w:rsidRPr="00E87E42">
        <w:t xml:space="preserve"> </w:t>
      </w:r>
      <w:r w:rsidR="009A3717" w:rsidRPr="00E87E42">
        <w:fldChar w:fldCharType="begin" w:fldLock="1"/>
      </w:r>
      <w:r w:rsidR="00376A31" w:rsidRPr="00E87E42">
        <w:instrText>ADDIN CSL_CITATION {"citationItems":[{"id":"ITEM-1","itemData":{"author":[{"dropping-particle":"","family":"Haynes","given":"H J G","non-dropping-particle":"","parse-names":false,"suffix":""}],"id":"ITEM-1","issued":{"date-parts":[["2017"]]},"number-of-pages":"1-56","title":"Fire Loss in the United States during 2016","type":"report"},"uris":["http://www.mendeley.com/documents/?uuid=33e58fc6-d0fe-44f2-b518-54fb0e6e27aa","http://www.mendeley.com/documents/?uuid=1a0d5b0d-67a1-49a3-a7d9-0d81c41e11a4"]}],"mendeley":{"formattedCitation":"[12]","plainTextFormattedCitation":"[12]","previouslyFormattedCitation":"[12]"},"properties":{"noteIndex":0},"schema":"https://github.com/citation-style-language/schema/raw/master/csl-citation.json"}</w:instrText>
      </w:r>
      <w:r w:rsidR="009A3717" w:rsidRPr="00E87E42">
        <w:fldChar w:fldCharType="separate"/>
      </w:r>
      <w:r w:rsidR="0060313C" w:rsidRPr="00E87E42">
        <w:rPr>
          <w:noProof/>
        </w:rPr>
        <w:t>[12]</w:t>
      </w:r>
      <w:r w:rsidR="009A3717" w:rsidRPr="00E87E42">
        <w:fldChar w:fldCharType="end"/>
      </w:r>
      <w:r w:rsidR="009A3717" w:rsidRPr="00E87E42">
        <w:t>. However</w:t>
      </w:r>
      <w:r w:rsidR="00386DD8" w:rsidRPr="00E87E42">
        <w:t>,</w:t>
      </w:r>
      <w:r w:rsidR="009A3717" w:rsidRPr="00E87E42">
        <w:t xml:space="preserve"> whilst life safety goals are improving</w:t>
      </w:r>
      <w:r w:rsidR="00386DD8" w:rsidRPr="00E87E42">
        <w:t>,</w:t>
      </w:r>
      <w:r w:rsidR="009A3717" w:rsidRPr="00E87E42">
        <w:t xml:space="preserve"> the </w:t>
      </w:r>
      <w:r w:rsidR="006C2153" w:rsidRPr="00E87E42">
        <w:t xml:space="preserve">economic </w:t>
      </w:r>
      <w:r w:rsidR="009A3717" w:rsidRPr="00E87E42">
        <w:t xml:space="preserve">cost of fire </w:t>
      </w:r>
      <w:r w:rsidR="006C2153" w:rsidRPr="00E87E42">
        <w:t>remain</w:t>
      </w:r>
      <w:r w:rsidR="00386DD8" w:rsidRPr="00E87E42">
        <w:t>s</w:t>
      </w:r>
      <w:r w:rsidR="006C2153" w:rsidRPr="00E87E42">
        <w:t xml:space="preserve"> high </w:t>
      </w:r>
      <w:r w:rsidR="00E917B0" w:rsidRPr="00E87E42">
        <w:t>with economic losses due to fire in the US</w:t>
      </w:r>
      <w:r w:rsidR="006728B6" w:rsidRPr="00E87E42">
        <w:t>A</w:t>
      </w:r>
      <w:r w:rsidR="00E917B0" w:rsidRPr="00E87E42">
        <w:t xml:space="preserve"> in 2011 being at an estimated $14.9Bn ($13.3Bn direct, $1.6Bn indirect</w:t>
      </w:r>
      <w:r w:rsidR="00FB3EC7" w:rsidRPr="00E87E42">
        <w:t xml:space="preserve"> losses </w:t>
      </w:r>
      <w:r w:rsidR="00D23561" w:rsidRPr="00E87E42">
        <w:t xml:space="preserve">such as business </w:t>
      </w:r>
      <w:r w:rsidR="00A1144C" w:rsidRPr="00E87E42">
        <w:t>interruption</w:t>
      </w:r>
      <w:r w:rsidR="00E917B0" w:rsidRPr="00E87E42">
        <w:t xml:space="preserve">), a value that has not varied greatly over the </w:t>
      </w:r>
      <w:r w:rsidR="00F24ACE" w:rsidRPr="00E87E42">
        <w:t xml:space="preserve">past </w:t>
      </w:r>
      <w:r w:rsidR="00E917B0" w:rsidRPr="00E87E42">
        <w:t xml:space="preserve">30 years </w:t>
      </w:r>
      <w:r w:rsidR="00E917B0" w:rsidRPr="00E87E42">
        <w:fldChar w:fldCharType="begin" w:fldLock="1"/>
      </w:r>
      <w:r w:rsidR="00376A31" w:rsidRPr="00E87E42">
        <w:instrText>ADDIN CSL_CITATION {"citationItems":[{"id":"ITEM-1","itemData":{"author":[{"dropping-particle":"","family":"Hall","given":"JR","non-dropping-particle":"","parse-names":false,"suffix":""}],"id":"ITEM-1","issue":"March","issued":{"date-parts":[["2014"]]},"publisher":"NFPA","publisher-place":"Quincy, MA","title":"The total cost of fire in the United States","type":"book"},"uris":["http://www.mendeley.com/documents/?uuid=792e9da1-c9a9-4d30-865f-8df335f9e120","http://www.mendeley.com/documents/?uuid=04c8443b-1eca-4d01-8d49-91a0fcb6a620"]}],"mendeley":{"formattedCitation":"[13]","plainTextFormattedCitation":"[13]","previouslyFormattedCitation":"[13]"},"properties":{"noteIndex":0},"schema":"https://github.com/citation-style-language/schema/raw/master/csl-citation.json"}</w:instrText>
      </w:r>
      <w:r w:rsidR="00E917B0" w:rsidRPr="00E87E42">
        <w:fldChar w:fldCharType="separate"/>
      </w:r>
      <w:r w:rsidR="0060313C" w:rsidRPr="00E87E42">
        <w:rPr>
          <w:noProof/>
        </w:rPr>
        <w:t>[13]</w:t>
      </w:r>
      <w:r w:rsidR="00E917B0" w:rsidRPr="00E87E42">
        <w:fldChar w:fldCharType="end"/>
      </w:r>
      <w:r w:rsidR="00E917B0" w:rsidRPr="00E87E42">
        <w:t xml:space="preserve">. </w:t>
      </w:r>
    </w:p>
    <w:p w14:paraId="7B439C9D" w14:textId="7F10D37F" w:rsidR="00F948E5" w:rsidRPr="00E87E42" w:rsidRDefault="00751A2B" w:rsidP="005C4148">
      <w:pPr>
        <w:spacing w:before="120"/>
      </w:pPr>
      <w:r w:rsidRPr="00E87E42">
        <w:t>R</w:t>
      </w:r>
      <w:r w:rsidR="00AF01B0" w:rsidRPr="00E87E42">
        <w:t>isk and consequence of fire</w:t>
      </w:r>
      <w:r w:rsidRPr="00E87E42">
        <w:t>s</w:t>
      </w:r>
      <w:r w:rsidR="00AF01B0" w:rsidRPr="00E87E42">
        <w:t xml:space="preserve"> </w:t>
      </w:r>
      <w:r w:rsidRPr="00E87E42">
        <w:t xml:space="preserve">have </w:t>
      </w:r>
      <w:r w:rsidR="005B1B67" w:rsidRPr="00E87E42">
        <w:t>received a lot of academic inquir</w:t>
      </w:r>
      <w:r w:rsidRPr="00E87E42">
        <w:t>y</w:t>
      </w:r>
      <w:r w:rsidR="005B1B67" w:rsidRPr="00E87E42">
        <w:t>, with the majority interrogating the probability of failure in terms of structural collapse and</w:t>
      </w:r>
      <w:r w:rsidRPr="00E87E42">
        <w:t>/</w:t>
      </w:r>
      <w:r w:rsidR="005B1B67" w:rsidRPr="00E87E42">
        <w:t>or life safety</w:t>
      </w:r>
      <w:r w:rsidR="008C5609" w:rsidRPr="00E87E42">
        <w:t xml:space="preserve"> </w:t>
      </w:r>
      <w:r w:rsidR="00B15B63" w:rsidRPr="00E87E42">
        <w:fldChar w:fldCharType="begin" w:fldLock="1"/>
      </w:r>
      <w:r w:rsidR="00376A31" w:rsidRPr="00E87E42">
        <w:instrText>ADDIN CSL_CITATION {"citationItems":[{"id":"ITEM-1","itemData":{"DOI":"10.1016/j.firesaf.2013.08.005","ISSN":"03797112","abstract":"To further understand the fire behavior of concrete floor slabs, this paper examines the results of a fire test on continuous concrete floor slabs in a full-scale three-story steel-framed building. The case under experimental study models the reality of fire conditions more closely than previous tests and involves the construction of a special furnace on the building's second floor to heat four panels (two by two) and steel beams on the third floor. The experimental results are investigated in detail and consider the furnace temperature, temperature distribution, vertical and horizontal deflections, and failure patterns of the structural elements during the heating and cooling phases. The testing data indicate that the number and locations of the heated panels in the floor also have a considerable effect on the continuous concrete floor's fire behavior, apart from the boundary constraint conditions provided by the adjacent structural members. In addition, the steel beams exhibit better fire-resistant performance than that observed in standard fire tests depending on their structural integrity and the interaction between structural members. In contrast to its high-strength bolt connections, the building's welded-bolted connections do not cause local buckling of the steel beams subjected to fire. © 2013 Elsevier Ltd.","author":[{"dropping-particle":"","family":"Wang","given":"Y.","non-dropping-particle":"","parse-names":false,"suffix":""},{"dropping-particle":"","family":"Dong","given":"Y. L.","non-dropping-particle":"","parse-names":false,"suffix":""},{"dropping-particle":"","family":"Li","given":"B.","non-dropping-particle":"","parse-names":false,"suffix":""},{"dropping-particle":"","family":"Zhou","given":"G. C.","non-dropping-particle":"","parse-names":false,"suffix":""}],"container-title":"Fire Safety Journal","id":"ITEM-1","issued":{"date-parts":[["2013"]]},"page":"232-242","title":"A fire test on continuous reinforced concrete slabs in a full-scale multi-story steel-framed building","type":"article-journal","volume":"61"},"uris":["http://www.mendeley.com/documents/?uuid=f503160d-5420-4cc0-ae55-af4b62e6b8fe","http://www.mendeley.com/documents/?uuid=2b6ea936-48f4-4dfe-a932-2f133e69eab1"]}],"mendeley":{"formattedCitation":"[14]","plainTextFormattedCitation":"[14]","previouslyFormattedCitation":"[14]"},"properties":{"noteIndex":0},"schema":"https://github.com/citation-style-language/schema/raw/master/csl-citation.json"}</w:instrText>
      </w:r>
      <w:r w:rsidR="00B15B63" w:rsidRPr="00E87E42">
        <w:fldChar w:fldCharType="separate"/>
      </w:r>
      <w:r w:rsidR="0060313C" w:rsidRPr="00E87E42">
        <w:rPr>
          <w:noProof/>
        </w:rPr>
        <w:t>[14]</w:t>
      </w:r>
      <w:r w:rsidR="00B15B63" w:rsidRPr="00E87E42">
        <w:fldChar w:fldCharType="end"/>
      </w:r>
      <w:r w:rsidR="00F948E5" w:rsidRPr="00E87E42">
        <w:t>, however</w:t>
      </w:r>
      <w:r w:rsidR="00A1144C" w:rsidRPr="00E87E42">
        <w:t>, very</w:t>
      </w:r>
      <w:r w:rsidR="00AF01B0" w:rsidRPr="00E87E42">
        <w:t xml:space="preserve"> few explicitly consider damage and thus the potential</w:t>
      </w:r>
      <w:r w:rsidR="00A1144C" w:rsidRPr="00E87E42">
        <w:t xml:space="preserve"> reinstatement</w:t>
      </w:r>
      <w:r w:rsidR="00AF01B0" w:rsidRPr="00E87E42">
        <w:t xml:space="preserve"> and re-use of the property</w:t>
      </w:r>
      <w:r w:rsidR="00F948E5" w:rsidRPr="00E87E42">
        <w:t xml:space="preserve"> </w:t>
      </w:r>
      <w:r w:rsidR="00082728" w:rsidRPr="00E87E42">
        <w:fldChar w:fldCharType="begin" w:fldLock="1"/>
      </w:r>
      <w:r w:rsidR="00376A31" w:rsidRPr="00E87E42">
        <w:instrText>ADDIN CSL_CITATION {"citationItems":[{"id":"ITEM-1","itemData":{"author":[{"dropping-particle":"","family":"Kirby, B.R.; Lapwood, D. G; Thompson","given":"G.","non-dropping-particle":"","parse-names":false,"suffix":""}],"id":"ITEM-1","issued":{"date-parts":[["1993"]]},"title":"Reinstatement of Fire Damaged Steel and Iron Framed Structures","type":"report"},"uris":["http://www.mendeley.com/documents/?uuid=cc6f7bc6-fddf-44f5-9f5b-bd1fd39bc5a7","http://www.mendeley.com/documents/?uuid=c93df4b6-202d-4a54-9a0b-5c6b1b4761c1"]}],"mendeley":{"formattedCitation":"[15]","plainTextFormattedCitation":"[15]","previouslyFormattedCitation":"[15]"},"properties":{"noteIndex":0},"schema":"https://github.com/citation-style-language/schema/raw/master/csl-citation.json"}</w:instrText>
      </w:r>
      <w:r w:rsidR="00082728" w:rsidRPr="00E87E42">
        <w:fldChar w:fldCharType="separate"/>
      </w:r>
      <w:r w:rsidR="0060313C" w:rsidRPr="00E87E42">
        <w:rPr>
          <w:noProof/>
        </w:rPr>
        <w:t>[15]</w:t>
      </w:r>
      <w:r w:rsidR="00082728" w:rsidRPr="00E87E42">
        <w:fldChar w:fldCharType="end"/>
      </w:r>
      <w:r w:rsidR="00AF01B0" w:rsidRPr="00E87E42">
        <w:t xml:space="preserve">. </w:t>
      </w:r>
      <w:r w:rsidR="00F948E5" w:rsidRPr="00E87E42">
        <w:t xml:space="preserve">Property protection is an essential part of business continuity and </w:t>
      </w:r>
      <w:r w:rsidR="00B51DA7" w:rsidRPr="00E87E42">
        <w:t xml:space="preserve">forms a major part of the resilience of the business </w:t>
      </w:r>
      <w:r w:rsidR="00B51DA7" w:rsidRPr="00E87E42">
        <w:fldChar w:fldCharType="begin" w:fldLock="1"/>
      </w:r>
      <w:r w:rsidR="00BC5ED7" w:rsidRPr="00E87E42">
        <w:instrText>ADDIN CSL_CITATION {"citationItems":[{"id":"ITEM-1","itemData":{"author":[{"dropping-particle":"","family":"BSI","given":"","non-dropping-particle":"","parse-names":false,"suffix":""}],"id":"ITEM-1","issued":{"date-parts":[["2012"]]},"title":"PD 7974-8:2012: Application of fire safety engineering principles to the design of buildings; Part 8: Property protection, business and mission continuity, and resilience","type":"report"},"uris":["http://www.mendeley.com/documents/?uuid=bce62417-6c98-4bb4-9bfa-2cca5591333a"]}],"mendeley":{"formattedCitation":"[4]","plainTextFormattedCitation":"[4]","previouslyFormattedCitation":"[4]"},"properties":{"noteIndex":0},"schema":"https://github.com/citation-style-language/schema/raw/master/csl-citation.json"}</w:instrText>
      </w:r>
      <w:r w:rsidR="00B51DA7" w:rsidRPr="00E87E42">
        <w:fldChar w:fldCharType="separate"/>
      </w:r>
      <w:r w:rsidR="00214A6C" w:rsidRPr="00E87E42">
        <w:rPr>
          <w:noProof/>
        </w:rPr>
        <w:t>[4]</w:t>
      </w:r>
      <w:r w:rsidR="00B51DA7" w:rsidRPr="00E87E42">
        <w:fldChar w:fldCharType="end"/>
      </w:r>
      <w:r w:rsidR="00034E26" w:rsidRPr="00E87E42">
        <w:t>, where</w:t>
      </w:r>
      <w:r w:rsidR="00B51DA7" w:rsidRPr="00E87E42">
        <w:t xml:space="preserve"> </w:t>
      </w:r>
      <w:r w:rsidR="00034E26" w:rsidRPr="00E87E42">
        <w:t>r</w:t>
      </w:r>
      <w:r w:rsidR="00B51DA7" w:rsidRPr="00E87E42">
        <w:t xml:space="preserve">esilience </w:t>
      </w:r>
      <w:r w:rsidR="00034E26" w:rsidRPr="00E87E42">
        <w:t>is</w:t>
      </w:r>
      <w:r w:rsidR="00B51DA7" w:rsidRPr="00E87E42">
        <w:t xml:space="preserve"> the ability of a system to absorb, and recover from, disruptions </w:t>
      </w:r>
      <w:r w:rsidR="008C5609" w:rsidRPr="00E87E42">
        <w:t xml:space="preserve">(fires in this context) </w:t>
      </w:r>
      <w:r w:rsidR="00B51DA7" w:rsidRPr="00E87E42">
        <w:t>to normal functionality. Whilst there is</w:t>
      </w:r>
      <w:r w:rsidR="008C5609" w:rsidRPr="00E87E42">
        <w:t xml:space="preserve"> </w:t>
      </w:r>
      <w:r w:rsidR="00B51DA7" w:rsidRPr="00E87E42">
        <w:t>no unique definition yet of fire resilience, there are three main principles that sit beneath it</w:t>
      </w:r>
      <w:r w:rsidR="00A056AD" w:rsidRPr="00E87E42">
        <w:t>:</w:t>
      </w:r>
      <w:r w:rsidR="00B51DA7" w:rsidRPr="00E87E42">
        <w:t xml:space="preserve"> life safety, property protection and business continuity</w:t>
      </w:r>
      <w:r w:rsidR="00F53880" w:rsidRPr="00E87E42">
        <w:t xml:space="preserve"> </w:t>
      </w:r>
      <w:r w:rsidR="00F53880" w:rsidRPr="00E87E42">
        <w:fldChar w:fldCharType="begin" w:fldLock="1"/>
      </w:r>
      <w:r w:rsidR="00BC5ED7" w:rsidRPr="00E87E42">
        <w:instrText>ADDIN CSL_CITATION {"citationItems":[{"id":"ITEM-1","itemData":{"DOI":"https://doi.org/10.1201/9781315107202-21","author":[{"dropping-particle":"","family":"Manes","given":"M","non-dropping-particle":"","parse-names":false,"suffix":""},{"dropping-particle":"","family":"Rush","given":"D","non-dropping-particle":"","parse-names":false,"suffix":""}],"container-title":"Applications of Fire Engineering: Proceedings of the International Conference of Applications of Structural Fire Engineering (ASFE 2017)","id":"ITEM-1","issued":{"date-parts":[["2017"]]},"page":"179-188","title":"Meta-analysis of UK , USA and New Zealand fire statistics databases with respect to damage and financial loss.","type":"paper-conference"},"uris":["http://www.mendeley.com/documents/?uuid=4256900c-5d58-49ee-ab75-0c532ece96eb"]}],"mendeley":{"formattedCitation":"[16]","plainTextFormattedCitation":"[16]","previouslyFormattedCitation":"[16]"},"properties":{"noteIndex":0},"schema":"https://github.com/citation-style-language/schema/raw/master/csl-citation.json"}</w:instrText>
      </w:r>
      <w:r w:rsidR="00F53880" w:rsidRPr="00E87E42">
        <w:fldChar w:fldCharType="separate"/>
      </w:r>
      <w:r w:rsidR="0060313C" w:rsidRPr="00E87E42">
        <w:rPr>
          <w:noProof/>
        </w:rPr>
        <w:t>[16]</w:t>
      </w:r>
      <w:r w:rsidR="00F53880" w:rsidRPr="00E87E42">
        <w:fldChar w:fldCharType="end"/>
      </w:r>
      <w:r w:rsidR="00F53880" w:rsidRPr="00E87E42">
        <w:t xml:space="preserve">, </w:t>
      </w:r>
      <w:r w:rsidR="00F53880" w:rsidRPr="00E87E42">
        <w:fldChar w:fldCharType="begin" w:fldLock="1"/>
      </w:r>
      <w:r w:rsidR="00BC5ED7" w:rsidRPr="00E87E42">
        <w:instrText>ADDIN CSL_CITATION {"citationItems":[{"id":"ITEM-1","itemData":{"author":[{"dropping-particle":"","family":"Manes","given":"M","non-dropping-particle":"","parse-names":false,"suffix":""},{"dropping-particle":"","family":"Rush","given":"D","non-dropping-particle":"","parse-names":false,"suffix":""}],"container-title":"2nd International Conference on Structural Safety under Fire and Blast Loading (CONFAB 17)","id":"ITEM-1","issued":{"date-parts":[["2017"]]},"page":"108-117","title":"Meta-analysis of response times and safety systems to the fire size, growth and damage, based on UK, USA and New Zealand fire statistics databases.","type":"article-journal"},"uris":["http://www.mendeley.com/documents/?uuid=15029e51-0379-49ce-851e-f08891d2a824"]}],"mendeley":{"formattedCitation":"[17]","plainTextFormattedCitation":"[17]","previouslyFormattedCitation":"[17]"},"properties":{"noteIndex":0},"schema":"https://github.com/citation-style-language/schema/raw/master/csl-citation.json"}</w:instrText>
      </w:r>
      <w:r w:rsidR="00F53880" w:rsidRPr="00E87E42">
        <w:fldChar w:fldCharType="separate"/>
      </w:r>
      <w:r w:rsidR="0060313C" w:rsidRPr="00E87E42">
        <w:rPr>
          <w:noProof/>
        </w:rPr>
        <w:t>[17]</w:t>
      </w:r>
      <w:r w:rsidR="00F53880" w:rsidRPr="00E87E42">
        <w:fldChar w:fldCharType="end"/>
      </w:r>
      <w:r w:rsidR="00B51DA7" w:rsidRPr="00E87E42">
        <w:t>.</w:t>
      </w:r>
    </w:p>
    <w:p w14:paraId="0FA439CA" w14:textId="787CA3E9" w:rsidR="0088376B" w:rsidRPr="00E87E42" w:rsidRDefault="0088376B" w:rsidP="00940C87">
      <w:pPr>
        <w:spacing w:before="120"/>
      </w:pPr>
      <w:proofErr w:type="gramStart"/>
      <w:r w:rsidRPr="00E87E42">
        <w:t xml:space="preserve">As in any </w:t>
      </w:r>
      <w:r w:rsidR="00034E26" w:rsidRPr="00E87E42">
        <w:t xml:space="preserve">built environment </w:t>
      </w:r>
      <w:r w:rsidRPr="00E87E42">
        <w:t xml:space="preserve">discipline, there are natural variabilities and uncertainties which are dealt through design codes, for instance </w:t>
      </w:r>
      <w:proofErr w:type="spellStart"/>
      <w:r w:rsidRPr="00E87E42">
        <w:t>Eurocode</w:t>
      </w:r>
      <w:proofErr w:type="spellEnd"/>
      <w:r w:rsidRPr="00E87E42">
        <w:t xml:space="preserve"> 1991-1-2 </w:t>
      </w:r>
      <w:r w:rsidRPr="00E87E42">
        <w:fldChar w:fldCharType="begin" w:fldLock="1"/>
      </w:r>
      <w:r w:rsidR="00376A31" w:rsidRPr="00E87E42">
        <w:instrText>ADDIN CSL_CITATION {"citationItems":[{"id":"ITEM-1","itemData":{"ISBN":"5947185067","author":[{"dropping-particle":"","family":"CEN","given":"","non-dropping-particle":"","parse-names":false,"suffix":""}],"container-title":"Part 2: Traffic loads on bridges","id":"ITEM-1","issue":"BS EN 1991-2:2003","issued":{"date-parts":[["2009"]]},"publisher-place":"Brussels, Belgium","title":"BS EN 1991-1-2:2002 Eurocode 1- Actions on structures; Part 1-2: General Actions - Actions on structures exposed to fire","type":"report","volume":"3"},"uris":["http://www.mendeley.com/documents/?uuid=be850cec-05c8-45f9-94d7-209806e49c08","http://www.mendeley.com/documents/?uuid=cb6298a2-d6ff-4973-b111-facf8fa778d0"]}],"mendeley":{"formattedCitation":"[18]","plainTextFormattedCitation":"[18]","previouslyFormattedCitation":"[18]"},"properties":{"noteIndex":0},"schema":"https://github.com/citation-style-language/schema/raw/master/csl-citation.json"}</w:instrText>
      </w:r>
      <w:r w:rsidRPr="00E87E42">
        <w:fldChar w:fldCharType="separate"/>
      </w:r>
      <w:r w:rsidR="0060313C" w:rsidRPr="00E87E42">
        <w:rPr>
          <w:noProof/>
        </w:rPr>
        <w:t>[18]</w:t>
      </w:r>
      <w:r w:rsidRPr="00E87E42">
        <w:fldChar w:fldCharType="end"/>
      </w:r>
      <w:r w:rsidRPr="00E87E42">
        <w:t xml:space="preserve"> provides details on the actions on structures with respect to fire </w:t>
      </w:r>
      <w:r w:rsidR="00940C87" w:rsidRPr="00E87E42">
        <w:t>effects</w:t>
      </w:r>
      <w:r w:rsidRPr="00E87E42">
        <w:t>, describing how</w:t>
      </w:r>
      <w:r w:rsidR="000F717C" w:rsidRPr="00E87E42">
        <w:t xml:space="preserve"> (if permitted by national authorities, as is the case in the UK)</w:t>
      </w:r>
      <w:r w:rsidRPr="00E87E42">
        <w:t xml:space="preserve"> the inclusion of different fire safety measures, the fuel load, and thus the effective worst case severity of a fire, can be reduced</w:t>
      </w:r>
      <w:r w:rsidR="00750807" w:rsidRPr="00E87E42">
        <w:t>.</w:t>
      </w:r>
      <w:proofErr w:type="gramEnd"/>
      <w:r w:rsidR="00750807" w:rsidRPr="00E87E42">
        <w:t xml:space="preserve"> However, due to the complex</w:t>
      </w:r>
      <w:r w:rsidR="008C5609" w:rsidRPr="00E87E42">
        <w:t>ity</w:t>
      </w:r>
      <w:r w:rsidR="00750807" w:rsidRPr="00E87E42">
        <w:t xml:space="preserve"> of fire</w:t>
      </w:r>
      <w:r w:rsidR="008C5609" w:rsidRPr="00E87E42">
        <w:t>s</w:t>
      </w:r>
      <w:r w:rsidR="00750807" w:rsidRPr="00E87E42">
        <w:t xml:space="preserve"> </w:t>
      </w:r>
      <w:r w:rsidR="008C5609" w:rsidRPr="00E87E42">
        <w:t>with</w:t>
      </w:r>
      <w:r w:rsidR="00750807" w:rsidRPr="00E87E42">
        <w:t xml:space="preserve"> multiple interactions occur</w:t>
      </w:r>
      <w:r w:rsidR="008C5609" w:rsidRPr="00E87E42">
        <w:t>ring</w:t>
      </w:r>
      <w:r w:rsidR="00750807" w:rsidRPr="00E87E42">
        <w:t xml:space="preserve"> between different materials, ventilations</w:t>
      </w:r>
      <w:r w:rsidR="008C5609" w:rsidRPr="00E87E42">
        <w:t>, safety systems, and/</w:t>
      </w:r>
      <w:r w:rsidR="00750807" w:rsidRPr="00E87E42">
        <w:t>or structural systems, uncertainties</w:t>
      </w:r>
      <w:r w:rsidR="00034E26" w:rsidRPr="00E87E42">
        <w:t xml:space="preserve"> will</w:t>
      </w:r>
      <w:r w:rsidR="00750807" w:rsidRPr="00E87E42">
        <w:t xml:space="preserve"> emerge in all aspects of reported national and international fire statistics. The concept of safety itself is one of the uncertainties, there is no such thing as absolute safety </w:t>
      </w:r>
      <w:r w:rsidR="00750807" w:rsidRPr="00E87E42">
        <w:fldChar w:fldCharType="begin" w:fldLock="1"/>
      </w:r>
      <w:r w:rsidR="00376A31" w:rsidRPr="00E87E42">
        <w:instrText>ADDIN CSL_CITATION {"citationItems":[{"id":"ITEM-1","itemData":{"author":[{"dropping-particle":"","family":"Ramachandran","given":"G","non-dropping-particle":"","parse-names":false,"suffix":""}],"container-title":"Fire Technology","id":"ITEM-1","issued":{"date-parts":[["1988"]]},"page":"204-226","title":"Probabilistic Approach to Fire Risk Evaluation","type":"article-journal"},"uris":["http://www.mendeley.com/documents/?uuid=c7767df6-17b1-451f-95d9-d1afbe4f3899","http://www.mendeley.com/documents/?uuid=c5deaaf1-c333-4e26-89a6-f055bf02c958"]}],"mendeley":{"formattedCitation":"[19]","plainTextFormattedCitation":"[19]","previouslyFormattedCitation":"[19]"},"properties":{"noteIndex":0},"schema":"https://github.com/citation-style-language/schema/raw/master/csl-citation.json"}</w:instrText>
      </w:r>
      <w:r w:rsidR="00750807" w:rsidRPr="00E87E42">
        <w:fldChar w:fldCharType="separate"/>
      </w:r>
      <w:r w:rsidR="0060313C" w:rsidRPr="00E87E42">
        <w:rPr>
          <w:noProof/>
        </w:rPr>
        <w:t>[19]</w:t>
      </w:r>
      <w:r w:rsidR="00750807" w:rsidRPr="00E87E42">
        <w:fldChar w:fldCharType="end"/>
      </w:r>
      <w:r w:rsidR="00750807" w:rsidRPr="00E87E42">
        <w:t xml:space="preserve">. </w:t>
      </w:r>
    </w:p>
    <w:p w14:paraId="7BB0007E" w14:textId="55328F1D" w:rsidR="002370B7" w:rsidRPr="00E87E42" w:rsidRDefault="00750807" w:rsidP="00AB4A67">
      <w:r w:rsidRPr="00E87E42">
        <w:t xml:space="preserve">It is in this uncertain </w:t>
      </w:r>
      <w:r w:rsidR="00C6553E" w:rsidRPr="00E87E42">
        <w:t>context</w:t>
      </w:r>
      <w:r w:rsidRPr="00E87E42">
        <w:t xml:space="preserve"> that</w:t>
      </w:r>
      <w:r w:rsidR="00C6553E" w:rsidRPr="00E87E42">
        <w:t xml:space="preserve"> probabilistic techniques</w:t>
      </w:r>
      <w:r w:rsidR="00940C87" w:rsidRPr="00E87E42">
        <w:t>,</w:t>
      </w:r>
      <w:r w:rsidR="00C6553E" w:rsidRPr="00E87E42">
        <w:t xml:space="preserve"> </w:t>
      </w:r>
      <w:r w:rsidRPr="00E87E42">
        <w:t xml:space="preserve">which </w:t>
      </w:r>
      <w:r w:rsidR="00C6553E" w:rsidRPr="00E87E42">
        <w:t xml:space="preserve">deal with the randomness of variables and reliability of safety </w:t>
      </w:r>
      <w:r w:rsidR="004550C4" w:rsidRPr="00E87E42">
        <w:t>system</w:t>
      </w:r>
      <w:r w:rsidR="00940C87" w:rsidRPr="00E87E42">
        <w:t>,</w:t>
      </w:r>
      <w:r w:rsidRPr="00E87E42">
        <w:t xml:space="preserve"> have become available </w:t>
      </w:r>
      <w:r w:rsidRPr="00E87E42">
        <w:fldChar w:fldCharType="begin" w:fldLock="1"/>
      </w:r>
      <w:r w:rsidR="00BC5ED7" w:rsidRPr="00E87E42">
        <w:instrText>ADDIN CSL_CITATION {"citationItems":[{"id":"ITEM-1","itemData":{"author":[{"dropping-particle":"","family":"BSI","given":"","non-dropping-particle":"","parse-names":false,"suffix":""}],"id":"ITEM-1","issued":{"date-parts":[["2003"]]},"title":"PD 7974-7: Application of fire safety engineering principles to the design of buildings — Part 7 : Probabilistic risk assessment","type":"article-journal","volume":"3"},"uris":["http://www.mendeley.com/documents/?uuid=939ef726-1b50-4e5c-b39d-a90e50ef2a69"]}],"mendeley":{"formattedCitation":"[3]","plainTextFormattedCitation":"[3]","previouslyFormattedCitation":"[3]"},"properties":{"noteIndex":0},"schema":"https://github.com/citation-style-language/schema/raw/master/csl-citation.json"}</w:instrText>
      </w:r>
      <w:r w:rsidRPr="00E87E42">
        <w:fldChar w:fldCharType="separate"/>
      </w:r>
      <w:r w:rsidR="00214A6C" w:rsidRPr="00E87E42">
        <w:rPr>
          <w:noProof/>
        </w:rPr>
        <w:t>[3]</w:t>
      </w:r>
      <w:r w:rsidRPr="00E87E42">
        <w:fldChar w:fldCharType="end"/>
      </w:r>
      <w:r w:rsidR="004550C4" w:rsidRPr="00E87E42">
        <w:t>,</w:t>
      </w:r>
      <w:r w:rsidR="00C6553E" w:rsidRPr="00E87E42">
        <w:t xml:space="preserve"> </w:t>
      </w:r>
      <w:r w:rsidRPr="00E87E42">
        <w:t xml:space="preserve">however </w:t>
      </w:r>
      <w:r w:rsidR="00C6553E" w:rsidRPr="00E87E42">
        <w:t xml:space="preserve">their application is limited due to the lack of </w:t>
      </w:r>
      <w:r w:rsidR="00BC1C8C" w:rsidRPr="00E87E42">
        <w:t>contemporary</w:t>
      </w:r>
      <w:r w:rsidRPr="00E87E42">
        <w:t xml:space="preserve"> </w:t>
      </w:r>
      <w:r w:rsidR="00C6553E" w:rsidRPr="00E87E42">
        <w:t xml:space="preserve">data </w:t>
      </w:r>
      <w:r w:rsidR="000C4D94" w:rsidRPr="00E87E42">
        <w:t>(data</w:t>
      </w:r>
      <w:r w:rsidR="00211FE5" w:rsidRPr="00E87E42">
        <w:t xml:space="preserve"> in </w:t>
      </w:r>
      <w:r w:rsidR="00BC5ED7" w:rsidRPr="00E87E42">
        <w:t xml:space="preserve">BS </w:t>
      </w:r>
      <w:r w:rsidR="00BC1C8C" w:rsidRPr="00E87E42">
        <w:t>PD 7974-7</w:t>
      </w:r>
      <w:r w:rsidR="00211FE5" w:rsidRPr="00E87E42">
        <w:t>:2003</w:t>
      </w:r>
      <w:r w:rsidR="000C4D94" w:rsidRPr="00E87E42">
        <w:t xml:space="preserve"> from 1966</w:t>
      </w:r>
      <w:r w:rsidR="00A056AD" w:rsidRPr="00E87E42">
        <w:t xml:space="preserve"> to </w:t>
      </w:r>
      <w:r w:rsidR="000C4D94" w:rsidRPr="00E87E42">
        <w:t>198</w:t>
      </w:r>
      <w:r w:rsidR="005615C9" w:rsidRPr="00E87E42">
        <w:t>7)</w:t>
      </w:r>
      <w:r w:rsidR="000C4D94" w:rsidRPr="00E87E42">
        <w:t xml:space="preserve"> </w:t>
      </w:r>
      <w:r w:rsidR="00C6553E" w:rsidRPr="00E87E42">
        <w:t xml:space="preserve">related to real structures subjected to real fires. </w:t>
      </w:r>
      <w:r w:rsidR="002370B7" w:rsidRPr="00E87E42">
        <w:t>Previsions of prescriptive code</w:t>
      </w:r>
      <w:r w:rsidR="005615C9" w:rsidRPr="00E87E42">
        <w:t>s</w:t>
      </w:r>
      <w:r w:rsidR="002370B7" w:rsidRPr="00E87E42">
        <w:t xml:space="preserve"> </w:t>
      </w:r>
      <w:r w:rsidR="002370B7" w:rsidRPr="00E87E42">
        <w:fldChar w:fldCharType="begin" w:fldLock="1"/>
      </w:r>
      <w:r w:rsidR="00BC5ED7" w:rsidRPr="00E87E42">
        <w:instrText>ADDIN CSL_CITATION {"citationItems":[{"id":"ITEM-1","itemData":{"DOI":"[Authority: The European Union Per Regulation 305/2011, Directive 98/34/EC, Directive 2004/18/EC]","ISBN":"978 0 580 61759 1","abstract":"I n o r d e r t o p r o m o t e p u b l i c e d u c a t i o n a n d p u b l i c s a f e t y , e q u a l j u s t i c e f o r a l l , a b e t t e r i n f o r m e d c i t i z e n r y , t h e r u l e o f l a w , w o r l d t r a d e a n d w o r l d p e a c e , t h i s l e g a l d o c u m e n t i s h e r e b y m a d e a v a i l a b l e o n a n o n c o m m e r c i a l b a s i s , a s i t i s t h e r i g h t o f a l l h u m a n s t o k n o w a n d s p e a k t h e l a w s t h a t g o v e r n t h e m .","author":[{"dropping-particle":"","family":"BS EN 1992-1-1","given":"","non-dropping-particle":"","parse-names":false,"suffix":""}],"container-title":"British Standards Institution","id":"ITEM-1","issue":"2004","issued":{"date-parts":[["2004"]]},"page":"230","title":"Eurocode 2: Design of concrete structures - Part 1-1 : General rules and rules for buildings","type":"article-journal","volume":"1"},"uris":["http://www.mendeley.com/documents/?uuid=2dfd77d7-03ef-455a-959d-f1eebac3ceaf"]}],"mendeley":{"formattedCitation":"[7]","plainTextFormattedCitation":"[7]","previouslyFormattedCitation":"[7]"},"properties":{"noteIndex":0},"schema":"https://github.com/citation-style-language/schema/raw/master/csl-citation.json"}</w:instrText>
      </w:r>
      <w:r w:rsidR="002370B7" w:rsidRPr="00E87E42">
        <w:fldChar w:fldCharType="separate"/>
      </w:r>
      <w:r w:rsidR="0060313C" w:rsidRPr="00E87E42">
        <w:rPr>
          <w:noProof/>
        </w:rPr>
        <w:t>[7]</w:t>
      </w:r>
      <w:r w:rsidR="002370B7" w:rsidRPr="00E87E42">
        <w:fldChar w:fldCharType="end"/>
      </w:r>
      <w:r w:rsidR="002370B7" w:rsidRPr="00E87E42">
        <w:t xml:space="preserve"> assume that the intended life safety fire performance criteria </w:t>
      </w:r>
      <w:r w:rsidR="005615C9" w:rsidRPr="00E87E42">
        <w:t>are</w:t>
      </w:r>
      <w:r w:rsidR="002370B7" w:rsidRPr="00E87E42">
        <w:t xml:space="preserve"> implicitly satisfied by meeting the minimum code requirements for design and detailing of structural and non-structural components. This represents an expectation and not </w:t>
      </w:r>
      <w:proofErr w:type="gramStart"/>
      <w:r w:rsidR="002370B7" w:rsidRPr="00E87E42">
        <w:t>necessarily</w:t>
      </w:r>
      <w:proofErr w:type="gramEnd"/>
      <w:r w:rsidR="002370B7" w:rsidRPr="00E87E42">
        <w:t xml:space="preserve"> the reality since the complexity of actual fires and the interaction with structures is difficult to predict accurately. </w:t>
      </w:r>
      <w:r w:rsidR="00AB4A67" w:rsidRPr="00E87E42">
        <w:t>Structural fire engineering knowledge</w:t>
      </w:r>
      <w:r w:rsidRPr="00E87E42">
        <w:t xml:space="preserve">, for instance, </w:t>
      </w:r>
      <w:r w:rsidR="00AB4A67" w:rsidRPr="00E87E42">
        <w:t xml:space="preserve">is predominantly based on the response of single elements to a standard time temperature curve, under idealised furnace conditions, and assessing the response to a binary, pass/fail criterion </w:t>
      </w:r>
      <w:r w:rsidR="00AB4A67" w:rsidRPr="00E87E42">
        <w:fldChar w:fldCharType="begin" w:fldLock="1"/>
      </w:r>
      <w:r w:rsidR="00376A31" w:rsidRPr="00E87E42">
        <w:instrText>ADDIN CSL_CITATION {"citationItems":[{"id":"ITEM-1","itemData":{"author":[{"dropping-particle":"","family":"Rush","given":"David","non-dropping-particle":"","parse-names":false,"suffix":""},{"dropping-particle":"","family":"Bisby","given":"Luke","non-dropping-particle":"","parse-names":false,"suffix":""},{"dropping-particle":"","family":"Ioannou","given":"Ioanna","non-dropping-particle":"","parse-names":false,"suffix":""},{"dropping-particle":"","family":"Rossetto","given":"Tiziana","non-dropping-particle":"","parse-names":false,"suffix":""}],"container-title":"8th SiF","id":"ITEM-1","issued":{"date-parts":[["2014"]]},"page":"467 - 474","publisher-place":"Shanghai","title":"Towards fragility analysis for concrete buildings in fire: residual capacity of concrete columns","type":"paper-conference"},"uris":["http://www.mendeley.com/documents/?uuid=a5973135-ab36-4abb-b4e1-9a688884e5c9","http://www.mendeley.com/documents/?uuid=37329351-548b-4fc2-b76e-4a5d9b3e005b"]}],"mendeley":{"formattedCitation":"[20]","plainTextFormattedCitation":"[20]","previouslyFormattedCitation":"[20]"},"properties":{"noteIndex":0},"schema":"https://github.com/citation-style-language/schema/raw/master/csl-citation.json"}</w:instrText>
      </w:r>
      <w:r w:rsidR="00AB4A67" w:rsidRPr="00E87E42">
        <w:fldChar w:fldCharType="separate"/>
      </w:r>
      <w:r w:rsidR="0060313C" w:rsidRPr="00E87E42">
        <w:rPr>
          <w:noProof/>
        </w:rPr>
        <w:t>[20]</w:t>
      </w:r>
      <w:r w:rsidR="00AB4A67" w:rsidRPr="00E87E42">
        <w:fldChar w:fldCharType="end"/>
      </w:r>
      <w:r w:rsidR="00AB4A67" w:rsidRPr="00E87E42">
        <w:t xml:space="preserve">. </w:t>
      </w:r>
      <w:r w:rsidR="003A71A2" w:rsidRPr="00E87E42">
        <w:t xml:space="preserve">However, these idealised furnace conditions are not real fires, which may or may not cause a failure but will produce some level of damage. </w:t>
      </w:r>
      <w:r w:rsidR="00AB4A67" w:rsidRPr="00E87E42">
        <w:t xml:space="preserve">Previous experiments conducted on full structural frames, and sub-frames </w:t>
      </w:r>
      <w:r w:rsidR="00AB4A67" w:rsidRPr="00E87E42">
        <w:fldChar w:fldCharType="begin" w:fldLock="1"/>
      </w:r>
      <w:r w:rsidR="00BC5ED7" w:rsidRPr="00E87E42">
        <w:instrText>ADDIN CSL_CITATION {"citationItems":[{"id":"ITEM-1","itemData":{"DOI":"10.1186/2193-0414-2-1","ISSN":"2193-0414","abstract":"In recent years, large-scale structural fire testing has experienced something of a renaissance. After about a century with the standard fire resistance test being the predominant means to characterize the response of structural elements in fires, both research and regulatory communities are confronting the many inherent problems associated with using simplified single element tests, on isolated structural members subjected to unrealistic temperature-time curves, to demonstrate adequate structural performance in fires. As a consequence, a shift in testing philosophy to large-scale non-standard fire testing, using real rather than standard fires, is growing in momentum. A number of custom made, non-standard testing facilities have recently been constructed or are nearing completion. Non-standard fire tests performed around the world during the past three decades have identified numerous shortcomings in our understanding of real building behavior during real fires; in most cases these shortcomings could not have been observed through standard furnace tests. Supported by a grant from the Fire Protection Research Foundation, this paper presents a review of relevant non-standard structural fire engineering research done at the large-scale around the world during the past few decades. It identifies gaps and research needs based both on the conclusions of previous researchers and also on the authors’ own assessment of the information presented. A review of similar research needs assessments carried out or presented during the past ten years is included. The overarching objective is to highlight gaps in knowledge and to help steer future research in structural fire engineering, particularly experimental research at the large-scale.","author":[{"dropping-particle":"","family":"Bisby","given":"Luke","non-dropping-particle":"","parse-names":false,"suffix":""},{"dropping-particle":"","family":"Gales","given":"John","non-dropping-particle":"","parse-names":false,"suffix":""},{"dropping-particle":"","family":"Maluk","given":"Cristián","non-dropping-particle":"","parse-names":false,"suffix":""}],"container-title":"Fire Science Reviews","id":"ITEM-1","issue":"1","issued":{"date-parts":[["2013"]]},"page":"1","title":"A contemporary review of large-scale non-standard structural fire testing","type":"article-journal","volume":"2"},"uris":["http://www.mendeley.com/documents/?uuid=98459b6f-6802-4c67-bb22-bf124fe1463f"]}],"mendeley":{"formattedCitation":"[21]","plainTextFormattedCitation":"[21]","previouslyFormattedCitation":"[21]"},"properties":{"noteIndex":0},"schema":"https://github.com/citation-style-language/schema/raw/master/csl-citation.json"}</w:instrText>
      </w:r>
      <w:r w:rsidR="00AB4A67" w:rsidRPr="00E87E42">
        <w:fldChar w:fldCharType="separate"/>
      </w:r>
      <w:r w:rsidR="00BC5ED7" w:rsidRPr="00E87E42">
        <w:rPr>
          <w:noProof/>
        </w:rPr>
        <w:t>[21]</w:t>
      </w:r>
      <w:r w:rsidR="00AB4A67" w:rsidRPr="00E87E42">
        <w:fldChar w:fldCharType="end"/>
      </w:r>
      <w:r w:rsidR="00AB4A67" w:rsidRPr="00E87E42">
        <w:t xml:space="preserve">, have provided valuable data for modelling and design code enhancements, </w:t>
      </w:r>
      <w:r w:rsidR="00F346DF" w:rsidRPr="00E87E42">
        <w:t>nevertheless</w:t>
      </w:r>
      <w:r w:rsidR="00AB4A67" w:rsidRPr="00E87E42">
        <w:t>, due to their expense, the</w:t>
      </w:r>
      <w:r w:rsidR="00F9573D" w:rsidRPr="00E87E42">
        <w:t>y are limited in numbers so the</w:t>
      </w:r>
      <w:r w:rsidR="00AB4A67" w:rsidRPr="00E87E42">
        <w:t xml:space="preserve"> relevance of any data </w:t>
      </w:r>
      <w:r w:rsidR="00F9573D" w:rsidRPr="00E87E42">
        <w:t>is</w:t>
      </w:r>
      <w:r w:rsidR="00AB4A67" w:rsidRPr="00E87E42">
        <w:t xml:space="preserve"> limited to the specific</w:t>
      </w:r>
      <w:r w:rsidR="00F9573D" w:rsidRPr="00E87E42">
        <w:t xml:space="preserve"> </w:t>
      </w:r>
      <w:r w:rsidR="00F9573D" w:rsidRPr="00E87E42">
        <w:lastRenderedPageBreak/>
        <w:t>experimental</w:t>
      </w:r>
      <w:r w:rsidR="00AB4A67" w:rsidRPr="00E87E42">
        <w:t xml:space="preserve"> building characteristics.</w:t>
      </w:r>
      <w:r w:rsidR="009D0950" w:rsidRPr="00E87E42">
        <w:t xml:space="preserve"> </w:t>
      </w:r>
      <w:r w:rsidR="003A71A2" w:rsidRPr="00E87E42">
        <w:t>Therefore, f</w:t>
      </w:r>
      <w:r w:rsidR="0024348C" w:rsidRPr="00E87E42">
        <w:t>ire statistics</w:t>
      </w:r>
      <w:r w:rsidR="00B825C0" w:rsidRPr="00E87E42">
        <w:t>, when</w:t>
      </w:r>
      <w:r w:rsidR="0024348C" w:rsidRPr="00E87E42">
        <w:t xml:space="preserve"> coupled with appropriate and valid modelling scenarios, could provide the necessary means to assess and design real structures in real fires</w:t>
      </w:r>
      <w:r w:rsidR="00B825C0" w:rsidRPr="00E87E42">
        <w:t xml:space="preserve"> for different performance criteria</w:t>
      </w:r>
      <w:r w:rsidR="0024348C" w:rsidRPr="00E87E42">
        <w:t>.</w:t>
      </w:r>
    </w:p>
    <w:p w14:paraId="44178AA0" w14:textId="2FB7415F" w:rsidR="000C4D94" w:rsidRPr="00E87E42" w:rsidRDefault="00730290" w:rsidP="00AB4A67">
      <w:r w:rsidRPr="00E87E42">
        <w:t xml:space="preserve">Performance-based design is used to explicitly demonstrate, using pre-identified performance </w:t>
      </w:r>
      <w:proofErr w:type="gramStart"/>
      <w:r w:rsidRPr="00E87E42">
        <w:t>objectives</w:t>
      </w:r>
      <w:r w:rsidR="002370B7" w:rsidRPr="00E87E42">
        <w:t>,</w:t>
      </w:r>
      <w:r w:rsidRPr="00E87E42">
        <w:t xml:space="preserve"> that</w:t>
      </w:r>
      <w:proofErr w:type="gramEnd"/>
      <w:r w:rsidRPr="00E87E42">
        <w:t xml:space="preserve"> the same level of life safety can be provided with enhanced property protection. However, models </w:t>
      </w:r>
      <w:r w:rsidR="00BC1C8C" w:rsidRPr="00E87E42">
        <w:t xml:space="preserve">used for these demonstrations </w:t>
      </w:r>
      <w:r w:rsidRPr="00E87E42">
        <w:t xml:space="preserve">are rarely validated or benchmarked due to a lack of relevant </w:t>
      </w:r>
      <w:r w:rsidR="002370B7" w:rsidRPr="00E87E42">
        <w:t xml:space="preserve">experimental </w:t>
      </w:r>
      <w:r w:rsidRPr="00E87E42">
        <w:t xml:space="preserve">data and </w:t>
      </w:r>
      <w:proofErr w:type="gramStart"/>
      <w:r w:rsidR="00C54706" w:rsidRPr="00E87E42">
        <w:t>can</w:t>
      </w:r>
      <w:r w:rsidRPr="00E87E42">
        <w:t xml:space="preserve"> </w:t>
      </w:r>
      <w:r w:rsidR="00C54706" w:rsidRPr="00E87E42">
        <w:t>also</w:t>
      </w:r>
      <w:proofErr w:type="gramEnd"/>
      <w:r w:rsidR="00C54706" w:rsidRPr="00E87E42">
        <w:t xml:space="preserve"> </w:t>
      </w:r>
      <w:r w:rsidRPr="00E87E42">
        <w:t xml:space="preserve">be limited in their ability to describe structural behaviour close to the point of failure. </w:t>
      </w:r>
      <w:r w:rsidR="00BC1C8C" w:rsidRPr="00E87E42">
        <w:t>P</w:t>
      </w:r>
      <w:r w:rsidRPr="00E87E42">
        <w:t xml:space="preserve">robabilistic performance-based design </w:t>
      </w:r>
      <w:r w:rsidRPr="00E87E42">
        <w:fldChar w:fldCharType="begin" w:fldLock="1"/>
      </w:r>
      <w:r w:rsidR="00BC5ED7" w:rsidRPr="00E87E42">
        <w:instrText>ADDIN CSL_CITATION {"citationItems":[{"id":"ITEM-1","itemData":{"DOI":"10.1007/s10694-014-0454-x","ISBN":"1069401404","ISSN":"0015-2684","abstract":"In fire safety engineering, the concepts of design fire scenarios and design fires are important for several reasons. In the design phases of a construction project the performance of safety measures, and the potential consequences of a fire, must be assessed by exploring design fire scenarios and design fires. Active and passive fire safety measures are dimensioned by exposing the systems to predetermined fire events. A predetermined fire event can also be used to extract fire-related quantities, such as smoke production rates, temperatures, and heat fluxes. Therefore fire events, which form the basis of these analyses, must be established. In this paper we report results from our investigation of current approaches used to determine design fires and their associated input variables. We present a framework to categorize design fires based on various engineering principles, in which fuel properties and environmental factors are emphasized. The framework provides a more consistent methodology than seen elsewhere, taking the perspective of the practicing engineer into account. Furthermore the creation of design fires encompasses considerations of uncertainty and validity.","author":[{"dropping-particle":"","family":"Borg","given":"Audun","non-dropping-particle":"","parse-names":false,"suffix":""},{"dropping-particle":"","family":"Njå","given":"Ove","non-dropping-particle":"","parse-names":false,"suffix":""},{"dropping-particle":"","family":"Torero","given":"José L.","non-dropping-particle":"","parse-names":false,"suffix":""}],"container-title":"Fire Technology","id":"ITEM-1","issue":"4","issued":{"date-parts":[["2015"]]},"page":"995-1017","title":"A Framework for Selecting Design Fires in Performance Based Fire Safety Engineering","type":"article-journal","volume":"51"},"uris":["http://www.mendeley.com/documents/?uuid=051bcaa3-81e0-467b-9d37-3eb0fcf781c2"]}],"mendeley":{"formattedCitation":"[22]","plainTextFormattedCitation":"[22]","previouslyFormattedCitation":"[22]"},"properties":{"noteIndex":0},"schema":"https://github.com/citation-style-language/schema/raw/master/csl-citation.json"}</w:instrText>
      </w:r>
      <w:r w:rsidRPr="00E87E42">
        <w:fldChar w:fldCharType="separate"/>
      </w:r>
      <w:r w:rsidR="00BC5ED7" w:rsidRPr="00E87E42">
        <w:rPr>
          <w:noProof/>
        </w:rPr>
        <w:t>[22]</w:t>
      </w:r>
      <w:r w:rsidRPr="00E87E42">
        <w:fldChar w:fldCharType="end"/>
      </w:r>
      <w:r w:rsidR="00BC1C8C" w:rsidRPr="00E87E42">
        <w:t>, attempts to overcome this, however, a</w:t>
      </w:r>
      <w:r w:rsidRPr="00E87E42">
        <w:t xml:space="preserve">gain, lack of validation data for these models limits their application in practice. For this reason, </w:t>
      </w:r>
      <w:r w:rsidR="002370B7" w:rsidRPr="00E87E42">
        <w:t xml:space="preserve">statistical </w:t>
      </w:r>
      <w:r w:rsidRPr="00E87E42">
        <w:t>data on existing structures in the aftermath of an event can be instrumental in defining the real impact effects on structures and the quantification of damage.</w:t>
      </w:r>
      <w:r w:rsidR="005107A8" w:rsidRPr="00E87E42">
        <w:t xml:space="preserve"> Therefo</w:t>
      </w:r>
      <w:r w:rsidR="003656B3" w:rsidRPr="00E87E42">
        <w:t xml:space="preserve">re, </w:t>
      </w:r>
      <w:r w:rsidR="005107A8" w:rsidRPr="00E87E42">
        <w:t>fire statistics can be used to u</w:t>
      </w:r>
      <w:r w:rsidR="003656B3" w:rsidRPr="00E87E42">
        <w:t>nderstand the real relation</w:t>
      </w:r>
      <w:r w:rsidR="005107A8" w:rsidRPr="00E87E42">
        <w:t xml:space="preserve"> between fire occurrences, fire size, damage caused by fire and interventions to extinguish the fire.</w:t>
      </w:r>
      <w:r w:rsidR="002370B7" w:rsidRPr="00E87E42">
        <w:t xml:space="preserve"> </w:t>
      </w:r>
    </w:p>
    <w:p w14:paraId="3580596C" w14:textId="07F35590" w:rsidR="00C21C60" w:rsidRPr="00E87E42" w:rsidRDefault="002370B7" w:rsidP="000C4D94">
      <w:r w:rsidRPr="00E87E42">
        <w:t xml:space="preserve">This paper presents an assessment </w:t>
      </w:r>
      <w:r w:rsidR="00BC1C8C" w:rsidRPr="00E87E42">
        <w:t xml:space="preserve">and comparison </w:t>
      </w:r>
      <w:r w:rsidRPr="00E87E42">
        <w:t>of the current</w:t>
      </w:r>
      <w:r w:rsidR="00BC1C8C" w:rsidRPr="00E87E42">
        <w:t xml:space="preserve"> </w:t>
      </w:r>
      <w:r w:rsidR="00290C14" w:rsidRPr="00E87E42">
        <w:t>PD</w:t>
      </w:r>
      <w:r w:rsidR="0053188A" w:rsidRPr="00E87E42">
        <w:t xml:space="preserve"> </w:t>
      </w:r>
      <w:r w:rsidR="00290C14" w:rsidRPr="00E87E42">
        <w:t xml:space="preserve">7974-7 </w:t>
      </w:r>
      <w:r w:rsidR="00465451" w:rsidRPr="00E87E42">
        <w:t>P</w:t>
      </w:r>
      <w:r w:rsidRPr="00E87E42">
        <w:t xml:space="preserve">robabilistic </w:t>
      </w:r>
      <w:r w:rsidR="00465451" w:rsidRPr="00E87E42">
        <w:t>R</w:t>
      </w:r>
      <w:r w:rsidR="00290C14" w:rsidRPr="00E87E42">
        <w:t xml:space="preserve">isk </w:t>
      </w:r>
      <w:r w:rsidR="00465451" w:rsidRPr="00E87E42">
        <w:t>A</w:t>
      </w:r>
      <w:r w:rsidR="00290C14" w:rsidRPr="00E87E42">
        <w:t>ssessment for fire</w:t>
      </w:r>
      <w:r w:rsidR="00465451" w:rsidRPr="00E87E42">
        <w:t xml:space="preserve"> </w:t>
      </w:r>
      <w:r w:rsidR="00290C14" w:rsidRPr="00E87E42">
        <w:t>with fire statistics from the USA</w:t>
      </w:r>
      <w:r w:rsidR="001E0520" w:rsidRPr="00E87E42">
        <w:t>, and where able with statistics from the UK</w:t>
      </w:r>
      <w:r w:rsidR="00290C14" w:rsidRPr="00E87E42">
        <w:t>.</w:t>
      </w:r>
      <w:r w:rsidRPr="00E87E42">
        <w:t xml:space="preserve"> </w:t>
      </w:r>
      <w:r w:rsidR="00C21C60" w:rsidRPr="00E87E42">
        <w:t xml:space="preserve">Tables within PD 7974-7 </w:t>
      </w:r>
      <w:r w:rsidR="00465451" w:rsidRPr="00E87E42">
        <w:fldChar w:fldCharType="begin" w:fldLock="1"/>
      </w:r>
      <w:r w:rsidR="00BC5ED7" w:rsidRPr="00E87E42">
        <w:instrText>ADDIN CSL_CITATION {"citationItems":[{"id":"ITEM-1","itemData":{"author":[{"dropping-particle":"","family":"BSI","given":"","non-dropping-particle":"","parse-names":false,"suffix":""}],"id":"ITEM-1","issued":{"date-parts":[["2003"]]},"title":"PD 7974-7: Application of fire safety engineering principles to the design of buildings — Part 7 : Probabilistic risk assessment","type":"article-journal","volume":"3"},"uris":["http://www.mendeley.com/documents/?uuid=939ef726-1b50-4e5c-b39d-a90e50ef2a69"]}],"mendeley":{"formattedCitation":"[3]","plainTextFormattedCitation":"[3]","previouslyFormattedCitation":"[3]"},"properties":{"noteIndex":0},"schema":"https://github.com/citation-style-language/schema/raw/master/csl-citation.json"}</w:instrText>
      </w:r>
      <w:r w:rsidR="00465451" w:rsidRPr="00E87E42">
        <w:fldChar w:fldCharType="separate"/>
      </w:r>
      <w:r w:rsidR="00214A6C" w:rsidRPr="00E87E42">
        <w:rPr>
          <w:noProof/>
        </w:rPr>
        <w:t>[3]</w:t>
      </w:r>
      <w:r w:rsidR="00465451" w:rsidRPr="00E87E42">
        <w:fldChar w:fldCharType="end"/>
      </w:r>
      <w:r w:rsidR="00C21C60" w:rsidRPr="00E87E42">
        <w:t xml:space="preserve"> document present frequency of fire and fire damage classifications according to </w:t>
      </w:r>
      <w:proofErr w:type="spellStart"/>
      <w:r w:rsidR="00C21C60" w:rsidRPr="00E87E42">
        <w:t>sprinklered</w:t>
      </w:r>
      <w:proofErr w:type="spellEnd"/>
      <w:r w:rsidR="00C21C60" w:rsidRPr="00E87E42">
        <w:t xml:space="preserve"> and un-</w:t>
      </w:r>
      <w:proofErr w:type="spellStart"/>
      <w:r w:rsidR="00C21C60" w:rsidRPr="00E87E42">
        <w:t>sprinklered</w:t>
      </w:r>
      <w:proofErr w:type="spellEnd"/>
      <w:r w:rsidR="00C21C60" w:rsidRPr="00E87E42">
        <w:t xml:space="preserve"> buildings. However, at the start of analysis procedure, data regarding sprinklers were not available for the UK</w:t>
      </w:r>
      <w:r w:rsidR="00E8467A" w:rsidRPr="00E87E42">
        <w:t xml:space="preserve">, </w:t>
      </w:r>
      <w:r w:rsidR="00F346DF" w:rsidRPr="00E87E42">
        <w:t xml:space="preserve">while </w:t>
      </w:r>
      <w:r w:rsidR="00E8467A" w:rsidRPr="00E87E42">
        <w:t>these were comprehensively and readily available for fires within the USA, and thus the focus of this paper.</w:t>
      </w:r>
      <w:r w:rsidR="00C21C60" w:rsidRPr="00E87E42">
        <w:t xml:space="preserve"> </w:t>
      </w:r>
      <w:r w:rsidR="00B87DFA" w:rsidRPr="00E87E42">
        <w:t>N</w:t>
      </w:r>
      <w:r w:rsidR="00C21C60" w:rsidRPr="00E87E42">
        <w:t xml:space="preserve">ew UK fire statistics released in September 2017 </w:t>
      </w:r>
      <w:r w:rsidR="002E02CD" w:rsidRPr="00E87E42">
        <w:fldChar w:fldCharType="begin" w:fldLock="1"/>
      </w:r>
      <w:r w:rsidR="00BC5ED7" w:rsidRPr="00E87E42">
        <w:instrText>ADDIN CSL_CITATION {"citationItems":[{"id":"ITEM-1","itemData":{"author":[{"dropping-particle":"","family":"Home Office","given":"","non-dropping-particle":"","parse-names":false,"suffix":""}],"id":"ITEM-1","issue":"September","issued":{"date-parts":[["2017"]]},"title":"Publishing Incident Recording System data on the fire and rescue service at an incident level : ‘Other building’ fires dataset guidance","type":"report"},"uris":["http://www.mendeley.com/documents/?uuid=a46daf1d-f8c2-4f31-bcf9-f45dcc795f8f","http://www.mendeley.com/documents/?uuid=79547fec-310a-469a-b9f7-d47c544eb8a9"]}],"mendeley":{"formattedCitation":"[23]","plainTextFormattedCitation":"[23]","previouslyFormattedCitation":"[23]"},"properties":{"noteIndex":0},"schema":"https://github.com/citation-style-language/schema/raw/master/csl-citation.json"}</w:instrText>
      </w:r>
      <w:r w:rsidR="002E02CD" w:rsidRPr="00E87E42">
        <w:fldChar w:fldCharType="separate"/>
      </w:r>
      <w:r w:rsidR="00BC5ED7" w:rsidRPr="00E87E42">
        <w:rPr>
          <w:noProof/>
        </w:rPr>
        <w:t>[23]</w:t>
      </w:r>
      <w:r w:rsidR="002E02CD" w:rsidRPr="00E87E42">
        <w:fldChar w:fldCharType="end"/>
      </w:r>
      <w:r w:rsidR="00C21C60" w:rsidRPr="00E87E42">
        <w:t xml:space="preserve">, </w:t>
      </w:r>
      <w:r w:rsidR="00B87DFA" w:rsidRPr="00E87E42">
        <w:t xml:space="preserve">will allow </w:t>
      </w:r>
      <w:r w:rsidR="00C21C60" w:rsidRPr="00E87E42">
        <w:t>further comparison</w:t>
      </w:r>
      <w:r w:rsidR="00E8467A" w:rsidRPr="00E87E42">
        <w:t>s</w:t>
      </w:r>
      <w:r w:rsidR="00C21C60" w:rsidRPr="00E87E42">
        <w:t xml:space="preserve"> between PD 7974-7 data and the UK fire statistics.</w:t>
      </w:r>
    </w:p>
    <w:p w14:paraId="562DFB5C" w14:textId="1D262711" w:rsidR="000C4D94" w:rsidRPr="00E87E42" w:rsidRDefault="00E8467A" w:rsidP="000C4D94">
      <w:proofErr w:type="gramStart"/>
      <w:r w:rsidRPr="00E87E42">
        <w:t>T</w:t>
      </w:r>
      <w:r w:rsidR="000C4D94" w:rsidRPr="00E87E42">
        <w:t xml:space="preserve">his paper </w:t>
      </w:r>
      <w:r w:rsidRPr="00E87E42">
        <w:t xml:space="preserve">aims </w:t>
      </w:r>
      <w:r w:rsidR="000C4D94" w:rsidRPr="00E87E42">
        <w:t xml:space="preserve">to recreate the tables </w:t>
      </w:r>
      <w:r w:rsidR="002B3A96" w:rsidRPr="00E87E42">
        <w:t>(specifically tables A.1, A.2</w:t>
      </w:r>
      <w:r w:rsidR="002E02CD" w:rsidRPr="00E87E42">
        <w:t xml:space="preserve">, A.4, A.5, A.6, A.7, A.8, and A.12) </w:t>
      </w:r>
      <w:r w:rsidR="000C4D94" w:rsidRPr="00E87E42">
        <w:t>present</w:t>
      </w:r>
      <w:r w:rsidR="002B3A96" w:rsidRPr="00E87E42">
        <w:t>ed</w:t>
      </w:r>
      <w:r w:rsidR="000C4D94" w:rsidRPr="00E87E42">
        <w:t xml:space="preserve"> in the PD 7974-7 using </w:t>
      </w:r>
      <w:r w:rsidR="00930C0B" w:rsidRPr="00E87E42">
        <w:t>contemporary</w:t>
      </w:r>
      <w:r w:rsidR="000C4D94" w:rsidRPr="00E87E42">
        <w:t xml:space="preserve"> fire statistics</w:t>
      </w:r>
      <w:r w:rsidR="00C21C60" w:rsidRPr="00E87E42">
        <w:t xml:space="preserve"> from the USA</w:t>
      </w:r>
      <w:r w:rsidR="000C4D94" w:rsidRPr="00E87E42">
        <w:t xml:space="preserve">, </w:t>
      </w:r>
      <w:r w:rsidR="00C21C60" w:rsidRPr="00E87E42">
        <w:t xml:space="preserve">and </w:t>
      </w:r>
      <w:r w:rsidR="000C4D94" w:rsidRPr="00E87E42">
        <w:t>compare the results</w:t>
      </w:r>
      <w:r w:rsidRPr="00E87E42">
        <w:t>, allowing</w:t>
      </w:r>
      <w:r w:rsidR="000C4D94" w:rsidRPr="00E87E42">
        <w:t xml:space="preserve"> engineers </w:t>
      </w:r>
      <w:r w:rsidRPr="00E87E42">
        <w:t xml:space="preserve">to </w:t>
      </w:r>
      <w:r w:rsidR="000C4D94" w:rsidRPr="00E87E42">
        <w:t>understand pre-fire conditions, fire growth and post-fire conditions</w:t>
      </w:r>
      <w:r w:rsidR="002E02CD" w:rsidRPr="00E87E42">
        <w:t>,</w:t>
      </w:r>
      <w:r w:rsidR="000C4D94" w:rsidRPr="00E87E42">
        <w:t xml:space="preserve"> according to data obtained on real structures subjected to real fires,</w:t>
      </w:r>
      <w:r w:rsidR="002E02CD" w:rsidRPr="00E87E42">
        <w:t xml:space="preserve"> </w:t>
      </w:r>
      <w:r w:rsidR="000C4D94" w:rsidRPr="00E87E42">
        <w:t>and reduce the uncertainties that inevitably arise in fire safety design.</w:t>
      </w:r>
      <w:proofErr w:type="gramEnd"/>
      <w:r w:rsidR="000C4D94" w:rsidRPr="00E87E42">
        <w:t xml:space="preserve"> </w:t>
      </w:r>
    </w:p>
    <w:p w14:paraId="00CAD560" w14:textId="5BB58207" w:rsidR="002370B7" w:rsidRPr="00E87E42" w:rsidRDefault="002370B7" w:rsidP="003144BC">
      <w:pPr>
        <w:pStyle w:val="Heading1"/>
        <w:numPr>
          <w:ilvl w:val="0"/>
          <w:numId w:val="35"/>
        </w:numPr>
        <w:spacing w:before="120"/>
      </w:pPr>
      <w:bookmarkStart w:id="0" w:name="_Ref506116161"/>
      <w:r w:rsidRPr="00E87E42">
        <w:t>Historical Development of PD 7974-7</w:t>
      </w:r>
      <w:bookmarkEnd w:id="0"/>
    </w:p>
    <w:p w14:paraId="0C6DF533" w14:textId="7383A01B" w:rsidR="00290C14" w:rsidRPr="00E87E42" w:rsidRDefault="00F9573D" w:rsidP="00290C14">
      <w:r w:rsidRPr="00E87E42">
        <w:t>I</w:t>
      </w:r>
      <w:r w:rsidR="00BE1FC6" w:rsidRPr="00E87E42">
        <w:t>n 1907</w:t>
      </w:r>
      <w:r w:rsidR="00A16B56" w:rsidRPr="00E87E42">
        <w:t xml:space="preserve">, </w:t>
      </w:r>
      <w:r w:rsidR="00BE1FC6" w:rsidRPr="00E87E42">
        <w:t xml:space="preserve">von </w:t>
      </w:r>
      <w:proofErr w:type="spellStart"/>
      <w:r w:rsidR="00BE1FC6" w:rsidRPr="00E87E42">
        <w:t>Sawitsh</w:t>
      </w:r>
      <w:proofErr w:type="spellEnd"/>
      <w:r w:rsidR="00BE1FC6" w:rsidRPr="00E87E42">
        <w:t xml:space="preserve"> </w:t>
      </w:r>
      <w:r w:rsidR="0071356D" w:rsidRPr="00E87E42">
        <w:t xml:space="preserve">expressed </w:t>
      </w:r>
      <w:r w:rsidR="002370B7" w:rsidRPr="00E87E42">
        <w:t xml:space="preserve">that </w:t>
      </w:r>
      <w:r w:rsidRPr="00E87E42">
        <w:t xml:space="preserve">fire </w:t>
      </w:r>
      <w:r w:rsidR="002370B7" w:rsidRPr="00E87E42">
        <w:t xml:space="preserve">insurance </w:t>
      </w:r>
      <w:r w:rsidR="00BE1FC6" w:rsidRPr="00E87E42">
        <w:t xml:space="preserve">claims frequency </w:t>
      </w:r>
      <w:r w:rsidR="002370B7" w:rsidRPr="00E87E42">
        <w:t>had a</w:t>
      </w:r>
      <w:r w:rsidR="00BE1FC6" w:rsidRPr="00E87E42">
        <w:t xml:space="preserve"> line</w:t>
      </w:r>
      <w:r w:rsidR="0053188A" w:rsidRPr="00E87E42">
        <w:t>a</w:t>
      </w:r>
      <w:r w:rsidR="00BE1FC6" w:rsidRPr="00E87E42">
        <w:t>r relation</w:t>
      </w:r>
      <w:r w:rsidR="002370B7" w:rsidRPr="00E87E42">
        <w:t xml:space="preserve">ship with </w:t>
      </w:r>
      <w:r w:rsidR="00BE1FC6" w:rsidRPr="00E87E42">
        <w:t>volume</w:t>
      </w:r>
      <w:r w:rsidR="003F33FA" w:rsidRPr="00E87E42">
        <w:t>,</w:t>
      </w:r>
      <w:r w:rsidR="00BE1FC6" w:rsidRPr="00E87E42">
        <w:t xml:space="preserve"> or value</w:t>
      </w:r>
      <w:r w:rsidR="003F33FA" w:rsidRPr="00E87E42">
        <w:t>,</w:t>
      </w:r>
      <w:r w:rsidR="00BE1FC6" w:rsidRPr="00E87E42">
        <w:t xml:space="preserve"> at risk.</w:t>
      </w:r>
      <w:r w:rsidRPr="00E87E42">
        <w:t xml:space="preserve"> </w:t>
      </w:r>
      <w:r w:rsidR="00930C0B" w:rsidRPr="00E87E42">
        <w:t>I</w:t>
      </w:r>
      <w:r w:rsidR="00BE1FC6" w:rsidRPr="00E87E42">
        <w:t>n 19</w:t>
      </w:r>
      <w:r w:rsidR="00D01A82" w:rsidRPr="00E87E42">
        <w:t>3</w:t>
      </w:r>
      <w:r w:rsidR="00BE1FC6" w:rsidRPr="00E87E42">
        <w:t>7, Berge demonstrated</w:t>
      </w:r>
      <w:r w:rsidR="0071356D" w:rsidRPr="00E87E42">
        <w:t>,</w:t>
      </w:r>
      <w:r w:rsidR="00BE1FC6" w:rsidRPr="00E87E42">
        <w:t xml:space="preserve"> </w:t>
      </w:r>
      <w:proofErr w:type="gramStart"/>
      <w:r w:rsidR="00BE1FC6" w:rsidRPr="00E87E42">
        <w:t>on the basis of</w:t>
      </w:r>
      <w:proofErr w:type="gramEnd"/>
      <w:r w:rsidR="00BE1FC6" w:rsidRPr="00E87E42">
        <w:t xml:space="preserve"> Swedish dwellings</w:t>
      </w:r>
      <w:r w:rsidR="00721DBB" w:rsidRPr="00E87E42">
        <w:t>,</w:t>
      </w:r>
      <w:r w:rsidR="00BE1FC6" w:rsidRPr="00E87E42">
        <w:t xml:space="preserve"> how the claims frequency and the fire loss ratio increase with the size of the </w:t>
      </w:r>
      <w:r w:rsidR="00721DBB" w:rsidRPr="00E87E42">
        <w:t>house</w:t>
      </w:r>
      <w:r w:rsidR="00767D2A" w:rsidRPr="00E87E42">
        <w:t xml:space="preserve">. </w:t>
      </w:r>
      <w:proofErr w:type="spellStart"/>
      <w:r w:rsidR="00290C14" w:rsidRPr="00E87E42">
        <w:t>D’Addario</w:t>
      </w:r>
      <w:proofErr w:type="spellEnd"/>
      <w:r w:rsidR="00290C14" w:rsidRPr="00E87E42">
        <w:t xml:space="preserve"> </w:t>
      </w:r>
      <w:r w:rsidR="00290C14" w:rsidRPr="00E87E42">
        <w:fldChar w:fldCharType="begin" w:fldLock="1"/>
      </w:r>
      <w:r w:rsidR="00BC5ED7" w:rsidRPr="00E87E42">
        <w:instrText>ADDIN CSL_CITATION {"citationItems":[{"id":"ITEM-1","itemData":{"author":[{"dropping-particle":"","family":"D'Addario","given":"R.","non-dropping-particle":"","parse-names":false,"suffix":""}],"id":"ITEM-1","issued":{"date-parts":[["1940"]]},"number-of-pages":"XVI","publisher-place":"Bari","title":"Considerazioni sul tasso di premio delle assicurazioni incendi","type":"book"},"uris":["http://www.mendeley.com/documents/?uuid=5271d553-8059-4951-8873-8a39b8b703a3","http://www.mendeley.com/documents/?uuid=4c3aed48-785e-4c90-aa21-323dbf154695"]}],"mendeley":{"formattedCitation":"[24]","plainTextFormattedCitation":"[24]","previouslyFormattedCitation":"[24]"},"properties":{"noteIndex":0},"schema":"https://github.com/citation-style-language/schema/raw/master/csl-citation.json"}</w:instrText>
      </w:r>
      <w:r w:rsidR="00290C14" w:rsidRPr="00E87E42">
        <w:fldChar w:fldCharType="separate"/>
      </w:r>
      <w:r w:rsidR="00BC5ED7" w:rsidRPr="00E87E42">
        <w:rPr>
          <w:noProof/>
        </w:rPr>
        <w:t>[24]</w:t>
      </w:r>
      <w:r w:rsidR="00290C14" w:rsidRPr="00E87E42">
        <w:fldChar w:fldCharType="end"/>
      </w:r>
      <w:r w:rsidR="00290C14" w:rsidRPr="00E87E42">
        <w:t xml:space="preserve"> </w:t>
      </w:r>
      <w:r w:rsidRPr="00E87E42">
        <w:t xml:space="preserve">followed in 1940 by </w:t>
      </w:r>
      <w:r w:rsidR="00290C14" w:rsidRPr="00E87E42">
        <w:t>express</w:t>
      </w:r>
      <w:r w:rsidRPr="00E87E42">
        <w:t>ing</w:t>
      </w:r>
      <w:r w:rsidR="00290C14" w:rsidRPr="00E87E42">
        <w:t xml:space="preserve"> claims frequency, </w:t>
      </w:r>
      <w:r w:rsidR="00290C14" w:rsidRPr="00E87E42">
        <w:rPr>
          <w:i/>
        </w:rPr>
        <w:t>f(s)</w:t>
      </w:r>
      <w:r w:rsidRPr="00E87E42">
        <w:rPr>
          <w:i/>
        </w:rPr>
        <w:t>,</w:t>
      </w:r>
      <w:r w:rsidR="00290C14" w:rsidRPr="00E87E42">
        <w:t xml:space="preserve"> of the Swedish statistics explained by Berge, as a function of the size (</w:t>
      </w:r>
      <w:r w:rsidR="00290C14" w:rsidRPr="00E87E42">
        <w:rPr>
          <w:i/>
        </w:rPr>
        <w:t>s</w:t>
      </w:r>
      <w:r w:rsidR="00290C14" w:rsidRPr="00E87E42">
        <w:t xml:space="preserve">, sum insured) as: </w:t>
      </w:r>
    </w:p>
    <w:p w14:paraId="716465F7" w14:textId="496CE3D3" w:rsidR="00290C14" w:rsidRPr="00E87E42" w:rsidRDefault="00D41F41" w:rsidP="0053188A">
      <w:pPr>
        <w:tabs>
          <w:tab w:val="center" w:pos="5103"/>
          <w:tab w:val="right" w:pos="10206"/>
        </w:tabs>
      </w:pPr>
      <w:r w:rsidRPr="00E87E42">
        <w:tab/>
      </w:r>
      <m:oMath>
        <m:r>
          <w:rPr>
            <w:rFonts w:ascii="Cambria Math" w:hAnsi="Cambria Math"/>
          </w:rPr>
          <m:t>f(s)=</m:t>
        </m:r>
        <m:sSup>
          <m:sSupPr>
            <m:ctrlPr>
              <w:rPr>
                <w:rFonts w:ascii="Cambria Math" w:hAnsi="Cambria Math"/>
              </w:rPr>
            </m:ctrlPr>
          </m:sSupPr>
          <m:e>
            <m:r>
              <w:rPr>
                <w:rFonts w:ascii="Cambria Math" w:hAnsi="Cambria Math"/>
              </w:rPr>
              <m:t>As</m:t>
            </m:r>
          </m:e>
          <m:sup>
            <m:r>
              <w:rPr>
                <w:rFonts w:ascii="Cambria Math" w:hAnsi="Cambria Math"/>
              </w:rPr>
              <m:t>α</m:t>
            </m:r>
          </m:sup>
        </m:sSup>
      </m:oMath>
      <w:r w:rsidRPr="00E87E42">
        <w:t xml:space="preserve"> </w:t>
      </w:r>
      <w:r w:rsidRPr="00E87E42">
        <w:tab/>
        <w:t>(1)</w:t>
      </w:r>
    </w:p>
    <w:p w14:paraId="4C9A4CA3" w14:textId="3988CA9C" w:rsidR="00AF4C3D" w:rsidRPr="00E87E42" w:rsidRDefault="00290C14" w:rsidP="007F1F56">
      <w:proofErr w:type="gramStart"/>
      <w:r w:rsidRPr="00E87E42">
        <w:t>where</w:t>
      </w:r>
      <w:proofErr w:type="gramEnd"/>
      <w:r w:rsidRPr="00E87E42">
        <w:t xml:space="preserve"> A and α are empirically fitted coefficients. </w:t>
      </w:r>
      <w:r w:rsidR="00F9573D" w:rsidRPr="00E87E42">
        <w:t>This power law model is currently in use in PD</w:t>
      </w:r>
      <w:r w:rsidR="00AE7164" w:rsidRPr="00E87E42">
        <w:t xml:space="preserve"> </w:t>
      </w:r>
      <w:r w:rsidR="00F9573D" w:rsidRPr="00E87E42">
        <w:t xml:space="preserve">7974-7. </w:t>
      </w:r>
    </w:p>
    <w:p w14:paraId="2C1D65CD" w14:textId="5C765121" w:rsidR="007F1F56" w:rsidRPr="00E87E42" w:rsidRDefault="00AF4C3D" w:rsidP="007F1F56">
      <w:r w:rsidRPr="00E87E42">
        <w:t>In 1968</w:t>
      </w:r>
      <w:r w:rsidR="001C61D2" w:rsidRPr="00E87E42">
        <w:t>,</w:t>
      </w:r>
      <w:r w:rsidR="003656B3" w:rsidRPr="00E87E42">
        <w:t xml:space="preserve"> </w:t>
      </w:r>
      <w:r w:rsidRPr="00E87E42">
        <w:t xml:space="preserve">Ramachandran combined </w:t>
      </w:r>
      <w:r w:rsidR="002D0BE4" w:rsidRPr="00E87E42">
        <w:t>national fire statistics</w:t>
      </w:r>
      <w:r w:rsidRPr="00E87E42">
        <w:t>,</w:t>
      </w:r>
      <w:r w:rsidR="002D0BE4" w:rsidRPr="00E87E42">
        <w:t xml:space="preserve"> </w:t>
      </w:r>
      <w:r w:rsidRPr="00E87E42">
        <w:t xml:space="preserve">developed by local authority fire brigades, with financial loss data from British Insurance Association. </w:t>
      </w:r>
      <w:r w:rsidR="004B6FAF" w:rsidRPr="00E87E42">
        <w:t>Ramachandran</w:t>
      </w:r>
      <w:r w:rsidR="003656B3" w:rsidRPr="00E87E42">
        <w:t xml:space="preserve"> estimated</w:t>
      </w:r>
      <w:r w:rsidRPr="00E87E42">
        <w:t>,</w:t>
      </w:r>
      <w:r w:rsidR="002D0BE4" w:rsidRPr="00E87E42">
        <w:t xml:space="preserve"> </w:t>
      </w:r>
      <w:r w:rsidRPr="00E87E42">
        <w:t xml:space="preserve">for different occupancy types, the total number of fires and total cost in thousands of pounds </w:t>
      </w:r>
      <w:r w:rsidRPr="00E87E42">
        <w:fldChar w:fldCharType="begin" w:fldLock="1"/>
      </w:r>
      <w:r w:rsidR="00BC5ED7" w:rsidRPr="00E87E42">
        <w:instrText>ADDIN CSL_CITATION {"citationItems":[{"id":"ITEM-1","itemData":{"author":[{"dropping-particle":"","family":"Ramachandran, G, Kirsop","given":"P","non-dropping-particle":"","parse-names":false,"suffix":""}],"container-title":"Fire Reserach Note No 763","id":"ITEM-1","issue":"October","issued":{"date-parts":[["1969"]]},"title":"Preliminary analysis of large fires during 1968","type":"article-journal"},"uris":["http://www.mendeley.com/documents/?uuid=d5c5d967-b263-47b2-9635-0eb9c1a0c05e","http://www.mendeley.com/documents/?uuid=1ec67bd4-5d6a-4e65-b91d-75fbda8e2db5"]}],"mendeley":{"formattedCitation":"[25]","plainTextFormattedCitation":"[25]","previouslyFormattedCitation":"[25]"},"properties":{"noteIndex":0},"schema":"https://github.com/citation-style-language/schema/raw/master/csl-citation.json"}</w:instrText>
      </w:r>
      <w:r w:rsidRPr="00E87E42">
        <w:fldChar w:fldCharType="separate"/>
      </w:r>
      <w:r w:rsidR="00BC5ED7" w:rsidRPr="00E87E42">
        <w:rPr>
          <w:noProof/>
        </w:rPr>
        <w:t>[25]</w:t>
      </w:r>
      <w:r w:rsidRPr="00E87E42">
        <w:fldChar w:fldCharType="end"/>
      </w:r>
      <w:r w:rsidRPr="00E87E42">
        <w:t xml:space="preserve"> for large fires (</w:t>
      </w:r>
      <w:r w:rsidR="001C5C73" w:rsidRPr="00E87E42">
        <w:t>defined as requiring five or more jets</w:t>
      </w:r>
      <w:r w:rsidRPr="00E87E42">
        <w:t>)</w:t>
      </w:r>
      <w:r w:rsidR="007F1F56" w:rsidRPr="00E87E42">
        <w:t xml:space="preserve">. In 1969, </w:t>
      </w:r>
      <w:r w:rsidR="00D85463" w:rsidRPr="00E87E42">
        <w:t>Ramachandran</w:t>
      </w:r>
      <w:r w:rsidR="007F1F56" w:rsidRPr="00E87E42">
        <w:t xml:space="preserve"> </w:t>
      </w:r>
      <w:r w:rsidR="00D85463" w:rsidRPr="00E87E42">
        <w:t xml:space="preserve">assessed </w:t>
      </w:r>
      <w:r w:rsidR="007F1F56" w:rsidRPr="00E87E42">
        <w:t xml:space="preserve">large fires </w:t>
      </w:r>
      <w:r w:rsidRPr="00E87E42">
        <w:t xml:space="preserve">from </w:t>
      </w:r>
      <w:r w:rsidR="007F1F56" w:rsidRPr="00E87E42">
        <w:t>1965 to 196</w:t>
      </w:r>
      <w:r w:rsidR="00D01A82" w:rsidRPr="00E87E42">
        <w:t>8</w:t>
      </w:r>
      <w:r w:rsidRPr="00E87E42">
        <w:t xml:space="preserve">, again </w:t>
      </w:r>
      <w:r w:rsidR="001C5C73" w:rsidRPr="00E87E42">
        <w:t>consider</w:t>
      </w:r>
      <w:r w:rsidR="00D85463" w:rsidRPr="00E87E42">
        <w:t>ing</w:t>
      </w:r>
      <w:r w:rsidR="001C5C73" w:rsidRPr="00E87E42">
        <w:t xml:space="preserve"> the</w:t>
      </w:r>
      <w:r w:rsidR="007F1F56" w:rsidRPr="00E87E42">
        <w:t xml:space="preserve"> </w:t>
      </w:r>
      <w:r w:rsidRPr="00E87E42">
        <w:t xml:space="preserve">total </w:t>
      </w:r>
      <w:r w:rsidR="007F1F56" w:rsidRPr="00E87E42">
        <w:t>number of fires and</w:t>
      </w:r>
      <w:r w:rsidR="001C5C73" w:rsidRPr="00E87E42">
        <w:t xml:space="preserve"> </w:t>
      </w:r>
      <w:r w:rsidR="007F1F56" w:rsidRPr="00E87E42">
        <w:t xml:space="preserve">total cost in thousands </w:t>
      </w:r>
      <w:r w:rsidRPr="00E87E42">
        <w:t xml:space="preserve">of </w:t>
      </w:r>
      <w:r w:rsidR="007F1F56" w:rsidRPr="00E87E42">
        <w:t>pound</w:t>
      </w:r>
      <w:r w:rsidRPr="00E87E42">
        <w:t>s</w:t>
      </w:r>
      <w:r w:rsidR="007F1F56" w:rsidRPr="00E87E42">
        <w:t xml:space="preserve"> </w:t>
      </w:r>
      <w:r w:rsidRPr="00E87E42">
        <w:t>for different occupancy types,</w:t>
      </w:r>
      <w:r w:rsidRPr="00E87E42" w:rsidDel="00AF4C3D">
        <w:t xml:space="preserve"> </w:t>
      </w:r>
      <w:r w:rsidR="00D85463" w:rsidRPr="00E87E42">
        <w:t>as well as</w:t>
      </w:r>
      <w:r w:rsidR="007F1F56" w:rsidRPr="00E87E42">
        <w:t>,</w:t>
      </w:r>
      <w:r w:rsidRPr="00E87E42">
        <w:t xml:space="preserve"> fire </w:t>
      </w:r>
      <w:r w:rsidR="001C5C73" w:rsidRPr="00E87E42">
        <w:t>frequency, place of origin, source of ignition, material first ignited, age of the building, number of storeys, spread of fire, attendance time and fire protection devices</w:t>
      </w:r>
      <w:r w:rsidR="00356EEC" w:rsidRPr="00E87E42">
        <w:t xml:space="preserve"> </w:t>
      </w:r>
      <w:r w:rsidR="00356EEC" w:rsidRPr="00E87E42">
        <w:lastRenderedPageBreak/>
        <w:fldChar w:fldCharType="begin" w:fldLock="1"/>
      </w:r>
      <w:r w:rsidR="00BC5ED7" w:rsidRPr="00E87E42">
        <w:instrText>ADDIN CSL_CITATION {"citationItems":[{"id":"ITEM-1","itemData":{"author":[{"dropping-particle":"","family":"Ramachandran, G, Kirsop","given":"P","non-dropping-particle":"","parse-names":false,"suffix":""}],"container-title":"Fire Reserach Note No 792","id":"ITEM-1","issue":"792","issued":{"date-parts":[["1969"]]},"title":"A brief analysis of large fires during 1965 to 1968","type":"article-journal"},"uris":["http://www.mendeley.com/documents/?uuid=85b2dbe9-4a69-434d-9a85-fa580c31cf1b","http://www.mendeley.com/documents/?uuid=80d10ed2-fd26-4a56-b3d4-81b7dc378b78"]}],"mendeley":{"formattedCitation":"[26]","plainTextFormattedCitation":"[26]","previouslyFormattedCitation":"[26]"},"properties":{"noteIndex":0},"schema":"https://github.com/citation-style-language/schema/raw/master/csl-citation.json"}</w:instrText>
      </w:r>
      <w:r w:rsidR="00356EEC" w:rsidRPr="00E87E42">
        <w:fldChar w:fldCharType="separate"/>
      </w:r>
      <w:r w:rsidR="00BC5ED7" w:rsidRPr="00E87E42">
        <w:rPr>
          <w:noProof/>
        </w:rPr>
        <w:t>[26]</w:t>
      </w:r>
      <w:r w:rsidR="00356EEC" w:rsidRPr="00E87E42">
        <w:fldChar w:fldCharType="end"/>
      </w:r>
      <w:r w:rsidR="001C5C73" w:rsidRPr="00E87E42">
        <w:t xml:space="preserve">. </w:t>
      </w:r>
      <w:r w:rsidR="00356EEC" w:rsidRPr="00E87E42">
        <w:t xml:space="preserve">In 1970, </w:t>
      </w:r>
      <w:r w:rsidR="00DB654E" w:rsidRPr="00E87E42">
        <w:t xml:space="preserve">Ramachandran produced </w:t>
      </w:r>
      <w:r w:rsidR="00BE3854" w:rsidRPr="00E87E42">
        <w:t>fire loss indexes</w:t>
      </w:r>
      <w:r w:rsidR="003532AC" w:rsidRPr="00E87E42">
        <w:t xml:space="preserve"> defined as loss per </w:t>
      </w:r>
      <w:r w:rsidR="00BE4BE4" w:rsidRPr="00E87E42">
        <w:t>ft</w:t>
      </w:r>
      <w:r w:rsidR="00BE4BE4" w:rsidRPr="00E87E42">
        <w:rPr>
          <w:vertAlign w:val="superscript"/>
        </w:rPr>
        <w:t>2</w:t>
      </w:r>
      <w:r w:rsidR="00BE4BE4" w:rsidRPr="00E87E42">
        <w:t xml:space="preserve"> </w:t>
      </w:r>
      <w:r w:rsidR="00BE3854" w:rsidRPr="00E87E42">
        <w:t xml:space="preserve">of floor area or loss per hundred pounds of value at risk </w:t>
      </w:r>
      <w:r w:rsidR="00BE3854" w:rsidRPr="00E87E42">
        <w:fldChar w:fldCharType="begin" w:fldLock="1"/>
      </w:r>
      <w:r w:rsidR="00BC5ED7" w:rsidRPr="00E87E42">
        <w:instrText>ADDIN CSL_CITATION {"citationItems":[{"id":"ITEM-1","itemData":{"author":[{"dropping-particle":"","family":"Ramachandran","given":"G","non-dropping-particle":"","parse-names":false,"suffix":""}],"container-title":"Fire Reserach Note No 839","id":"ITEM-1","issue":"September","issued":{"date-parts":[["1970"]]},"title":"Fire loss indexes","type":"article-journal"},"uris":["http://www.mendeley.com/documents/?uuid=b26a2822-4084-4886-a4ff-0b4ae50accce","http://www.mendeley.com/documents/?uuid=9715b57d-c961-4c6f-9ae2-df836c30ad85"]}],"mendeley":{"formattedCitation":"[27]","plainTextFormattedCitation":"[27]","previouslyFormattedCitation":"[27]"},"properties":{"noteIndex":0},"schema":"https://github.com/citation-style-language/schema/raw/master/csl-citation.json"}</w:instrText>
      </w:r>
      <w:r w:rsidR="00BE3854" w:rsidRPr="00E87E42">
        <w:fldChar w:fldCharType="separate"/>
      </w:r>
      <w:r w:rsidR="00BC5ED7" w:rsidRPr="00E87E42">
        <w:rPr>
          <w:noProof/>
        </w:rPr>
        <w:t>[27]</w:t>
      </w:r>
      <w:r w:rsidR="00BE3854" w:rsidRPr="00E87E42">
        <w:fldChar w:fldCharType="end"/>
      </w:r>
      <w:r w:rsidR="00BE3854" w:rsidRPr="00E87E42">
        <w:t xml:space="preserve">. </w:t>
      </w:r>
    </w:p>
    <w:p w14:paraId="11F5E71C" w14:textId="16C3ED09" w:rsidR="009109A1" w:rsidRPr="00E87E42" w:rsidRDefault="0016636C" w:rsidP="00AB4A67">
      <w:r w:rsidRPr="00E87E42">
        <w:t xml:space="preserve">In 1979, </w:t>
      </w:r>
      <w:proofErr w:type="spellStart"/>
      <w:r w:rsidRPr="00E87E42">
        <w:t>Rutstein</w:t>
      </w:r>
      <w:proofErr w:type="spellEnd"/>
      <w:r w:rsidR="00343CD1" w:rsidRPr="00E87E42">
        <w:t xml:space="preserve"> </w:t>
      </w:r>
      <w:r w:rsidR="00214A6C" w:rsidRPr="00E87E42">
        <w:fldChar w:fldCharType="begin" w:fldLock="1"/>
      </w:r>
      <w:r w:rsidR="00BC5ED7" w:rsidRPr="00E87E42">
        <w:instrText>ADDIN CSL_CITATION {"citationItems":[{"id":"ITEM-1","itemData":{"author":[{"dropping-particle":"","family":"Rutstein","given":"R","non-dropping-particle":"","parse-names":false,"suffix":""}],"container-title":"Fire Surveyor","id":"ITEM-1","issue":"1","issued":{"date-parts":[["1979"]]},"page":"20-23","title":"The probability of fire in different sectors of industry.pdf","type":"article-journal","volume":"8"},"uris":["http://www.mendeley.com/documents/?uuid=83b1fa0c-4573-4170-a695-568ae3708031"]}],"mendeley":{"formattedCitation":"[28]","plainTextFormattedCitation":"[28]","previouslyFormattedCitation":"[28]"},"properties":{"noteIndex":0},"schema":"https://github.com/citation-style-language/schema/raw/master/csl-citation.json"}</w:instrText>
      </w:r>
      <w:r w:rsidR="00214A6C" w:rsidRPr="00E87E42">
        <w:fldChar w:fldCharType="separate"/>
      </w:r>
      <w:r w:rsidR="00BC5ED7" w:rsidRPr="00E87E42">
        <w:rPr>
          <w:noProof/>
        </w:rPr>
        <w:t>[28]</w:t>
      </w:r>
      <w:r w:rsidR="00214A6C" w:rsidRPr="00E87E42">
        <w:fldChar w:fldCharType="end"/>
      </w:r>
      <w:r w:rsidR="00214A6C" w:rsidRPr="00E87E42">
        <w:t xml:space="preserve"> </w:t>
      </w:r>
      <w:r w:rsidR="00343CD1" w:rsidRPr="00E87E42">
        <w:t xml:space="preserve">affirmed that </w:t>
      </w:r>
      <w:r w:rsidR="00D85463" w:rsidRPr="00E87E42">
        <w:t>fire risk</w:t>
      </w:r>
      <w:r w:rsidR="00343CD1" w:rsidRPr="00E87E42">
        <w:t xml:space="preserve"> </w:t>
      </w:r>
      <w:r w:rsidR="00DB654E" w:rsidRPr="00E87E42">
        <w:t xml:space="preserve">(probability of fire and its consequence) </w:t>
      </w:r>
      <w:r w:rsidR="00343CD1" w:rsidRPr="00E87E42">
        <w:t xml:space="preserve">can only be expressed in probabilistic terms and can be estimated </w:t>
      </w:r>
      <w:r w:rsidR="009B6219" w:rsidRPr="00E87E42">
        <w:t>by examining past</w:t>
      </w:r>
      <w:r w:rsidR="00343CD1" w:rsidRPr="00E87E42">
        <w:t xml:space="preserve"> fire incidence</w:t>
      </w:r>
      <w:r w:rsidR="009B6219" w:rsidRPr="00E87E42">
        <w:t xml:space="preserve"> data</w:t>
      </w:r>
      <w:r w:rsidR="00343CD1" w:rsidRPr="00E87E42">
        <w:t>. Furthermore</w:t>
      </w:r>
      <w:r w:rsidR="00426D6A" w:rsidRPr="00E87E42">
        <w:t>,</w:t>
      </w:r>
      <w:r w:rsidR="00343CD1" w:rsidRPr="00E87E42">
        <w:t xml:space="preserve"> </w:t>
      </w:r>
      <w:proofErr w:type="spellStart"/>
      <w:r w:rsidR="004559B5">
        <w:t>Rutstein</w:t>
      </w:r>
      <w:proofErr w:type="spellEnd"/>
      <w:r w:rsidR="004559B5">
        <w:t xml:space="preserve"> obtained</w:t>
      </w:r>
      <w:r w:rsidR="009B6219" w:rsidRPr="00E87E42">
        <w:t xml:space="preserve"> </w:t>
      </w:r>
      <w:r w:rsidR="00343CD1" w:rsidRPr="00E87E42">
        <w:t xml:space="preserve">the probability of fire </w:t>
      </w:r>
      <w:r w:rsidR="009B6219" w:rsidRPr="00E87E42">
        <w:t>by comparing the</w:t>
      </w:r>
      <w:r w:rsidR="00343CD1" w:rsidRPr="00E87E42">
        <w:t xml:space="preserve"> number of fires reported </w:t>
      </w:r>
      <w:r w:rsidR="00DB654E" w:rsidRPr="00E87E42">
        <w:t xml:space="preserve">by </w:t>
      </w:r>
      <w:r w:rsidR="00343CD1" w:rsidRPr="00E87E42">
        <w:t>the fire brigades divided by the total amount of property at risk</w:t>
      </w:r>
      <w:r w:rsidR="00DB654E" w:rsidRPr="00E87E42">
        <w:t>,</w:t>
      </w:r>
      <w:r w:rsidR="00343CD1" w:rsidRPr="00E87E42">
        <w:t xml:space="preserve"> determined </w:t>
      </w:r>
      <w:r w:rsidR="009B6219" w:rsidRPr="00E87E42">
        <w:t>from</w:t>
      </w:r>
      <w:r w:rsidR="00343CD1" w:rsidRPr="00E87E42">
        <w:t xml:space="preserve"> </w:t>
      </w:r>
      <w:r w:rsidR="00D85463" w:rsidRPr="00E87E42">
        <w:t xml:space="preserve">1977 Home Office </w:t>
      </w:r>
      <w:r w:rsidR="00343CD1" w:rsidRPr="00E87E42">
        <w:t xml:space="preserve">survey </w:t>
      </w:r>
      <w:r w:rsidR="009B6219" w:rsidRPr="00E87E42">
        <w:t xml:space="preserve">data </w:t>
      </w:r>
      <w:r w:rsidR="00343CD1" w:rsidRPr="00E87E42">
        <w:t xml:space="preserve">of </w:t>
      </w:r>
      <w:r w:rsidR="00D85463" w:rsidRPr="00E87E42">
        <w:t xml:space="preserve">UK </w:t>
      </w:r>
      <w:r w:rsidR="00343CD1" w:rsidRPr="00E87E42">
        <w:t xml:space="preserve">manufacturing industry. </w:t>
      </w:r>
      <w:r w:rsidR="00DB654E" w:rsidRPr="00E87E42">
        <w:t>T</w:t>
      </w:r>
      <w:r w:rsidR="00D27DDA" w:rsidRPr="00E87E42">
        <w:t>he fire probability</w:t>
      </w:r>
      <w:r w:rsidR="00DB654E" w:rsidRPr="00E87E42">
        <w:t>,</w:t>
      </w:r>
      <w:r w:rsidR="00D27DDA" w:rsidRPr="00E87E42">
        <w:t xml:space="preserve"> </w:t>
      </w:r>
      <w:r w:rsidR="00D27DDA" w:rsidRPr="00E87E42">
        <w:rPr>
          <w:i/>
        </w:rPr>
        <w:t>F</w:t>
      </w:r>
      <w:r w:rsidR="00343CD1" w:rsidRPr="00E87E42">
        <w:t xml:space="preserve">, </w:t>
      </w:r>
      <w:proofErr w:type="gramStart"/>
      <w:r w:rsidR="00343CD1" w:rsidRPr="00E87E42">
        <w:t>is describe</w:t>
      </w:r>
      <w:r w:rsidR="00A57B8E" w:rsidRPr="00E87E42">
        <w:t>d</w:t>
      </w:r>
      <w:proofErr w:type="gramEnd"/>
      <w:r w:rsidR="00343CD1" w:rsidRPr="00E87E42">
        <w:t xml:space="preserve"> with a power law according to the total area of the building</w:t>
      </w:r>
      <w:r w:rsidR="00C24CC8" w:rsidRPr="00E87E42">
        <w:t xml:space="preserve"> A:</w:t>
      </w:r>
    </w:p>
    <w:p w14:paraId="124D6675" w14:textId="45337549" w:rsidR="009109A1" w:rsidRPr="00E87E42" w:rsidRDefault="00D41F41" w:rsidP="00111CD2">
      <w:pPr>
        <w:tabs>
          <w:tab w:val="center" w:pos="5103"/>
          <w:tab w:val="right" w:pos="10206"/>
        </w:tabs>
      </w:pPr>
      <w:r w:rsidRPr="00E87E42">
        <w:tab/>
      </w:r>
      <m:oMath>
        <m:r>
          <w:rPr>
            <w:rFonts w:ascii="Cambria Math" w:hAnsi="Cambria Math"/>
          </w:rPr>
          <m:t>F=a</m:t>
        </m:r>
        <m:sSup>
          <m:sSupPr>
            <m:ctrlPr>
              <w:rPr>
                <w:rFonts w:ascii="Cambria Math" w:hAnsi="Cambria Math"/>
              </w:rPr>
            </m:ctrlPr>
          </m:sSupPr>
          <m:e>
            <m:r>
              <w:rPr>
                <w:rFonts w:ascii="Cambria Math" w:hAnsi="Cambria Math"/>
              </w:rPr>
              <m:t>A</m:t>
            </m:r>
          </m:e>
          <m:sup>
            <m:r>
              <w:rPr>
                <w:rFonts w:ascii="Cambria Math" w:hAnsi="Cambria Math"/>
              </w:rPr>
              <m:t>b</m:t>
            </m:r>
          </m:sup>
        </m:sSup>
      </m:oMath>
      <w:r w:rsidRPr="00E87E42">
        <w:t xml:space="preserve"> </w:t>
      </w:r>
      <w:r w:rsidRPr="00E87E42">
        <w:tab/>
        <w:t>(2)</w:t>
      </w:r>
    </w:p>
    <w:p w14:paraId="72BF0272" w14:textId="002B76B0" w:rsidR="00214A6C" w:rsidRPr="00E87E42" w:rsidRDefault="00E2330D" w:rsidP="00C7491E">
      <w:proofErr w:type="gramStart"/>
      <w:r w:rsidRPr="00E87E42">
        <w:t>where</w:t>
      </w:r>
      <w:proofErr w:type="gramEnd"/>
      <w:r w:rsidRPr="00E87E42">
        <w:t xml:space="preserve"> </w:t>
      </w:r>
      <w:r w:rsidRPr="00E87E42">
        <w:rPr>
          <w:i/>
        </w:rPr>
        <w:t>a</w:t>
      </w:r>
      <w:r w:rsidRPr="00E87E42">
        <w:t xml:space="preserve"> and </w:t>
      </w:r>
      <w:r w:rsidRPr="00E87E42">
        <w:rPr>
          <w:i/>
        </w:rPr>
        <w:t>b</w:t>
      </w:r>
      <w:r w:rsidR="005D4420" w:rsidRPr="00E87E42">
        <w:t xml:space="preserve"> are </w:t>
      </w:r>
      <w:r w:rsidR="00DB654E" w:rsidRPr="00E87E42">
        <w:t xml:space="preserve">empirical </w:t>
      </w:r>
      <w:r w:rsidR="005D4420" w:rsidRPr="00E87E42">
        <w:t>constants determined according to</w:t>
      </w:r>
      <w:r w:rsidR="009109A1" w:rsidRPr="00E87E42">
        <w:t xml:space="preserve"> the different occupancy types. </w:t>
      </w:r>
      <w:r w:rsidR="00263D2E" w:rsidRPr="00E87E42">
        <w:t xml:space="preserve">In particular, </w:t>
      </w:r>
      <w:r w:rsidR="00263D2E" w:rsidRPr="00E87E42">
        <w:rPr>
          <w:i/>
        </w:rPr>
        <w:t>a</w:t>
      </w:r>
      <w:r w:rsidR="00263D2E" w:rsidRPr="00E87E42">
        <w:t xml:space="preserve"> </w:t>
      </w:r>
      <w:r w:rsidR="00214A6C" w:rsidRPr="00E87E42">
        <w:t xml:space="preserve">defines </w:t>
      </w:r>
      <w:r w:rsidR="00263D2E" w:rsidRPr="00E87E42">
        <w:t>the ratio between total number of fires and total number of buildings at risk</w:t>
      </w:r>
      <w:r w:rsidR="00214A6C" w:rsidRPr="00E87E42">
        <w:t>,</w:t>
      </w:r>
      <w:r w:rsidR="00263D2E" w:rsidRPr="00E87E42">
        <w:t xml:space="preserve"> while </w:t>
      </w:r>
      <w:r w:rsidR="00263D2E" w:rsidRPr="00E87E42">
        <w:rPr>
          <w:i/>
        </w:rPr>
        <w:t>b</w:t>
      </w:r>
      <w:r w:rsidR="00263D2E" w:rsidRPr="00E87E42">
        <w:t xml:space="preserve"> </w:t>
      </w:r>
      <w:r w:rsidR="00214A6C" w:rsidRPr="00E87E42">
        <w:t>defines</w:t>
      </w:r>
      <w:r w:rsidR="00263D2E" w:rsidRPr="00E87E42">
        <w:t xml:space="preserve"> the total number of fires divided by the building maximum floor area. </w:t>
      </w:r>
    </w:p>
    <w:p w14:paraId="044DA551" w14:textId="24E8ADD6" w:rsidR="00C7491E" w:rsidRPr="00E87E42" w:rsidRDefault="00A57B8E" w:rsidP="008A55B5">
      <w:r w:rsidRPr="00E87E42">
        <w:t xml:space="preserve">The analysis </w:t>
      </w:r>
      <w:r w:rsidR="00DB654E" w:rsidRPr="00E87E42">
        <w:t xml:space="preserve">interrogated </w:t>
      </w:r>
      <w:r w:rsidR="005D4420" w:rsidRPr="00E87E42">
        <w:t>only industrial building</w:t>
      </w:r>
      <w:r w:rsidR="008F4101" w:rsidRPr="00E87E42">
        <w:t>s</w:t>
      </w:r>
      <w:r w:rsidR="0075548F" w:rsidRPr="00E87E42">
        <w:t xml:space="preserve"> leaving a wide</w:t>
      </w:r>
      <w:r w:rsidR="005D4420" w:rsidRPr="00E87E42">
        <w:t xml:space="preserve"> margin of uncertainties for the other occupancy types </w:t>
      </w:r>
      <w:r w:rsidR="005D4420" w:rsidRPr="00E87E42">
        <w:fldChar w:fldCharType="begin" w:fldLock="1"/>
      </w:r>
      <w:r w:rsidR="00BC5ED7" w:rsidRPr="00E87E42">
        <w:instrText>ADDIN CSL_CITATION {"citationItems":[{"id":"ITEM-1","itemData":{"author":[{"dropping-particle":"","family":"Rutstein","given":"R","non-dropping-particle":"","parse-names":false,"suffix":""}],"container-title":"Fire Surveyor","id":"ITEM-1","issue":"1","issued":{"date-parts":[["1979"]]},"page":"20-23","title":"The probability of fire in different sectors of industry.pdf","type":"article-journal","volume":"8"},"uris":["http://www.mendeley.com/documents/?uuid=83b1fa0c-4573-4170-a695-568ae3708031","http://www.mendeley.com/documents/?uuid=0451807e-9704-4c37-acd5-56f55192f5ec"]}],"mendeley":{"formattedCitation":"[28]","plainTextFormattedCitation":"[28]","previouslyFormattedCitation":"[28]"},"properties":{"noteIndex":0},"schema":"https://github.com/citation-style-language/schema/raw/master/csl-citation.json"}</w:instrText>
      </w:r>
      <w:r w:rsidR="005D4420" w:rsidRPr="00E87E42">
        <w:fldChar w:fldCharType="separate"/>
      </w:r>
      <w:r w:rsidR="00BC5ED7" w:rsidRPr="00E87E42">
        <w:rPr>
          <w:noProof/>
        </w:rPr>
        <w:t>[28]</w:t>
      </w:r>
      <w:r w:rsidR="005D4420" w:rsidRPr="00E87E42">
        <w:fldChar w:fldCharType="end"/>
      </w:r>
      <w:r w:rsidR="005D4420" w:rsidRPr="00E87E42">
        <w:t xml:space="preserve">. </w:t>
      </w:r>
      <w:r w:rsidR="00C7491E" w:rsidRPr="00E87E42">
        <w:t xml:space="preserve">The </w:t>
      </w:r>
      <w:r w:rsidR="00D85463" w:rsidRPr="00E87E42">
        <w:t xml:space="preserve">1977 </w:t>
      </w:r>
      <w:r w:rsidR="00C7491E" w:rsidRPr="00E87E42">
        <w:t xml:space="preserve">Home Office survey </w:t>
      </w:r>
      <w:r w:rsidR="00214A6C" w:rsidRPr="00E87E42">
        <w:t xml:space="preserve">enumerated </w:t>
      </w:r>
      <w:r w:rsidR="00C7491E" w:rsidRPr="00E87E42">
        <w:t>the number and floor</w:t>
      </w:r>
      <w:r w:rsidR="00EE04A0" w:rsidRPr="00E87E42">
        <w:t xml:space="preserve"> </w:t>
      </w:r>
      <w:r w:rsidR="00C7491E" w:rsidRPr="00E87E42">
        <w:t>space of each building occupied by firm</w:t>
      </w:r>
      <w:r w:rsidR="00214A6C" w:rsidRPr="00E87E42">
        <w:t>s</w:t>
      </w:r>
      <w:r w:rsidR="00C7491E" w:rsidRPr="00E87E42">
        <w:t xml:space="preserve">. </w:t>
      </w:r>
      <w:r w:rsidR="00214A6C" w:rsidRPr="00E87E42">
        <w:t>Information relating to 6</w:t>
      </w:r>
      <w:r w:rsidR="00B77AD8" w:rsidRPr="00E87E42">
        <w:t>,</w:t>
      </w:r>
      <w:r w:rsidR="00214A6C" w:rsidRPr="00E87E42">
        <w:t xml:space="preserve">000 </w:t>
      </w:r>
      <w:r w:rsidR="00D85463" w:rsidRPr="00E87E42">
        <w:t>separate</w:t>
      </w:r>
      <w:r w:rsidR="00214A6C" w:rsidRPr="00E87E42">
        <w:t xml:space="preserve"> buildings </w:t>
      </w:r>
      <w:proofErr w:type="gramStart"/>
      <w:r w:rsidR="00D85463" w:rsidRPr="00E87E42">
        <w:t xml:space="preserve">was </w:t>
      </w:r>
      <w:r w:rsidR="00214A6C" w:rsidRPr="00E87E42">
        <w:t>then used</w:t>
      </w:r>
      <w:proofErr w:type="gramEnd"/>
      <w:r w:rsidR="00214A6C" w:rsidRPr="00E87E42">
        <w:t xml:space="preserve"> t</w:t>
      </w:r>
      <w:r w:rsidR="00C7491E" w:rsidRPr="00E87E42">
        <w:t>o estimate the total number of buildings of each size in each industry in UK. Consequently, plotting the data according to building floor</w:t>
      </w:r>
      <w:r w:rsidR="00EE04A0" w:rsidRPr="00E87E42">
        <w:t xml:space="preserve"> </w:t>
      </w:r>
      <w:r w:rsidR="00C7491E" w:rsidRPr="00E87E42">
        <w:t xml:space="preserve">space in </w:t>
      </w:r>
      <w:r w:rsidR="00BE4BE4" w:rsidRPr="00E87E42">
        <w:t>m</w:t>
      </w:r>
      <w:r w:rsidR="00BE4BE4" w:rsidRPr="00E87E42">
        <w:rPr>
          <w:vertAlign w:val="superscript"/>
        </w:rPr>
        <w:t>2</w:t>
      </w:r>
      <w:r w:rsidR="00BE4BE4" w:rsidRPr="00E87E42">
        <w:t xml:space="preserve"> </w:t>
      </w:r>
      <w:r w:rsidR="00C7491E" w:rsidRPr="00E87E42">
        <w:t>(x-axis) and probability of fire (y-axis), a nonlinear function was estimated (</w:t>
      </w:r>
      <w:r w:rsidR="005F7917" w:rsidRPr="00E87E42">
        <w:fldChar w:fldCharType="begin"/>
      </w:r>
      <w:r w:rsidR="005F7917" w:rsidRPr="00E87E42">
        <w:instrText xml:space="preserve"> REF _Ref508272928 \h </w:instrText>
      </w:r>
      <w:r w:rsidR="00E87E42">
        <w:instrText xml:space="preserve"> \* MERGEFORMAT </w:instrText>
      </w:r>
      <w:r w:rsidR="005F7917" w:rsidRPr="00E87E42">
        <w:fldChar w:fldCharType="separate"/>
      </w:r>
      <w:r w:rsidR="009F6872" w:rsidRPr="00E87E42">
        <w:t xml:space="preserve">Figure </w:t>
      </w:r>
      <w:r w:rsidR="009F6872">
        <w:rPr>
          <w:noProof/>
        </w:rPr>
        <w:t>1</w:t>
      </w:r>
      <w:r w:rsidR="005F7917" w:rsidRPr="00E87E42">
        <w:fldChar w:fldCharType="end"/>
      </w:r>
      <w:r w:rsidR="00E9438B" w:rsidRPr="00E87E42">
        <w:fldChar w:fldCharType="begin"/>
      </w:r>
      <w:r w:rsidR="00E9438B" w:rsidRPr="00E87E42">
        <w:instrText xml:space="preserve"> REF _Ref506559228 \h </w:instrText>
      </w:r>
      <w:r w:rsidR="00E87E42">
        <w:instrText xml:space="preserve"> \* MERGEFORMAT </w:instrText>
      </w:r>
      <w:r w:rsidR="00E9438B" w:rsidRPr="00E87E42">
        <w:fldChar w:fldCharType="end"/>
      </w:r>
      <w:r w:rsidR="0002779D" w:rsidRPr="00E87E42">
        <w:t xml:space="preserve"> (a)</w:t>
      </w:r>
      <w:r w:rsidR="00C7491E" w:rsidRPr="00E87E42">
        <w:t xml:space="preserve">) where the non-linearity could be attributed to two </w:t>
      </w:r>
      <w:r w:rsidR="00515B67" w:rsidRPr="00E87E42">
        <w:t xml:space="preserve">potential </w:t>
      </w:r>
      <w:r w:rsidR="00C7491E" w:rsidRPr="00E87E42">
        <w:t>reasons</w:t>
      </w:r>
      <w:r w:rsidR="004558F5" w:rsidRPr="00E87E42">
        <w:t xml:space="preserve">. </w:t>
      </w:r>
      <w:proofErr w:type="gramStart"/>
      <w:r w:rsidR="004558F5" w:rsidRPr="00E87E42">
        <w:t xml:space="preserve">The </w:t>
      </w:r>
      <w:r w:rsidR="00515B67" w:rsidRPr="00E87E42">
        <w:t xml:space="preserve">first, </w:t>
      </w:r>
      <w:r w:rsidR="004558F5" w:rsidRPr="00E87E42">
        <w:t xml:space="preserve">that </w:t>
      </w:r>
      <w:r w:rsidR="00C7491E" w:rsidRPr="00E87E42">
        <w:rPr>
          <w:i/>
        </w:rPr>
        <w:t>there may be a genuine scale effect</w:t>
      </w:r>
      <w:r w:rsidR="00C7491E" w:rsidRPr="00E87E42">
        <w:t>: if a building is enlarged to double its original size, not all the services would double in size or in fire risk so that the risk of fire in a larger building would be less than twice than that of the original building</w:t>
      </w:r>
      <w:r w:rsidR="004558F5" w:rsidRPr="00E87E42">
        <w:t xml:space="preserve">; the </w:t>
      </w:r>
      <w:r w:rsidR="00515B67" w:rsidRPr="00E87E42">
        <w:t xml:space="preserve">second, </w:t>
      </w:r>
      <w:r w:rsidR="004558F5" w:rsidRPr="00E87E42">
        <w:t xml:space="preserve">the </w:t>
      </w:r>
      <w:r w:rsidR="00C7491E" w:rsidRPr="00E87E42">
        <w:rPr>
          <w:i/>
        </w:rPr>
        <w:t>composition of the sample</w:t>
      </w:r>
      <w:r w:rsidR="00C7491E" w:rsidRPr="00E87E42">
        <w:t>: larger buildings may have different processes, fire prevention management or first aid-firefighting capability.</w:t>
      </w:r>
      <w:proofErr w:type="gramEnd"/>
      <w:r w:rsidR="00C7491E" w:rsidRPr="00E87E42">
        <w:t xml:space="preserve"> They may have lower fire risk than the small ones.</w:t>
      </w:r>
    </w:p>
    <w:p w14:paraId="535DF3A0" w14:textId="52733149" w:rsidR="00942172" w:rsidRPr="00E87E42" w:rsidRDefault="00942172" w:rsidP="00C7491E">
      <w:r w:rsidRPr="00E87E42">
        <w:t xml:space="preserve">Initially, </w:t>
      </w:r>
      <w:proofErr w:type="spellStart"/>
      <w:r w:rsidRPr="00E87E42">
        <w:t>Rutstein</w:t>
      </w:r>
      <w:proofErr w:type="spellEnd"/>
      <w:r w:rsidRPr="00E87E42">
        <w:t xml:space="preserve"> estimated the probability of a fire considering all buildings within each industry together</w:t>
      </w:r>
      <w:r w:rsidR="0064338E" w:rsidRPr="00E87E42">
        <w:t>,</w:t>
      </w:r>
      <w:r w:rsidRPr="00E87E42">
        <w:t xml:space="preserve"> where most of them </w:t>
      </w:r>
      <w:proofErr w:type="gramStart"/>
      <w:r w:rsidRPr="00E87E42">
        <w:t>were used</w:t>
      </w:r>
      <w:proofErr w:type="gramEnd"/>
      <w:r w:rsidRPr="00E87E42">
        <w:t xml:space="preserve"> for production and a smaller number </w:t>
      </w:r>
      <w:r w:rsidR="001F5FC2" w:rsidRPr="00E87E42">
        <w:t>for</w:t>
      </w:r>
      <w:r w:rsidRPr="00E87E42">
        <w:t xml:space="preserve"> storage, office and other buildings. In a second instance</w:t>
      </w:r>
      <w:r w:rsidR="001F5FC2" w:rsidRPr="00E87E42">
        <w:t>,</w:t>
      </w:r>
      <w:r w:rsidRPr="00E87E42">
        <w:t xml:space="preserve"> </w:t>
      </w:r>
      <w:r w:rsidR="001F5FC2" w:rsidRPr="00E87E42">
        <w:t xml:space="preserve">the probability of fire </w:t>
      </w:r>
      <w:proofErr w:type="gramStart"/>
      <w:r w:rsidR="001F5FC2" w:rsidRPr="00E87E42">
        <w:t>was calculated</w:t>
      </w:r>
      <w:proofErr w:type="gramEnd"/>
      <w:r w:rsidR="001F5FC2" w:rsidRPr="00E87E42">
        <w:t xml:space="preserve"> for those buildings primarily used for production</w:t>
      </w:r>
      <w:r w:rsidR="00AA2844" w:rsidRPr="00E87E42">
        <w:t xml:space="preserve"> </w:t>
      </w:r>
      <w:r w:rsidR="001F5FC2" w:rsidRPr="00E87E42">
        <w:t xml:space="preserve">as </w:t>
      </w:r>
      <w:r w:rsidR="0064338E" w:rsidRPr="00E87E42">
        <w:t>showed in</w:t>
      </w:r>
      <w:r w:rsidR="0002779D" w:rsidRPr="00E87E42">
        <w:t xml:space="preserve"> </w:t>
      </w:r>
      <w:r w:rsidR="0002779D" w:rsidRPr="00E87E42">
        <w:fldChar w:fldCharType="begin"/>
      </w:r>
      <w:r w:rsidR="0002779D" w:rsidRPr="00E87E42">
        <w:instrText xml:space="preserve"> REF _Ref508272928 \h </w:instrText>
      </w:r>
      <w:r w:rsidR="00E87E42">
        <w:instrText xml:space="preserve"> \* MERGEFORMAT </w:instrText>
      </w:r>
      <w:r w:rsidR="0002779D" w:rsidRPr="00E87E42">
        <w:fldChar w:fldCharType="separate"/>
      </w:r>
      <w:r w:rsidR="009F6872" w:rsidRPr="00E87E42">
        <w:t xml:space="preserve">Figure </w:t>
      </w:r>
      <w:r w:rsidR="009F6872">
        <w:rPr>
          <w:noProof/>
        </w:rPr>
        <w:t>1</w:t>
      </w:r>
      <w:r w:rsidR="0002779D" w:rsidRPr="00E87E42">
        <w:fldChar w:fldCharType="end"/>
      </w:r>
      <w:r w:rsidR="0002779D" w:rsidRPr="00E87E42">
        <w:t>(b)</w:t>
      </w:r>
      <w:r w:rsidR="00AA2844" w:rsidRPr="00E87E42">
        <w:t xml:space="preserve">. </w:t>
      </w:r>
      <w:proofErr w:type="spellStart"/>
      <w:r w:rsidR="00AA2844" w:rsidRPr="00E87E42">
        <w:t>Rutstein’s</w:t>
      </w:r>
      <w:proofErr w:type="spellEnd"/>
      <w:r w:rsidR="00AA2844" w:rsidRPr="00E87E42">
        <w:t xml:space="preserve"> functions are always power laws with positive exponents, therefore the probability of fire increases non-linearly with the increase of the dimension of the buildings. </w:t>
      </w:r>
      <w:r w:rsidR="0064338E" w:rsidRPr="00E87E42">
        <w:t xml:space="preserve"> </w:t>
      </w:r>
      <w:r w:rsidR="00AA2844" w:rsidRPr="00E87E42">
        <w:t>C</w:t>
      </w:r>
      <w:r w:rsidR="0064338E" w:rsidRPr="00E87E42">
        <w:t xml:space="preserve">oefficients </w:t>
      </w:r>
      <w:r w:rsidR="0064338E" w:rsidRPr="00E87E42">
        <w:rPr>
          <w:i/>
        </w:rPr>
        <w:t>a</w:t>
      </w:r>
      <w:r w:rsidR="0064338E" w:rsidRPr="00E87E42">
        <w:t xml:space="preserve"> and </w:t>
      </w:r>
      <w:r w:rsidR="0064338E" w:rsidRPr="00E87E42">
        <w:rPr>
          <w:i/>
        </w:rPr>
        <w:t>b</w:t>
      </w:r>
      <w:r w:rsidR="0064338E" w:rsidRPr="00E87E42">
        <w:t xml:space="preserve"> according to different </w:t>
      </w:r>
      <w:r w:rsidR="00AA2844" w:rsidRPr="00E87E42">
        <w:t xml:space="preserve">industry </w:t>
      </w:r>
      <w:r w:rsidR="0064338E" w:rsidRPr="00E87E42">
        <w:t xml:space="preserve">types </w:t>
      </w:r>
      <w:r w:rsidR="00AA2844" w:rsidRPr="00E87E42">
        <w:t xml:space="preserve">but solely for </w:t>
      </w:r>
      <w:r w:rsidR="0064338E" w:rsidRPr="00E87E42">
        <w:t xml:space="preserve">production buildings are </w:t>
      </w:r>
      <w:r w:rsidR="00AA2844" w:rsidRPr="00E87E42">
        <w:t xml:space="preserve">those </w:t>
      </w:r>
      <w:r w:rsidR="0064338E" w:rsidRPr="00E87E42">
        <w:t xml:space="preserve">reported in Table A.1 of the PD 7974-7 </w:t>
      </w:r>
      <w:r w:rsidR="004B30B7" w:rsidRPr="00E87E42">
        <w:fldChar w:fldCharType="begin" w:fldLock="1"/>
      </w:r>
      <w:r w:rsidR="00BC5ED7" w:rsidRPr="00E87E42">
        <w:instrText>ADDIN CSL_CITATION {"citationItems":[{"id":"ITEM-1","itemData":{"author":[{"dropping-particle":"","family":"BSI","given":"","non-dropping-particle":"","parse-names":false,"suffix":""}],"id":"ITEM-1","issued":{"date-parts":[["2003"]]},"title":"PD 7974-7: Application of fire safety engineering principles to the design of buildings — Part 7 : Probabilistic risk assessment","type":"article-journal","volume":"3"},"uris":["http://www.mendeley.com/documents/?uuid=939ef726-1b50-4e5c-b39d-a90e50ef2a69"]}],"mendeley":{"formattedCitation":"[3]","plainTextFormattedCitation":"[3]","previouslyFormattedCitation":"[3]"},"properties":{"noteIndex":0},"schema":"https://github.com/citation-style-language/schema/raw/master/csl-citation.json"}</w:instrText>
      </w:r>
      <w:r w:rsidR="004B30B7" w:rsidRPr="00E87E42">
        <w:fldChar w:fldCharType="separate"/>
      </w:r>
      <w:r w:rsidR="00214A6C" w:rsidRPr="00E87E42">
        <w:rPr>
          <w:noProof/>
        </w:rPr>
        <w:t>[3]</w:t>
      </w:r>
      <w:r w:rsidR="004B30B7" w:rsidRPr="00E87E42">
        <w:fldChar w:fldCharType="end"/>
      </w:r>
      <w:r w:rsidR="0064338E" w:rsidRPr="00E87E42">
        <w:t xml:space="preserve">, completely neglecting the coefficients for </w:t>
      </w:r>
      <w:r w:rsidR="004B30B7" w:rsidRPr="00E87E42">
        <w:t xml:space="preserve">the class of </w:t>
      </w:r>
      <w:r w:rsidR="0064338E" w:rsidRPr="00E87E42">
        <w:t>all buildings</w:t>
      </w:r>
      <w:r w:rsidR="004B30B7" w:rsidRPr="00E87E42">
        <w:t xml:space="preserve">. </w:t>
      </w:r>
      <w:r w:rsidR="0064338E" w:rsidRPr="00E87E42">
        <w:t xml:space="preserve"> </w:t>
      </w:r>
    </w:p>
    <w:p w14:paraId="7124F475" w14:textId="08B1CB0C" w:rsidR="00CB36E4" w:rsidRPr="00E87E42" w:rsidRDefault="00CB36E4" w:rsidP="00C7491E">
      <w:r w:rsidRPr="00E87E42">
        <w:t xml:space="preserve">The studies of </w:t>
      </w:r>
      <w:proofErr w:type="spellStart"/>
      <w:r w:rsidRPr="00E87E42">
        <w:t>D’Addario</w:t>
      </w:r>
      <w:proofErr w:type="spellEnd"/>
      <w:r w:rsidRPr="00E87E42">
        <w:t xml:space="preserve">, Ramachandran, and </w:t>
      </w:r>
      <w:proofErr w:type="spellStart"/>
      <w:r w:rsidRPr="00E87E42">
        <w:t>Rutstein</w:t>
      </w:r>
      <w:proofErr w:type="spellEnd"/>
      <w:r w:rsidRPr="00E87E42">
        <w:t xml:space="preserve"> have converged into </w:t>
      </w:r>
      <w:r w:rsidR="0047316D" w:rsidRPr="00E87E42">
        <w:t>PD</w:t>
      </w:r>
      <w:r w:rsidR="005E39FF" w:rsidRPr="00E87E42">
        <w:t xml:space="preserve"> 7974-</w:t>
      </w:r>
      <w:r w:rsidRPr="00E87E42">
        <w:t>7</w:t>
      </w:r>
      <w:r w:rsidR="000E7F1A" w:rsidRPr="00E87E42">
        <w:t xml:space="preserve"> </w:t>
      </w:r>
      <w:r w:rsidRPr="00E87E42">
        <w:rPr>
          <w:i/>
        </w:rPr>
        <w:fldChar w:fldCharType="begin" w:fldLock="1"/>
      </w:r>
      <w:r w:rsidR="00BC5ED7" w:rsidRPr="00E87E42">
        <w:rPr>
          <w:i/>
        </w:rPr>
        <w:instrText>ADDIN CSL_CITATION {"citationItems":[{"id":"ITEM-1","itemData":{"author":[{"dropping-particle":"","family":"BSI","given":"","non-dropping-particle":"","parse-names":false,"suffix":""}],"id":"ITEM-1","issued":{"date-parts":[["2003"]]},"title":"PD 7974-7: Application of fire safety engineering principles to the design of buildings — Part 7 : Probabilistic risk assessment","type":"article-journal","volume":"3"},"uris":["http://www.mendeley.com/documents/?uuid=939ef726-1b50-4e5c-b39d-a90e50ef2a69"]}],"mendeley":{"formattedCitation":"[3]","plainTextFormattedCitation":"[3]","previouslyFormattedCitation":"[3]"},"properties":{"noteIndex":0},"schema":"https://github.com/citation-style-language/schema/raw/master/csl-citation.json"}</w:instrText>
      </w:r>
      <w:r w:rsidRPr="00E87E42">
        <w:rPr>
          <w:i/>
        </w:rPr>
        <w:fldChar w:fldCharType="separate"/>
      </w:r>
      <w:r w:rsidRPr="00E87E42">
        <w:rPr>
          <w:noProof/>
        </w:rPr>
        <w:t>[3]</w:t>
      </w:r>
      <w:r w:rsidRPr="00E87E42">
        <w:rPr>
          <w:i/>
        </w:rPr>
        <w:fldChar w:fldCharType="end"/>
      </w:r>
      <w:r w:rsidR="000E7F1A" w:rsidRPr="00E87E42">
        <w:t>, which</w:t>
      </w:r>
      <w:r w:rsidRPr="00E87E42">
        <w:t xml:space="preserve"> sets out the general principles and techniques of risk analysis that can be used in fire safety, outlines the circumstances where this approach is appropriate and gives example illustrating their use. It also includes data for probabilistic risk assessment and criteria for assessment that cover life safety and property protection in both absolute and comparative terms (</w:t>
      </w:r>
      <w:r w:rsidRPr="00E87E42">
        <w:rPr>
          <w:i/>
        </w:rPr>
        <w:t>Absolute terms</w:t>
      </w:r>
      <w:r w:rsidRPr="00E87E42">
        <w:t xml:space="preserve">: performance of one situation against predetermined criteria; </w:t>
      </w:r>
      <w:r w:rsidRPr="00E87E42">
        <w:rPr>
          <w:i/>
        </w:rPr>
        <w:t>Comparative terms</w:t>
      </w:r>
      <w:r w:rsidRPr="00E87E42">
        <w:t xml:space="preserve">: reliability analysis between two or more competing solutions) </w:t>
      </w:r>
      <w:r w:rsidRPr="00E87E42">
        <w:fldChar w:fldCharType="begin" w:fldLock="1"/>
      </w:r>
      <w:r w:rsidRPr="00E87E42">
        <w:instrText>ADDIN CSL_CITATION {"citationItems":[{"id":"ITEM-1","itemData":{"author":[{"dropping-particle":"","family":"BSI","given":"","non-dropping-particle":"","parse-names":false,"suffix":""}],"id":"ITEM-1","issued":{"date-parts":[["2003"]]},"title":"PD 7974-7: Application of fire safety engineering principles to the design of buildings — Part 7 : Probabilistic risk assessment","type":"article-journal","volume":"3"},"uris":["http://www.mendeley.com/documents/?uuid=939ef726-1b50-4e5c-b39d-a90e50ef2a69","http://www.mendeley.com/documents/?uuid=b6943e7f-1119-4b53-ac45-d0fe40cbaa44"]}],"mendeley":{"formattedCitation":"[3]","plainTextFormattedCitation":"[3]","previouslyFormattedCitation":"[3]"},"properties":{"noteIndex":0},"schema":"https://github.com/citation-style-language/schema/raw/master/csl-citation.json"}</w:instrText>
      </w:r>
      <w:r w:rsidRPr="00E87E42">
        <w:fldChar w:fldCharType="separate"/>
      </w:r>
      <w:r w:rsidRPr="00E87E42">
        <w:rPr>
          <w:noProof/>
        </w:rPr>
        <w:t>[3]</w:t>
      </w:r>
      <w:r w:rsidRPr="00E87E42">
        <w:fldChar w:fldCharType="end"/>
      </w:r>
      <w:r w:rsidRPr="00E87E4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gridCol w:w="6097"/>
      </w:tblGrid>
      <w:tr w:rsidR="00FA6BE5" w:rsidRPr="00E87E42" w14:paraId="06F9F0B4" w14:textId="77777777" w:rsidTr="008A55B5">
        <w:trPr>
          <w:trHeight w:val="2268"/>
        </w:trPr>
        <w:tc>
          <w:tcPr>
            <w:tcW w:w="6091" w:type="dxa"/>
          </w:tcPr>
          <w:p w14:paraId="758E14B5" w14:textId="51830950" w:rsidR="00C7491E" w:rsidRPr="00E87E42" w:rsidRDefault="006859A9" w:rsidP="008E2DD8">
            <w:r w:rsidRPr="00E87E42">
              <w:rPr>
                <w:noProof/>
                <w:lang w:eastAsia="en-GB"/>
              </w:rPr>
              <w:lastRenderedPageBreak/>
              <w:drawing>
                <wp:anchor distT="0" distB="0" distL="114300" distR="114300" simplePos="0" relativeHeight="253392896" behindDoc="0" locked="0" layoutInCell="1" allowOverlap="1" wp14:anchorId="07E9D03E" wp14:editId="67FA9D9F">
                  <wp:simplePos x="0" y="0"/>
                  <wp:positionH relativeFrom="column">
                    <wp:posOffset>63500</wp:posOffset>
                  </wp:positionH>
                  <wp:positionV relativeFrom="paragraph">
                    <wp:posOffset>0</wp:posOffset>
                  </wp:positionV>
                  <wp:extent cx="2339698" cy="28800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2339698" cy="2880000"/>
                          </a:xfrm>
                          <a:prstGeom prst="rect">
                            <a:avLst/>
                          </a:prstGeom>
                        </pic:spPr>
                      </pic:pic>
                    </a:graphicData>
                  </a:graphic>
                  <wp14:sizeRelH relativeFrom="margin">
                    <wp14:pctWidth>0</wp14:pctWidth>
                  </wp14:sizeRelH>
                  <wp14:sizeRelV relativeFrom="margin">
                    <wp14:pctHeight>0</wp14:pctHeight>
                  </wp14:sizeRelV>
                </wp:anchor>
              </w:drawing>
            </w:r>
          </w:p>
        </w:tc>
        <w:tc>
          <w:tcPr>
            <w:tcW w:w="4159" w:type="dxa"/>
            <w:vAlign w:val="center"/>
          </w:tcPr>
          <w:p w14:paraId="097FCD76" w14:textId="52E043BA" w:rsidR="00C7491E" w:rsidRPr="00E87E42" w:rsidRDefault="00214A6C" w:rsidP="00C043FE">
            <w:pPr>
              <w:pStyle w:val="Caption"/>
              <w:spacing w:after="0" w:line="240" w:lineRule="auto"/>
            </w:pPr>
            <w:bookmarkStart w:id="1" w:name="_Ref506559228"/>
            <w:r w:rsidRPr="00E87E42">
              <w:rPr>
                <w:noProof/>
                <w:lang w:eastAsia="en-GB"/>
              </w:rPr>
              <w:drawing>
                <wp:anchor distT="0" distB="0" distL="114300" distR="114300" simplePos="0" relativeHeight="253342720" behindDoc="0" locked="0" layoutInCell="1" allowOverlap="1" wp14:anchorId="034DBA34" wp14:editId="3DA81B55">
                  <wp:simplePos x="0" y="0"/>
                  <wp:positionH relativeFrom="column">
                    <wp:posOffset>-123190</wp:posOffset>
                  </wp:positionH>
                  <wp:positionV relativeFrom="paragraph">
                    <wp:posOffset>-3159125</wp:posOffset>
                  </wp:positionV>
                  <wp:extent cx="3734435" cy="2519680"/>
                  <wp:effectExtent l="0" t="0" r="0" b="0"/>
                  <wp:wrapSquare wrapText="bothSides"/>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34435" cy="2519680"/>
                          </a:xfrm>
                          <a:prstGeom prst="rect">
                            <a:avLst/>
                          </a:prstGeom>
                        </pic:spPr>
                      </pic:pic>
                    </a:graphicData>
                  </a:graphic>
                  <wp14:sizeRelH relativeFrom="margin">
                    <wp14:pctWidth>0</wp14:pctWidth>
                  </wp14:sizeRelH>
                  <wp14:sizeRelV relativeFrom="margin">
                    <wp14:pctHeight>0</wp14:pctHeight>
                  </wp14:sizeRelV>
                </wp:anchor>
              </w:drawing>
            </w:r>
            <w:bookmarkEnd w:id="1"/>
          </w:p>
        </w:tc>
      </w:tr>
      <w:tr w:rsidR="00FA6BE5" w:rsidRPr="00E87E42" w14:paraId="7304B805" w14:textId="77777777" w:rsidTr="008A55B5">
        <w:trPr>
          <w:trHeight w:val="20"/>
        </w:trPr>
        <w:tc>
          <w:tcPr>
            <w:tcW w:w="6091" w:type="dxa"/>
          </w:tcPr>
          <w:p w14:paraId="573C64C5" w14:textId="5248A322" w:rsidR="00214A6C" w:rsidRPr="00E87E42" w:rsidRDefault="00214A6C" w:rsidP="007E0DF9">
            <w:pPr>
              <w:pStyle w:val="Caption"/>
              <w:rPr>
                <w:noProof/>
                <w:lang w:eastAsia="en-GB"/>
              </w:rPr>
            </w:pPr>
            <w:r w:rsidRPr="00E87E42">
              <w:t>(a)</w:t>
            </w:r>
          </w:p>
        </w:tc>
        <w:tc>
          <w:tcPr>
            <w:tcW w:w="4159" w:type="dxa"/>
            <w:vAlign w:val="center"/>
          </w:tcPr>
          <w:p w14:paraId="42F2ADDC" w14:textId="1C275BCB" w:rsidR="00214A6C" w:rsidRPr="00E87E42" w:rsidRDefault="00214A6C">
            <w:pPr>
              <w:pStyle w:val="Caption"/>
            </w:pPr>
            <w:r w:rsidRPr="00E87E42">
              <w:t>(b)</w:t>
            </w:r>
          </w:p>
        </w:tc>
      </w:tr>
      <w:tr w:rsidR="00214A6C" w:rsidRPr="00E87E42" w14:paraId="6B9FD22C" w14:textId="77777777" w:rsidTr="00F86978">
        <w:trPr>
          <w:trHeight w:val="57"/>
        </w:trPr>
        <w:tc>
          <w:tcPr>
            <w:tcW w:w="10250" w:type="dxa"/>
            <w:gridSpan w:val="2"/>
          </w:tcPr>
          <w:p w14:paraId="6D337F19" w14:textId="61D7EB55" w:rsidR="00214A6C" w:rsidRPr="00E87E42" w:rsidRDefault="00214A6C" w:rsidP="00214A6C">
            <w:pPr>
              <w:pStyle w:val="Caption"/>
            </w:pPr>
            <w:bookmarkStart w:id="2" w:name="_Ref508272928"/>
            <w:r w:rsidRPr="00E87E42">
              <w:t xml:space="preserve">Figure </w:t>
            </w:r>
            <w:r w:rsidR="00A446AC" w:rsidRPr="00E87E42">
              <w:rPr>
                <w:noProof/>
              </w:rPr>
              <w:fldChar w:fldCharType="begin"/>
            </w:r>
            <w:r w:rsidR="00A446AC" w:rsidRPr="00E87E42">
              <w:rPr>
                <w:noProof/>
              </w:rPr>
              <w:instrText xml:space="preserve"> SEQ Figure \* ARABIC </w:instrText>
            </w:r>
            <w:r w:rsidR="00A446AC" w:rsidRPr="00E87E42">
              <w:rPr>
                <w:noProof/>
              </w:rPr>
              <w:fldChar w:fldCharType="separate"/>
            </w:r>
            <w:r w:rsidR="009F6872">
              <w:rPr>
                <w:noProof/>
              </w:rPr>
              <w:t>1</w:t>
            </w:r>
            <w:r w:rsidR="00A446AC" w:rsidRPr="00E87E42">
              <w:rPr>
                <w:noProof/>
              </w:rPr>
              <w:fldChar w:fldCharType="end"/>
            </w:r>
            <w:bookmarkEnd w:id="2"/>
            <w:r w:rsidRPr="00E87E42">
              <w:t xml:space="preserve">: (a) Probability of fire occurring (Production building, manufacturing industry); and (b) The estimated probability of fire in different industries </w:t>
            </w:r>
            <w:r w:rsidRPr="00E87E42">
              <w:fldChar w:fldCharType="begin" w:fldLock="1"/>
            </w:r>
            <w:r w:rsidR="00BC5ED7" w:rsidRPr="00E87E42">
              <w:instrText>ADDIN CSL_CITATION {"citationItems":[{"id":"ITEM-1","itemData":{"author":[{"dropping-particle":"","family":"Rutstein","given":"R","non-dropping-particle":"","parse-names":false,"suffix":""}],"container-title":"Fire Surveyor","id":"ITEM-1","issue":"1","issued":{"date-parts":[["1979"]]},"page":"20-23","title":"The probability of fire in different sectors of industry.pdf","type":"article-journal","volume":"8"},"uris":["http://www.mendeley.com/documents/?uuid=83b1fa0c-4573-4170-a695-568ae3708031"]}],"mendeley":{"formattedCitation":"[28]","plainTextFormattedCitation":"[28]","previouslyFormattedCitation":"[28]"},"properties":{"noteIndex":0},"schema":"https://github.com/citation-style-language/schema/raw/master/csl-citation.json"}</w:instrText>
            </w:r>
            <w:r w:rsidRPr="00E87E42">
              <w:fldChar w:fldCharType="separate"/>
            </w:r>
            <w:r w:rsidR="00BC5ED7" w:rsidRPr="00E87E42">
              <w:rPr>
                <w:i w:val="0"/>
                <w:noProof/>
              </w:rPr>
              <w:t>[28]</w:t>
            </w:r>
            <w:r w:rsidRPr="00E87E42">
              <w:fldChar w:fldCharType="end"/>
            </w:r>
          </w:p>
        </w:tc>
      </w:tr>
    </w:tbl>
    <w:p w14:paraId="32BBE144" w14:textId="1F8D016F" w:rsidR="00C215A0" w:rsidRPr="00E87E42" w:rsidRDefault="0026217B" w:rsidP="00AB4A67">
      <w:r w:rsidRPr="00E87E42">
        <w:t xml:space="preserve">Despite being </w:t>
      </w:r>
      <w:r w:rsidR="00C215A0" w:rsidRPr="00E87E42">
        <w:t>an</w:t>
      </w:r>
      <w:r w:rsidRPr="00E87E42">
        <w:t xml:space="preserve"> </w:t>
      </w:r>
      <w:r w:rsidR="00C215A0" w:rsidRPr="00E87E42">
        <w:t xml:space="preserve">essential guide for engineers to </w:t>
      </w:r>
      <w:r w:rsidR="00AE13CA" w:rsidRPr="00E87E42">
        <w:t>express</w:t>
      </w:r>
      <w:r w:rsidR="00C215A0" w:rsidRPr="00E87E42">
        <w:t xml:space="preserve"> a reasoned judgement based</w:t>
      </w:r>
      <w:r w:rsidR="002B47A0" w:rsidRPr="00E87E42">
        <w:t xml:space="preserve"> on local conditions, </w:t>
      </w:r>
      <w:r w:rsidR="00281B2C" w:rsidRPr="00E87E42">
        <w:t xml:space="preserve">data within </w:t>
      </w:r>
      <w:r w:rsidR="000E7F1A" w:rsidRPr="00E87E42">
        <w:t xml:space="preserve"> </w:t>
      </w:r>
      <w:r w:rsidR="002B47A0" w:rsidRPr="00E87E42">
        <w:t>PD 7974-7</w:t>
      </w:r>
      <w:r w:rsidR="00C215A0" w:rsidRPr="00E87E42">
        <w:t xml:space="preserve"> </w:t>
      </w:r>
      <w:r w:rsidR="00281B2C" w:rsidRPr="00E87E42">
        <w:t xml:space="preserve">ranges from 1966 to 1987 (except Table </w:t>
      </w:r>
      <w:r w:rsidR="00004ACD" w:rsidRPr="00E87E42">
        <w:t>A.</w:t>
      </w:r>
      <w:r w:rsidR="003428EA" w:rsidRPr="00E87E42">
        <w:t>16</w:t>
      </w:r>
      <w:r w:rsidR="00281B2C" w:rsidRPr="00E87E42">
        <w:t xml:space="preserve"> </w:t>
      </w:r>
      <w:r w:rsidR="00343F22" w:rsidRPr="00E87E42">
        <w:t xml:space="preserve">with data from </w:t>
      </w:r>
      <w:r w:rsidR="00281B2C" w:rsidRPr="00E87E42">
        <w:t>1995</w:t>
      </w:r>
      <w:r w:rsidR="00343F22" w:rsidRPr="00E87E42">
        <w:t>)</w:t>
      </w:r>
      <w:r w:rsidR="00281B2C" w:rsidRPr="00E87E42">
        <w:t xml:space="preserve"> </w:t>
      </w:r>
      <w:r w:rsidR="000E7F1A" w:rsidRPr="00E87E42">
        <w:t xml:space="preserve">may </w:t>
      </w:r>
      <w:r w:rsidR="00281B2C" w:rsidRPr="00E87E42">
        <w:t>no longer</w:t>
      </w:r>
      <w:r w:rsidR="00C215A0" w:rsidRPr="00E87E42">
        <w:t xml:space="preserve"> represent the current situation regarding </w:t>
      </w:r>
      <w:r w:rsidR="005609DE" w:rsidRPr="00E87E42">
        <w:t xml:space="preserve">its </w:t>
      </w:r>
      <w:r w:rsidR="00C215A0" w:rsidRPr="00E87E42">
        <w:t xml:space="preserve">fire statistics. </w:t>
      </w:r>
      <w:r w:rsidR="00343F22" w:rsidRPr="00E87E42">
        <w:t xml:space="preserve">Therefore, </w:t>
      </w:r>
      <w:r w:rsidR="005609DE" w:rsidRPr="00E87E42">
        <w:t>the</w:t>
      </w:r>
      <w:r w:rsidR="00343F22" w:rsidRPr="00E87E42">
        <w:t>re is a</w:t>
      </w:r>
      <w:r w:rsidR="005609DE" w:rsidRPr="00E87E42">
        <w:t xml:space="preserve"> </w:t>
      </w:r>
      <w:r w:rsidR="00B7524C" w:rsidRPr="00E87E42">
        <w:t xml:space="preserve">pressing </w:t>
      </w:r>
      <w:r w:rsidR="005609DE" w:rsidRPr="00E87E42">
        <w:t xml:space="preserve">need </w:t>
      </w:r>
      <w:r w:rsidR="00343F22" w:rsidRPr="00E87E42">
        <w:t>to re-examine the</w:t>
      </w:r>
      <w:r w:rsidR="005B6ECC" w:rsidRPr="00E87E42">
        <w:t>se</w:t>
      </w:r>
      <w:r w:rsidR="00343F22" w:rsidRPr="00E87E42">
        <w:t xml:space="preserve"> relationships using </w:t>
      </w:r>
      <w:r w:rsidR="005609DE" w:rsidRPr="00E87E42">
        <w:t>current fire statistics.</w:t>
      </w:r>
    </w:p>
    <w:p w14:paraId="49E66945" w14:textId="5861953F" w:rsidR="005609DE" w:rsidRPr="00E87E42" w:rsidRDefault="005609DE" w:rsidP="00445C90">
      <w:pPr>
        <w:pStyle w:val="Heading1"/>
        <w:numPr>
          <w:ilvl w:val="0"/>
          <w:numId w:val="35"/>
        </w:numPr>
      </w:pPr>
      <w:r w:rsidRPr="00E87E42">
        <w:t>Fire Statistic</w:t>
      </w:r>
      <w:r w:rsidR="003428EA" w:rsidRPr="00E87E42">
        <w:t>S</w:t>
      </w:r>
      <w:r w:rsidRPr="00E87E42">
        <w:t xml:space="preserve"> </w:t>
      </w:r>
      <w:r w:rsidR="00C7491E" w:rsidRPr="00E87E42">
        <w:t xml:space="preserve">and building stock </w:t>
      </w:r>
      <w:r w:rsidRPr="00E87E42">
        <w:t>databases</w:t>
      </w:r>
    </w:p>
    <w:p w14:paraId="73F4CDE1" w14:textId="45670FD3" w:rsidR="001B45BB" w:rsidRPr="00E87E42" w:rsidRDefault="001B45BB" w:rsidP="001B45BB">
      <w:r w:rsidRPr="00E87E42">
        <w:t>Different countries ha</w:t>
      </w:r>
      <w:r w:rsidR="00CC686F" w:rsidRPr="00E87E42">
        <w:t xml:space="preserve">ve developed their own </w:t>
      </w:r>
      <w:r w:rsidR="005609DE" w:rsidRPr="00E87E42">
        <w:t xml:space="preserve">fire statistic </w:t>
      </w:r>
      <w:r w:rsidR="00CC686F" w:rsidRPr="00E87E42">
        <w:t>database</w:t>
      </w:r>
      <w:r w:rsidR="005609DE" w:rsidRPr="00E87E42">
        <w:t>s</w:t>
      </w:r>
      <w:r w:rsidRPr="00E87E42">
        <w:t xml:space="preserve"> using on-line forms completed after an incident by fire departments. </w:t>
      </w:r>
      <w:r w:rsidR="005609DE" w:rsidRPr="00E87E42">
        <w:t xml:space="preserve">Current </w:t>
      </w:r>
      <w:r w:rsidR="002B47A0" w:rsidRPr="00E87E42">
        <w:t>research</w:t>
      </w:r>
      <w:r w:rsidR="005609DE" w:rsidRPr="00E87E42">
        <w:t xml:space="preserve"> </w:t>
      </w:r>
      <w:r w:rsidR="00F53880" w:rsidRPr="00E87E42">
        <w:fldChar w:fldCharType="begin" w:fldLock="1"/>
      </w:r>
      <w:r w:rsidR="00BC5ED7" w:rsidRPr="00E87E42">
        <w:instrText>ADDIN CSL_CITATION {"citationItems":[{"id":"ITEM-1","itemData":{"DOI":"https://doi.org/10.1201/9781315107202-21","author":[{"dropping-particle":"","family":"Manes","given":"M","non-dropping-particle":"","parse-names":false,"suffix":""},{"dropping-particle":"","family":"Rush","given":"D","non-dropping-particle":"","parse-names":false,"suffix":""}],"container-title":"Applications of Fire Engineering: Proceedings of the International Conference of Applications of Structural Fire Engineering (ASFE 2017)","id":"ITEM-1","issued":{"date-parts":[["2017"]]},"page":"179-188","title":"Meta-analysis of UK , USA and New Zealand fire statistics databases with respect to damage and financial loss.","type":"paper-conference"},"uris":["http://www.mendeley.com/documents/?uuid=4256900c-5d58-49ee-ab75-0c532ece96eb"]}],"mendeley":{"formattedCitation":"[16]","plainTextFormattedCitation":"[16]","previouslyFormattedCitation":"[16]"},"properties":{"noteIndex":0},"schema":"https://github.com/citation-style-language/schema/raw/master/csl-citation.json"}</w:instrText>
      </w:r>
      <w:r w:rsidR="00F53880" w:rsidRPr="00E87E42">
        <w:fldChar w:fldCharType="separate"/>
      </w:r>
      <w:r w:rsidR="0060313C" w:rsidRPr="00E87E42">
        <w:rPr>
          <w:noProof/>
        </w:rPr>
        <w:t>[16]</w:t>
      </w:r>
      <w:r w:rsidR="00F53880" w:rsidRPr="00E87E42">
        <w:fldChar w:fldCharType="end"/>
      </w:r>
      <w:r w:rsidR="00F53880" w:rsidRPr="00E87E42">
        <w:t xml:space="preserve">, </w:t>
      </w:r>
      <w:r w:rsidR="00F53880" w:rsidRPr="00E87E42">
        <w:fldChar w:fldCharType="begin" w:fldLock="1"/>
      </w:r>
      <w:r w:rsidR="00BC5ED7" w:rsidRPr="00E87E42">
        <w:instrText>ADDIN CSL_CITATION {"citationItems":[{"id":"ITEM-1","itemData":{"author":[{"dropping-particle":"","family":"Manes","given":"M","non-dropping-particle":"","parse-names":false,"suffix":""},{"dropping-particle":"","family":"Rush","given":"D","non-dropping-particle":"","parse-names":false,"suffix":""}],"container-title":"2nd International Conference on Structural Safety under Fire and Blast Loading (CONFAB 17)","id":"ITEM-1","issued":{"date-parts":[["2017"]]},"page":"108-117","title":"Meta-analysis of response times and safety systems to the fire size, growth and damage, based on UK, USA and New Zealand fire statistics databases.","type":"article-journal"},"uris":["http://www.mendeley.com/documents/?uuid=15029e51-0379-49ce-851e-f08891d2a824"]}],"mendeley":{"formattedCitation":"[17]","plainTextFormattedCitation":"[17]","previouslyFormattedCitation":"[17]"},"properties":{"noteIndex":0},"schema":"https://github.com/citation-style-language/schema/raw/master/csl-citation.json"}</w:instrText>
      </w:r>
      <w:r w:rsidR="00F53880" w:rsidRPr="00E87E42">
        <w:fldChar w:fldCharType="separate"/>
      </w:r>
      <w:r w:rsidR="0060313C" w:rsidRPr="00E87E42">
        <w:rPr>
          <w:noProof/>
        </w:rPr>
        <w:t>[17]</w:t>
      </w:r>
      <w:r w:rsidR="00F53880" w:rsidRPr="00E87E42">
        <w:fldChar w:fldCharType="end"/>
      </w:r>
      <w:r w:rsidR="002B47A0" w:rsidRPr="00E87E42">
        <w:t xml:space="preserve"> has</w:t>
      </w:r>
      <w:r w:rsidRPr="00E87E42">
        <w:t xml:space="preserve"> </w:t>
      </w:r>
      <w:r w:rsidR="005609DE" w:rsidRPr="00E87E42">
        <w:t xml:space="preserve">started to </w:t>
      </w:r>
      <w:r w:rsidRPr="00E87E42">
        <w:t xml:space="preserve">analyse fire statistics databases from </w:t>
      </w:r>
      <w:r w:rsidR="002B3A96" w:rsidRPr="00E87E42">
        <w:t xml:space="preserve">different nations including </w:t>
      </w:r>
      <w:r w:rsidRPr="00E87E42">
        <w:t xml:space="preserve">the </w:t>
      </w:r>
      <w:r w:rsidR="006173DA" w:rsidRPr="00E87E42">
        <w:t>Incident Reporting System (</w:t>
      </w:r>
      <w:r w:rsidRPr="00E87E42">
        <w:t>IRS, UK</w:t>
      </w:r>
      <w:r w:rsidR="006173DA" w:rsidRPr="00E87E42">
        <w:t>)</w:t>
      </w:r>
      <w:r w:rsidRPr="00E87E42">
        <w:t xml:space="preserve"> </w:t>
      </w:r>
      <w:r w:rsidRPr="00E87E42">
        <w:fldChar w:fldCharType="begin" w:fldLock="1"/>
      </w:r>
      <w:r w:rsidR="00BC5ED7" w:rsidRPr="00E87E42">
        <w:instrText>ADDIN CSL_CITATION {"citationItems":[{"id":"ITEM-1","itemData":{"abstract":"Introduction Fire Statistics England 2014/15 is the first fire statistics publication released since responsibility for fire policy moved from the Department for Communities and Local Government to the Home Office on April 1 st 2016. In previous years this publication has covered Great Britain, however after a survey of Fire Statistics Great Britain users, it was decided to change the scope of the release to reflect user needs. This release provides greater detail on incidents attended in 2014/15, including the causes of fires, the use of smoke alarms, the seasonality and temporality of fires and other topics of interest to the fire statistics community. The Fire Statistics Monitor provides updates on the key variables such as the number of incidents attended, fires attended, fire-related fatalities and casualties, 2015/16 data will be published in July/August 2016, the latest statistics on this were published on 31 March 2016.","author":[{"dropping-particle":"","family":"Gaught","given":"Paul","non-dropping-particle":"","parse-names":false,"suffix":""},{"dropping-particle":"","family":"Gallucci","given":"James","non-dropping-particle":"","parse-names":false,"suffix":""},{"dropping-particle":"","family":"Smalldridge","given":"Georgina","non-dropping-particle":"","parse-names":false,"suffix":""}],"id":"ITEM-1","issue":"June","issued":{"date-parts":[["2016"]]},"title":"Fire Statistics England, 2014/15","type":"article-journal"},"uris":["http://www.mendeley.com/documents/?uuid=6ec5dc96-a020-4772-873b-620cea782566"]}],"mendeley":{"formattedCitation":"[29]","plainTextFormattedCitation":"[29]","previouslyFormattedCitation":"[29]"},"properties":{"noteIndex":0},"schema":"https://github.com/citation-style-language/schema/raw/master/csl-citation.json"}</w:instrText>
      </w:r>
      <w:r w:rsidRPr="00E87E42">
        <w:fldChar w:fldCharType="separate"/>
      </w:r>
      <w:r w:rsidR="00BC5ED7" w:rsidRPr="00E87E42">
        <w:rPr>
          <w:noProof/>
        </w:rPr>
        <w:t>[29]</w:t>
      </w:r>
      <w:r w:rsidRPr="00E87E42">
        <w:fldChar w:fldCharType="end"/>
      </w:r>
      <w:r w:rsidR="00C21C60" w:rsidRPr="00E87E42">
        <w:t xml:space="preserve"> and the </w:t>
      </w:r>
      <w:r w:rsidR="006173DA" w:rsidRPr="00E87E42">
        <w:t>National Fire Incidents Reporting System (</w:t>
      </w:r>
      <w:r w:rsidRPr="00E87E42">
        <w:t>NFIRS, USA</w:t>
      </w:r>
      <w:r w:rsidR="006173DA" w:rsidRPr="00E87E42">
        <w:t xml:space="preserve"> - i</w:t>
      </w:r>
      <w:r w:rsidRPr="00E87E42">
        <w:t xml:space="preserve">ncluding more in-depth data provided to the authors on request from FEMA) </w:t>
      </w:r>
      <w:r w:rsidRPr="00E87E42">
        <w:fldChar w:fldCharType="begin" w:fldLock="1"/>
      </w:r>
      <w:r w:rsidR="00BC5ED7" w:rsidRPr="00E87E42">
        <w:instrText>ADDIN CSL_CITATION {"citationItems":[{"id":"ITEM-1","itemData":{"author":[{"dropping-particle":"","family":"USFA","given":"","non-dropping-particle":"","parse-names":false,"suffix":""}],"id":"ITEM-1","issue":"12/31","issued":{"date-parts":[["2014"]]},"title":"National Fire Incident Reporting System","type":"article-journal","volume":"2014"},"uris":["http://www.mendeley.com/documents/?uuid=6f230c7b-c235-4d06-86cd-975398980aea"]}],"mendeley":{"formattedCitation":"[30]","plainTextFormattedCitation":"[30]","previouslyFormattedCitation":"[30]"},"properties":{"noteIndex":0},"schema":"https://github.com/citation-style-language/schema/raw/master/csl-citation.json"}</w:instrText>
      </w:r>
      <w:r w:rsidRPr="00E87E42">
        <w:fldChar w:fldCharType="separate"/>
      </w:r>
      <w:r w:rsidR="00BC5ED7" w:rsidRPr="00E87E42">
        <w:rPr>
          <w:noProof/>
        </w:rPr>
        <w:t>[30]</w:t>
      </w:r>
      <w:r w:rsidRPr="00E87E42">
        <w:fldChar w:fldCharType="end"/>
      </w:r>
      <w:r w:rsidRPr="00E87E42">
        <w:t xml:space="preserve">. These national statistical estimates have common mandatory fields that </w:t>
      </w:r>
      <w:proofErr w:type="gramStart"/>
      <w:r w:rsidRPr="00E87E42">
        <w:t>can be divided</w:t>
      </w:r>
      <w:proofErr w:type="gramEnd"/>
      <w:r w:rsidRPr="00E87E42">
        <w:t xml:space="preserve"> in major groups: causes of fire, factors contributing to ignition, response time from fire departments, start-stop time, </w:t>
      </w:r>
      <w:r w:rsidR="00EC1B1F" w:rsidRPr="00E87E42">
        <w:t>building status</w:t>
      </w:r>
      <w:r w:rsidRPr="00E87E42">
        <w:t xml:space="preserve"> and structural damage. Further fields question the intensity, powe</w:t>
      </w:r>
      <w:r w:rsidR="00747762" w:rsidRPr="00E87E42">
        <w:t>ring factors, and</w:t>
      </w:r>
      <w:r w:rsidR="00EC1B1F" w:rsidRPr="00E87E42">
        <w:t xml:space="preserve"> fire spread</w:t>
      </w:r>
      <w:r w:rsidRPr="00E87E42">
        <w:t>. Fire spread inc</w:t>
      </w:r>
      <w:r w:rsidR="003532AC" w:rsidRPr="00E87E42">
        <w:t xml:space="preserve">ludes the area damaged in </w:t>
      </w:r>
      <w:r w:rsidR="00BE4BE4" w:rsidRPr="00E87E42">
        <w:t>m</w:t>
      </w:r>
      <w:r w:rsidR="00BE4BE4" w:rsidRPr="00E87E42">
        <w:rPr>
          <w:vertAlign w:val="superscript"/>
        </w:rPr>
        <w:t>2</w:t>
      </w:r>
      <w:r w:rsidR="00BE4BE4" w:rsidRPr="00E87E42">
        <w:t xml:space="preserve"> </w:t>
      </w:r>
      <w:r w:rsidRPr="00E87E42">
        <w:t>in the horizontal and vertical direction in UK and a percentage of area damage in USA</w:t>
      </w:r>
      <w:r w:rsidR="00C21C60" w:rsidRPr="00E87E42">
        <w:t xml:space="preserve">. </w:t>
      </w:r>
      <w:r w:rsidRPr="00E87E42">
        <w:t xml:space="preserve">Additional information </w:t>
      </w:r>
      <w:proofErr w:type="gramStart"/>
      <w:r w:rsidRPr="00E87E42">
        <w:t>is also</w:t>
      </w:r>
      <w:r w:rsidR="00F24ACE" w:rsidRPr="00E87E42">
        <w:t xml:space="preserve"> </w:t>
      </w:r>
      <w:r w:rsidRPr="00E87E42">
        <w:t>requested</w:t>
      </w:r>
      <w:proofErr w:type="gramEnd"/>
      <w:r w:rsidRPr="00E87E42">
        <w:t xml:space="preserve"> on the effectiveness of alarm and safety systems based on type, location and reasons why they did not operate as intended. The coalesc</w:t>
      </w:r>
      <w:r w:rsidR="005D4593" w:rsidRPr="00E87E42">
        <w:t>ing</w:t>
      </w:r>
      <w:r w:rsidRPr="00E87E42">
        <w:t xml:space="preserve"> of this data will provide a quantification of the size and scale of damage with respect to different intervention strategies and </w:t>
      </w:r>
      <w:proofErr w:type="gramStart"/>
      <w:r w:rsidR="00F24ACE" w:rsidRPr="00E87E42">
        <w:t>are</w:t>
      </w:r>
      <w:r w:rsidRPr="00E87E42">
        <w:t xml:space="preserve"> subdivided</w:t>
      </w:r>
      <w:proofErr w:type="gramEnd"/>
      <w:r w:rsidRPr="00E87E42">
        <w:t xml:space="preserve"> by building type (dwellings and other buildings) and use. </w:t>
      </w:r>
    </w:p>
    <w:p w14:paraId="5C9F2D54" w14:textId="4EA26899" w:rsidR="000C4D94" w:rsidRPr="00E87E42" w:rsidRDefault="00B620C9" w:rsidP="001B45BB">
      <w:proofErr w:type="gramStart"/>
      <w:r w:rsidRPr="00E87E42">
        <w:t>Below is a summary of</w:t>
      </w:r>
      <w:r w:rsidR="00A55A9A" w:rsidRPr="00E87E42">
        <w:t>:</w:t>
      </w:r>
      <w:r w:rsidRPr="00E87E42">
        <w:t xml:space="preserve"> </w:t>
      </w:r>
      <w:r w:rsidR="00A809D4" w:rsidRPr="00E87E42">
        <w:t xml:space="preserve">a) </w:t>
      </w:r>
      <w:r w:rsidRPr="00E87E42">
        <w:t>the data being interrogated from the National Fire In</w:t>
      </w:r>
      <w:r w:rsidR="00A809D4" w:rsidRPr="00E87E42">
        <w:t>cident Reporting System (NF</w:t>
      </w:r>
      <w:r w:rsidR="00407E2D" w:rsidRPr="00E87E42">
        <w:t>IR</w:t>
      </w:r>
      <w:r w:rsidR="00A809D4" w:rsidRPr="00E87E42">
        <w:t xml:space="preserve">S), which reports all the information with respect to the fire incidents that have occurred; and b) the determination of the building stock from the US Energy Information Administration (EIA), specifically the Commercial buildings energy </w:t>
      </w:r>
      <w:r w:rsidR="00A809D4" w:rsidRPr="00E87E42">
        <w:lastRenderedPageBreak/>
        <w:t>consumption survey (CBECS) and the Manufacturing energy consumption survey (MECS).</w:t>
      </w:r>
      <w:proofErr w:type="gramEnd"/>
      <w:r w:rsidR="00173C6F" w:rsidRPr="00E87E42">
        <w:t xml:space="preserve"> Domestic building stock is determined from </w:t>
      </w:r>
      <w:r w:rsidR="001E10FB" w:rsidRPr="00E87E42">
        <w:t>the Residential energy consumption survey (RECS)</w:t>
      </w:r>
      <w:r w:rsidR="00173C6F" w:rsidRPr="00E87E42">
        <w:t xml:space="preserve">. </w:t>
      </w:r>
    </w:p>
    <w:p w14:paraId="2FC760D0" w14:textId="6FE9FE46" w:rsidR="007138CD" w:rsidRPr="00E87E42" w:rsidRDefault="007138CD" w:rsidP="000B654C">
      <w:pPr>
        <w:pStyle w:val="Heading2"/>
        <w:numPr>
          <w:ilvl w:val="1"/>
          <w:numId w:val="35"/>
        </w:numPr>
      </w:pPr>
      <w:bookmarkStart w:id="3" w:name="_Ref520387638"/>
      <w:r w:rsidRPr="00E87E42">
        <w:t>National Fire Incident Reporting System (NFIRS)</w:t>
      </w:r>
      <w:bookmarkEnd w:id="3"/>
    </w:p>
    <w:p w14:paraId="4E9132F0" w14:textId="34577311" w:rsidR="00357491" w:rsidRPr="00E87E42" w:rsidRDefault="00124E2C" w:rsidP="00124E2C">
      <w:r w:rsidRPr="00E87E42">
        <w:t>In the USA, the National Fire Incident Reporting System (NFIRS</w:t>
      </w:r>
      <w:r w:rsidR="000E7F1A" w:rsidRPr="00E87E42">
        <w:t xml:space="preserve"> - </w:t>
      </w:r>
      <w:r w:rsidRPr="00E87E42">
        <w:t xml:space="preserve">established </w:t>
      </w:r>
      <w:r w:rsidR="000E7F1A" w:rsidRPr="00E87E42">
        <w:t xml:space="preserve">in </w:t>
      </w:r>
      <w:r w:rsidRPr="00E87E42">
        <w:t>1976</w:t>
      </w:r>
      <w:r w:rsidR="000E7F1A" w:rsidRPr="00E87E42">
        <w:t>)</w:t>
      </w:r>
      <w:r w:rsidRPr="00E87E42">
        <w:t xml:space="preserve"> collect</w:t>
      </w:r>
      <w:r w:rsidR="000E7F1A" w:rsidRPr="00E87E42">
        <w:t>s</w:t>
      </w:r>
      <w:r w:rsidRPr="00E87E42">
        <w:t xml:space="preserve"> </w:t>
      </w:r>
      <w:r w:rsidR="000E7F1A" w:rsidRPr="00E87E42">
        <w:t xml:space="preserve">approximately 600,000 fire incident </w:t>
      </w:r>
      <w:r w:rsidRPr="00E87E42">
        <w:t xml:space="preserve">data </w:t>
      </w:r>
      <w:r w:rsidR="000E7F1A" w:rsidRPr="00E87E42">
        <w:t xml:space="preserve">each year from all 50 States and more than 40 major metropolitan areas </w:t>
      </w:r>
      <w:r w:rsidRPr="00E87E42">
        <w:fldChar w:fldCharType="begin" w:fldLock="1"/>
      </w:r>
      <w:r w:rsidR="00BC5ED7" w:rsidRPr="00E87E42">
        <w:instrText>ADDIN CSL_CITATION {"citationItems":[{"id":"ITEM-1","itemData":{"author":[{"dropping-particle":"","family":"USFA","given":"","non-dropping-particle":"","parse-names":false,"suffix":""}],"id":"ITEM-1","issue":"12/31","issued":{"date-parts":[["2014"]]},"title":"National Fire Incident Reporting System","type":"article-journal","volume":"2014"},"uris":["http://www.mendeley.com/documents/?uuid=6f230c7b-c235-4d06-86cd-975398980aea"]}],"mendeley":{"formattedCitation":"[30]","plainTextFormattedCitation":"[30]","previouslyFormattedCitation":"[30]"},"properties":{"noteIndex":0},"schema":"https://github.com/citation-style-language/schema/raw/master/csl-citation.json"}</w:instrText>
      </w:r>
      <w:r w:rsidRPr="00E87E42">
        <w:fldChar w:fldCharType="separate"/>
      </w:r>
      <w:r w:rsidR="00BC5ED7" w:rsidRPr="00E87E42">
        <w:rPr>
          <w:noProof/>
        </w:rPr>
        <w:t>[30]</w:t>
      </w:r>
      <w:r w:rsidRPr="00E87E42">
        <w:fldChar w:fldCharType="end"/>
      </w:r>
      <w:r w:rsidRPr="00E87E42">
        <w:t xml:space="preserve">. NFIRS is a voluntary system so not all fire departments decide to participate, however the majority do </w:t>
      </w:r>
      <w:r w:rsidRPr="00E87E42">
        <w:fldChar w:fldCharType="begin" w:fldLock="1"/>
      </w:r>
      <w:r w:rsidR="00BC5ED7" w:rsidRPr="00E87E42">
        <w:instrText>ADDIN CSL_CITATION {"citationItems":[{"id":"ITEM-1","itemData":{"author":[{"dropping-particle":"","family":"USFA","given":"","non-dropping-particle":"","parse-names":false,"suffix":""}],"id":"ITEM-1","issue":"12/31","issued":{"date-parts":[["2014"]]},"title":"National Fire Incident Reporting System","type":"article-journal","volume":"2014"},"uris":["http://www.mendeley.com/documents/?uuid=fba7ddc6-154d-4cc7-ab60-16f727db2d4f","http://www.mendeley.com/documents/?uuid=6f230c7b-c235-4d06-86cd-975398980aea"]}],"mendeley":{"formattedCitation":"[30]","plainTextFormattedCitation":"[30]","previouslyFormattedCitation":"[30]"},"properties":{"noteIndex":0},"schema":"https://github.com/citation-style-language/schema/raw/master/csl-citation.json"}</w:instrText>
      </w:r>
      <w:r w:rsidRPr="00E87E42">
        <w:fldChar w:fldCharType="separate"/>
      </w:r>
      <w:r w:rsidR="00BC5ED7" w:rsidRPr="00E87E42">
        <w:rPr>
          <w:noProof/>
        </w:rPr>
        <w:t>[30]</w:t>
      </w:r>
      <w:r w:rsidRPr="00E87E42">
        <w:fldChar w:fldCharType="end"/>
      </w:r>
      <w:r w:rsidRPr="00E87E42">
        <w:t xml:space="preserve">. </w:t>
      </w:r>
    </w:p>
    <w:p w14:paraId="693DA781" w14:textId="7A2A2FA2" w:rsidR="00993CB1" w:rsidRPr="00E87E42" w:rsidRDefault="00124E2C" w:rsidP="00993CB1">
      <w:r w:rsidRPr="00E87E42">
        <w:t>NFIRS reports cause, heat source, item and material first ignited or contributing most to flame, factors contributing to ignition and fire spread. Response time is expressed not only considering the time from alarm to arrival of fire service but also in term</w:t>
      </w:r>
      <w:r w:rsidR="000D488B" w:rsidRPr="00E87E42">
        <w:t>s</w:t>
      </w:r>
      <w:r w:rsidRPr="00E87E42">
        <w:t xml:space="preserve"> of time from alarm to last unit cleared or from arrival to last unit cleared. Detector type, operation and failure </w:t>
      </w:r>
      <w:proofErr w:type="gramStart"/>
      <w:r w:rsidRPr="00E87E42">
        <w:t xml:space="preserve">are </w:t>
      </w:r>
      <w:r w:rsidR="00DF7B2A" w:rsidRPr="00E87E42">
        <w:t>reported</w:t>
      </w:r>
      <w:proofErr w:type="gramEnd"/>
      <w:r w:rsidR="00DF7B2A" w:rsidRPr="00E87E42">
        <w:t>,</w:t>
      </w:r>
      <w:r w:rsidRPr="00E87E42">
        <w:t xml:space="preserve"> and aspects related to the automatic extinguish systems, including number of sprinklers, are available.</w:t>
      </w:r>
      <w:r w:rsidR="00F82150" w:rsidRPr="00E87E42">
        <w:t xml:space="preserve"> </w:t>
      </w:r>
      <w:r w:rsidRPr="00E87E42">
        <w:t>With respect to damage, NFIRS define</w:t>
      </w:r>
      <w:r w:rsidR="00DF7B2A" w:rsidRPr="00E87E42">
        <w:t>s</w:t>
      </w:r>
      <w:r w:rsidRPr="00E87E42">
        <w:t xml:space="preserve"> the damage as a percentage of number of stories damaged by flame</w:t>
      </w:r>
      <w:r w:rsidR="00956EB1" w:rsidRPr="00E87E42">
        <w:t xml:space="preserve"> (excluding damage by heat, smoke and water)</w:t>
      </w:r>
      <w:r w:rsidRPr="00E87E42">
        <w:t>, using four main categories</w:t>
      </w:r>
      <w:r w:rsidR="00881DA5" w:rsidRPr="00E87E42">
        <w:t xml:space="preserve"> as shown in </w:t>
      </w:r>
      <w:r w:rsidR="00881DA5" w:rsidRPr="00E87E42">
        <w:fldChar w:fldCharType="begin"/>
      </w:r>
      <w:r w:rsidR="00881DA5" w:rsidRPr="00E87E42">
        <w:instrText xml:space="preserve"> REF _Ref508274708 \h </w:instrText>
      </w:r>
      <w:r w:rsidR="00993CB1" w:rsidRPr="00E87E42">
        <w:instrText xml:space="preserve"> \* MERGEFORMAT </w:instrText>
      </w:r>
      <w:r w:rsidR="00881DA5" w:rsidRPr="00E87E42">
        <w:fldChar w:fldCharType="separate"/>
      </w:r>
      <w:r w:rsidR="009F6872" w:rsidRPr="00E87E42">
        <w:t xml:space="preserve">Table </w:t>
      </w:r>
      <w:r w:rsidR="009F6872">
        <w:rPr>
          <w:noProof/>
        </w:rPr>
        <w:t>1</w:t>
      </w:r>
      <w:r w:rsidR="00881DA5" w:rsidRPr="00E87E42">
        <w:fldChar w:fldCharType="end"/>
      </w:r>
      <w:r w:rsidRPr="00E87E42">
        <w:t xml:space="preserve">. </w:t>
      </w:r>
      <w:r w:rsidR="00357491" w:rsidRPr="00E87E42">
        <w:t xml:space="preserve"> </w:t>
      </w:r>
    </w:p>
    <w:p w14:paraId="633BBB7C" w14:textId="2BC138A1" w:rsidR="008072F1" w:rsidRPr="00E87E42" w:rsidRDefault="008072F1" w:rsidP="00A81695">
      <w:pPr>
        <w:pStyle w:val="Caption"/>
      </w:pPr>
      <w:bookmarkStart w:id="4" w:name="_Ref508274708"/>
      <w:r w:rsidRPr="00E87E42">
        <w:t xml:space="preserve">Table </w:t>
      </w:r>
      <w:r w:rsidR="00A446AC" w:rsidRPr="00E87E42">
        <w:rPr>
          <w:noProof/>
        </w:rPr>
        <w:fldChar w:fldCharType="begin"/>
      </w:r>
      <w:r w:rsidR="00A446AC" w:rsidRPr="00E87E42">
        <w:rPr>
          <w:noProof/>
        </w:rPr>
        <w:instrText xml:space="preserve"> SEQ Table \* ARABIC </w:instrText>
      </w:r>
      <w:r w:rsidR="00A446AC" w:rsidRPr="00E87E42">
        <w:rPr>
          <w:noProof/>
        </w:rPr>
        <w:fldChar w:fldCharType="separate"/>
      </w:r>
      <w:r w:rsidR="009F6872">
        <w:rPr>
          <w:noProof/>
        </w:rPr>
        <w:t>1</w:t>
      </w:r>
      <w:r w:rsidR="00A446AC" w:rsidRPr="00E87E42">
        <w:rPr>
          <w:noProof/>
        </w:rPr>
        <w:fldChar w:fldCharType="end"/>
      </w:r>
      <w:bookmarkEnd w:id="4"/>
      <w:r w:rsidRPr="00E87E42">
        <w:t xml:space="preserve">: </w:t>
      </w:r>
      <w:r w:rsidR="008A55B5" w:rsidRPr="00E87E42">
        <w:t>Damage, fire spread and property use c</w:t>
      </w:r>
      <w:r w:rsidRPr="00E87E42">
        <w:t>lass</w:t>
      </w:r>
      <w:r w:rsidR="008A55B5" w:rsidRPr="00E87E42">
        <w:t>ifications</w:t>
      </w:r>
      <w:r w:rsidRPr="00E87E42">
        <w:t xml:space="preserve"> in the NFIRS</w:t>
      </w:r>
      <w:r w:rsidR="00670CF9" w:rsidRPr="00E87E42">
        <w:t xml:space="preserve"> </w:t>
      </w:r>
      <w:r w:rsidR="008A55B5" w:rsidRPr="00E87E42">
        <w:t xml:space="preserve">database </w:t>
      </w:r>
      <w:r w:rsidR="00670CF9" w:rsidRPr="00E87E42">
        <w:t>and Total floor</w:t>
      </w:r>
      <w:r w:rsidR="00EE04A0" w:rsidRPr="00E87E42">
        <w:t xml:space="preserve"> </w:t>
      </w:r>
      <w:r w:rsidR="00670CF9" w:rsidRPr="00E87E42">
        <w:t>space bands in CBECS</w:t>
      </w:r>
    </w:p>
    <w:tbl>
      <w:tblPr>
        <w:tblW w:w="0" w:type="auto"/>
        <w:jc w:val="center"/>
        <w:tblCellMar>
          <w:left w:w="57" w:type="dxa"/>
          <w:right w:w="57" w:type="dxa"/>
        </w:tblCellMar>
        <w:tblLook w:val="04A0" w:firstRow="1" w:lastRow="0" w:firstColumn="1" w:lastColumn="0" w:noHBand="0" w:noVBand="1"/>
      </w:tblPr>
      <w:tblGrid>
        <w:gridCol w:w="3899"/>
        <w:gridCol w:w="3129"/>
      </w:tblGrid>
      <w:tr w:rsidR="00C512F0" w:rsidRPr="00E87E42" w14:paraId="152AEA43" w14:textId="77777777" w:rsidTr="00B34E5C">
        <w:trPr>
          <w:trHeight w:val="17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C5F90" w14:textId="77777777" w:rsidR="00C512F0" w:rsidRPr="00E87E42" w:rsidRDefault="00C512F0" w:rsidP="00B34E5C">
            <w:pPr>
              <w:spacing w:after="0" w:line="240" w:lineRule="auto"/>
              <w:jc w:val="center"/>
              <w:rPr>
                <w:rFonts w:eastAsia="Times New Roman"/>
                <w:b/>
                <w:bCs/>
                <w:color w:val="000000"/>
                <w:sz w:val="18"/>
                <w:szCs w:val="16"/>
                <w:lang w:eastAsia="en-GB"/>
              </w:rPr>
            </w:pPr>
            <w:r w:rsidRPr="00E87E42">
              <w:rPr>
                <w:rFonts w:eastAsia="Times New Roman"/>
                <w:b/>
                <w:bCs/>
                <w:color w:val="000000"/>
                <w:sz w:val="18"/>
                <w:szCs w:val="16"/>
                <w:lang w:eastAsia="en-GB"/>
              </w:rPr>
              <w:t>NFIRS</w:t>
            </w:r>
          </w:p>
        </w:tc>
      </w:tr>
      <w:tr w:rsidR="00C512F0" w:rsidRPr="00E87E42" w14:paraId="3660A18E" w14:textId="77777777" w:rsidTr="00B34E5C">
        <w:trPr>
          <w:trHeight w:val="17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9C2BD" w14:textId="77777777" w:rsidR="00C512F0" w:rsidRPr="00E87E42" w:rsidRDefault="00C512F0" w:rsidP="00B34E5C">
            <w:pPr>
              <w:spacing w:after="0" w:line="240" w:lineRule="auto"/>
              <w:jc w:val="center"/>
              <w:rPr>
                <w:rFonts w:eastAsia="Times New Roman"/>
                <w:b/>
                <w:bCs/>
                <w:color w:val="000000"/>
                <w:sz w:val="18"/>
                <w:szCs w:val="16"/>
                <w:u w:val="single"/>
                <w:lang w:eastAsia="en-GB"/>
              </w:rPr>
            </w:pPr>
            <w:r w:rsidRPr="00E87E42">
              <w:rPr>
                <w:rFonts w:eastAsia="Times New Roman"/>
                <w:b/>
                <w:bCs/>
                <w:color w:val="000000"/>
                <w:sz w:val="18"/>
                <w:szCs w:val="16"/>
                <w:u w:val="single"/>
                <w:lang w:eastAsia="en-GB"/>
              </w:rPr>
              <w:t>Damage classes</w:t>
            </w:r>
          </w:p>
        </w:tc>
      </w:tr>
      <w:tr w:rsidR="00C512F0" w:rsidRPr="00E87E42" w14:paraId="49F7CEB8" w14:textId="77777777" w:rsidTr="00B34E5C">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2296B5" w14:textId="77777777" w:rsidR="00C512F0" w:rsidRPr="00E87E42" w:rsidRDefault="00C512F0" w:rsidP="00B34E5C">
            <w:pPr>
              <w:spacing w:after="0" w:line="240" w:lineRule="auto"/>
              <w:jc w:val="center"/>
              <w:rPr>
                <w:rFonts w:eastAsia="Times New Roman"/>
                <w:bCs/>
                <w:i/>
                <w:color w:val="000000"/>
                <w:sz w:val="18"/>
                <w:szCs w:val="16"/>
                <w:lang w:eastAsia="en-GB"/>
              </w:rPr>
            </w:pPr>
            <w:r w:rsidRPr="00E87E42">
              <w:rPr>
                <w:rFonts w:eastAsia="Times New Roman"/>
                <w:bCs/>
                <w:i/>
                <w:color w:val="000000"/>
                <w:sz w:val="18"/>
                <w:szCs w:val="16"/>
                <w:lang w:eastAsia="en-GB"/>
              </w:rPr>
              <w:t>Damage</w:t>
            </w:r>
          </w:p>
        </w:tc>
        <w:tc>
          <w:tcPr>
            <w:tcW w:w="0" w:type="auto"/>
            <w:tcBorders>
              <w:top w:val="nil"/>
              <w:left w:val="nil"/>
              <w:bottom w:val="single" w:sz="4" w:space="0" w:color="auto"/>
              <w:right w:val="single" w:sz="4" w:space="0" w:color="auto"/>
            </w:tcBorders>
            <w:shd w:val="clear" w:color="auto" w:fill="auto"/>
            <w:noWrap/>
            <w:vAlign w:val="center"/>
            <w:hideMark/>
          </w:tcPr>
          <w:p w14:paraId="2DFC7A97" w14:textId="77777777" w:rsidR="00C512F0" w:rsidRPr="00E87E42" w:rsidRDefault="00C512F0" w:rsidP="00B34E5C">
            <w:pPr>
              <w:spacing w:after="0" w:line="240" w:lineRule="auto"/>
              <w:jc w:val="center"/>
              <w:rPr>
                <w:rFonts w:eastAsia="Times New Roman"/>
                <w:bCs/>
                <w:i/>
                <w:color w:val="000000"/>
                <w:sz w:val="18"/>
                <w:szCs w:val="16"/>
                <w:lang w:eastAsia="en-GB"/>
              </w:rPr>
            </w:pPr>
            <w:r w:rsidRPr="00E87E42">
              <w:rPr>
                <w:rFonts w:eastAsia="Times New Roman"/>
                <w:bCs/>
                <w:i/>
                <w:color w:val="000000"/>
                <w:sz w:val="18"/>
                <w:szCs w:val="16"/>
                <w:lang w:eastAsia="en-GB"/>
              </w:rPr>
              <w:t>Percentage of number of stories damaged</w:t>
            </w:r>
          </w:p>
        </w:tc>
      </w:tr>
      <w:tr w:rsidR="00C512F0" w:rsidRPr="00E87E42" w14:paraId="47B1C08D" w14:textId="77777777" w:rsidTr="00B34E5C">
        <w:trPr>
          <w:trHeight w:val="170"/>
          <w:jc w:val="center"/>
        </w:trPr>
        <w:tc>
          <w:tcPr>
            <w:tcW w:w="0" w:type="auto"/>
            <w:tcBorders>
              <w:top w:val="single" w:sz="4" w:space="0" w:color="auto"/>
              <w:left w:val="single" w:sz="4" w:space="0" w:color="auto"/>
              <w:bottom w:val="nil"/>
            </w:tcBorders>
            <w:shd w:val="clear" w:color="auto" w:fill="auto"/>
            <w:noWrap/>
            <w:vAlign w:val="center"/>
            <w:hideMark/>
          </w:tcPr>
          <w:p w14:paraId="42C236D8"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Minor Damage</w:t>
            </w:r>
          </w:p>
        </w:tc>
        <w:tc>
          <w:tcPr>
            <w:tcW w:w="0" w:type="auto"/>
            <w:tcBorders>
              <w:top w:val="single" w:sz="4" w:space="0" w:color="auto"/>
              <w:bottom w:val="nil"/>
              <w:right w:val="single" w:sz="4" w:space="0" w:color="auto"/>
            </w:tcBorders>
            <w:shd w:val="clear" w:color="auto" w:fill="auto"/>
            <w:noWrap/>
            <w:vAlign w:val="center"/>
            <w:hideMark/>
          </w:tcPr>
          <w:p w14:paraId="2FBED9AE"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1-24%</w:t>
            </w:r>
          </w:p>
        </w:tc>
      </w:tr>
      <w:tr w:rsidR="00C512F0" w:rsidRPr="00E87E42" w14:paraId="6700E9CC" w14:textId="77777777" w:rsidTr="00B34E5C">
        <w:trPr>
          <w:trHeight w:val="170"/>
          <w:jc w:val="center"/>
        </w:trPr>
        <w:tc>
          <w:tcPr>
            <w:tcW w:w="0" w:type="auto"/>
            <w:tcBorders>
              <w:top w:val="nil"/>
              <w:left w:val="single" w:sz="4" w:space="0" w:color="auto"/>
              <w:bottom w:val="nil"/>
            </w:tcBorders>
            <w:shd w:val="clear" w:color="auto" w:fill="auto"/>
            <w:noWrap/>
            <w:vAlign w:val="center"/>
            <w:hideMark/>
          </w:tcPr>
          <w:p w14:paraId="0934C0FC"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Significantly Damage</w:t>
            </w:r>
          </w:p>
        </w:tc>
        <w:tc>
          <w:tcPr>
            <w:tcW w:w="0" w:type="auto"/>
            <w:tcBorders>
              <w:top w:val="nil"/>
              <w:bottom w:val="nil"/>
              <w:right w:val="single" w:sz="4" w:space="0" w:color="auto"/>
            </w:tcBorders>
            <w:shd w:val="clear" w:color="auto" w:fill="auto"/>
            <w:noWrap/>
            <w:vAlign w:val="center"/>
            <w:hideMark/>
          </w:tcPr>
          <w:p w14:paraId="47DC3C44"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25-49%</w:t>
            </w:r>
          </w:p>
        </w:tc>
      </w:tr>
      <w:tr w:rsidR="00C512F0" w:rsidRPr="00E87E42" w14:paraId="28FB886D" w14:textId="77777777" w:rsidTr="00B34E5C">
        <w:trPr>
          <w:trHeight w:val="170"/>
          <w:jc w:val="center"/>
        </w:trPr>
        <w:tc>
          <w:tcPr>
            <w:tcW w:w="0" w:type="auto"/>
            <w:tcBorders>
              <w:top w:val="nil"/>
              <w:left w:val="single" w:sz="4" w:space="0" w:color="auto"/>
              <w:bottom w:val="nil"/>
            </w:tcBorders>
            <w:shd w:val="clear" w:color="auto" w:fill="auto"/>
            <w:noWrap/>
            <w:vAlign w:val="center"/>
            <w:hideMark/>
          </w:tcPr>
          <w:p w14:paraId="291622EF"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Heavy Damage</w:t>
            </w:r>
          </w:p>
        </w:tc>
        <w:tc>
          <w:tcPr>
            <w:tcW w:w="0" w:type="auto"/>
            <w:tcBorders>
              <w:top w:val="nil"/>
              <w:bottom w:val="nil"/>
              <w:right w:val="single" w:sz="4" w:space="0" w:color="auto"/>
            </w:tcBorders>
            <w:shd w:val="clear" w:color="auto" w:fill="auto"/>
            <w:noWrap/>
            <w:vAlign w:val="center"/>
            <w:hideMark/>
          </w:tcPr>
          <w:p w14:paraId="5146ECE9"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50-74%</w:t>
            </w:r>
          </w:p>
        </w:tc>
      </w:tr>
      <w:tr w:rsidR="00C512F0" w:rsidRPr="00E87E42" w14:paraId="3344D384" w14:textId="77777777" w:rsidTr="00B34E5C">
        <w:trPr>
          <w:trHeight w:val="170"/>
          <w:jc w:val="center"/>
        </w:trPr>
        <w:tc>
          <w:tcPr>
            <w:tcW w:w="0" w:type="auto"/>
            <w:tcBorders>
              <w:top w:val="nil"/>
              <w:left w:val="single" w:sz="4" w:space="0" w:color="auto"/>
              <w:bottom w:val="single" w:sz="4" w:space="0" w:color="auto"/>
            </w:tcBorders>
            <w:shd w:val="clear" w:color="auto" w:fill="auto"/>
            <w:noWrap/>
            <w:vAlign w:val="center"/>
            <w:hideMark/>
          </w:tcPr>
          <w:p w14:paraId="54AD9902"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Extreme Damage</w:t>
            </w:r>
          </w:p>
        </w:tc>
        <w:tc>
          <w:tcPr>
            <w:tcW w:w="0" w:type="auto"/>
            <w:tcBorders>
              <w:top w:val="nil"/>
              <w:bottom w:val="single" w:sz="4" w:space="0" w:color="auto"/>
              <w:right w:val="single" w:sz="4" w:space="0" w:color="auto"/>
            </w:tcBorders>
            <w:shd w:val="clear" w:color="auto" w:fill="auto"/>
            <w:noWrap/>
            <w:vAlign w:val="center"/>
            <w:hideMark/>
          </w:tcPr>
          <w:p w14:paraId="22D3D2A5"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75-100%</w:t>
            </w:r>
          </w:p>
        </w:tc>
      </w:tr>
      <w:tr w:rsidR="00C512F0" w:rsidRPr="00E87E42" w14:paraId="0BCAE4BB" w14:textId="77777777" w:rsidTr="00B34E5C">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273450B" w14:textId="77777777" w:rsidR="00C512F0" w:rsidRPr="00E87E42" w:rsidRDefault="00C512F0" w:rsidP="00B34E5C">
            <w:pPr>
              <w:spacing w:after="0" w:line="240" w:lineRule="auto"/>
              <w:jc w:val="center"/>
              <w:rPr>
                <w:rFonts w:eastAsia="Times New Roman"/>
                <w:b/>
                <w:bCs/>
                <w:color w:val="000000"/>
                <w:sz w:val="18"/>
                <w:szCs w:val="16"/>
                <w:u w:val="single"/>
                <w:lang w:eastAsia="en-GB"/>
              </w:rPr>
            </w:pPr>
            <w:r w:rsidRPr="00E87E42">
              <w:rPr>
                <w:rFonts w:eastAsia="Times New Roman"/>
                <w:b/>
                <w:bCs/>
                <w:color w:val="000000"/>
                <w:sz w:val="18"/>
                <w:szCs w:val="16"/>
                <w:u w:val="single"/>
                <w:lang w:eastAsia="en-GB"/>
              </w:rPr>
              <w:t>Property Use</w:t>
            </w:r>
          </w:p>
        </w:tc>
        <w:tc>
          <w:tcPr>
            <w:tcW w:w="0" w:type="auto"/>
            <w:tcBorders>
              <w:top w:val="single" w:sz="4" w:space="0" w:color="auto"/>
              <w:left w:val="nil"/>
              <w:bottom w:val="single" w:sz="4" w:space="0" w:color="auto"/>
              <w:right w:val="single" w:sz="4" w:space="0" w:color="auto"/>
            </w:tcBorders>
            <w:shd w:val="clear" w:color="auto" w:fill="auto"/>
            <w:noWrap/>
            <w:hideMark/>
          </w:tcPr>
          <w:p w14:paraId="4B2CABE2" w14:textId="77777777" w:rsidR="00C512F0" w:rsidRPr="00E87E42" w:rsidRDefault="00C512F0" w:rsidP="00B34E5C">
            <w:pPr>
              <w:spacing w:after="0" w:line="240" w:lineRule="auto"/>
              <w:jc w:val="center"/>
              <w:rPr>
                <w:rFonts w:eastAsia="Times New Roman"/>
                <w:b/>
                <w:bCs/>
                <w:color w:val="000000"/>
                <w:sz w:val="18"/>
                <w:szCs w:val="16"/>
                <w:u w:val="single"/>
                <w:lang w:eastAsia="en-GB"/>
              </w:rPr>
            </w:pPr>
            <w:r w:rsidRPr="00E87E42">
              <w:rPr>
                <w:rFonts w:eastAsia="Times New Roman"/>
                <w:b/>
                <w:bCs/>
                <w:color w:val="000000"/>
                <w:sz w:val="18"/>
                <w:szCs w:val="16"/>
                <w:u w:val="single"/>
                <w:lang w:eastAsia="en-GB"/>
              </w:rPr>
              <w:t>Fire Spread</w:t>
            </w:r>
          </w:p>
        </w:tc>
      </w:tr>
      <w:tr w:rsidR="00C512F0" w:rsidRPr="00E87E42" w14:paraId="5C8C5B9E" w14:textId="77777777" w:rsidTr="00B34E5C">
        <w:trPr>
          <w:trHeight w:val="170"/>
          <w:jc w:val="center"/>
        </w:trPr>
        <w:tc>
          <w:tcPr>
            <w:tcW w:w="0" w:type="auto"/>
            <w:tcBorders>
              <w:top w:val="nil"/>
              <w:left w:val="single" w:sz="4" w:space="0" w:color="auto"/>
              <w:bottom w:val="nil"/>
              <w:right w:val="nil"/>
            </w:tcBorders>
            <w:shd w:val="clear" w:color="auto" w:fill="auto"/>
            <w:noWrap/>
            <w:vAlign w:val="center"/>
            <w:hideMark/>
          </w:tcPr>
          <w:p w14:paraId="01B5956E"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Assembly</w:t>
            </w:r>
          </w:p>
        </w:tc>
        <w:tc>
          <w:tcPr>
            <w:tcW w:w="0" w:type="auto"/>
            <w:tcBorders>
              <w:top w:val="nil"/>
              <w:left w:val="single" w:sz="4" w:space="0" w:color="auto"/>
              <w:bottom w:val="nil"/>
              <w:right w:val="single" w:sz="4" w:space="0" w:color="auto"/>
            </w:tcBorders>
            <w:shd w:val="clear" w:color="auto" w:fill="auto"/>
            <w:noWrap/>
            <w:vAlign w:val="center"/>
            <w:hideMark/>
          </w:tcPr>
          <w:p w14:paraId="2E3258FB"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Confined to object of origin</w:t>
            </w:r>
          </w:p>
        </w:tc>
      </w:tr>
      <w:tr w:rsidR="00C512F0" w:rsidRPr="00E87E42" w14:paraId="0DD5EEA3" w14:textId="77777777" w:rsidTr="00B34E5C">
        <w:trPr>
          <w:trHeight w:val="170"/>
          <w:jc w:val="center"/>
        </w:trPr>
        <w:tc>
          <w:tcPr>
            <w:tcW w:w="0" w:type="auto"/>
            <w:tcBorders>
              <w:top w:val="nil"/>
              <w:left w:val="single" w:sz="4" w:space="0" w:color="auto"/>
              <w:bottom w:val="nil"/>
              <w:right w:val="nil"/>
            </w:tcBorders>
            <w:shd w:val="clear" w:color="auto" w:fill="auto"/>
            <w:noWrap/>
            <w:vAlign w:val="center"/>
            <w:hideMark/>
          </w:tcPr>
          <w:p w14:paraId="0FA3A35A"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Educational</w:t>
            </w:r>
          </w:p>
        </w:tc>
        <w:tc>
          <w:tcPr>
            <w:tcW w:w="0" w:type="auto"/>
            <w:tcBorders>
              <w:top w:val="nil"/>
              <w:left w:val="single" w:sz="4" w:space="0" w:color="auto"/>
              <w:bottom w:val="nil"/>
              <w:right w:val="single" w:sz="4" w:space="0" w:color="auto"/>
            </w:tcBorders>
            <w:shd w:val="clear" w:color="auto" w:fill="auto"/>
            <w:noWrap/>
            <w:vAlign w:val="center"/>
            <w:hideMark/>
          </w:tcPr>
          <w:p w14:paraId="13BE7D34"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Confined to room of origin</w:t>
            </w:r>
          </w:p>
        </w:tc>
      </w:tr>
      <w:tr w:rsidR="00C512F0" w:rsidRPr="00E87E42" w14:paraId="1280941C" w14:textId="77777777" w:rsidTr="00B34E5C">
        <w:trPr>
          <w:trHeight w:val="170"/>
          <w:jc w:val="center"/>
        </w:trPr>
        <w:tc>
          <w:tcPr>
            <w:tcW w:w="0" w:type="auto"/>
            <w:tcBorders>
              <w:top w:val="nil"/>
              <w:left w:val="single" w:sz="4" w:space="0" w:color="auto"/>
              <w:bottom w:val="nil"/>
              <w:right w:val="nil"/>
            </w:tcBorders>
            <w:shd w:val="clear" w:color="auto" w:fill="auto"/>
            <w:noWrap/>
            <w:vAlign w:val="center"/>
            <w:hideMark/>
          </w:tcPr>
          <w:p w14:paraId="6330A646" w14:textId="1EE90FB4"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Health care, De</w:t>
            </w:r>
            <w:r w:rsidR="00A43875" w:rsidRPr="00E87E42">
              <w:rPr>
                <w:rFonts w:eastAsia="Times New Roman"/>
                <w:color w:val="000000"/>
                <w:sz w:val="18"/>
                <w:szCs w:val="16"/>
                <w:lang w:eastAsia="en-GB"/>
              </w:rPr>
              <w:t>ten</w:t>
            </w:r>
            <w:r w:rsidRPr="00E87E42">
              <w:rPr>
                <w:rFonts w:eastAsia="Times New Roman"/>
                <w:color w:val="000000"/>
                <w:sz w:val="18"/>
                <w:szCs w:val="16"/>
                <w:lang w:eastAsia="en-GB"/>
              </w:rPr>
              <w:t>tion and Correction</w:t>
            </w:r>
          </w:p>
        </w:tc>
        <w:tc>
          <w:tcPr>
            <w:tcW w:w="0" w:type="auto"/>
            <w:tcBorders>
              <w:top w:val="nil"/>
              <w:left w:val="single" w:sz="4" w:space="0" w:color="auto"/>
              <w:bottom w:val="nil"/>
              <w:right w:val="single" w:sz="4" w:space="0" w:color="auto"/>
            </w:tcBorders>
            <w:shd w:val="clear" w:color="auto" w:fill="auto"/>
            <w:noWrap/>
            <w:vAlign w:val="center"/>
            <w:hideMark/>
          </w:tcPr>
          <w:p w14:paraId="5C67BB12"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Confined to floor of origin</w:t>
            </w:r>
          </w:p>
        </w:tc>
      </w:tr>
      <w:tr w:rsidR="00C512F0" w:rsidRPr="00E87E42" w14:paraId="1065CF69" w14:textId="77777777" w:rsidTr="00B34E5C">
        <w:trPr>
          <w:trHeight w:val="170"/>
          <w:jc w:val="center"/>
        </w:trPr>
        <w:tc>
          <w:tcPr>
            <w:tcW w:w="0" w:type="auto"/>
            <w:tcBorders>
              <w:top w:val="nil"/>
              <w:left w:val="single" w:sz="4" w:space="0" w:color="auto"/>
              <w:bottom w:val="nil"/>
              <w:right w:val="nil"/>
            </w:tcBorders>
            <w:shd w:val="clear" w:color="auto" w:fill="auto"/>
            <w:noWrap/>
            <w:vAlign w:val="center"/>
            <w:hideMark/>
          </w:tcPr>
          <w:p w14:paraId="69BE9F3B"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Residential</w:t>
            </w:r>
          </w:p>
        </w:tc>
        <w:tc>
          <w:tcPr>
            <w:tcW w:w="0" w:type="auto"/>
            <w:tcBorders>
              <w:top w:val="nil"/>
              <w:left w:val="single" w:sz="4" w:space="0" w:color="auto"/>
              <w:bottom w:val="nil"/>
              <w:right w:val="single" w:sz="4" w:space="0" w:color="auto"/>
            </w:tcBorders>
            <w:shd w:val="clear" w:color="auto" w:fill="auto"/>
            <w:noWrap/>
            <w:vAlign w:val="center"/>
            <w:hideMark/>
          </w:tcPr>
          <w:p w14:paraId="50EF88F4"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Confined to building of origin</w:t>
            </w:r>
          </w:p>
        </w:tc>
      </w:tr>
      <w:tr w:rsidR="00C512F0" w:rsidRPr="00E87E42" w14:paraId="6CC297B0" w14:textId="77777777" w:rsidTr="00B34E5C">
        <w:trPr>
          <w:trHeight w:val="170"/>
          <w:jc w:val="center"/>
        </w:trPr>
        <w:tc>
          <w:tcPr>
            <w:tcW w:w="0" w:type="auto"/>
            <w:tcBorders>
              <w:top w:val="nil"/>
              <w:left w:val="single" w:sz="4" w:space="0" w:color="auto"/>
              <w:bottom w:val="nil"/>
              <w:right w:val="nil"/>
            </w:tcBorders>
            <w:shd w:val="clear" w:color="auto" w:fill="auto"/>
            <w:noWrap/>
            <w:vAlign w:val="center"/>
            <w:hideMark/>
          </w:tcPr>
          <w:p w14:paraId="2CD2AFA9" w14:textId="72BE336C" w:rsidR="00C512F0" w:rsidRPr="00E87E42" w:rsidRDefault="00A43875"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 xml:space="preserve">Mercantile, </w:t>
            </w:r>
            <w:r w:rsidR="00C512F0" w:rsidRPr="00E87E42">
              <w:rPr>
                <w:rFonts w:eastAsia="Times New Roman"/>
                <w:color w:val="000000"/>
                <w:sz w:val="18"/>
                <w:szCs w:val="16"/>
                <w:lang w:eastAsia="en-GB"/>
              </w:rPr>
              <w:t>Business</w:t>
            </w:r>
          </w:p>
        </w:tc>
        <w:tc>
          <w:tcPr>
            <w:tcW w:w="0" w:type="auto"/>
            <w:tcBorders>
              <w:top w:val="nil"/>
              <w:left w:val="single" w:sz="4" w:space="0" w:color="auto"/>
              <w:bottom w:val="nil"/>
              <w:right w:val="single" w:sz="4" w:space="0" w:color="auto"/>
            </w:tcBorders>
            <w:shd w:val="clear" w:color="auto" w:fill="auto"/>
            <w:noWrap/>
            <w:vAlign w:val="center"/>
            <w:hideMark/>
          </w:tcPr>
          <w:p w14:paraId="29A9A8EF"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Beyond building of origin</w:t>
            </w:r>
          </w:p>
        </w:tc>
      </w:tr>
      <w:tr w:rsidR="00C512F0" w:rsidRPr="00E87E42" w14:paraId="28627FAB" w14:textId="77777777" w:rsidTr="00B34E5C">
        <w:trPr>
          <w:trHeight w:val="170"/>
          <w:jc w:val="center"/>
        </w:trPr>
        <w:tc>
          <w:tcPr>
            <w:tcW w:w="0" w:type="auto"/>
            <w:tcBorders>
              <w:top w:val="nil"/>
              <w:left w:val="single" w:sz="4" w:space="0" w:color="auto"/>
              <w:bottom w:val="nil"/>
              <w:right w:val="nil"/>
            </w:tcBorders>
            <w:shd w:val="clear" w:color="auto" w:fill="auto"/>
            <w:noWrap/>
            <w:vAlign w:val="center"/>
            <w:hideMark/>
          </w:tcPr>
          <w:p w14:paraId="004223FE"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Industrial, Utility, Defence, Agriculture, and Mining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B6DDE" w14:textId="77777777" w:rsidR="00C512F0" w:rsidRPr="00E87E42" w:rsidRDefault="00C512F0" w:rsidP="00B34E5C">
            <w:pPr>
              <w:spacing w:after="0" w:line="240" w:lineRule="auto"/>
              <w:jc w:val="center"/>
              <w:rPr>
                <w:rFonts w:eastAsia="Times New Roman"/>
                <w:b/>
                <w:bCs/>
                <w:color w:val="000000"/>
                <w:sz w:val="18"/>
                <w:szCs w:val="16"/>
                <w:u w:val="single"/>
                <w:lang w:eastAsia="en-GB"/>
              </w:rPr>
            </w:pPr>
            <w:r w:rsidRPr="00E87E42">
              <w:rPr>
                <w:rFonts w:eastAsia="Times New Roman"/>
                <w:b/>
                <w:bCs/>
                <w:color w:val="000000"/>
                <w:sz w:val="18"/>
                <w:szCs w:val="16"/>
                <w:u w:val="single"/>
                <w:lang w:eastAsia="en-GB"/>
              </w:rPr>
              <w:t>Automatic Extinguishing System</w:t>
            </w:r>
          </w:p>
        </w:tc>
      </w:tr>
      <w:tr w:rsidR="00C512F0" w:rsidRPr="00E87E42" w14:paraId="5E881B2D" w14:textId="77777777" w:rsidTr="00B34E5C">
        <w:trPr>
          <w:trHeight w:val="170"/>
          <w:jc w:val="center"/>
        </w:trPr>
        <w:tc>
          <w:tcPr>
            <w:tcW w:w="0" w:type="auto"/>
            <w:tcBorders>
              <w:top w:val="nil"/>
              <w:left w:val="single" w:sz="4" w:space="0" w:color="auto"/>
              <w:bottom w:val="nil"/>
              <w:right w:val="nil"/>
            </w:tcBorders>
            <w:shd w:val="clear" w:color="auto" w:fill="auto"/>
            <w:noWrap/>
            <w:vAlign w:val="center"/>
            <w:hideMark/>
          </w:tcPr>
          <w:p w14:paraId="65C896CD"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Manufacturing, Processing</w:t>
            </w:r>
          </w:p>
        </w:tc>
        <w:tc>
          <w:tcPr>
            <w:tcW w:w="0" w:type="auto"/>
            <w:tcBorders>
              <w:top w:val="nil"/>
              <w:left w:val="single" w:sz="4" w:space="0" w:color="auto"/>
              <w:bottom w:val="nil"/>
              <w:right w:val="single" w:sz="4" w:space="0" w:color="auto"/>
            </w:tcBorders>
            <w:shd w:val="clear" w:color="auto" w:fill="auto"/>
            <w:noWrap/>
            <w:vAlign w:val="center"/>
            <w:hideMark/>
          </w:tcPr>
          <w:p w14:paraId="5B4E1BA9"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Present</w:t>
            </w:r>
          </w:p>
        </w:tc>
      </w:tr>
      <w:tr w:rsidR="00C512F0" w:rsidRPr="00E87E42" w14:paraId="73756C83" w14:textId="77777777" w:rsidTr="00B34E5C">
        <w:trPr>
          <w:trHeight w:val="170"/>
          <w:jc w:val="center"/>
        </w:trPr>
        <w:tc>
          <w:tcPr>
            <w:tcW w:w="0" w:type="auto"/>
            <w:tcBorders>
              <w:top w:val="nil"/>
              <w:left w:val="single" w:sz="4" w:space="0" w:color="auto"/>
              <w:bottom w:val="nil"/>
              <w:right w:val="nil"/>
            </w:tcBorders>
            <w:shd w:val="clear" w:color="auto" w:fill="auto"/>
            <w:noWrap/>
            <w:vAlign w:val="center"/>
            <w:hideMark/>
          </w:tcPr>
          <w:p w14:paraId="2687860F"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Storage</w:t>
            </w:r>
          </w:p>
        </w:tc>
        <w:tc>
          <w:tcPr>
            <w:tcW w:w="0" w:type="auto"/>
            <w:tcBorders>
              <w:top w:val="nil"/>
              <w:left w:val="single" w:sz="4" w:space="0" w:color="auto"/>
              <w:bottom w:val="nil"/>
              <w:right w:val="single" w:sz="4" w:space="0" w:color="auto"/>
            </w:tcBorders>
            <w:shd w:val="clear" w:color="auto" w:fill="auto"/>
            <w:noWrap/>
            <w:vAlign w:val="center"/>
            <w:hideMark/>
          </w:tcPr>
          <w:p w14:paraId="382EB8D4"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Partial System Present</w:t>
            </w:r>
          </w:p>
        </w:tc>
      </w:tr>
      <w:tr w:rsidR="00C512F0" w:rsidRPr="00E87E42" w14:paraId="4FB169F8" w14:textId="77777777" w:rsidTr="00B34E5C">
        <w:trPr>
          <w:trHeight w:val="170"/>
          <w:jc w:val="center"/>
        </w:trPr>
        <w:tc>
          <w:tcPr>
            <w:tcW w:w="0" w:type="auto"/>
            <w:tcBorders>
              <w:top w:val="nil"/>
              <w:left w:val="single" w:sz="4" w:space="0" w:color="auto"/>
              <w:bottom w:val="single" w:sz="4" w:space="0" w:color="auto"/>
              <w:right w:val="nil"/>
            </w:tcBorders>
            <w:shd w:val="clear" w:color="auto" w:fill="auto"/>
            <w:noWrap/>
            <w:vAlign w:val="center"/>
            <w:hideMark/>
          </w:tcPr>
          <w:p w14:paraId="7AD0D313"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Outside or Special Property</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3E78EA" w14:textId="77777777"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None</w:t>
            </w:r>
          </w:p>
        </w:tc>
      </w:tr>
      <w:tr w:rsidR="00C512F0" w:rsidRPr="00E87E42" w14:paraId="4F642A8D" w14:textId="77777777" w:rsidTr="00B34E5C">
        <w:trPr>
          <w:trHeight w:val="17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B3B70" w14:textId="77777777" w:rsidR="00C512F0" w:rsidRPr="00E87E42" w:rsidRDefault="00C512F0" w:rsidP="00B34E5C">
            <w:pPr>
              <w:spacing w:after="0" w:line="240" w:lineRule="auto"/>
              <w:jc w:val="center"/>
              <w:rPr>
                <w:rFonts w:eastAsia="Times New Roman"/>
                <w:b/>
                <w:bCs/>
                <w:color w:val="000000"/>
                <w:sz w:val="18"/>
                <w:szCs w:val="16"/>
                <w:u w:val="single"/>
                <w:lang w:eastAsia="en-GB"/>
              </w:rPr>
            </w:pPr>
            <w:r w:rsidRPr="00E87E42">
              <w:rPr>
                <w:rFonts w:eastAsia="Times New Roman"/>
                <w:b/>
                <w:bCs/>
                <w:color w:val="000000"/>
                <w:sz w:val="18"/>
                <w:szCs w:val="16"/>
                <w:u w:val="single"/>
                <w:lang w:eastAsia="en-GB"/>
              </w:rPr>
              <w:t>CBECS floor area bands</w:t>
            </w:r>
          </w:p>
        </w:tc>
      </w:tr>
      <w:tr w:rsidR="00C512F0" w:rsidRPr="00E87E42" w14:paraId="22EE225A" w14:textId="77777777" w:rsidTr="00B34E5C">
        <w:trPr>
          <w:trHeight w:val="17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14E85" w14:textId="77777777" w:rsidR="00C512F0" w:rsidRPr="00E87E42" w:rsidRDefault="00C512F0" w:rsidP="00B34E5C">
            <w:pPr>
              <w:spacing w:after="0" w:line="240" w:lineRule="auto"/>
              <w:jc w:val="center"/>
              <w:rPr>
                <w:rFonts w:eastAsia="Times New Roman"/>
                <w:b/>
                <w:bCs/>
                <w:color w:val="000000"/>
                <w:sz w:val="18"/>
                <w:szCs w:val="16"/>
                <w:lang w:eastAsia="en-GB"/>
              </w:rPr>
            </w:pPr>
            <w:r w:rsidRPr="00E87E42">
              <w:rPr>
                <w:rFonts w:eastAsia="Times New Roman"/>
                <w:b/>
                <w:bCs/>
                <w:color w:val="000000"/>
                <w:sz w:val="18"/>
                <w:szCs w:val="16"/>
                <w:lang w:eastAsia="en-GB"/>
              </w:rPr>
              <w:t>Building floor space (ft</w:t>
            </w:r>
            <w:r w:rsidRPr="00E87E42">
              <w:rPr>
                <w:rFonts w:eastAsia="Times New Roman"/>
                <w:b/>
                <w:bCs/>
                <w:color w:val="000000"/>
                <w:sz w:val="18"/>
                <w:szCs w:val="16"/>
                <w:vertAlign w:val="superscript"/>
                <w:lang w:eastAsia="en-GB"/>
              </w:rPr>
              <w:t>2</w:t>
            </w:r>
            <w:r w:rsidRPr="00E87E42">
              <w:rPr>
                <w:rFonts w:eastAsia="Times New Roman"/>
                <w:b/>
                <w:bCs/>
                <w:color w:val="000000"/>
                <w:sz w:val="18"/>
                <w:szCs w:val="16"/>
                <w:lang w:eastAsia="en-GB"/>
              </w:rPr>
              <w:t>)</w:t>
            </w:r>
          </w:p>
        </w:tc>
      </w:tr>
      <w:tr w:rsidR="00C512F0" w:rsidRPr="00E87E42" w14:paraId="000C9DBE" w14:textId="77777777" w:rsidTr="00B34E5C">
        <w:trPr>
          <w:trHeight w:val="170"/>
          <w:jc w:val="center"/>
        </w:trPr>
        <w:tc>
          <w:tcPr>
            <w:tcW w:w="0" w:type="auto"/>
            <w:tcBorders>
              <w:top w:val="single" w:sz="4" w:space="0" w:color="auto"/>
              <w:left w:val="single" w:sz="4" w:space="0" w:color="auto"/>
              <w:bottom w:val="nil"/>
            </w:tcBorders>
            <w:shd w:val="clear" w:color="auto" w:fill="auto"/>
            <w:noWrap/>
            <w:vAlign w:val="center"/>
            <w:hideMark/>
          </w:tcPr>
          <w:p w14:paraId="24A8AEF6" w14:textId="4209CBD2"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1</w:t>
            </w:r>
            <w:r w:rsidR="004559B5">
              <w:rPr>
                <w:rFonts w:eastAsia="Times New Roman"/>
                <w:color w:val="000000"/>
                <w:sz w:val="18"/>
                <w:szCs w:val="16"/>
                <w:lang w:eastAsia="en-GB"/>
              </w:rPr>
              <w:t>,</w:t>
            </w:r>
            <w:r w:rsidRPr="00E87E42">
              <w:rPr>
                <w:rFonts w:eastAsia="Times New Roman"/>
                <w:color w:val="000000"/>
                <w:sz w:val="18"/>
                <w:szCs w:val="16"/>
                <w:lang w:eastAsia="en-GB"/>
              </w:rPr>
              <w:t>001 to 5</w:t>
            </w:r>
            <w:r w:rsidR="004559B5">
              <w:rPr>
                <w:rFonts w:eastAsia="Times New Roman"/>
                <w:color w:val="000000"/>
                <w:sz w:val="18"/>
                <w:szCs w:val="16"/>
                <w:lang w:eastAsia="en-GB"/>
              </w:rPr>
              <w:t>,</w:t>
            </w:r>
            <w:r w:rsidRPr="00E87E42">
              <w:rPr>
                <w:rFonts w:eastAsia="Times New Roman"/>
                <w:color w:val="000000"/>
                <w:sz w:val="18"/>
                <w:szCs w:val="16"/>
                <w:lang w:eastAsia="en-GB"/>
              </w:rPr>
              <w:t>000 ft</w:t>
            </w:r>
            <w:r w:rsidRPr="00E87E42">
              <w:rPr>
                <w:rFonts w:eastAsia="Times New Roman"/>
                <w:color w:val="000000"/>
                <w:sz w:val="18"/>
                <w:szCs w:val="16"/>
                <w:vertAlign w:val="superscript"/>
                <w:lang w:eastAsia="en-GB"/>
              </w:rPr>
              <w:t>2</w:t>
            </w:r>
          </w:p>
        </w:tc>
        <w:tc>
          <w:tcPr>
            <w:tcW w:w="0" w:type="auto"/>
            <w:tcBorders>
              <w:top w:val="single" w:sz="4" w:space="0" w:color="auto"/>
              <w:bottom w:val="nil"/>
              <w:right w:val="single" w:sz="4" w:space="0" w:color="auto"/>
            </w:tcBorders>
            <w:shd w:val="clear" w:color="auto" w:fill="auto"/>
            <w:noWrap/>
            <w:vAlign w:val="center"/>
            <w:hideMark/>
          </w:tcPr>
          <w:p w14:paraId="764CEC27" w14:textId="6EC76BB0"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50</w:t>
            </w:r>
            <w:r w:rsidR="004559B5">
              <w:rPr>
                <w:rFonts w:eastAsia="Times New Roman"/>
                <w:color w:val="000000"/>
                <w:sz w:val="18"/>
                <w:szCs w:val="16"/>
                <w:lang w:eastAsia="en-GB"/>
              </w:rPr>
              <w:t>,</w:t>
            </w:r>
            <w:r w:rsidRPr="00E87E42">
              <w:rPr>
                <w:rFonts w:eastAsia="Times New Roman"/>
                <w:color w:val="000000"/>
                <w:sz w:val="18"/>
                <w:szCs w:val="16"/>
                <w:lang w:eastAsia="en-GB"/>
              </w:rPr>
              <w:t>001 to 100</w:t>
            </w:r>
            <w:r w:rsidR="004559B5">
              <w:rPr>
                <w:rFonts w:eastAsia="Times New Roman"/>
                <w:color w:val="000000"/>
                <w:sz w:val="18"/>
                <w:szCs w:val="16"/>
                <w:lang w:eastAsia="en-GB"/>
              </w:rPr>
              <w:t>,</w:t>
            </w:r>
            <w:r w:rsidRPr="00E87E42">
              <w:rPr>
                <w:rFonts w:eastAsia="Times New Roman"/>
                <w:color w:val="000000"/>
                <w:sz w:val="18"/>
                <w:szCs w:val="16"/>
                <w:lang w:eastAsia="en-GB"/>
              </w:rPr>
              <w:t>000 ft</w:t>
            </w:r>
            <w:r w:rsidRPr="00E87E42">
              <w:rPr>
                <w:rFonts w:eastAsia="Times New Roman"/>
                <w:color w:val="000000"/>
                <w:sz w:val="18"/>
                <w:szCs w:val="16"/>
                <w:vertAlign w:val="superscript"/>
                <w:lang w:eastAsia="en-GB"/>
              </w:rPr>
              <w:t>2</w:t>
            </w:r>
          </w:p>
        </w:tc>
      </w:tr>
      <w:tr w:rsidR="00C512F0" w:rsidRPr="00E87E42" w14:paraId="04E69098" w14:textId="77777777" w:rsidTr="00B34E5C">
        <w:trPr>
          <w:trHeight w:val="170"/>
          <w:jc w:val="center"/>
        </w:trPr>
        <w:tc>
          <w:tcPr>
            <w:tcW w:w="0" w:type="auto"/>
            <w:tcBorders>
              <w:top w:val="nil"/>
              <w:left w:val="single" w:sz="4" w:space="0" w:color="auto"/>
              <w:bottom w:val="nil"/>
            </w:tcBorders>
            <w:shd w:val="clear" w:color="auto" w:fill="auto"/>
            <w:noWrap/>
            <w:vAlign w:val="center"/>
            <w:hideMark/>
          </w:tcPr>
          <w:p w14:paraId="7F0C2204" w14:textId="2851A11D"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5</w:t>
            </w:r>
            <w:r w:rsidR="004559B5">
              <w:rPr>
                <w:rFonts w:eastAsia="Times New Roman"/>
                <w:color w:val="000000"/>
                <w:sz w:val="18"/>
                <w:szCs w:val="16"/>
                <w:lang w:eastAsia="en-GB"/>
              </w:rPr>
              <w:t>,</w:t>
            </w:r>
            <w:r w:rsidRPr="00E87E42">
              <w:rPr>
                <w:rFonts w:eastAsia="Times New Roman"/>
                <w:color w:val="000000"/>
                <w:sz w:val="18"/>
                <w:szCs w:val="16"/>
                <w:lang w:eastAsia="en-GB"/>
              </w:rPr>
              <w:t>001 to 10</w:t>
            </w:r>
            <w:r w:rsidR="004559B5">
              <w:rPr>
                <w:rFonts w:eastAsia="Times New Roman"/>
                <w:color w:val="000000"/>
                <w:sz w:val="18"/>
                <w:szCs w:val="16"/>
                <w:lang w:eastAsia="en-GB"/>
              </w:rPr>
              <w:t>,</w:t>
            </w:r>
            <w:r w:rsidRPr="00E87E42">
              <w:rPr>
                <w:rFonts w:eastAsia="Times New Roman"/>
                <w:color w:val="000000"/>
                <w:sz w:val="18"/>
                <w:szCs w:val="16"/>
                <w:lang w:eastAsia="en-GB"/>
              </w:rPr>
              <w:t>000 ft</w:t>
            </w:r>
            <w:r w:rsidRPr="00E87E42">
              <w:rPr>
                <w:rFonts w:eastAsia="Times New Roman"/>
                <w:color w:val="000000"/>
                <w:sz w:val="18"/>
                <w:szCs w:val="16"/>
                <w:vertAlign w:val="superscript"/>
                <w:lang w:eastAsia="en-GB"/>
              </w:rPr>
              <w:t>2</w:t>
            </w:r>
          </w:p>
        </w:tc>
        <w:tc>
          <w:tcPr>
            <w:tcW w:w="0" w:type="auto"/>
            <w:tcBorders>
              <w:top w:val="nil"/>
              <w:bottom w:val="nil"/>
              <w:right w:val="single" w:sz="4" w:space="0" w:color="auto"/>
            </w:tcBorders>
            <w:shd w:val="clear" w:color="auto" w:fill="auto"/>
            <w:noWrap/>
            <w:vAlign w:val="center"/>
            <w:hideMark/>
          </w:tcPr>
          <w:p w14:paraId="0F81E2CD" w14:textId="304E0CFB"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100</w:t>
            </w:r>
            <w:r w:rsidR="004559B5">
              <w:rPr>
                <w:rFonts w:eastAsia="Times New Roman"/>
                <w:color w:val="000000"/>
                <w:sz w:val="18"/>
                <w:szCs w:val="16"/>
                <w:lang w:eastAsia="en-GB"/>
              </w:rPr>
              <w:t>,</w:t>
            </w:r>
            <w:r w:rsidRPr="00E87E42">
              <w:rPr>
                <w:rFonts w:eastAsia="Times New Roman"/>
                <w:color w:val="000000"/>
                <w:sz w:val="18"/>
                <w:szCs w:val="16"/>
                <w:lang w:eastAsia="en-GB"/>
              </w:rPr>
              <w:t>001 to 200</w:t>
            </w:r>
            <w:r w:rsidR="004559B5">
              <w:rPr>
                <w:rFonts w:eastAsia="Times New Roman"/>
                <w:color w:val="000000"/>
                <w:sz w:val="18"/>
                <w:szCs w:val="16"/>
                <w:lang w:eastAsia="en-GB"/>
              </w:rPr>
              <w:t>,</w:t>
            </w:r>
            <w:r w:rsidRPr="00E87E42">
              <w:rPr>
                <w:rFonts w:eastAsia="Times New Roman"/>
                <w:color w:val="000000"/>
                <w:sz w:val="18"/>
                <w:szCs w:val="16"/>
                <w:lang w:eastAsia="en-GB"/>
              </w:rPr>
              <w:t>000 ft</w:t>
            </w:r>
            <w:r w:rsidRPr="00E87E42">
              <w:rPr>
                <w:rFonts w:eastAsia="Times New Roman"/>
                <w:color w:val="000000"/>
                <w:sz w:val="18"/>
                <w:szCs w:val="16"/>
                <w:vertAlign w:val="superscript"/>
                <w:lang w:eastAsia="en-GB"/>
              </w:rPr>
              <w:t>2</w:t>
            </w:r>
          </w:p>
        </w:tc>
      </w:tr>
      <w:tr w:rsidR="00C512F0" w:rsidRPr="00E87E42" w14:paraId="26F12E24" w14:textId="77777777" w:rsidTr="00B34E5C">
        <w:trPr>
          <w:trHeight w:val="170"/>
          <w:jc w:val="center"/>
        </w:trPr>
        <w:tc>
          <w:tcPr>
            <w:tcW w:w="0" w:type="auto"/>
            <w:tcBorders>
              <w:top w:val="nil"/>
              <w:left w:val="single" w:sz="4" w:space="0" w:color="auto"/>
              <w:bottom w:val="nil"/>
            </w:tcBorders>
            <w:shd w:val="clear" w:color="auto" w:fill="auto"/>
            <w:noWrap/>
            <w:vAlign w:val="center"/>
            <w:hideMark/>
          </w:tcPr>
          <w:p w14:paraId="1C45BA96" w14:textId="3FDBCF35"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10</w:t>
            </w:r>
            <w:r w:rsidR="004559B5">
              <w:rPr>
                <w:rFonts w:eastAsia="Times New Roman"/>
                <w:color w:val="000000"/>
                <w:sz w:val="18"/>
                <w:szCs w:val="16"/>
                <w:lang w:eastAsia="en-GB"/>
              </w:rPr>
              <w:t>,</w:t>
            </w:r>
            <w:r w:rsidRPr="00E87E42">
              <w:rPr>
                <w:rFonts w:eastAsia="Times New Roman"/>
                <w:color w:val="000000"/>
                <w:sz w:val="18"/>
                <w:szCs w:val="16"/>
                <w:lang w:eastAsia="en-GB"/>
              </w:rPr>
              <w:t>001 to 25</w:t>
            </w:r>
            <w:r w:rsidR="004559B5">
              <w:rPr>
                <w:rFonts w:eastAsia="Times New Roman"/>
                <w:color w:val="000000"/>
                <w:sz w:val="18"/>
                <w:szCs w:val="16"/>
                <w:lang w:eastAsia="en-GB"/>
              </w:rPr>
              <w:t>,</w:t>
            </w:r>
            <w:r w:rsidRPr="00E87E42">
              <w:rPr>
                <w:rFonts w:eastAsia="Times New Roman"/>
                <w:color w:val="000000"/>
                <w:sz w:val="18"/>
                <w:szCs w:val="16"/>
                <w:lang w:eastAsia="en-GB"/>
              </w:rPr>
              <w:t>000 ft</w:t>
            </w:r>
            <w:r w:rsidRPr="00E87E42">
              <w:rPr>
                <w:rFonts w:eastAsia="Times New Roman"/>
                <w:color w:val="000000"/>
                <w:sz w:val="18"/>
                <w:szCs w:val="16"/>
                <w:vertAlign w:val="superscript"/>
                <w:lang w:eastAsia="en-GB"/>
              </w:rPr>
              <w:t>2</w:t>
            </w:r>
          </w:p>
        </w:tc>
        <w:tc>
          <w:tcPr>
            <w:tcW w:w="0" w:type="auto"/>
            <w:tcBorders>
              <w:top w:val="nil"/>
              <w:bottom w:val="nil"/>
              <w:right w:val="single" w:sz="4" w:space="0" w:color="auto"/>
            </w:tcBorders>
            <w:shd w:val="clear" w:color="auto" w:fill="auto"/>
            <w:noWrap/>
            <w:vAlign w:val="center"/>
            <w:hideMark/>
          </w:tcPr>
          <w:p w14:paraId="3A13DC24" w14:textId="76ED7A2B"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200</w:t>
            </w:r>
            <w:r w:rsidR="004559B5">
              <w:rPr>
                <w:rFonts w:eastAsia="Times New Roman"/>
                <w:color w:val="000000"/>
                <w:sz w:val="18"/>
                <w:szCs w:val="16"/>
                <w:lang w:eastAsia="en-GB"/>
              </w:rPr>
              <w:t>,</w:t>
            </w:r>
            <w:r w:rsidRPr="00E87E42">
              <w:rPr>
                <w:rFonts w:eastAsia="Times New Roman"/>
                <w:color w:val="000000"/>
                <w:sz w:val="18"/>
                <w:szCs w:val="16"/>
                <w:lang w:eastAsia="en-GB"/>
              </w:rPr>
              <w:t>001 to 500</w:t>
            </w:r>
            <w:r w:rsidR="004559B5">
              <w:rPr>
                <w:rFonts w:eastAsia="Times New Roman"/>
                <w:color w:val="000000"/>
                <w:sz w:val="18"/>
                <w:szCs w:val="16"/>
                <w:lang w:eastAsia="en-GB"/>
              </w:rPr>
              <w:t>,</w:t>
            </w:r>
            <w:r w:rsidRPr="00E87E42">
              <w:rPr>
                <w:rFonts w:eastAsia="Times New Roman"/>
                <w:color w:val="000000"/>
                <w:sz w:val="18"/>
                <w:szCs w:val="16"/>
                <w:lang w:eastAsia="en-GB"/>
              </w:rPr>
              <w:t>000 ft</w:t>
            </w:r>
            <w:r w:rsidRPr="00E87E42">
              <w:rPr>
                <w:rFonts w:eastAsia="Times New Roman"/>
                <w:color w:val="000000"/>
                <w:sz w:val="18"/>
                <w:szCs w:val="16"/>
                <w:vertAlign w:val="superscript"/>
                <w:lang w:eastAsia="en-GB"/>
              </w:rPr>
              <w:t>2</w:t>
            </w:r>
          </w:p>
        </w:tc>
      </w:tr>
      <w:tr w:rsidR="00C512F0" w:rsidRPr="00E87E42" w14:paraId="73ED22E8" w14:textId="77777777" w:rsidTr="00B34E5C">
        <w:trPr>
          <w:trHeight w:val="170"/>
          <w:jc w:val="center"/>
        </w:trPr>
        <w:tc>
          <w:tcPr>
            <w:tcW w:w="0" w:type="auto"/>
            <w:tcBorders>
              <w:top w:val="nil"/>
              <w:left w:val="single" w:sz="4" w:space="0" w:color="auto"/>
              <w:bottom w:val="single" w:sz="4" w:space="0" w:color="auto"/>
            </w:tcBorders>
            <w:shd w:val="clear" w:color="auto" w:fill="auto"/>
            <w:noWrap/>
            <w:vAlign w:val="center"/>
            <w:hideMark/>
          </w:tcPr>
          <w:p w14:paraId="0D83E57C" w14:textId="5C58275C"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25</w:t>
            </w:r>
            <w:r w:rsidR="004559B5">
              <w:rPr>
                <w:rFonts w:eastAsia="Times New Roman"/>
                <w:color w:val="000000"/>
                <w:sz w:val="18"/>
                <w:szCs w:val="16"/>
                <w:lang w:eastAsia="en-GB"/>
              </w:rPr>
              <w:t>,</w:t>
            </w:r>
            <w:r w:rsidRPr="00E87E42">
              <w:rPr>
                <w:rFonts w:eastAsia="Times New Roman"/>
                <w:color w:val="000000"/>
                <w:sz w:val="18"/>
                <w:szCs w:val="16"/>
                <w:lang w:eastAsia="en-GB"/>
              </w:rPr>
              <w:t>001 to 50</w:t>
            </w:r>
            <w:r w:rsidR="004559B5">
              <w:rPr>
                <w:rFonts w:eastAsia="Times New Roman"/>
                <w:color w:val="000000"/>
                <w:sz w:val="18"/>
                <w:szCs w:val="16"/>
                <w:lang w:eastAsia="en-GB"/>
              </w:rPr>
              <w:t>,</w:t>
            </w:r>
            <w:r w:rsidRPr="00E87E42">
              <w:rPr>
                <w:rFonts w:eastAsia="Times New Roman"/>
                <w:color w:val="000000"/>
                <w:sz w:val="18"/>
                <w:szCs w:val="16"/>
                <w:lang w:eastAsia="en-GB"/>
              </w:rPr>
              <w:t>000 ft</w:t>
            </w:r>
            <w:r w:rsidRPr="00E87E42">
              <w:rPr>
                <w:rFonts w:eastAsia="Times New Roman"/>
                <w:color w:val="000000"/>
                <w:sz w:val="18"/>
                <w:szCs w:val="16"/>
                <w:vertAlign w:val="superscript"/>
                <w:lang w:eastAsia="en-GB"/>
              </w:rPr>
              <w:t>2</w:t>
            </w:r>
          </w:p>
        </w:tc>
        <w:tc>
          <w:tcPr>
            <w:tcW w:w="0" w:type="auto"/>
            <w:tcBorders>
              <w:top w:val="nil"/>
              <w:bottom w:val="single" w:sz="4" w:space="0" w:color="auto"/>
              <w:right w:val="single" w:sz="4" w:space="0" w:color="auto"/>
            </w:tcBorders>
            <w:shd w:val="clear" w:color="auto" w:fill="auto"/>
            <w:noWrap/>
            <w:vAlign w:val="center"/>
            <w:hideMark/>
          </w:tcPr>
          <w:p w14:paraId="180787B0" w14:textId="52E34D70" w:rsidR="00C512F0" w:rsidRPr="00E87E42" w:rsidRDefault="00C512F0" w:rsidP="00B34E5C">
            <w:pPr>
              <w:spacing w:after="0" w:line="240" w:lineRule="auto"/>
              <w:jc w:val="center"/>
              <w:rPr>
                <w:rFonts w:eastAsia="Times New Roman"/>
                <w:color w:val="000000"/>
                <w:sz w:val="18"/>
                <w:szCs w:val="16"/>
                <w:lang w:eastAsia="en-GB"/>
              </w:rPr>
            </w:pPr>
            <w:r w:rsidRPr="00E87E42">
              <w:rPr>
                <w:rFonts w:eastAsia="Times New Roman"/>
                <w:color w:val="000000"/>
                <w:sz w:val="18"/>
                <w:szCs w:val="16"/>
                <w:lang w:eastAsia="en-GB"/>
              </w:rPr>
              <w:t>Over 500</w:t>
            </w:r>
            <w:r w:rsidR="004559B5">
              <w:rPr>
                <w:rFonts w:eastAsia="Times New Roman"/>
                <w:color w:val="000000"/>
                <w:sz w:val="18"/>
                <w:szCs w:val="16"/>
                <w:lang w:eastAsia="en-GB"/>
              </w:rPr>
              <w:t>,</w:t>
            </w:r>
            <w:r w:rsidRPr="00E87E42">
              <w:rPr>
                <w:rFonts w:eastAsia="Times New Roman"/>
                <w:color w:val="000000"/>
                <w:sz w:val="18"/>
                <w:szCs w:val="16"/>
                <w:lang w:eastAsia="en-GB"/>
              </w:rPr>
              <w:t>000 ft</w:t>
            </w:r>
            <w:r w:rsidRPr="00E87E42">
              <w:rPr>
                <w:rFonts w:eastAsia="Times New Roman"/>
                <w:color w:val="000000"/>
                <w:sz w:val="18"/>
                <w:szCs w:val="16"/>
                <w:vertAlign w:val="superscript"/>
                <w:lang w:eastAsia="en-GB"/>
              </w:rPr>
              <w:t>2</w:t>
            </w:r>
          </w:p>
        </w:tc>
      </w:tr>
    </w:tbl>
    <w:p w14:paraId="72302890" w14:textId="77777777" w:rsidR="00DF7B2A" w:rsidRPr="00E87E42" w:rsidRDefault="00DF7B2A" w:rsidP="00124E2C"/>
    <w:p w14:paraId="7326EC77" w14:textId="5A552B8D" w:rsidR="00956EB1" w:rsidRPr="00E87E42" w:rsidRDefault="00956EB1" w:rsidP="00124E2C">
      <w:r w:rsidRPr="00E87E42">
        <w:t>NF</w:t>
      </w:r>
      <w:r w:rsidR="00420A14" w:rsidRPr="00E87E42">
        <w:t>IR</w:t>
      </w:r>
      <w:r w:rsidRPr="00E87E42">
        <w:t>S also reports the number of floors of building below and above the fire floor</w:t>
      </w:r>
      <w:r w:rsidR="00420A14" w:rsidRPr="00E87E42">
        <w:t xml:space="preserve"> and</w:t>
      </w:r>
      <w:r w:rsidRPr="00E87E42">
        <w:t xml:space="preserve"> the average floor area. This allows an evaluation of the total floor area of the building </w:t>
      </w:r>
      <w:proofErr w:type="gramStart"/>
      <w:r w:rsidRPr="00E87E42">
        <w:t xml:space="preserve">in </w:t>
      </w:r>
      <w:r w:rsidR="00BE4BE4" w:rsidRPr="00E87E42">
        <w:t>ft</w:t>
      </w:r>
      <w:r w:rsidR="00BE4BE4" w:rsidRPr="00E87E42">
        <w:rPr>
          <w:vertAlign w:val="superscript"/>
        </w:rPr>
        <w:t>2</w:t>
      </w:r>
      <w:r w:rsidRPr="00E87E42">
        <w:t xml:space="preserve"> </w:t>
      </w:r>
      <w:r w:rsidR="000D488B" w:rsidRPr="00E87E42">
        <w:t>(</w:t>
      </w:r>
      <w:r w:rsidRPr="00E87E42">
        <w:t>consequently converted in</w:t>
      </w:r>
      <w:r w:rsidR="000D488B" w:rsidRPr="00E87E42">
        <w:t>to</w:t>
      </w:r>
      <w:r w:rsidRPr="00E87E42">
        <w:t xml:space="preserve"> </w:t>
      </w:r>
      <w:r w:rsidR="00BE4BE4" w:rsidRPr="00E87E42">
        <w:t>m</w:t>
      </w:r>
      <w:r w:rsidR="00BE4BE4" w:rsidRPr="00E87E42">
        <w:rPr>
          <w:vertAlign w:val="superscript"/>
        </w:rPr>
        <w:t>2</w:t>
      </w:r>
      <w:r w:rsidR="00BE4BE4" w:rsidRPr="00E87E42">
        <w:t xml:space="preserve"> </w:t>
      </w:r>
      <w:r w:rsidR="000D488B" w:rsidRPr="00E87E42">
        <w:t>for</w:t>
      </w:r>
      <w:r w:rsidRPr="00E87E42">
        <w:t xml:space="preserve"> compar</w:t>
      </w:r>
      <w:r w:rsidR="000D488B" w:rsidRPr="00E87E42">
        <w:t>ison</w:t>
      </w:r>
      <w:r w:rsidRPr="00E87E42">
        <w:t xml:space="preserve"> to UK data</w:t>
      </w:r>
      <w:r w:rsidR="000D488B" w:rsidRPr="00E87E42">
        <w:t>)</w:t>
      </w:r>
      <w:proofErr w:type="gramEnd"/>
      <w:r w:rsidR="009F5E15" w:rsidRPr="00E87E42">
        <w:t>.</w:t>
      </w:r>
    </w:p>
    <w:p w14:paraId="4808D1D1" w14:textId="0E6C323D" w:rsidR="00124E2C" w:rsidRPr="00E87E42" w:rsidRDefault="00124E2C" w:rsidP="00124E2C">
      <w:r w:rsidRPr="00E87E42">
        <w:t xml:space="preserve">Additionally, NFIRS reports fire loss data, as </w:t>
      </w:r>
      <w:r w:rsidR="00BF28A4" w:rsidRPr="00E87E42">
        <w:t xml:space="preserve">defined </w:t>
      </w:r>
      <w:r w:rsidRPr="00E87E42">
        <w:t>by the U.S. Fire Administration</w:t>
      </w:r>
      <w:r w:rsidR="006314D2">
        <w:t>:</w:t>
      </w:r>
      <w:r w:rsidRPr="00E87E42">
        <w:t xml:space="preserve"> </w:t>
      </w:r>
      <w:r w:rsidRPr="00E87E42">
        <w:rPr>
          <w:i/>
        </w:rPr>
        <w:t>“Fire loss is an estimation of the total loss to the structure and contents in terms of replacement in like kind and quantity. This estimation of fire loss includes contents damaged by fire, smoke, water and overhaul. It does not include indirect loss, such as business interruption</w:t>
      </w:r>
      <w:r w:rsidRPr="00E87E42">
        <w:t xml:space="preserve">”. The estimated dollar losses </w:t>
      </w:r>
      <w:proofErr w:type="gramStart"/>
      <w:r w:rsidRPr="00E87E42">
        <w:t>are divided</w:t>
      </w:r>
      <w:proofErr w:type="gramEnd"/>
      <w:r w:rsidRPr="00E87E42">
        <w:t xml:space="preserve"> into property and contents losses to asses</w:t>
      </w:r>
      <w:r w:rsidR="00AF07CC" w:rsidRPr="00E87E42">
        <w:t>s</w:t>
      </w:r>
      <w:r w:rsidRPr="00E87E42">
        <w:t xml:space="preserve"> a magnitude of the fire problem. This is fundamental to define fire prevention programs where high monetary losses are expected. </w:t>
      </w:r>
      <w:r w:rsidR="000D488B" w:rsidRPr="00E87E42">
        <w:t>F</w:t>
      </w:r>
      <w:r w:rsidRPr="00E87E42">
        <w:t xml:space="preserve">ire </w:t>
      </w:r>
      <w:r w:rsidRPr="00E87E42">
        <w:lastRenderedPageBreak/>
        <w:t xml:space="preserve">departments </w:t>
      </w:r>
      <w:r w:rsidR="000D488B" w:rsidRPr="00E87E42">
        <w:t xml:space="preserve">also </w:t>
      </w:r>
      <w:r w:rsidRPr="00E87E42">
        <w:t>estimat</w:t>
      </w:r>
      <w:r w:rsidR="00AF07CC" w:rsidRPr="00E87E42">
        <w:t xml:space="preserve">e the pre-incident value of the </w:t>
      </w:r>
      <w:r w:rsidRPr="00E87E42">
        <w:t>property and the dollar loss caused by the even</w:t>
      </w:r>
      <w:r w:rsidR="00AF07CC" w:rsidRPr="00E87E42">
        <w:t>t</w:t>
      </w:r>
      <w:r w:rsidR="00512196" w:rsidRPr="00E87E42">
        <w:t xml:space="preserve"> which are assessed thanks to</w:t>
      </w:r>
      <w:r w:rsidRPr="00E87E42">
        <w:t xml:space="preserve"> the International Code Council’s Building Valuation Data (BVD) formula </w:t>
      </w:r>
      <w:r w:rsidRPr="00E87E42">
        <w:fldChar w:fldCharType="begin" w:fldLock="1"/>
      </w:r>
      <w:r w:rsidR="00BC5ED7" w:rsidRPr="00E87E42">
        <w:instrText>ADDIN CSL_CITATION {"citationItems":[{"id":"ITEM-1","itemData":{"author":[{"dropping-particle":"","family":"International Code Council","given":"","non-dropping-particle":"","parse-names":false,"suffix":""}],"id":"ITEM-1","issue":"FEBRUARY","issued":{"date-parts":[["2017"]]},"number-of-pages":"19-20","title":"Building Valuation Data – FEBRUARY 2017","type":"report"},"uris":["http://www.mendeley.com/documents/?uuid=c53294b3-d65f-4d76-bbb7-4f15e849cb25"]}],"mendeley":{"formattedCitation":"[31]","plainTextFormattedCitation":"[31]","previouslyFormattedCitation":"[31]"},"properties":{"noteIndex":0},"schema":"https://github.com/citation-style-language/schema/raw/master/csl-citation.json"}</w:instrText>
      </w:r>
      <w:r w:rsidRPr="00E87E42">
        <w:fldChar w:fldCharType="separate"/>
      </w:r>
      <w:r w:rsidR="00BC5ED7" w:rsidRPr="00E87E42">
        <w:rPr>
          <w:noProof/>
        </w:rPr>
        <w:t>[31]</w:t>
      </w:r>
      <w:r w:rsidRPr="00E87E42">
        <w:fldChar w:fldCharType="end"/>
      </w:r>
      <w:r w:rsidR="000D488B" w:rsidRPr="00E87E42">
        <w:t xml:space="preserve"> using </w:t>
      </w:r>
      <w:r w:rsidRPr="00E87E42">
        <w:t>avera</w:t>
      </w:r>
      <w:r w:rsidR="003532AC" w:rsidRPr="00E87E42">
        <w:t xml:space="preserve">ge </w:t>
      </w:r>
      <w:r w:rsidR="000D488B" w:rsidRPr="00E87E42">
        <w:t xml:space="preserve">square foot </w:t>
      </w:r>
      <w:r w:rsidR="003532AC" w:rsidRPr="00E87E42">
        <w:t xml:space="preserve">construction costs </w:t>
      </w:r>
      <w:r w:rsidR="000D488B" w:rsidRPr="00E87E42">
        <w:t xml:space="preserve">provided </w:t>
      </w:r>
      <w:r w:rsidRPr="00E87E42">
        <w:t>by the BVD:</w:t>
      </w:r>
    </w:p>
    <w:p w14:paraId="30501D9D" w14:textId="37D5FE8B" w:rsidR="00847A0D" w:rsidRPr="00E87E42" w:rsidRDefault="004361AA" w:rsidP="00293F66">
      <w:pPr>
        <w:tabs>
          <w:tab w:val="center" w:pos="5103"/>
          <w:tab w:val="right" w:pos="10206"/>
        </w:tabs>
      </w:pPr>
      <w:r w:rsidRPr="00E87E42">
        <w:tab/>
      </w:r>
      <m:oMath>
        <m:r>
          <w:rPr>
            <w:rFonts w:ascii="Cambria Math" w:hAnsi="Cambria Math"/>
          </w:rPr>
          <m:t>$ loss=</m:t>
        </m:r>
        <m:r>
          <m:rPr>
            <m:sty m:val="p"/>
          </m:rPr>
          <w:rPr>
            <w:rFonts w:ascii="Cambria Math" w:hAnsi="Cambria Math"/>
          </w:rPr>
          <m:t>total square feet of damage×square foot construction cost</m:t>
        </m:r>
      </m:oMath>
      <w:r w:rsidR="00D41F41" w:rsidRPr="00E87E42">
        <w:tab/>
        <w:t>(4)</w:t>
      </w:r>
    </w:p>
    <w:p w14:paraId="5540DFFC" w14:textId="45180325" w:rsidR="004F58DC" w:rsidRPr="00E87E42" w:rsidRDefault="004F58DC" w:rsidP="004F58DC">
      <w:pPr>
        <w:tabs>
          <w:tab w:val="center" w:pos="5103"/>
          <w:tab w:val="right" w:pos="10206"/>
        </w:tabs>
      </w:pPr>
      <w:proofErr w:type="gramStart"/>
      <w:r w:rsidRPr="00E87E42">
        <w:t>where</w:t>
      </w:r>
      <w:proofErr w:type="gramEnd"/>
      <w:r w:rsidRPr="00E87E42">
        <w:t xml:space="preserve"> the square foot construction cost is specified according to the different property type</w:t>
      </w:r>
      <w:r w:rsidR="00512196" w:rsidRPr="00E87E42">
        <w:t>s</w:t>
      </w:r>
      <w:r w:rsidRPr="00E87E42">
        <w:t>.</w:t>
      </w:r>
    </w:p>
    <w:p w14:paraId="0CA967ED" w14:textId="7ECAD436" w:rsidR="00C7491E" w:rsidRPr="00E87E42" w:rsidRDefault="00C7491E" w:rsidP="00420A14">
      <w:pPr>
        <w:pStyle w:val="Heading2"/>
        <w:numPr>
          <w:ilvl w:val="1"/>
          <w:numId w:val="35"/>
        </w:numPr>
      </w:pPr>
      <w:r w:rsidRPr="00E87E42">
        <w:t>NUMBER OF BUILDING</w:t>
      </w:r>
      <w:r w:rsidR="00133A66" w:rsidRPr="00E87E42">
        <w:t>S</w:t>
      </w:r>
      <w:r w:rsidRPr="00E87E42">
        <w:t xml:space="preserve"> AT RISK</w:t>
      </w:r>
    </w:p>
    <w:p w14:paraId="2D4FBF0A" w14:textId="1A7A0EC3" w:rsidR="00C7491E" w:rsidRPr="00E87E42" w:rsidRDefault="00DF7B2A" w:rsidP="008A55B5">
      <w:r w:rsidRPr="00E87E42">
        <w:t>To determine the</w:t>
      </w:r>
      <w:r w:rsidR="00C7491E" w:rsidRPr="00E87E42">
        <w:t xml:space="preserve"> </w:t>
      </w:r>
      <w:r w:rsidR="00E937D7" w:rsidRPr="00E87E42">
        <w:t>frequency</w:t>
      </w:r>
      <w:r w:rsidR="00C7491E" w:rsidRPr="00E87E42">
        <w:t xml:space="preserve"> of fire</w:t>
      </w:r>
      <w:r w:rsidRPr="00E87E42">
        <w:t xml:space="preserve"> </w:t>
      </w:r>
      <w:r w:rsidR="00C7491E" w:rsidRPr="00E87E42">
        <w:t xml:space="preserve">the total number of buildings at risk </w:t>
      </w:r>
      <w:r w:rsidR="00437FE3" w:rsidRPr="00E87E42">
        <w:t>is required</w:t>
      </w:r>
      <w:r w:rsidRPr="00E87E42">
        <w:t xml:space="preserve"> with respect to the specific country </w:t>
      </w:r>
      <w:proofErr w:type="gramStart"/>
      <w:r w:rsidRPr="00E87E42">
        <w:t>and also</w:t>
      </w:r>
      <w:proofErr w:type="gramEnd"/>
      <w:r w:rsidRPr="00E87E42">
        <w:t xml:space="preserve"> subdivided by total area</w:t>
      </w:r>
      <w:r w:rsidR="00C7491E" w:rsidRPr="00E87E42">
        <w:t>.</w:t>
      </w:r>
      <w:r w:rsidRPr="00E87E42">
        <w:t xml:space="preserve"> T</w:t>
      </w:r>
      <w:r w:rsidR="00C7491E" w:rsidRPr="00E87E42">
        <w:t xml:space="preserve">his research </w:t>
      </w:r>
      <w:r w:rsidRPr="00E87E42">
        <w:t>uses data from</w:t>
      </w:r>
      <w:r w:rsidR="00C7491E" w:rsidRPr="00E87E42">
        <w:t xml:space="preserve"> the US Energy Information Administration (EIA) </w:t>
      </w:r>
      <w:r w:rsidR="005B62F0" w:rsidRPr="00E87E42">
        <w:fldChar w:fldCharType="begin" w:fldLock="1"/>
      </w:r>
      <w:r w:rsidR="00BC5ED7" w:rsidRPr="00E87E42">
        <w:instrText>ADDIN CSL_CITATION {"citationItems":[{"id":"ITEM-1","itemData":{"author":[{"dropping-particle":"","family":"U.S. Energy Information Administration","given":"","non-dropping-particle":"","parse-names":false,"suffix":""}],"id":"ITEM-1","issued":{"date-parts":[["0"]]},"title":"https://www.eia.gov/","type":"webpage"},"uris":["http://www.mendeley.com/documents/?uuid=10657a5e-4999-4882-8298-a2dc7f1ba099","http://www.mendeley.com/documents/?uuid=a37bf659-cf5e-4648-a818-d8bf19428c7f"]}],"mendeley":{"formattedCitation":"[32]","plainTextFormattedCitation":"[32]","previouslyFormattedCitation":"[32]"},"properties":{"noteIndex":0},"schema":"https://github.com/citation-style-language/schema/raw/master/csl-citation.json"}</w:instrText>
      </w:r>
      <w:r w:rsidR="005B62F0" w:rsidRPr="00E87E42">
        <w:fldChar w:fldCharType="separate"/>
      </w:r>
      <w:r w:rsidR="00BC5ED7" w:rsidRPr="00E87E42">
        <w:rPr>
          <w:noProof/>
        </w:rPr>
        <w:t>[32]</w:t>
      </w:r>
      <w:r w:rsidR="005B62F0" w:rsidRPr="00E87E42">
        <w:fldChar w:fldCharType="end"/>
      </w:r>
      <w:r w:rsidR="00E937D7" w:rsidRPr="00E87E42">
        <w:t xml:space="preserve"> </w:t>
      </w:r>
      <w:r w:rsidRPr="00E87E42">
        <w:t>namely</w:t>
      </w:r>
      <w:r w:rsidR="00C7491E" w:rsidRPr="00E87E42">
        <w:t>:</w:t>
      </w:r>
      <w:r w:rsidR="004558F5" w:rsidRPr="00E87E42">
        <w:t xml:space="preserve"> </w:t>
      </w:r>
      <w:r w:rsidR="00C7491E" w:rsidRPr="00E87E42">
        <w:t>Commercial buildings energy consumption survey (CBECS)</w:t>
      </w:r>
      <w:r w:rsidR="00E937D7" w:rsidRPr="00E87E42">
        <w:t xml:space="preserve"> </w:t>
      </w:r>
      <w:r w:rsidR="005B62F0" w:rsidRPr="00E87E42">
        <w:fldChar w:fldCharType="begin" w:fldLock="1"/>
      </w:r>
      <w:r w:rsidR="00BC5ED7" w:rsidRPr="00E87E42">
        <w:instrText>ADDIN CSL_CITATION {"citationItems":[{"id":"ITEM-1","itemData":{"author":[{"dropping-particle":"","family":"Commercial Buildings Energy Consumption Survey","given":"","non-dropping-particle":"","parse-names":false,"suffix":""}],"id":"ITEM-1","issued":{"date-parts":[["0"]]},"title":"https://www.eia.gov/consumption/commercial/","type":"webpage"},"uris":["http://www.mendeley.com/documents/?uuid=db00952a-b02e-4ba3-ba33-ab01298decf9","http://www.mendeley.com/documents/?uuid=62eb4b3e-ad9f-467e-9dcb-f643341a07c9"]}],"mendeley":{"formattedCitation":"[33]","plainTextFormattedCitation":"[33]","previouslyFormattedCitation":"[33]"},"properties":{"noteIndex":0},"schema":"https://github.com/citation-style-language/schema/raw/master/csl-citation.json"}</w:instrText>
      </w:r>
      <w:r w:rsidR="005B62F0" w:rsidRPr="00E87E42">
        <w:fldChar w:fldCharType="separate"/>
      </w:r>
      <w:r w:rsidR="00BC5ED7" w:rsidRPr="00E87E42">
        <w:rPr>
          <w:noProof/>
        </w:rPr>
        <w:t>[33]</w:t>
      </w:r>
      <w:r w:rsidR="005B62F0" w:rsidRPr="00E87E42">
        <w:fldChar w:fldCharType="end"/>
      </w:r>
      <w:r w:rsidR="004558F5" w:rsidRPr="00E87E42">
        <w:t xml:space="preserve"> and </w:t>
      </w:r>
      <w:r w:rsidR="00C7491E" w:rsidRPr="00E87E42">
        <w:t>Manufacturing energy consumption survey (MECS)</w:t>
      </w:r>
      <w:r w:rsidR="00E937D7" w:rsidRPr="00E87E42">
        <w:t xml:space="preserve"> </w:t>
      </w:r>
      <w:r w:rsidR="005B62F0" w:rsidRPr="00E87E42">
        <w:fldChar w:fldCharType="begin" w:fldLock="1"/>
      </w:r>
      <w:r w:rsidR="00BC5ED7" w:rsidRPr="00E87E42">
        <w:instrText>ADDIN CSL_CITATION {"citationItems":[{"id":"ITEM-1","itemData":{"author":[{"dropping-particle":"","family":"Manufacturing Energy Consumption Survey","given":"","non-dropping-particle":"","parse-names":false,"suffix":""}],"id":"ITEM-1","issued":{"date-parts":[["0"]]},"title":"https://www.eia.gov/consumption/manufacturing/","type":"webpage"},"uris":["http://www.mendeley.com/documents/?uuid=a4124273-b6ff-4150-80d6-ea1ec32fac44","http://www.mendeley.com/documents/?uuid=e3e8acb6-251c-4eeb-abab-9d2a801b7221"]}],"mendeley":{"formattedCitation":"[34]","plainTextFormattedCitation":"[34]","previouslyFormattedCitation":"[34]"},"properties":{"noteIndex":0},"schema":"https://github.com/citation-style-language/schema/raw/master/csl-citation.json"}</w:instrText>
      </w:r>
      <w:r w:rsidR="005B62F0" w:rsidRPr="00E87E42">
        <w:fldChar w:fldCharType="separate"/>
      </w:r>
      <w:r w:rsidR="00BC5ED7" w:rsidRPr="00E87E42">
        <w:rPr>
          <w:noProof/>
        </w:rPr>
        <w:t>[34]</w:t>
      </w:r>
      <w:r w:rsidR="005B62F0" w:rsidRPr="00E87E42">
        <w:fldChar w:fldCharType="end"/>
      </w:r>
      <w:r w:rsidR="004558F5" w:rsidRPr="00E87E42">
        <w:t>.</w:t>
      </w:r>
    </w:p>
    <w:p w14:paraId="1111979F" w14:textId="5FC99A07" w:rsidR="00670CF9" w:rsidRPr="00E87E42" w:rsidRDefault="003850FD" w:rsidP="00993CB1">
      <w:r w:rsidRPr="00E87E42">
        <w:t xml:space="preserve">Both the </w:t>
      </w:r>
      <w:r w:rsidR="00C7491E" w:rsidRPr="00E87E42">
        <w:t xml:space="preserve">CBECS </w:t>
      </w:r>
      <w:r w:rsidRPr="00E87E42">
        <w:t>and MECS are</w:t>
      </w:r>
      <w:r w:rsidR="00C7491E" w:rsidRPr="00E87E42">
        <w:t xml:space="preserve"> national sample survey</w:t>
      </w:r>
      <w:r w:rsidRPr="00E87E42">
        <w:t>s</w:t>
      </w:r>
      <w:r w:rsidR="00C7491E" w:rsidRPr="00E87E42">
        <w:t xml:space="preserve"> that collects information on U.S. commercial</w:t>
      </w:r>
      <w:r w:rsidRPr="00E87E42">
        <w:t xml:space="preserve"> and manufacturing</w:t>
      </w:r>
      <w:r w:rsidR="00C7491E" w:rsidRPr="00E87E42">
        <w:t xml:space="preserve"> buildings</w:t>
      </w:r>
      <w:r w:rsidR="005B6ECC" w:rsidRPr="00E87E42">
        <w:t xml:space="preserve"> stock, </w:t>
      </w:r>
      <w:r w:rsidR="00C7491E" w:rsidRPr="00E87E42">
        <w:t xml:space="preserve">including their energy-related data. </w:t>
      </w:r>
      <w:r w:rsidR="00BE6A3A" w:rsidRPr="00E87E42">
        <w:t xml:space="preserve">CBECS databases </w:t>
      </w:r>
      <w:r w:rsidR="005B6ECC" w:rsidRPr="00E87E42">
        <w:t xml:space="preserve">classify </w:t>
      </w:r>
      <w:r w:rsidR="00BE6A3A" w:rsidRPr="00E87E42">
        <w:t xml:space="preserve">buildings </w:t>
      </w:r>
      <w:r w:rsidR="005B6ECC" w:rsidRPr="00E87E42">
        <w:t>in</w:t>
      </w:r>
      <w:r w:rsidR="00BE6A3A" w:rsidRPr="00E87E42">
        <w:t xml:space="preserve">to total floor space </w:t>
      </w:r>
      <w:r w:rsidR="005B6ECC" w:rsidRPr="00E87E42">
        <w:t>bands ranging from 1,001 ft</w:t>
      </w:r>
      <w:r w:rsidR="005B6ECC" w:rsidRPr="00E87E42">
        <w:rPr>
          <w:vertAlign w:val="superscript"/>
        </w:rPr>
        <w:t>2</w:t>
      </w:r>
      <w:r w:rsidR="005B6ECC" w:rsidRPr="00E87E42">
        <w:t xml:space="preserve"> at the lowest end, to over 500,000 ft</w:t>
      </w:r>
      <w:r w:rsidR="005B6ECC" w:rsidRPr="00E87E42">
        <w:rPr>
          <w:vertAlign w:val="superscript"/>
        </w:rPr>
        <w:t>2</w:t>
      </w:r>
      <w:r w:rsidR="005B6ECC" w:rsidRPr="00E87E42">
        <w:t xml:space="preserve"> at the top (</w:t>
      </w:r>
      <w:r w:rsidR="005B6ECC" w:rsidRPr="00E87E42">
        <w:fldChar w:fldCharType="begin"/>
      </w:r>
      <w:r w:rsidR="005B6ECC" w:rsidRPr="00E87E42">
        <w:instrText xml:space="preserve"> REF _Ref508274708 \h  \* MERGEFORMAT </w:instrText>
      </w:r>
      <w:r w:rsidR="005B6ECC" w:rsidRPr="00E87E42">
        <w:fldChar w:fldCharType="separate"/>
      </w:r>
      <w:r w:rsidR="009F6872" w:rsidRPr="00E87E42">
        <w:t xml:space="preserve">Table </w:t>
      </w:r>
      <w:r w:rsidR="009F6872">
        <w:rPr>
          <w:noProof/>
        </w:rPr>
        <w:t>1</w:t>
      </w:r>
      <w:r w:rsidR="005B6ECC" w:rsidRPr="00E87E42">
        <w:fldChar w:fldCharType="end"/>
      </w:r>
      <w:r w:rsidR="005B6ECC" w:rsidRPr="00E87E42">
        <w:t xml:space="preserve">).  </w:t>
      </w:r>
      <w:r w:rsidR="006F1A3F" w:rsidRPr="00E87E42">
        <w:t xml:space="preserve">In the </w:t>
      </w:r>
      <w:r w:rsidR="00BE6A3A" w:rsidRPr="00E87E42">
        <w:t xml:space="preserve">MECS databases, the average floor space </w:t>
      </w:r>
      <w:r w:rsidR="005B6ECC" w:rsidRPr="00E87E42">
        <w:t xml:space="preserve">(in </w:t>
      </w:r>
      <w:r w:rsidR="001B682D" w:rsidRPr="00E87E42">
        <w:t>ft</w:t>
      </w:r>
      <w:r w:rsidR="001B682D" w:rsidRPr="00E87E42">
        <w:rPr>
          <w:vertAlign w:val="superscript"/>
        </w:rPr>
        <w:t>2</w:t>
      </w:r>
      <w:r w:rsidR="005B6ECC" w:rsidRPr="00E87E42">
        <w:t>)</w:t>
      </w:r>
      <w:r w:rsidR="00BE6A3A" w:rsidRPr="00E87E42">
        <w:t xml:space="preserve"> </w:t>
      </w:r>
      <w:proofErr w:type="gramStart"/>
      <w:r w:rsidR="00BE6A3A" w:rsidRPr="00E87E42">
        <w:t>has been evaluated</w:t>
      </w:r>
      <w:proofErr w:type="gramEnd"/>
      <w:r w:rsidR="00BE6A3A" w:rsidRPr="00E87E42">
        <w:t xml:space="preserve"> considering the average enclosed floor</w:t>
      </w:r>
      <w:r w:rsidR="00EE04A0" w:rsidRPr="00E87E42">
        <w:t xml:space="preserve"> </w:t>
      </w:r>
      <w:r w:rsidR="00BE6A3A" w:rsidRPr="00E87E42">
        <w:t xml:space="preserve">space per establishment divided by the average number of buildings onsite per establishment. Values obtained </w:t>
      </w:r>
      <w:proofErr w:type="gramStart"/>
      <w:r w:rsidR="00BE6A3A" w:rsidRPr="00E87E42">
        <w:t>have been consequently classified</w:t>
      </w:r>
      <w:proofErr w:type="gramEnd"/>
      <w:r w:rsidR="00BE6A3A" w:rsidRPr="00E87E42">
        <w:t xml:space="preserve"> according to the floor space bands in the CBECS databases.</w:t>
      </w:r>
    </w:p>
    <w:p w14:paraId="72916A08" w14:textId="74DB8F91" w:rsidR="00C7491E" w:rsidRPr="00E87E42" w:rsidRDefault="00DF7B2A" w:rsidP="00A95C58">
      <w:r w:rsidRPr="00E87E42">
        <w:t xml:space="preserve">The most recent </w:t>
      </w:r>
      <w:r w:rsidR="00C7491E" w:rsidRPr="00E87E42">
        <w:t>CBECS</w:t>
      </w:r>
      <w:r w:rsidR="004559B5">
        <w:t xml:space="preserve"> data are</w:t>
      </w:r>
      <w:r w:rsidRPr="00E87E42">
        <w:t xml:space="preserve"> from 2012</w:t>
      </w:r>
      <w:r w:rsidR="00CC56E5" w:rsidRPr="00E87E42">
        <w:t xml:space="preserve"> </w:t>
      </w:r>
      <w:r w:rsidR="00CC56E5" w:rsidRPr="00E87E42">
        <w:fldChar w:fldCharType="begin" w:fldLock="1"/>
      </w:r>
      <w:r w:rsidR="00BC5ED7" w:rsidRPr="00E87E42">
        <w:instrText>ADDIN CSL_CITATION {"citationItems":[{"id":"ITEM-1","itemData":{"author":[{"dropping-particle":"","family":"Commercial Buildings Energy Consumption Survey","given":"","non-dropping-particle":"","parse-names":false,"suffix":""}],"id":"ITEM-1","issued":{"date-parts":[["0"]]},"title":"https://www.eia.gov/consumption/commercial/","type":"webpage"},"uris":["http://www.mendeley.com/documents/?uuid=db00952a-b02e-4ba3-ba33-ab01298decf9","http://www.mendeley.com/documents/?uuid=62eb4b3e-ad9f-467e-9dcb-f643341a07c9"]}],"mendeley":{"formattedCitation":"[33]","plainTextFormattedCitation":"[33]","previouslyFormattedCitation":"[33]"},"properties":{"noteIndex":0},"schema":"https://github.com/citation-style-language/schema/raw/master/csl-citation.json"}</w:instrText>
      </w:r>
      <w:r w:rsidR="00CC56E5" w:rsidRPr="00E87E42">
        <w:fldChar w:fldCharType="separate"/>
      </w:r>
      <w:r w:rsidR="00BC5ED7" w:rsidRPr="00E87E42">
        <w:rPr>
          <w:noProof/>
        </w:rPr>
        <w:t>[33]</w:t>
      </w:r>
      <w:r w:rsidR="00CC56E5" w:rsidRPr="00E87E42">
        <w:fldChar w:fldCharType="end"/>
      </w:r>
      <w:r w:rsidR="00CC56E5" w:rsidRPr="00E87E42">
        <w:t xml:space="preserve"> </w:t>
      </w:r>
      <w:r w:rsidRPr="00E87E42">
        <w:t>ass</w:t>
      </w:r>
      <w:r w:rsidR="00670CF9" w:rsidRPr="00E87E42">
        <w:t>essing c</w:t>
      </w:r>
      <w:r w:rsidR="00C7491E" w:rsidRPr="00E87E42">
        <w:t xml:space="preserve">ommercial buildings </w:t>
      </w:r>
      <w:r w:rsidR="005B6ECC" w:rsidRPr="00E87E42">
        <w:t xml:space="preserve">and </w:t>
      </w:r>
      <w:r w:rsidR="004559B5">
        <w:t>estimate</w:t>
      </w:r>
      <w:r w:rsidR="00C7491E" w:rsidRPr="00E87E42">
        <w:t xml:space="preserve"> that there were 5.6 million commercial buildings in the U.S. in 2012. The Energy Information </w:t>
      </w:r>
      <w:r w:rsidR="00CC56E5" w:rsidRPr="00E87E42">
        <w:t>Administration (</w:t>
      </w:r>
      <w:r w:rsidR="00C7491E" w:rsidRPr="00E87E42">
        <w:t>EIA</w:t>
      </w:r>
      <w:r w:rsidR="00CC56E5" w:rsidRPr="00E87E42">
        <w:t>)</w:t>
      </w:r>
      <w:r w:rsidR="00C7491E" w:rsidRPr="00E87E42">
        <w:t xml:space="preserve">, used a </w:t>
      </w:r>
      <w:r w:rsidR="00AC2CB1" w:rsidRPr="00E87E42">
        <w:t xml:space="preserve">stratified </w:t>
      </w:r>
      <w:r w:rsidR="00C7491E" w:rsidRPr="00E87E42">
        <w:t xml:space="preserve">statistical sample </w:t>
      </w:r>
      <w:r w:rsidR="00AC2CB1" w:rsidRPr="00E87E42">
        <w:t xml:space="preserve">of just over </w:t>
      </w:r>
      <w:r w:rsidR="00BC4153" w:rsidRPr="00E87E42">
        <w:t xml:space="preserve">12,000 buildings </w:t>
      </w:r>
      <w:r w:rsidR="00AC2CB1" w:rsidRPr="00E87E42">
        <w:t xml:space="preserve">completed surveys </w:t>
      </w:r>
      <w:r w:rsidR="00C7491E" w:rsidRPr="00E87E42">
        <w:t xml:space="preserve">designed to represent the entire population. </w:t>
      </w:r>
      <w:r w:rsidR="00AC2CB1" w:rsidRPr="00E87E42">
        <w:t xml:space="preserve">The sampling technique ensures that all types and sizes of commercial buildings have a chance of selection where </w:t>
      </w:r>
      <w:r w:rsidR="001B682D" w:rsidRPr="00E87E42">
        <w:t>ft</w:t>
      </w:r>
      <w:r w:rsidR="001B682D" w:rsidRPr="00E87E42">
        <w:rPr>
          <w:vertAlign w:val="superscript"/>
        </w:rPr>
        <w:t>2</w:t>
      </w:r>
      <w:r w:rsidR="00AC2CB1" w:rsidRPr="00E87E42">
        <w:t xml:space="preserve"> is highly correlated with energy consumption</w:t>
      </w:r>
      <w:r w:rsidR="00BC4153" w:rsidRPr="00E87E42">
        <w:t xml:space="preserve"> and variance was minimised as much as possible given time and budget constraints.</w:t>
      </w:r>
    </w:p>
    <w:p w14:paraId="3CBB643D" w14:textId="2E4E91B4" w:rsidR="000E2D55" w:rsidRPr="00E87E42" w:rsidRDefault="00C7491E" w:rsidP="00904AF7">
      <w:r w:rsidRPr="00E87E42">
        <w:t xml:space="preserve">The 2014 MECS sample size of approximately 15,000 establishments </w:t>
      </w:r>
      <w:proofErr w:type="gramStart"/>
      <w:r w:rsidRPr="00E87E42">
        <w:t>was drawn</w:t>
      </w:r>
      <w:proofErr w:type="gramEnd"/>
      <w:r w:rsidRPr="00E87E42">
        <w:t xml:space="preserve"> from a nationally representative sample representing 97-98% of the manufacturing payroll. This sample allows EIA to report separate estimates of energy use for 21 3-digit industry subsectors, and 50 industry groups and industries according to the </w:t>
      </w:r>
      <w:r w:rsidR="00670CF9" w:rsidRPr="00E87E42">
        <w:t>North American Industry Classification System</w:t>
      </w:r>
      <w:r w:rsidR="00CC56E5" w:rsidRPr="00E87E42">
        <w:t xml:space="preserve"> </w:t>
      </w:r>
      <w:r w:rsidR="00904AF7" w:rsidRPr="00E87E42">
        <w:fldChar w:fldCharType="begin" w:fldLock="1"/>
      </w:r>
      <w:r w:rsidR="00BC5ED7" w:rsidRPr="00E87E42">
        <w:instrText>ADDIN CSL_CITATION {"citationItems":[{"id":"ITEM-1","itemData":{"author":[{"dropping-particle":"","family":"Executive office of the President","given":"","non-dropping-particle":"","parse-names":false,"suffix":""},{"dropping-particle":"","family":"Office of Mangement and Budget","given":"","non-dropping-particle":"","parse-names":false,"suffix":""}],"id":"ITEM-1","issued":{"date-parts":[["2017"]]},"page":"963","title":"North American Industry Classification System","type":"article-journal"},"uris":["http://www.mendeley.com/documents/?uuid=5ed25185-960c-4b96-967c-751a36eca509","http://www.mendeley.com/documents/?uuid=5ec5237f-32a3-482b-9a36-1cfcbcfdc48f"]}],"mendeley":{"formattedCitation":"[35]","plainTextFormattedCitation":"[35]","previouslyFormattedCitation":"[35]"},"properties":{"noteIndex":0},"schema":"https://github.com/citation-style-language/schema/raw/master/csl-citation.json"}</w:instrText>
      </w:r>
      <w:r w:rsidR="00904AF7" w:rsidRPr="00E87E42">
        <w:fldChar w:fldCharType="separate"/>
      </w:r>
      <w:r w:rsidR="00BC5ED7" w:rsidRPr="00E87E42">
        <w:rPr>
          <w:noProof/>
        </w:rPr>
        <w:t>[35]</w:t>
      </w:r>
      <w:r w:rsidR="00904AF7" w:rsidRPr="00E87E42">
        <w:fldChar w:fldCharType="end"/>
      </w:r>
      <w:r w:rsidRPr="00E87E42">
        <w:t>.</w:t>
      </w:r>
      <w:r w:rsidR="006A0A93" w:rsidRPr="00E87E42">
        <w:t xml:space="preserve"> </w:t>
      </w:r>
    </w:p>
    <w:p w14:paraId="06347ACA" w14:textId="51BC0A2B" w:rsidR="00A136E9" w:rsidRPr="00E87E42" w:rsidRDefault="0039315C" w:rsidP="00AA0C77">
      <w:r w:rsidRPr="00E87E42">
        <w:t>I</w:t>
      </w:r>
      <w:r w:rsidR="00BE6A3A" w:rsidRPr="00E87E42">
        <w:t xml:space="preserve">t </w:t>
      </w:r>
      <w:proofErr w:type="gramStart"/>
      <w:r w:rsidR="00BE6A3A" w:rsidRPr="00E87E42">
        <w:t>should be noted</w:t>
      </w:r>
      <w:proofErr w:type="gramEnd"/>
      <w:r w:rsidR="00BE6A3A" w:rsidRPr="00E87E42">
        <w:t xml:space="preserve"> that</w:t>
      </w:r>
      <w:r w:rsidR="0018291A" w:rsidRPr="00E87E42">
        <w:t xml:space="preserve"> </w:t>
      </w:r>
      <w:r w:rsidR="00AA0C77" w:rsidRPr="00E87E42">
        <w:t xml:space="preserve">in </w:t>
      </w:r>
      <w:r w:rsidR="0018291A" w:rsidRPr="00E87E42">
        <w:t xml:space="preserve">the analysis presented later in this paper, a choice has been made to present the fire frequencies at </w:t>
      </w:r>
      <w:r w:rsidR="008E6B12" w:rsidRPr="00E87E42">
        <w:t>a point of the bands evaluated as an average of the total floor</w:t>
      </w:r>
      <w:r w:rsidR="00EE04A0" w:rsidRPr="00E87E42">
        <w:t xml:space="preserve"> </w:t>
      </w:r>
      <w:r w:rsidR="008E6B12" w:rsidRPr="00E87E42">
        <w:t>space for that band divided by the total number of buildings</w:t>
      </w:r>
      <w:r w:rsidR="0018291A" w:rsidRPr="00E87E42">
        <w:t>.</w:t>
      </w:r>
      <w:r w:rsidR="008E6B12" w:rsidRPr="00E87E42">
        <w:t xml:space="preserve"> In this way, it </w:t>
      </w:r>
      <w:proofErr w:type="gramStart"/>
      <w:r w:rsidR="008E6B12" w:rsidRPr="00E87E42">
        <w:t>is not considered</w:t>
      </w:r>
      <w:proofErr w:type="gramEnd"/>
      <w:r w:rsidR="008E6B12" w:rsidRPr="00E87E42">
        <w:t xml:space="preserve"> the average of the general floor space band but the average floor</w:t>
      </w:r>
      <w:r w:rsidR="00EE04A0" w:rsidRPr="00E87E42">
        <w:t xml:space="preserve"> </w:t>
      </w:r>
      <w:r w:rsidR="008E6B12" w:rsidRPr="00E87E42">
        <w:t>space of all the buildings attributable to that band.</w:t>
      </w:r>
      <w:r w:rsidR="0018291A" w:rsidRPr="00E87E42">
        <w:t xml:space="preserve"> This will have subsequent impact on developed relationships.</w:t>
      </w:r>
    </w:p>
    <w:p w14:paraId="09C3F601" w14:textId="36D3B48D" w:rsidR="008E2DD8" w:rsidRPr="00E87E42" w:rsidRDefault="00BC4153" w:rsidP="00484B67">
      <w:r w:rsidRPr="00E87E42">
        <w:t>T</w:t>
      </w:r>
      <w:r w:rsidR="00C7491E" w:rsidRPr="00E87E42">
        <w:t xml:space="preserve">he </w:t>
      </w:r>
      <w:r w:rsidRPr="00E87E42">
        <w:t xml:space="preserve">data from </w:t>
      </w:r>
      <w:r w:rsidR="00C7491E" w:rsidRPr="00E87E42">
        <w:t>CBECS and MECS</w:t>
      </w:r>
      <w:r w:rsidR="00484B67" w:rsidRPr="00E87E42">
        <w:t xml:space="preserve"> </w:t>
      </w:r>
      <w:r w:rsidRPr="00E87E42">
        <w:t xml:space="preserve">determine </w:t>
      </w:r>
      <w:r w:rsidR="00C7491E" w:rsidRPr="00E87E42">
        <w:t xml:space="preserve">the number of non-residential buildings in USA classified according to the different building sizes. The different classes of buildings present in the two surveys </w:t>
      </w:r>
      <w:proofErr w:type="gramStart"/>
      <w:r w:rsidR="00C7491E" w:rsidRPr="00E87E42">
        <w:t>have then been grouped</w:t>
      </w:r>
      <w:proofErr w:type="gramEnd"/>
      <w:r w:rsidR="00C7491E" w:rsidRPr="00E87E42">
        <w:t xml:space="preserve"> according to the USA </w:t>
      </w:r>
      <w:r w:rsidR="00BE6A3A" w:rsidRPr="00E87E42">
        <w:t>NF</w:t>
      </w:r>
      <w:r w:rsidR="00AA0C77" w:rsidRPr="00E87E42">
        <w:t xml:space="preserve">IRS </w:t>
      </w:r>
      <w:r w:rsidR="00C7491E" w:rsidRPr="00E87E42">
        <w:t>classification</w:t>
      </w:r>
      <w:r w:rsidR="00BE6A3A" w:rsidRPr="00E87E42">
        <w:t>s</w:t>
      </w:r>
      <w:r w:rsidR="00C7491E" w:rsidRPr="00E87E42">
        <w:t xml:space="preserve"> to have a straight comparison between numbers of fires per type of buildings according to the building size. </w:t>
      </w:r>
    </w:p>
    <w:p w14:paraId="3DA9059A" w14:textId="096F0054" w:rsidR="005D4593" w:rsidRPr="00E87E42" w:rsidRDefault="005D4593" w:rsidP="00484B67">
      <w:r w:rsidRPr="00E87E42">
        <w:lastRenderedPageBreak/>
        <w:t>The use of the fire incidents data and the building stock data will allow further interrogations on the influence of occupancy types on fire frequency and the relationship between fire frequency and total floor</w:t>
      </w:r>
      <w:r w:rsidR="00EE04A0" w:rsidRPr="00E87E42">
        <w:t xml:space="preserve"> </w:t>
      </w:r>
      <w:r w:rsidRPr="00E87E42">
        <w:t>space, damage, spread of fire, efficiency of sprinkler systems, and cost of fire.</w:t>
      </w:r>
    </w:p>
    <w:p w14:paraId="7806E10D" w14:textId="77777777" w:rsidR="008E2DD8" w:rsidRPr="00E87E42" w:rsidRDefault="008E2DD8" w:rsidP="005E093E">
      <w:pPr>
        <w:pStyle w:val="Heading1"/>
        <w:numPr>
          <w:ilvl w:val="0"/>
          <w:numId w:val="35"/>
        </w:numPr>
      </w:pPr>
      <w:r w:rsidRPr="00E87E42">
        <w:t>Overall probability of fire starting in various types of occupancy</w:t>
      </w:r>
    </w:p>
    <w:p w14:paraId="504E8185" w14:textId="09B1D109" w:rsidR="00F77E31" w:rsidRPr="00E87E42" w:rsidRDefault="00E67ADB" w:rsidP="008E2DD8">
      <w:r w:rsidRPr="00E87E42">
        <w:t>Fire frequency is an important input factor in any probabilistic analysis and has therefore been studied well within the academic literature around the world</w:t>
      </w:r>
      <w:r w:rsidR="00962DE2" w:rsidRPr="00E87E42">
        <w:t xml:space="preserve"> </w:t>
      </w:r>
      <w:r w:rsidR="008A55B5" w:rsidRPr="00E87E42">
        <w:fldChar w:fldCharType="begin" w:fldLock="1"/>
      </w:r>
      <w:r w:rsidR="00BC5ED7" w:rsidRPr="00E87E42">
        <w:instrText>ADDIN CSL_CITATION {"citationItems":[{"id":"ITEM-1","itemData":{"author":[{"dropping-particle":"","family":"Sandberg","given":"Martin","non-dropping-particle":"","parse-names":false,"suffix":""}],"container-title":"Master Thesis","id":"ITEM-1","issued":{"date-parts":[["2004"]]},"page":"92","title":"Statistical determination of ignition frequencies","type":"article-journal"},"uris":["http://www.mendeley.com/documents/?uuid=fa07ca6c-76ca-4ad9-8b01-5cd6281e99e6","http://www.mendeley.com/documents/?uuid=3b2b791e-98e0-4e29-838b-49f58494a378","http://www.mendeley.com/documents/?uuid=a07f357d-a45c-4a5f-ac9c-a61009aeb4c6"]},{"id":"ITEM-2","itemData":{"DOI":"10.1016/j.firesaf.2017.03.066","ISSN":"03797112","abstract":"The study is intended to examine how the size of a building influences on the frequency of ignition for various property use: office, store, warehouse, factory, etc., and to compare the results with those obtained from abroad. To do so, fire statistics data from year 1995 to 2003 were analyzed to obtain first the distributions of floor area of the building of fire origin for different building uses. A bimodal model consisting of two independent lognormal distributions was confirmed to represent very well floor area distribution of buildings of fire origin. The same model also fits the distribution of floor area of various buildings at risk in Japan whose information is obtained from questionnaires in the Corporate Survey of Buildings (CSB). The size vs frequency of ignition relationships were compared with those obtained from foreign researchers.","author":[{"dropping-particle":"","family":"Kobayashi","given":"Yutaka","non-dropping-particle":"","parse-names":false,"suffix":""}],"container-title":"Fire Safety Journal","id":"ITEM-2","issue":"May","issued":{"date-parts":[["2017"]]},"page":"1035-1043","publisher":"Elsevier Ltd","title":"Frequency of ignition of non-residential buildings in Japan","type":"article-journal","volume":"91"},"uris":["http://www.mendeley.com/documents/?uuid=7cae6d83-a62e-469e-b41a-5f13f5eec4ea","http://www.mendeley.com/documents/?uuid=e05434d9-fb23-46ce-8d48-c74ac01f2001","http://www.mendeley.com/documents/?uuid=f5394a51-55e7-43a2-9dcf-e718e691c92e"]},{"id":"ITEM-3","itemData":{"DOI":"10.3801/IAFSS.FSS.7-1051","ISBN":"0954534808","ISSN":"18174299","author":[{"dropping-particle":"","family":"Tillander","given":"Kati","non-dropping-particle":"","parse-names":false,"suffix":""},{"dropping-particle":"","family":"Keski-Rahkonen","given":"Olavi","non-dropping-particle":"","parse-names":false,"suffix":""}],"container-title":"Fire Safety Science","id":"ITEM-3","issued":{"date-parts":[["2003"]]},"page":"1051-1062","title":"The ignition frequency of structural fires in Finland 1996-99","type":"article-journal"},"uris":["http://www.mendeley.com/documents/?uuid=b95efdda-a28b-4feb-8d51-f5faccbe7cd5","http://www.mendeley.com/documents/?uuid=856f21d0-8551-490d-a20b-39b5987139ca","http://www.mendeley.com/documents/?uuid=464c8e0c-d43d-4eb9-bfd9-ef8abedd1103"]}],"mendeley":{"formattedCitation":"[36]–[38]","plainTextFormattedCitation":"[36]–[38]","previouslyFormattedCitation":"[36]–[38]"},"properties":{"noteIndex":0},"schema":"https://github.com/citation-style-language/schema/raw/master/csl-citation.json"}</w:instrText>
      </w:r>
      <w:r w:rsidR="008A55B5" w:rsidRPr="00E87E42">
        <w:fldChar w:fldCharType="separate"/>
      </w:r>
      <w:r w:rsidR="00BC5ED7" w:rsidRPr="00E87E42">
        <w:rPr>
          <w:noProof/>
        </w:rPr>
        <w:t>[36]–[38]</w:t>
      </w:r>
      <w:r w:rsidR="008A55B5" w:rsidRPr="00E87E42">
        <w:fldChar w:fldCharType="end"/>
      </w:r>
      <w:r w:rsidR="00962DE2" w:rsidRPr="00E87E42">
        <w:t>;</w:t>
      </w:r>
      <w:r w:rsidRPr="00E87E42">
        <w:t xml:space="preserve"> future studies should compare these various sources of data to provide a more global analysis of fire frequency. In this paper</w:t>
      </w:r>
      <w:r w:rsidR="00962DE2" w:rsidRPr="00E87E42">
        <w:t xml:space="preserve">, </w:t>
      </w:r>
      <w:r w:rsidRPr="00E87E42">
        <w:t>US</w:t>
      </w:r>
      <w:r w:rsidR="006728B6" w:rsidRPr="00E87E42">
        <w:t>A</w:t>
      </w:r>
      <w:r w:rsidRPr="00E87E42">
        <w:t xml:space="preserve"> and UK fire frequencies</w:t>
      </w:r>
      <w:r w:rsidR="00962DE2" w:rsidRPr="00E87E42">
        <w:t xml:space="preserve"> will be compared</w:t>
      </w:r>
      <w:r w:rsidRPr="00E87E42">
        <w:t xml:space="preserve"> with current data provided in PD 7974-7, namely </w:t>
      </w:r>
      <w:r w:rsidR="008E2DD8" w:rsidRPr="00E87E42">
        <w:t xml:space="preserve">Table A.2 </w:t>
      </w:r>
      <w:proofErr w:type="gramStart"/>
      <w:r w:rsidRPr="00E87E42">
        <w:t>which</w:t>
      </w:r>
      <w:proofErr w:type="gramEnd"/>
      <w:r w:rsidRPr="00E87E42">
        <w:t xml:space="preserve"> </w:t>
      </w:r>
      <w:r w:rsidR="008E2DD8" w:rsidRPr="00E87E42">
        <w:t xml:space="preserve">presents the overall probability of fire starting in various types of occupancy. No references </w:t>
      </w:r>
      <w:proofErr w:type="gramStart"/>
      <w:r w:rsidR="008E2DD8" w:rsidRPr="00E87E42">
        <w:t>are presented</w:t>
      </w:r>
      <w:proofErr w:type="gramEnd"/>
      <w:r w:rsidR="008E2DD8" w:rsidRPr="00E87E42">
        <w:t xml:space="preserve"> for </w:t>
      </w:r>
      <w:r w:rsidR="00E33C51" w:rsidRPr="00E87E42">
        <w:t>Table A.2</w:t>
      </w:r>
      <w:r w:rsidR="00FA14A7" w:rsidRPr="00E87E42">
        <w:t>,</w:t>
      </w:r>
      <w:r w:rsidR="00670A5E" w:rsidRPr="00E87E42">
        <w:t xml:space="preserve"> so </w:t>
      </w:r>
      <w:r w:rsidR="008D2580" w:rsidRPr="00E87E42">
        <w:t>fire frequency</w:t>
      </w:r>
      <w:r w:rsidR="00670A5E" w:rsidRPr="00E87E42">
        <w:t xml:space="preserve"> has been obtained </w:t>
      </w:r>
      <w:r w:rsidR="008D2580" w:rsidRPr="00E87E42">
        <w:t>by dividing</w:t>
      </w:r>
      <w:r w:rsidR="00670A5E" w:rsidRPr="00E87E42">
        <w:t xml:space="preserve"> the number of fires by the total number of buildings at risk</w:t>
      </w:r>
      <w:r w:rsidR="008E2DD8" w:rsidRPr="00E87E42">
        <w:t xml:space="preserve">. </w:t>
      </w:r>
    </w:p>
    <w:p w14:paraId="3AF4A9B5" w14:textId="313FD933" w:rsidR="008E2DD8" w:rsidRPr="00E87E42" w:rsidRDefault="00384DCB" w:rsidP="008E2DD8">
      <w:proofErr w:type="gramStart"/>
      <w:r w:rsidRPr="00E87E42">
        <w:t xml:space="preserve">Fires per occupancy type have been determined from the IRS </w:t>
      </w:r>
      <w:r w:rsidR="00612CC1" w:rsidRPr="00E87E42">
        <w:fldChar w:fldCharType="begin" w:fldLock="1"/>
      </w:r>
      <w:r w:rsidR="00BC5ED7" w:rsidRPr="00E87E42">
        <w:instrText>ADDIN CSL_CITATION {"citationItems":[{"id":"ITEM-1","itemData":{"abstract":"Introduction Fire Statistics England 2014/15 is the first fire statistics publication released since responsibility for fire policy moved from the Department for Communities and Local Government to the Home Office on April 1 st 2016. In previous years this publication has covered Great Britain, however after a survey of Fire Statistics Great Britain users, it was decided to change the scope of the release to reflect user needs. This release provides greater detail on incidents attended in 2014/15, including the causes of fires, the use of smoke alarms, the seasonality and temporality of fires and other topics of interest to the fire statistics community. The Fire Statistics Monitor provides updates on the key variables such as the number of incidents attended, fires attended, fire-related fatalities and casualties, 2015/16 data will be published in July/August 2016, the latest statistics on this were published on 31 March 2016.","author":[{"dropping-particle":"","family":"Gaught","given":"Paul","non-dropping-particle":"","parse-names":false,"suffix":""},{"dropping-particle":"","family":"Gallucci","given":"James","non-dropping-particle":"","parse-names":false,"suffix":""},{"dropping-particle":"","family":"Smalldridge","given":"Georgina","non-dropping-particle":"","parse-names":false,"suffix":""}],"id":"ITEM-1","issue":"June","issued":{"date-parts":[["2016"]]},"title":"Fire Statistics England, 2014/15","type":"article-journal"},"uris":["http://www.mendeley.com/documents/?uuid=6ec5dc96-a020-4772-873b-620cea782566"]}],"mendeley":{"formattedCitation":"[29]","plainTextFormattedCitation":"[29]","previouslyFormattedCitation":"[29]"},"properties":{"noteIndex":0},"schema":"https://github.com/citation-style-language/schema/raw/master/csl-citation.json"}</w:instrText>
      </w:r>
      <w:r w:rsidR="00612CC1" w:rsidRPr="00E87E42">
        <w:fldChar w:fldCharType="separate"/>
      </w:r>
      <w:r w:rsidR="00BC5ED7" w:rsidRPr="00E87E42">
        <w:rPr>
          <w:noProof/>
        </w:rPr>
        <w:t>[29]</w:t>
      </w:r>
      <w:r w:rsidR="00612CC1" w:rsidRPr="00E87E42">
        <w:fldChar w:fldCharType="end"/>
      </w:r>
      <w:r w:rsidRPr="00E87E42">
        <w:t xml:space="preserve"> and NF</w:t>
      </w:r>
      <w:r w:rsidR="00407E2D" w:rsidRPr="00E87E42">
        <w:t>IR</w:t>
      </w:r>
      <w:r w:rsidRPr="00E87E42">
        <w:t xml:space="preserve">S </w:t>
      </w:r>
      <w:r w:rsidR="00612CC1" w:rsidRPr="00E87E42">
        <w:fldChar w:fldCharType="begin" w:fldLock="1"/>
      </w:r>
      <w:r w:rsidR="00BC5ED7" w:rsidRPr="00E87E42">
        <w:instrText>ADDIN CSL_CITATION {"citationItems":[{"id":"ITEM-1","itemData":{"author":[{"dropping-particle":"","family":"USFA","given":"","non-dropping-particle":"","parse-names":false,"suffix":""}],"id":"ITEM-1","issue":"12/31","issued":{"date-parts":[["2014"]]},"title":"National Fire Incident Reporting System","type":"article-journal","volume":"2014"},"uris":["http://www.mendeley.com/documents/?uuid=6f230c7b-c235-4d06-86cd-975398980aea"]}],"mendeley":{"formattedCitation":"[30]","plainTextFormattedCitation":"[30]","previouslyFormattedCitation":"[30]"},"properties":{"noteIndex":0},"schema":"https://github.com/citation-style-language/schema/raw/master/csl-citation.json"}</w:instrText>
      </w:r>
      <w:r w:rsidR="00612CC1" w:rsidRPr="00E87E42">
        <w:fldChar w:fldCharType="separate"/>
      </w:r>
      <w:r w:rsidR="00BC5ED7" w:rsidRPr="00E87E42">
        <w:rPr>
          <w:noProof/>
        </w:rPr>
        <w:t>[30]</w:t>
      </w:r>
      <w:r w:rsidR="00612CC1" w:rsidRPr="00E87E42">
        <w:fldChar w:fldCharType="end"/>
      </w:r>
      <w:r w:rsidRPr="00E87E42">
        <w:t xml:space="preserve"> for the UK and USA, respectively, whilst residential and other non-residential building</w:t>
      </w:r>
      <w:r w:rsidR="00CC56E5" w:rsidRPr="00E87E42">
        <w:t xml:space="preserve"> stock</w:t>
      </w:r>
      <w:r w:rsidRPr="00E87E42">
        <w:t xml:space="preserve"> for the UK have been </w:t>
      </w:r>
      <w:r w:rsidR="00A00F5B" w:rsidRPr="00E87E42">
        <w:t>obtained</w:t>
      </w:r>
      <w:r w:rsidRPr="00E87E42">
        <w:t xml:space="preserve"> from the DCLG English housing survey </w:t>
      </w:r>
      <w:r w:rsidR="003100AC" w:rsidRPr="00E87E42">
        <w:fldChar w:fldCharType="begin" w:fldLock="1"/>
      </w:r>
      <w:r w:rsidR="00BC5ED7" w:rsidRPr="00E87E42">
        <w:instrText>ADDIN CSL_CITATION {"citationItems":[{"id":"ITEM-1","itemData":{"DOI":"10.1017/CBO9781107415324.004","ISBN":"9781409826019","ISSN":"03787788","PMID":"25246403","abstract":"In April 2008 the English House Condition Survey was integrated with the Survey of English Housing to form the English Housing Survey (EHS). This 2009- 10 report provides the second detailed Household Report from the survey. Headline results for 2009-10 were published in the English Housing Survey Headline Report 2009-10 in February 2011.","author":[{"dropping-particle":"","family":"Department for Communities and Local Government","given":"","non-dropping-particle":"","parse-names":false,"suffix":""}],"container-title":"Home Office","id":"ITEM-1","issued":{"date-parts":[["2015"]]},"number-of-pages":"1-73","title":"English Housing Survey, Adaptations and Accessibility Report, 2014-2015","type":"report"},"uris":["http://www.mendeley.com/documents/?uuid=9836c23c-1288-4c36-a69a-971adbdd5d14","http://www.mendeley.com/documents/?uuid=03580a55-6d4a-4e38-ac38-0c2c3582657c","http://www.mendeley.com/documents/?uuid=5dee5302-6d27-4039-92a7-bf8509816b7a"]}],"mendeley":{"formattedCitation":"[39]","plainTextFormattedCitation":"[39]","previouslyFormattedCitation":"[39]"},"properties":{"noteIndex":0},"schema":"https://github.com/citation-style-language/schema/raw/master/csl-citation.json"}</w:instrText>
      </w:r>
      <w:r w:rsidR="003100AC" w:rsidRPr="00E87E42">
        <w:fldChar w:fldCharType="separate"/>
      </w:r>
      <w:r w:rsidR="00BC5ED7" w:rsidRPr="00E87E42">
        <w:rPr>
          <w:noProof/>
        </w:rPr>
        <w:t>[39]</w:t>
      </w:r>
      <w:r w:rsidR="003100AC" w:rsidRPr="00E87E42">
        <w:fldChar w:fldCharType="end"/>
      </w:r>
      <w:r w:rsidRPr="00E87E42">
        <w:t xml:space="preserve"> </w:t>
      </w:r>
      <w:r w:rsidR="003100AC" w:rsidRPr="00E87E42">
        <w:t xml:space="preserve">and </w:t>
      </w:r>
      <w:r w:rsidRPr="00E87E42">
        <w:t xml:space="preserve">the </w:t>
      </w:r>
      <w:r w:rsidR="003100AC" w:rsidRPr="00E87E42">
        <w:t>V</w:t>
      </w:r>
      <w:r w:rsidRPr="00E87E42">
        <w:t xml:space="preserve">aluation office agency </w:t>
      </w:r>
      <w:r w:rsidR="003100AC" w:rsidRPr="00E87E42">
        <w:fldChar w:fldCharType="begin" w:fldLock="1"/>
      </w:r>
      <w:r w:rsidR="00BC5ED7" w:rsidRPr="00E87E42">
        <w:instrText>ADDIN CSL_CITATION {"citationItems":[{"id":"ITEM-1","itemData":{"author":[{"dropping-particle":"","family":"Valuation Office Agency","given":"","non-dropping-particle":"","parse-names":false,"suffix":""}],"id":"ITEM-1","issue":"JULY 2015","issued":{"date-parts":[["2016"]]},"number-of-pages":"1-10","title":"Statistical Release Non-domestic rating : Stock of Properties England and Wales","type":"report","volume":"2015"},"uris":["http://www.mendeley.com/documents/?uuid=abb315c4-1815-4f07-bdae-ee0a688f2ae2","http://www.mendeley.com/documents/?uuid=5f93b06c-0462-4f6f-ba97-6db2f303adae","http://www.mendeley.com/documents/?uuid=f635360e-8dc1-45e4-854d-8b78b866d95c"]}],"mendeley":{"formattedCitation":"[40]","plainTextFormattedCitation":"[40]","previouslyFormattedCitation":"[40]"},"properties":{"noteIndex":0},"schema":"https://github.com/citation-style-language/schema/raw/master/csl-citation.json"}</w:instrText>
      </w:r>
      <w:r w:rsidR="003100AC" w:rsidRPr="00E87E42">
        <w:fldChar w:fldCharType="separate"/>
      </w:r>
      <w:r w:rsidR="00BC5ED7" w:rsidRPr="00E87E42">
        <w:rPr>
          <w:noProof/>
        </w:rPr>
        <w:t>[40]</w:t>
      </w:r>
      <w:r w:rsidR="003100AC" w:rsidRPr="00E87E42">
        <w:fldChar w:fldCharType="end"/>
      </w:r>
      <w:r w:rsidR="00064A3C" w:rsidRPr="00E87E42">
        <w:t>, respectively</w:t>
      </w:r>
      <w:r w:rsidRPr="00E87E42">
        <w:t xml:space="preserve">, and for the USA from the US Census Bureau </w:t>
      </w:r>
      <w:r w:rsidR="009D5A1A" w:rsidRPr="00E87E42">
        <w:fldChar w:fldCharType="begin" w:fldLock="1"/>
      </w:r>
      <w:r w:rsidR="00BC5ED7" w:rsidRPr="00E87E42">
        <w:instrText>ADDIN CSL_CITATION {"citationItems":[{"id":"ITEM-1","itemData":{"author":[{"dropping-particle":"","family":"Unite States Census Bureau","given":"","non-dropping-particle":"","parse-names":false,"suffix":""}],"id":"ITEM-1","issued":{"date-parts":[["2012"]]},"number-of-pages":"1-940","title":"Statistical Abstract of The United States 2012","type":"report"},"uris":["http://www.mendeley.com/documents/?uuid=36465f5c-1368-4117-82fc-7d12b71e9c13","http://www.mendeley.com/documents/?uuid=ea24c864-ed1c-4110-9a7b-98705b50d175","http://www.mendeley.com/documents/?uuid=ca918ffa-f199-418b-bab7-81cddc181ef0"]}],"mendeley":{"formattedCitation":"[41]","plainTextFormattedCitation":"[41]","previouslyFormattedCitation":"[41]"},"properties":{"noteIndex":0},"schema":"https://github.com/citation-style-language/schema/raw/master/csl-citation.json"}</w:instrText>
      </w:r>
      <w:r w:rsidR="009D5A1A" w:rsidRPr="00E87E42">
        <w:fldChar w:fldCharType="separate"/>
      </w:r>
      <w:r w:rsidR="00BC5ED7" w:rsidRPr="00E87E42">
        <w:rPr>
          <w:noProof/>
        </w:rPr>
        <w:t>[41]</w:t>
      </w:r>
      <w:r w:rsidR="009D5A1A" w:rsidRPr="00E87E42">
        <w:fldChar w:fldCharType="end"/>
      </w:r>
      <w:r w:rsidRPr="00E87E42">
        <w:t>, and the CBECS and MECS, for residential and non-residential buildings</w:t>
      </w:r>
      <w:r w:rsidR="00A00F5B" w:rsidRPr="00E87E42">
        <w:t xml:space="preserve"> correspondingly</w:t>
      </w:r>
      <w:r w:rsidRPr="00E87E42">
        <w:t>.</w:t>
      </w:r>
      <w:proofErr w:type="gramEnd"/>
      <w:r w:rsidRPr="00E87E42">
        <w:t xml:space="preserve"> All the information for residential and non-residential buildings </w:t>
      </w:r>
      <w:proofErr w:type="gramStart"/>
      <w:r w:rsidRPr="00E87E42">
        <w:t>is referred</w:t>
      </w:r>
      <w:proofErr w:type="gramEnd"/>
      <w:r w:rsidRPr="00E87E42">
        <w:t xml:space="preserve"> to the 2014-2015 with the only exception of the total number of USA non-residential buildings, which were collected in 2012</w:t>
      </w:r>
      <w:r w:rsidR="009B0887" w:rsidRPr="00E87E42">
        <w:t xml:space="preserve">; </w:t>
      </w:r>
      <w:r w:rsidR="00CC56E5" w:rsidRPr="00E87E42">
        <w:t>therefore,</w:t>
      </w:r>
      <w:r w:rsidR="009B0887" w:rsidRPr="00E87E42">
        <w:t xml:space="preserve"> all data presented is on a per annum basis unless otherwise stated</w:t>
      </w:r>
      <w:r w:rsidRPr="00E87E42">
        <w:t>.</w:t>
      </w:r>
    </w:p>
    <w:p w14:paraId="30FED267" w14:textId="5FCCE76A" w:rsidR="008E2DD8" w:rsidRPr="00E87E42" w:rsidRDefault="0056460E" w:rsidP="008E2DD8">
      <w:r w:rsidRPr="00E87E42">
        <w:t xml:space="preserve">Some </w:t>
      </w:r>
      <w:r w:rsidR="00CC56E5" w:rsidRPr="00E87E42">
        <w:t xml:space="preserve">building </w:t>
      </w:r>
      <w:r w:rsidRPr="00E87E42">
        <w:t>classification</w:t>
      </w:r>
      <w:r w:rsidR="00CC56E5" w:rsidRPr="00E87E42">
        <w:t>s</w:t>
      </w:r>
      <w:r w:rsidRPr="00E87E42">
        <w:t xml:space="preserve"> within the UK and USA</w:t>
      </w:r>
      <w:r w:rsidR="008E2DD8" w:rsidRPr="00E87E42">
        <w:t xml:space="preserve"> </w:t>
      </w:r>
      <w:r w:rsidRPr="00E87E42">
        <w:t>fire statistics have been</w:t>
      </w:r>
      <w:r w:rsidR="008E2DD8" w:rsidRPr="00E87E42">
        <w:t xml:space="preserve"> rearranged </w:t>
      </w:r>
      <w:r w:rsidRPr="00E87E42">
        <w:t xml:space="preserve">and </w:t>
      </w:r>
      <w:r w:rsidR="008E2DD8" w:rsidRPr="00E87E42">
        <w:t xml:space="preserve">grouped together to create a direct comparison between UK and USA. The results </w:t>
      </w:r>
      <w:proofErr w:type="gramStart"/>
      <w:r w:rsidR="008E2DD8" w:rsidRPr="00E87E42">
        <w:t>can be seen</w:t>
      </w:r>
      <w:proofErr w:type="gramEnd"/>
      <w:r w:rsidR="008E2DD8" w:rsidRPr="00E87E42">
        <w:t xml:space="preserve"> in</w:t>
      </w:r>
      <w:r w:rsidR="00C0201C" w:rsidRPr="00E87E42">
        <w:t xml:space="preserve"> </w:t>
      </w:r>
      <w:r w:rsidR="00A901E4" w:rsidRPr="00E87E42">
        <w:fldChar w:fldCharType="begin"/>
      </w:r>
      <w:r w:rsidR="00A901E4" w:rsidRPr="00E87E42">
        <w:instrText xml:space="preserve"> REF _Ref521501268 \h </w:instrText>
      </w:r>
      <w:r w:rsidR="00E87E42">
        <w:instrText xml:space="preserve"> \* MERGEFORMAT </w:instrText>
      </w:r>
      <w:r w:rsidR="00A901E4" w:rsidRPr="00E87E42">
        <w:fldChar w:fldCharType="separate"/>
      </w:r>
      <w:r w:rsidR="009F6872" w:rsidRPr="00E87E42">
        <w:t xml:space="preserve">Figure </w:t>
      </w:r>
      <w:r w:rsidR="009F6872">
        <w:rPr>
          <w:noProof/>
        </w:rPr>
        <w:t>2</w:t>
      </w:r>
      <w:r w:rsidR="00A901E4" w:rsidRPr="00E87E42">
        <w:fldChar w:fldCharType="end"/>
      </w:r>
      <w:r w:rsidR="007156EB" w:rsidRPr="00E87E42">
        <w:t xml:space="preserve"> </w:t>
      </w:r>
      <w:r w:rsidR="00C0201C" w:rsidRPr="00E87E42">
        <w:t xml:space="preserve">(a) and </w:t>
      </w:r>
      <w:r w:rsidR="00A901E4" w:rsidRPr="00E87E42">
        <w:fldChar w:fldCharType="begin"/>
      </w:r>
      <w:r w:rsidR="00A901E4" w:rsidRPr="00E87E42">
        <w:instrText xml:space="preserve"> REF _Ref521501268 \h </w:instrText>
      </w:r>
      <w:r w:rsidR="00E87E42">
        <w:instrText xml:space="preserve"> \* MERGEFORMAT </w:instrText>
      </w:r>
      <w:r w:rsidR="00A901E4" w:rsidRPr="00E87E42">
        <w:fldChar w:fldCharType="separate"/>
      </w:r>
      <w:r w:rsidR="009F6872" w:rsidRPr="00E87E42">
        <w:t xml:space="preserve">Figure </w:t>
      </w:r>
      <w:r w:rsidR="009F6872">
        <w:rPr>
          <w:noProof/>
        </w:rPr>
        <w:t>2</w:t>
      </w:r>
      <w:r w:rsidR="00A901E4" w:rsidRPr="00E87E42">
        <w:fldChar w:fldCharType="end"/>
      </w:r>
      <w:r w:rsidR="007156EB" w:rsidRPr="00E87E42">
        <w:t xml:space="preserve"> </w:t>
      </w:r>
      <w:r w:rsidR="00C0201C" w:rsidRPr="00E87E42">
        <w:t>(b)</w:t>
      </w:r>
      <w:r w:rsidR="008E2DD8" w:rsidRPr="00E87E42">
        <w:t xml:space="preserve">. For residential buildings, </w:t>
      </w:r>
      <w:r w:rsidRPr="00E87E42">
        <w:t>the probability of a fire starting in residential buildings</w:t>
      </w:r>
      <w:r w:rsidR="008E2DD8" w:rsidRPr="00E87E42">
        <w:t xml:space="preserve"> never </w:t>
      </w:r>
      <w:r w:rsidRPr="00E87E42">
        <w:t>exceeds</w:t>
      </w:r>
      <w:r w:rsidR="008E2DD8" w:rsidRPr="00E87E42">
        <w:t xml:space="preserve"> the 0.3% </w:t>
      </w:r>
      <w:r w:rsidRPr="00E87E42">
        <w:t>stated in PD</w:t>
      </w:r>
      <w:r w:rsidR="00C63BD5" w:rsidRPr="00E87E42">
        <w:t xml:space="preserve"> </w:t>
      </w:r>
      <w:r w:rsidRPr="00E87E42">
        <w:t>7974-7 (Table A.</w:t>
      </w:r>
      <w:r w:rsidR="00962DE2" w:rsidRPr="00E87E42">
        <w:t>2</w:t>
      </w:r>
      <w:r w:rsidRPr="00E87E42">
        <w:t xml:space="preserve">) but is equal to 0.133% and </w:t>
      </w:r>
      <w:r w:rsidR="008E2DD8" w:rsidRPr="00E87E42">
        <w:t xml:space="preserve">0.151% </w:t>
      </w:r>
      <w:r w:rsidRPr="00E87E42">
        <w:t>for the UK and</w:t>
      </w:r>
      <w:r w:rsidR="008E2DD8" w:rsidRPr="00E87E42">
        <w:t xml:space="preserve"> USA</w:t>
      </w:r>
      <w:r w:rsidRPr="00E87E42">
        <w:t>, respectively</w:t>
      </w:r>
      <w:r w:rsidR="008E2DD8" w:rsidRPr="00E87E42">
        <w:t xml:space="preserve"> (</w:t>
      </w:r>
      <w:r w:rsidR="00A901E4" w:rsidRPr="00E87E42">
        <w:fldChar w:fldCharType="begin"/>
      </w:r>
      <w:r w:rsidR="00A901E4" w:rsidRPr="00E87E42">
        <w:instrText xml:space="preserve"> REF _Ref521501268 \h </w:instrText>
      </w:r>
      <w:r w:rsidR="00E87E42">
        <w:instrText xml:space="preserve"> \* MERGEFORMAT </w:instrText>
      </w:r>
      <w:r w:rsidR="00A901E4" w:rsidRPr="00E87E42">
        <w:fldChar w:fldCharType="separate"/>
      </w:r>
      <w:r w:rsidR="009F6872" w:rsidRPr="00E87E42">
        <w:t xml:space="preserve">Figure </w:t>
      </w:r>
      <w:r w:rsidR="009F6872">
        <w:rPr>
          <w:noProof/>
        </w:rPr>
        <w:t>2</w:t>
      </w:r>
      <w:r w:rsidR="00A901E4" w:rsidRPr="00E87E42">
        <w:fldChar w:fldCharType="end"/>
      </w:r>
      <w:r w:rsidR="00263D76" w:rsidRPr="00E87E42">
        <w:t xml:space="preserve"> (a)</w:t>
      </w:r>
      <w:r w:rsidR="008E2DD8" w:rsidRPr="00E87E42">
        <w:t xml:space="preserve">). </w:t>
      </w:r>
      <w:r w:rsidRPr="00E87E42">
        <w:t xml:space="preserve">This represents a </w:t>
      </w:r>
      <w:r w:rsidR="009A0EE8" w:rsidRPr="00E87E42">
        <w:t xml:space="preserve">potential </w:t>
      </w:r>
      <w:r w:rsidRPr="00E87E42">
        <w:t xml:space="preserve">factor of safety of over </w:t>
      </w:r>
      <w:proofErr w:type="gramStart"/>
      <w:r w:rsidRPr="00E87E42">
        <w:t>2</w:t>
      </w:r>
      <w:proofErr w:type="gramEnd"/>
      <w:r w:rsidRPr="00E87E42">
        <w:t xml:space="preserve"> </w:t>
      </w:r>
      <w:r w:rsidR="009A0EE8" w:rsidRPr="00E87E42">
        <w:t>when considering the probabilistic assessment of dwelling fires.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0"/>
        <w:gridCol w:w="6440"/>
      </w:tblGrid>
      <w:tr w:rsidR="003B0354" w:rsidRPr="00E87E42" w14:paraId="22036924" w14:textId="77777777" w:rsidTr="004559B5">
        <w:trPr>
          <w:trHeight w:val="3365"/>
        </w:trPr>
        <w:tc>
          <w:tcPr>
            <w:tcW w:w="3818" w:type="dxa"/>
          </w:tcPr>
          <w:p w14:paraId="159C732E" w14:textId="77777777" w:rsidR="003B0354" w:rsidRPr="00E87E42" w:rsidRDefault="003B0354" w:rsidP="004559B5">
            <w:pPr>
              <w:spacing w:before="120" w:line="240" w:lineRule="auto"/>
            </w:pPr>
            <w:r w:rsidRPr="00E87E42">
              <w:rPr>
                <w:noProof/>
                <w:lang w:eastAsia="en-GB"/>
              </w:rPr>
              <w:drawing>
                <wp:anchor distT="0" distB="0" distL="114300" distR="114300" simplePos="0" relativeHeight="253428736" behindDoc="0" locked="0" layoutInCell="1" allowOverlap="1" wp14:anchorId="27A61B1F" wp14:editId="2A6B3454">
                  <wp:simplePos x="0" y="0"/>
                  <wp:positionH relativeFrom="column">
                    <wp:posOffset>-65405</wp:posOffset>
                  </wp:positionH>
                  <wp:positionV relativeFrom="paragraph">
                    <wp:posOffset>146685</wp:posOffset>
                  </wp:positionV>
                  <wp:extent cx="2303145" cy="1620000"/>
                  <wp:effectExtent l="0" t="0" r="1905" b="0"/>
                  <wp:wrapSquare wrapText="bothSides"/>
                  <wp:docPr id="2" name="Grafico 29">
                    <a:extLst xmlns:a="http://schemas.openxmlformats.org/drawingml/2006/main">
                      <a:ext uri="{FF2B5EF4-FFF2-40B4-BE49-F238E27FC236}">
                        <a16:creationId xmlns:a16="http://schemas.microsoft.com/office/drawing/2014/main" id="{C33C921D-FE3C-43F1-97F5-8A19505F96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tc>
        <w:tc>
          <w:tcPr>
            <w:tcW w:w="6432" w:type="dxa"/>
          </w:tcPr>
          <w:p w14:paraId="2DFB6FF9" w14:textId="77777777" w:rsidR="003B0354" w:rsidRPr="00E87E42" w:rsidRDefault="003B0354" w:rsidP="004559B5">
            <w:pPr>
              <w:spacing w:before="120" w:line="240" w:lineRule="auto"/>
            </w:pPr>
            <w:r w:rsidRPr="00E87E42">
              <w:rPr>
                <w:b/>
                <w:sz w:val="16"/>
              </w:rPr>
              <w:t>A</w:t>
            </w:r>
            <w:r w:rsidRPr="00E87E42">
              <w:rPr>
                <w:sz w:val="16"/>
              </w:rPr>
              <w:t xml:space="preserve">. Offices and call centres, Retail premises; </w:t>
            </w:r>
            <w:r w:rsidRPr="00E87E42">
              <w:rPr>
                <w:b/>
                <w:sz w:val="16"/>
              </w:rPr>
              <w:t>B</w:t>
            </w:r>
            <w:r w:rsidRPr="00E87E42">
              <w:rPr>
                <w:sz w:val="16"/>
              </w:rPr>
              <w:t xml:space="preserve">. Industrial premises; </w:t>
            </w:r>
            <w:r w:rsidRPr="00E87E42">
              <w:rPr>
                <w:b/>
                <w:sz w:val="16"/>
              </w:rPr>
              <w:t>C</w:t>
            </w:r>
            <w:r w:rsidRPr="00E87E42">
              <w:rPr>
                <w:sz w:val="16"/>
              </w:rPr>
              <w:t xml:space="preserve">. Education premises; </w:t>
            </w:r>
            <w:r w:rsidRPr="00E87E42">
              <w:rPr>
                <w:b/>
                <w:sz w:val="16"/>
              </w:rPr>
              <w:t>D</w:t>
            </w:r>
            <w:r w:rsidRPr="00E87E42">
              <w:rPr>
                <w:sz w:val="16"/>
              </w:rPr>
              <w:t xml:space="preserve">. Hospital and medical care; </w:t>
            </w:r>
            <w:r w:rsidRPr="00E87E42">
              <w:rPr>
                <w:b/>
                <w:sz w:val="16"/>
              </w:rPr>
              <w:t>E</w:t>
            </w:r>
            <w:r w:rsidRPr="00E87E42">
              <w:rPr>
                <w:sz w:val="16"/>
              </w:rPr>
              <w:t xml:space="preserve">. Food and drink premises; Hotels, boarding houses, hostels etc.; Communal living; </w:t>
            </w:r>
            <w:r w:rsidRPr="00E87E42">
              <w:rPr>
                <w:b/>
                <w:sz w:val="16"/>
              </w:rPr>
              <w:t>F</w:t>
            </w:r>
            <w:r w:rsidRPr="00E87E42">
              <w:rPr>
                <w:sz w:val="16"/>
              </w:rPr>
              <w:t xml:space="preserve">. Entertainment, culture and sport; </w:t>
            </w:r>
            <w:r w:rsidRPr="00E87E42">
              <w:rPr>
                <w:b/>
                <w:sz w:val="16"/>
              </w:rPr>
              <w:t>G</w:t>
            </w:r>
            <w:r w:rsidRPr="00E87E42">
              <w:rPr>
                <w:sz w:val="16"/>
              </w:rPr>
              <w:t>. Other public buildings and services.</w:t>
            </w:r>
            <w:r w:rsidRPr="00E87E42">
              <w:rPr>
                <w:noProof/>
                <w:lang w:eastAsia="en-GB"/>
              </w:rPr>
              <w:drawing>
                <wp:anchor distT="0" distB="0" distL="114300" distR="114300" simplePos="0" relativeHeight="253427712" behindDoc="0" locked="0" layoutInCell="1" allowOverlap="1" wp14:anchorId="6DC3399A" wp14:editId="7585C6E6">
                  <wp:simplePos x="0" y="0"/>
                  <wp:positionH relativeFrom="column">
                    <wp:posOffset>-64770</wp:posOffset>
                  </wp:positionH>
                  <wp:positionV relativeFrom="paragraph">
                    <wp:posOffset>137795</wp:posOffset>
                  </wp:positionV>
                  <wp:extent cx="3974123" cy="1728000"/>
                  <wp:effectExtent l="0" t="0" r="7620" b="5715"/>
                  <wp:wrapSquare wrapText="bothSides"/>
                  <wp:docPr id="3" name="Grafico 23">
                    <a:extLst xmlns:a="http://schemas.openxmlformats.org/drawingml/2006/main">
                      <a:ext uri="{FF2B5EF4-FFF2-40B4-BE49-F238E27FC236}">
                        <a16:creationId xmlns:a16="http://schemas.microsoft.com/office/drawing/2014/main" id="{16BF311A-3EC8-4358-9291-EF79586FDA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tc>
      </w:tr>
      <w:tr w:rsidR="003B0354" w:rsidRPr="00E87E42" w14:paraId="1895C78B" w14:textId="77777777" w:rsidTr="004559B5">
        <w:tc>
          <w:tcPr>
            <w:tcW w:w="3818" w:type="dxa"/>
          </w:tcPr>
          <w:p w14:paraId="77E56111" w14:textId="77777777" w:rsidR="003B0354" w:rsidRPr="00E87E42" w:rsidRDefault="003B0354" w:rsidP="004559B5">
            <w:pPr>
              <w:pStyle w:val="Caption"/>
              <w:spacing w:line="240" w:lineRule="auto"/>
              <w:rPr>
                <w:i w:val="0"/>
              </w:rPr>
            </w:pPr>
            <w:r w:rsidRPr="00E87E42">
              <w:rPr>
                <w:i w:val="0"/>
              </w:rPr>
              <w:t>(a)</w:t>
            </w:r>
          </w:p>
        </w:tc>
        <w:tc>
          <w:tcPr>
            <w:tcW w:w="6432" w:type="dxa"/>
          </w:tcPr>
          <w:p w14:paraId="35C9C4F5" w14:textId="77777777" w:rsidR="003B0354" w:rsidRPr="00E87E42" w:rsidRDefault="003B0354" w:rsidP="004559B5">
            <w:pPr>
              <w:pStyle w:val="Caption"/>
              <w:spacing w:line="240" w:lineRule="auto"/>
              <w:rPr>
                <w:i w:val="0"/>
              </w:rPr>
            </w:pPr>
            <w:r w:rsidRPr="00E87E42">
              <w:rPr>
                <w:i w:val="0"/>
              </w:rPr>
              <w:t>(b)</w:t>
            </w:r>
          </w:p>
        </w:tc>
      </w:tr>
      <w:tr w:rsidR="003B0354" w:rsidRPr="00E87E42" w14:paraId="4CCE7688" w14:textId="77777777" w:rsidTr="004559B5">
        <w:tc>
          <w:tcPr>
            <w:tcW w:w="10250" w:type="dxa"/>
            <w:gridSpan w:val="2"/>
          </w:tcPr>
          <w:p w14:paraId="4514DF7C" w14:textId="2B498275" w:rsidR="003B0354" w:rsidRPr="00E87E42" w:rsidRDefault="003B0354" w:rsidP="004559B5">
            <w:pPr>
              <w:pStyle w:val="Caption"/>
              <w:spacing w:line="240" w:lineRule="auto"/>
            </w:pPr>
            <w:bookmarkStart w:id="5" w:name="_Ref521501268"/>
            <w:r w:rsidRPr="00E87E42">
              <w:t xml:space="preserve">Figure </w:t>
            </w:r>
            <w:r w:rsidRPr="00E87E42">
              <w:rPr>
                <w:noProof/>
              </w:rPr>
              <w:fldChar w:fldCharType="begin"/>
            </w:r>
            <w:r w:rsidRPr="00E87E42">
              <w:rPr>
                <w:noProof/>
              </w:rPr>
              <w:instrText xml:space="preserve"> SEQ Figure \* ARABIC </w:instrText>
            </w:r>
            <w:r w:rsidRPr="00E87E42">
              <w:rPr>
                <w:noProof/>
              </w:rPr>
              <w:fldChar w:fldCharType="separate"/>
            </w:r>
            <w:r w:rsidR="009F6872">
              <w:rPr>
                <w:noProof/>
              </w:rPr>
              <w:t>2</w:t>
            </w:r>
            <w:r w:rsidRPr="00E87E42">
              <w:rPr>
                <w:noProof/>
              </w:rPr>
              <w:fldChar w:fldCharType="end"/>
            </w:r>
            <w:bookmarkEnd w:id="5"/>
            <w:r w:rsidRPr="00E87E42">
              <w:t>: Fire frequency in (a) residential buildings in UK and USA; and (b) non-residential buildings in UK and USA</w:t>
            </w:r>
          </w:p>
        </w:tc>
      </w:tr>
    </w:tbl>
    <w:p w14:paraId="24187F99" w14:textId="77777777" w:rsidR="003B0354" w:rsidRPr="00E87E42" w:rsidRDefault="003B0354" w:rsidP="008E2DD8"/>
    <w:p w14:paraId="65B8A7F0" w14:textId="284D151C" w:rsidR="008E2DD8" w:rsidRPr="00E87E42" w:rsidRDefault="008E2DD8" w:rsidP="008E2DD8">
      <w:pPr>
        <w:spacing w:before="120"/>
      </w:pPr>
      <w:r w:rsidRPr="00E87E42">
        <w:lastRenderedPageBreak/>
        <w:t xml:space="preserve">In </w:t>
      </w:r>
      <w:r w:rsidR="009A0EE8" w:rsidRPr="00E87E42">
        <w:t xml:space="preserve">non-residential </w:t>
      </w:r>
      <w:r w:rsidRPr="00E87E42">
        <w:t xml:space="preserve">buildings, </w:t>
      </w:r>
      <w:r w:rsidR="009A0EE8" w:rsidRPr="00E87E42">
        <w:t xml:space="preserve">fires are more frequent in </w:t>
      </w:r>
      <w:r w:rsidRPr="00E87E42">
        <w:rPr>
          <w:i/>
        </w:rPr>
        <w:t>Food and drinks premise</w:t>
      </w:r>
      <w:r w:rsidR="009A0EE8" w:rsidRPr="00E87E42">
        <w:rPr>
          <w:i/>
        </w:rPr>
        <w:t xml:space="preserve">s; </w:t>
      </w:r>
      <w:r w:rsidRPr="00E87E42">
        <w:rPr>
          <w:i/>
        </w:rPr>
        <w:t>Hotels and Communal living</w:t>
      </w:r>
      <w:r w:rsidRPr="00E87E42">
        <w:t xml:space="preserve"> (4.61%) in </w:t>
      </w:r>
      <w:r w:rsidR="009A0EE8" w:rsidRPr="00E87E42">
        <w:t xml:space="preserve">in the </w:t>
      </w:r>
      <w:r w:rsidRPr="00E87E42">
        <w:t>UK</w:t>
      </w:r>
      <w:r w:rsidR="009A0EE8" w:rsidRPr="00E87E42">
        <w:t>;</w:t>
      </w:r>
      <w:r w:rsidRPr="00E87E42">
        <w:t xml:space="preserve"> and </w:t>
      </w:r>
      <w:r w:rsidR="009A0EE8" w:rsidRPr="00E87E42">
        <w:t xml:space="preserve">in the </w:t>
      </w:r>
      <w:proofErr w:type="gramStart"/>
      <w:r w:rsidR="009A0EE8" w:rsidRPr="00E87E42">
        <w:t>US</w:t>
      </w:r>
      <w:r w:rsidR="006728B6" w:rsidRPr="00E87E42">
        <w:t>A</w:t>
      </w:r>
      <w:proofErr w:type="gramEnd"/>
      <w:r w:rsidR="009A0EE8" w:rsidRPr="00E87E42">
        <w:t xml:space="preserve"> fires are more frequent in </w:t>
      </w:r>
      <w:r w:rsidR="009A0EE8" w:rsidRPr="00E87E42">
        <w:rPr>
          <w:i/>
        </w:rPr>
        <w:t>Educational premises</w:t>
      </w:r>
      <w:r w:rsidR="009A0EE8" w:rsidRPr="00E87E42">
        <w:t xml:space="preserve"> (5.51%) </w:t>
      </w:r>
      <w:r w:rsidRPr="00E87E42">
        <w:t xml:space="preserve">and </w:t>
      </w:r>
      <w:r w:rsidRPr="00E87E42">
        <w:rPr>
          <w:i/>
        </w:rPr>
        <w:t>Entertai</w:t>
      </w:r>
      <w:r w:rsidR="009A0EE8" w:rsidRPr="00E87E42">
        <w:rPr>
          <w:i/>
        </w:rPr>
        <w:t>nment, culture and sport spaces</w:t>
      </w:r>
      <w:r w:rsidR="009A0EE8" w:rsidRPr="00E87E42">
        <w:t xml:space="preserve"> (5.45%). </w:t>
      </w:r>
      <w:r w:rsidRPr="00E87E42">
        <w:t xml:space="preserve">Analysing the NFIRS in the USA fire </w:t>
      </w:r>
      <w:proofErr w:type="gramStart"/>
      <w:r w:rsidRPr="00E87E42">
        <w:t>statistics,</w:t>
      </w:r>
      <w:proofErr w:type="gramEnd"/>
      <w:r w:rsidRPr="00E87E42">
        <w:t xml:space="preserve"> is possible to attribute the high fire frequency in </w:t>
      </w:r>
      <w:r w:rsidRPr="00E87E42">
        <w:rPr>
          <w:i/>
        </w:rPr>
        <w:t>Educational premises</w:t>
      </w:r>
      <w:r w:rsidRPr="00E87E42">
        <w:t xml:space="preserve"> to open flames </w:t>
      </w:r>
      <w:r w:rsidR="00B5728B" w:rsidRPr="00E87E42">
        <w:t xml:space="preserve">(potentially due to arson) </w:t>
      </w:r>
      <w:r w:rsidRPr="00E87E42">
        <w:t xml:space="preserve">with related high financial losses. The lowest percentages in </w:t>
      </w:r>
      <w:r w:rsidR="00A901E4" w:rsidRPr="00E87E42">
        <w:fldChar w:fldCharType="begin"/>
      </w:r>
      <w:r w:rsidR="00A901E4" w:rsidRPr="00E87E42">
        <w:instrText xml:space="preserve"> REF _Ref521501268 \h </w:instrText>
      </w:r>
      <w:r w:rsidR="00E87E42">
        <w:instrText xml:space="preserve"> \* MERGEFORMAT </w:instrText>
      </w:r>
      <w:r w:rsidR="00A901E4" w:rsidRPr="00E87E42">
        <w:fldChar w:fldCharType="separate"/>
      </w:r>
      <w:r w:rsidR="009F6872" w:rsidRPr="00E87E42">
        <w:t xml:space="preserve">Figure </w:t>
      </w:r>
      <w:r w:rsidR="009F6872">
        <w:rPr>
          <w:noProof/>
        </w:rPr>
        <w:t>2</w:t>
      </w:r>
      <w:r w:rsidR="00A901E4" w:rsidRPr="00E87E42">
        <w:fldChar w:fldCharType="end"/>
      </w:r>
      <w:r w:rsidR="00A00F5B" w:rsidRPr="00E87E42">
        <w:t xml:space="preserve"> </w:t>
      </w:r>
      <w:r w:rsidR="005717FB" w:rsidRPr="00E87E42">
        <w:t xml:space="preserve">(b) </w:t>
      </w:r>
      <w:r w:rsidRPr="00E87E42">
        <w:t xml:space="preserve">are in </w:t>
      </w:r>
      <w:r w:rsidRPr="00E87E42">
        <w:rPr>
          <w:i/>
        </w:rPr>
        <w:t>Offices and call centres</w:t>
      </w:r>
      <w:proofErr w:type="gramStart"/>
      <w:r w:rsidR="009A0EE8" w:rsidRPr="00E87E42">
        <w:rPr>
          <w:i/>
        </w:rPr>
        <w:t>;</w:t>
      </w:r>
      <w:proofErr w:type="gramEnd"/>
      <w:r w:rsidR="009A0EE8" w:rsidRPr="00E87E42">
        <w:rPr>
          <w:i/>
        </w:rPr>
        <w:t xml:space="preserve"> Retail premises </w:t>
      </w:r>
      <w:r w:rsidR="009A0EE8" w:rsidRPr="00E87E42">
        <w:t xml:space="preserve">(0.37%) in UK and </w:t>
      </w:r>
      <w:r w:rsidRPr="00E87E42">
        <w:rPr>
          <w:i/>
        </w:rPr>
        <w:t>Other public buildings and services</w:t>
      </w:r>
      <w:r w:rsidRPr="00E87E42">
        <w:t xml:space="preserve"> (0.06%) in USA</w:t>
      </w:r>
      <w:r w:rsidR="009A0EE8" w:rsidRPr="00E87E42">
        <w:t>.</w:t>
      </w:r>
    </w:p>
    <w:p w14:paraId="2A70E818" w14:textId="5E3632EE" w:rsidR="00CD4561" w:rsidRPr="00E87E42" w:rsidRDefault="0019667A" w:rsidP="008E2DD8">
      <w:r w:rsidRPr="00E87E42">
        <w:fldChar w:fldCharType="begin"/>
      </w:r>
      <w:r w:rsidRPr="00E87E42">
        <w:instrText xml:space="preserve"> REF _Ref508704333 \h </w:instrText>
      </w:r>
      <w:r w:rsidR="00E87E42">
        <w:instrText xml:space="preserve"> \* MERGEFORMAT </w:instrText>
      </w:r>
      <w:r w:rsidRPr="00E87E42">
        <w:fldChar w:fldCharType="separate"/>
      </w:r>
      <w:r w:rsidR="009F6872" w:rsidRPr="00E87E42">
        <w:t xml:space="preserve">Table </w:t>
      </w:r>
      <w:r w:rsidR="009F6872">
        <w:rPr>
          <w:noProof/>
        </w:rPr>
        <w:t>2</w:t>
      </w:r>
      <w:r w:rsidRPr="00E87E42">
        <w:fldChar w:fldCharType="end"/>
      </w:r>
      <w:r w:rsidRPr="00E87E42">
        <w:t xml:space="preserve"> </w:t>
      </w:r>
      <w:r w:rsidR="00473093" w:rsidRPr="00E87E42">
        <w:t>compar</w:t>
      </w:r>
      <w:r w:rsidR="00E33C51" w:rsidRPr="00E87E42">
        <w:t>es</w:t>
      </w:r>
      <w:r w:rsidR="00473093" w:rsidRPr="00E87E42">
        <w:t xml:space="preserve"> fire frequency between </w:t>
      </w:r>
      <w:r w:rsidR="009A0EE8" w:rsidRPr="00E87E42">
        <w:t xml:space="preserve">more recent </w:t>
      </w:r>
      <w:r w:rsidR="00473093" w:rsidRPr="00E87E42">
        <w:t>US</w:t>
      </w:r>
      <w:r w:rsidR="006728B6" w:rsidRPr="00E87E42">
        <w:t>A</w:t>
      </w:r>
      <w:r w:rsidRPr="00E87E42">
        <w:t xml:space="preserve"> and UK</w:t>
      </w:r>
      <w:r w:rsidR="00473093" w:rsidRPr="00E87E42">
        <w:t xml:space="preserve"> </w:t>
      </w:r>
      <w:r w:rsidR="009A0EE8" w:rsidRPr="00E87E42">
        <w:t>fire statistics</w:t>
      </w:r>
      <w:r w:rsidR="00473093" w:rsidRPr="00E87E42">
        <w:t xml:space="preserve"> and the frequencies presented in</w:t>
      </w:r>
      <w:r w:rsidR="009A0EE8" w:rsidRPr="00E87E42">
        <w:t xml:space="preserve"> </w:t>
      </w:r>
      <w:r w:rsidR="008E2DD8" w:rsidRPr="00E87E42">
        <w:t xml:space="preserve">Table A.2 of PD 7974-7 </w:t>
      </w:r>
      <w:r w:rsidR="005018EA" w:rsidRPr="00E87E42">
        <w:fldChar w:fldCharType="begin" w:fldLock="1"/>
      </w:r>
      <w:r w:rsidR="00BC5ED7" w:rsidRPr="00E87E42">
        <w:instrText>ADDIN CSL_CITATION {"citationItems":[{"id":"ITEM-1","itemData":{"author":[{"dropping-particle":"","family":"BSI","given":"","non-dropping-particle":"","parse-names":false,"suffix":""}],"id":"ITEM-1","issued":{"date-parts":[["2003"]]},"title":"PD 7974-7: Application of fire safety engineering principles to the design of buildings — Part 7 : Probabilistic risk assessment","type":"article-journal","volume":"3"},"uris":["http://www.mendeley.com/documents/?uuid=939ef726-1b50-4e5c-b39d-a90e50ef2a69"]}],"mendeley":{"formattedCitation":"[3]","plainTextFormattedCitation":"[3]","previouslyFormattedCitation":"[3]"},"properties":{"noteIndex":0},"schema":"https://github.com/citation-style-language/schema/raw/master/csl-citation.json"}</w:instrText>
      </w:r>
      <w:r w:rsidR="005018EA" w:rsidRPr="00E87E42">
        <w:fldChar w:fldCharType="separate"/>
      </w:r>
      <w:r w:rsidR="00214A6C" w:rsidRPr="00E87E42">
        <w:rPr>
          <w:noProof/>
        </w:rPr>
        <w:t>[3]</w:t>
      </w:r>
      <w:r w:rsidR="005018EA" w:rsidRPr="00E87E42">
        <w:fldChar w:fldCharType="end"/>
      </w:r>
      <w:r w:rsidR="009A0EE8" w:rsidRPr="00E87E42">
        <w:t>.</w:t>
      </w:r>
      <w:r w:rsidR="008E2DD8" w:rsidRPr="00E87E42">
        <w:t xml:space="preserve"> For the </w:t>
      </w:r>
      <w:r w:rsidR="009A0EE8" w:rsidRPr="00E87E42">
        <w:rPr>
          <w:i/>
        </w:rPr>
        <w:t>Storage</w:t>
      </w:r>
      <w:r w:rsidR="009A0EE8" w:rsidRPr="00E87E42">
        <w:t xml:space="preserve"> and </w:t>
      </w:r>
      <w:r w:rsidR="009A0EE8" w:rsidRPr="00E87E42">
        <w:rPr>
          <w:i/>
        </w:rPr>
        <w:t>Assembly non-residential</w:t>
      </w:r>
      <w:r w:rsidR="009A0EE8" w:rsidRPr="00E87E42">
        <w:t xml:space="preserve"> </w:t>
      </w:r>
      <w:r w:rsidR="008E2DD8" w:rsidRPr="00E87E42">
        <w:t>class</w:t>
      </w:r>
      <w:r w:rsidR="009A0EE8" w:rsidRPr="00E87E42">
        <w:t>es</w:t>
      </w:r>
      <w:r w:rsidR="008E2DD8" w:rsidRPr="00E87E42">
        <w:t>, it has</w:t>
      </w:r>
      <w:r w:rsidR="009A0EE8" w:rsidRPr="00E87E42">
        <w:t xml:space="preserve"> not</w:t>
      </w:r>
      <w:r w:rsidR="008E2DD8" w:rsidRPr="00E87E42">
        <w:t xml:space="preserve"> been possible to recreate the frequency </w:t>
      </w:r>
      <w:r w:rsidR="009A0EE8" w:rsidRPr="00E87E42">
        <w:t>due to limited information within the datab</w:t>
      </w:r>
      <w:r w:rsidR="005018EA" w:rsidRPr="00E87E42">
        <w:t>a</w:t>
      </w:r>
      <w:r w:rsidR="009A0EE8" w:rsidRPr="00E87E42">
        <w:t>s</w:t>
      </w:r>
      <w:r w:rsidR="005018EA" w:rsidRPr="00E87E42">
        <w:t>es</w:t>
      </w:r>
      <w:r w:rsidR="009A0EE8" w:rsidRPr="00E87E42">
        <w:t xml:space="preserve"> </w:t>
      </w:r>
      <w:proofErr w:type="gramStart"/>
      <w:r w:rsidR="009A0EE8" w:rsidRPr="00E87E42">
        <w:t>being examined</w:t>
      </w:r>
      <w:proofErr w:type="gramEnd"/>
      <w:r w:rsidR="009A0EE8" w:rsidRPr="00E87E42">
        <w:t>.</w:t>
      </w:r>
      <w:r w:rsidR="008E2DD8" w:rsidRPr="00E87E42">
        <w:t xml:space="preserve"> </w:t>
      </w:r>
      <w:r w:rsidR="008E2DD8" w:rsidRPr="00E87E42">
        <w:rPr>
          <w:i/>
        </w:rPr>
        <w:t>Offices</w:t>
      </w:r>
      <w:r w:rsidR="008E2DD8" w:rsidRPr="00E87E42">
        <w:t xml:space="preserve"> in</w:t>
      </w:r>
      <w:r w:rsidR="009A0EE8" w:rsidRPr="00E87E42">
        <w:t xml:space="preserve"> Table A.2 of </w:t>
      </w:r>
      <w:r w:rsidR="008E2DD8" w:rsidRPr="00E87E42">
        <w:t xml:space="preserve">PD 7974-7 </w:t>
      </w:r>
      <w:proofErr w:type="gramStart"/>
      <w:r w:rsidR="008E2DD8" w:rsidRPr="00E87E42">
        <w:t>ha</w:t>
      </w:r>
      <w:r w:rsidR="009A0EE8" w:rsidRPr="00E87E42">
        <w:t xml:space="preserve">s </w:t>
      </w:r>
      <w:r w:rsidR="008E2DD8" w:rsidRPr="00E87E42">
        <w:t>been compared</w:t>
      </w:r>
      <w:proofErr w:type="gramEnd"/>
      <w:r w:rsidR="008E2DD8" w:rsidRPr="00E87E42">
        <w:t xml:space="preserve"> </w:t>
      </w:r>
      <w:r w:rsidR="009A0EE8" w:rsidRPr="00E87E42">
        <w:t>to</w:t>
      </w:r>
      <w:r w:rsidR="008E2DD8" w:rsidRPr="00E87E42">
        <w:t xml:space="preserve"> the class</w:t>
      </w:r>
      <w:r w:rsidR="00FD0B3E" w:rsidRPr="00E87E42">
        <w:t>es</w:t>
      </w:r>
      <w:r w:rsidR="008E2DD8" w:rsidRPr="00E87E42">
        <w:t xml:space="preserve"> of </w:t>
      </w:r>
      <w:r w:rsidR="008E2DD8" w:rsidRPr="00E87E42">
        <w:rPr>
          <w:i/>
        </w:rPr>
        <w:t>Offices and call centres</w:t>
      </w:r>
      <w:r w:rsidR="00FD0B3E" w:rsidRPr="00E87E42">
        <w:rPr>
          <w:i/>
        </w:rPr>
        <w:t xml:space="preserve"> </w:t>
      </w:r>
      <w:r w:rsidR="00FD0B3E" w:rsidRPr="00E87E42">
        <w:t>and</w:t>
      </w:r>
      <w:r w:rsidR="008E2DD8" w:rsidRPr="00E87E42">
        <w:rPr>
          <w:i/>
        </w:rPr>
        <w:t xml:space="preserve"> Retail premises</w:t>
      </w:r>
      <w:r w:rsidR="008E2DD8" w:rsidRPr="00E87E42">
        <w:t xml:space="preserve">. </w:t>
      </w:r>
      <w:proofErr w:type="gramStart"/>
      <w:r w:rsidR="00CD4561" w:rsidRPr="00E87E42">
        <w:t xml:space="preserve">In general, fire frequencies are in the same order of magnitude </w:t>
      </w:r>
      <w:r w:rsidR="008E2DD8" w:rsidRPr="00E87E42">
        <w:t>with the exception</w:t>
      </w:r>
      <w:r w:rsidR="00CD4561" w:rsidRPr="00E87E42">
        <w:t>s</w:t>
      </w:r>
      <w:r w:rsidR="008E2DD8" w:rsidRPr="00E87E42">
        <w:t xml:space="preserve"> of </w:t>
      </w:r>
      <w:r w:rsidR="008E2DD8" w:rsidRPr="00E87E42">
        <w:rPr>
          <w:i/>
        </w:rPr>
        <w:t>Assembly entertainment</w:t>
      </w:r>
      <w:r w:rsidR="008E2DD8" w:rsidRPr="00E87E42">
        <w:t xml:space="preserve"> (5.446</w:t>
      </w:r>
      <w:r w:rsidR="00CD4561" w:rsidRPr="00E87E42">
        <w:sym w:font="Symbol" w:char="F0B4"/>
      </w:r>
      <w:r w:rsidR="00CD4561" w:rsidRPr="00E87E42">
        <w:t>10</w:t>
      </w:r>
      <w:r w:rsidR="00CD4561" w:rsidRPr="00E87E42">
        <w:rPr>
          <w:vertAlign w:val="superscript"/>
        </w:rPr>
        <w:t>-2</w:t>
      </w:r>
      <w:r w:rsidR="008E2DD8" w:rsidRPr="00E87E42">
        <w:t xml:space="preserve">) and </w:t>
      </w:r>
      <w:r w:rsidR="008E2DD8" w:rsidRPr="00E87E42">
        <w:rPr>
          <w:i/>
        </w:rPr>
        <w:t>Schools</w:t>
      </w:r>
      <w:r w:rsidR="008E2DD8" w:rsidRPr="00E87E42">
        <w:t xml:space="preserve"> (5.512</w:t>
      </w:r>
      <w:r w:rsidR="00CD4561" w:rsidRPr="00E87E42">
        <w:sym w:font="Symbol" w:char="F0B4"/>
      </w:r>
      <w:r w:rsidR="00CD4561" w:rsidRPr="00E87E42">
        <w:t>10</w:t>
      </w:r>
      <w:r w:rsidR="00CD4561" w:rsidRPr="00E87E42">
        <w:rPr>
          <w:vertAlign w:val="superscript"/>
        </w:rPr>
        <w:t>-2</w:t>
      </w:r>
      <w:r w:rsidR="008E2DD8" w:rsidRPr="00E87E42">
        <w:t xml:space="preserve">) in USA which present a higher peak than the ones for the </w:t>
      </w:r>
      <w:r w:rsidR="00CD4561" w:rsidRPr="00E87E42">
        <w:t>UK</w:t>
      </w:r>
      <w:r w:rsidR="005955BF" w:rsidRPr="00E87E42">
        <w:t xml:space="preserve"> (0.687</w:t>
      </w:r>
      <w:r w:rsidR="005955BF" w:rsidRPr="00E87E42">
        <w:sym w:font="Symbol" w:char="F0B4"/>
      </w:r>
      <w:r w:rsidR="005955BF" w:rsidRPr="00E87E42">
        <w:t>10</w:t>
      </w:r>
      <w:r w:rsidR="005955BF" w:rsidRPr="00E87E42">
        <w:rPr>
          <w:vertAlign w:val="superscript"/>
        </w:rPr>
        <w:t>-2</w:t>
      </w:r>
      <w:r w:rsidR="005955BF" w:rsidRPr="00E87E42">
        <w:t xml:space="preserve"> and 1.362</w:t>
      </w:r>
      <w:r w:rsidR="005955BF" w:rsidRPr="00E87E42">
        <w:sym w:font="Symbol" w:char="F0B4"/>
      </w:r>
      <w:r w:rsidR="005955BF" w:rsidRPr="00E87E42">
        <w:t>10</w:t>
      </w:r>
      <w:r w:rsidR="005955BF" w:rsidRPr="00E87E42">
        <w:rPr>
          <w:vertAlign w:val="superscript"/>
        </w:rPr>
        <w:t>-2</w:t>
      </w:r>
      <w:r w:rsidR="005955BF" w:rsidRPr="00E87E42">
        <w:t>, respectively)</w:t>
      </w:r>
      <w:r w:rsidR="00CD4561" w:rsidRPr="00E87E42">
        <w:t xml:space="preserve">, and fires in </w:t>
      </w:r>
      <w:r w:rsidR="00CD4561" w:rsidRPr="00E87E42">
        <w:rPr>
          <w:i/>
        </w:rPr>
        <w:t>Hospitals</w:t>
      </w:r>
      <w:r w:rsidR="00CD4561" w:rsidRPr="00E87E42">
        <w:t xml:space="preserve"> (2.571</w:t>
      </w:r>
      <w:r w:rsidR="00CD4561" w:rsidRPr="00E87E42">
        <w:sym w:font="Symbol" w:char="F0B4"/>
      </w:r>
      <w:r w:rsidR="00CD4561" w:rsidRPr="00E87E42">
        <w:t>10</w:t>
      </w:r>
      <w:r w:rsidR="00CD4561" w:rsidRPr="00E87E42">
        <w:rPr>
          <w:vertAlign w:val="superscript"/>
        </w:rPr>
        <w:t>-2</w:t>
      </w:r>
      <w:r w:rsidR="00CD4561" w:rsidRPr="00E87E42">
        <w:t xml:space="preserve">) within the UK which are </w:t>
      </w:r>
      <w:r w:rsidR="00E33C51" w:rsidRPr="00E87E42">
        <w:t xml:space="preserve">seven </w:t>
      </w:r>
      <w:r w:rsidR="00CD4561" w:rsidRPr="00E87E42">
        <w:t>time</w:t>
      </w:r>
      <w:r w:rsidR="00E33C51" w:rsidRPr="00E87E42">
        <w:t>s</w:t>
      </w:r>
      <w:r w:rsidR="00CD4561" w:rsidRPr="00E87E42">
        <w:t xml:space="preserve"> more frequent than in the US</w:t>
      </w:r>
      <w:r w:rsidR="006728B6" w:rsidRPr="00E87E42">
        <w:t>A</w:t>
      </w:r>
      <w:r w:rsidR="005955BF" w:rsidRPr="00E87E42">
        <w:t xml:space="preserve"> (0.363</w:t>
      </w:r>
      <w:r w:rsidR="005955BF" w:rsidRPr="00E87E42">
        <w:sym w:font="Symbol" w:char="F0B4"/>
      </w:r>
      <w:r w:rsidR="005955BF" w:rsidRPr="00E87E42">
        <w:t>10</w:t>
      </w:r>
      <w:r w:rsidR="005955BF" w:rsidRPr="00E87E42">
        <w:rPr>
          <w:vertAlign w:val="superscript"/>
        </w:rPr>
        <w:t>-2</w:t>
      </w:r>
      <w:r w:rsidR="005955BF" w:rsidRPr="00E87E42">
        <w:t>)</w:t>
      </w:r>
      <w:r w:rsidR="008E2DD8" w:rsidRPr="00E87E42">
        <w:t>.</w:t>
      </w:r>
      <w:proofErr w:type="gramEnd"/>
      <w:r w:rsidR="008E2DD8" w:rsidRPr="00E87E42">
        <w:t xml:space="preserve"> </w:t>
      </w:r>
    </w:p>
    <w:p w14:paraId="0804CB00" w14:textId="43B857E1" w:rsidR="008E2DD8" w:rsidRPr="00E87E42" w:rsidRDefault="00CD4561" w:rsidP="008E2DD8">
      <w:r w:rsidRPr="00E87E42">
        <w:t>F</w:t>
      </w:r>
      <w:r w:rsidR="008E2DD8" w:rsidRPr="00E87E42">
        <w:t xml:space="preserve">requencies in PD 7974-7 </w:t>
      </w:r>
      <w:r w:rsidRPr="00E87E42">
        <w:t xml:space="preserve">are </w:t>
      </w:r>
      <w:r w:rsidR="003D164F" w:rsidRPr="00E87E42">
        <w:t xml:space="preserve">in general </w:t>
      </w:r>
      <w:r w:rsidRPr="00E87E42">
        <w:t xml:space="preserve">always </w:t>
      </w:r>
      <w:r w:rsidR="003D164F" w:rsidRPr="00E87E42">
        <w:t xml:space="preserve">higher </w:t>
      </w:r>
      <w:r w:rsidR="005018EA" w:rsidRPr="00E87E42">
        <w:t>than</w:t>
      </w:r>
      <w:r w:rsidR="008E2DD8" w:rsidRPr="00E87E42">
        <w:t xml:space="preserve"> the </w:t>
      </w:r>
      <w:r w:rsidRPr="00E87E42">
        <w:t xml:space="preserve">frequencies </w:t>
      </w:r>
      <w:r w:rsidR="008E2DD8" w:rsidRPr="00E87E42">
        <w:t xml:space="preserve">obtained </w:t>
      </w:r>
      <w:r w:rsidRPr="00E87E42">
        <w:t>from the current analysis.</w:t>
      </w:r>
      <w:r w:rsidR="008E2DD8" w:rsidRPr="00E87E42">
        <w:t xml:space="preserve"> Frequencies for </w:t>
      </w:r>
      <w:r w:rsidR="008E2DD8" w:rsidRPr="00E87E42">
        <w:rPr>
          <w:i/>
        </w:rPr>
        <w:t>Assembly entertainment</w:t>
      </w:r>
      <w:r w:rsidR="008E2DD8" w:rsidRPr="00E87E42">
        <w:t xml:space="preserve"> (12</w:t>
      </w:r>
      <w:r w:rsidRPr="00E87E42">
        <w:sym w:font="Symbol" w:char="F0B4"/>
      </w:r>
      <w:r w:rsidRPr="00E87E42">
        <w:t>10</w:t>
      </w:r>
      <w:r w:rsidRPr="00E87E42">
        <w:rPr>
          <w:vertAlign w:val="superscript"/>
        </w:rPr>
        <w:t>-2</w:t>
      </w:r>
      <w:r w:rsidR="008E2DD8" w:rsidRPr="00E87E42">
        <w:t xml:space="preserve">) and </w:t>
      </w:r>
      <w:r w:rsidR="008E2DD8" w:rsidRPr="00E87E42">
        <w:rPr>
          <w:i/>
        </w:rPr>
        <w:t>Hospitals</w:t>
      </w:r>
      <w:r w:rsidR="008E2DD8" w:rsidRPr="00E87E42">
        <w:t xml:space="preserve"> (30</w:t>
      </w:r>
      <w:r w:rsidRPr="00E87E42">
        <w:sym w:font="Symbol" w:char="F0B4"/>
      </w:r>
      <w:r w:rsidRPr="00E87E42">
        <w:t>10</w:t>
      </w:r>
      <w:r w:rsidRPr="00E87E42">
        <w:rPr>
          <w:vertAlign w:val="superscript"/>
        </w:rPr>
        <w:t>-2</w:t>
      </w:r>
      <w:r w:rsidR="008E2DD8" w:rsidRPr="00E87E42">
        <w:t xml:space="preserve">) in PD 7974-7 </w:t>
      </w:r>
      <w:r w:rsidRPr="00E87E42">
        <w:t xml:space="preserve">seem to be very conservative </w:t>
      </w:r>
      <w:r w:rsidR="003D164F" w:rsidRPr="00E87E42">
        <w:t xml:space="preserve">with frequencies 17 and 11 times greater, respectively, than those obtained in the current analysis of the UK data, and 2 and 82 times greater, respectively, than the USA data.  The </w:t>
      </w:r>
      <w:r w:rsidR="003D164F" w:rsidRPr="00E87E42">
        <w:rPr>
          <w:i/>
        </w:rPr>
        <w:t>Industrial</w:t>
      </w:r>
      <w:r w:rsidR="003D164F" w:rsidRPr="00E87E42">
        <w:t xml:space="preserve">, </w:t>
      </w:r>
      <w:r w:rsidR="003D164F" w:rsidRPr="00E87E42">
        <w:rPr>
          <w:i/>
        </w:rPr>
        <w:t>Offices</w:t>
      </w:r>
      <w:r w:rsidR="003D164F" w:rsidRPr="00E87E42">
        <w:t xml:space="preserve">, </w:t>
      </w:r>
      <w:r w:rsidR="003D164F" w:rsidRPr="00E87E42">
        <w:rPr>
          <w:i/>
        </w:rPr>
        <w:t>Schools</w:t>
      </w:r>
      <w:r w:rsidR="003D164F" w:rsidRPr="00E87E42">
        <w:t xml:space="preserve">, and </w:t>
      </w:r>
      <w:r w:rsidR="003D164F" w:rsidRPr="00E87E42">
        <w:rPr>
          <w:i/>
        </w:rPr>
        <w:t>Dwellings</w:t>
      </w:r>
      <w:r w:rsidR="003D164F" w:rsidRPr="00E87E42">
        <w:t xml:space="preserve"> classes are all 2 to 4 times greater in PD 7974-7 than determined in the current analysis (</w:t>
      </w:r>
      <w:r w:rsidR="005C1123" w:rsidRPr="00E87E42">
        <w:t>except for</w:t>
      </w:r>
      <w:r w:rsidR="003D164F" w:rsidRPr="00E87E42">
        <w:t xml:space="preserve"> </w:t>
      </w:r>
      <w:r w:rsidR="003D164F" w:rsidRPr="00E87E42">
        <w:rPr>
          <w:i/>
        </w:rPr>
        <w:t>Schools</w:t>
      </w:r>
      <w:r w:rsidR="003D164F" w:rsidRPr="00E87E42">
        <w:t xml:space="preserve"> (5.512</w:t>
      </w:r>
      <w:r w:rsidR="003D164F" w:rsidRPr="00E87E42">
        <w:sym w:font="Symbol" w:char="F0B4"/>
      </w:r>
      <w:r w:rsidR="003D164F" w:rsidRPr="00E87E42">
        <w:t>10</w:t>
      </w:r>
      <w:r w:rsidR="003D164F" w:rsidRPr="00E87E42">
        <w:rPr>
          <w:vertAlign w:val="superscript"/>
        </w:rPr>
        <w:t>-2</w:t>
      </w:r>
      <w:r w:rsidR="003D164F" w:rsidRPr="00E87E42">
        <w:t xml:space="preserve">) in USA data which is 1.4 times greater). </w:t>
      </w:r>
    </w:p>
    <w:p w14:paraId="5198F907" w14:textId="50F03578" w:rsidR="00473093" w:rsidRPr="00E87E42" w:rsidRDefault="00473093" w:rsidP="0019667A">
      <w:pPr>
        <w:pStyle w:val="Caption"/>
        <w:keepNext/>
      </w:pPr>
      <w:bookmarkStart w:id="6" w:name="_Ref508704333"/>
      <w:r w:rsidRPr="00E87E42">
        <w:t xml:space="preserve">Table </w:t>
      </w:r>
      <w:r w:rsidR="00A446AC" w:rsidRPr="00E87E42">
        <w:rPr>
          <w:noProof/>
        </w:rPr>
        <w:fldChar w:fldCharType="begin"/>
      </w:r>
      <w:r w:rsidR="00A446AC" w:rsidRPr="00E87E42">
        <w:rPr>
          <w:noProof/>
        </w:rPr>
        <w:instrText xml:space="preserve"> SEQ Table \* ARABIC </w:instrText>
      </w:r>
      <w:r w:rsidR="00A446AC" w:rsidRPr="00E87E42">
        <w:rPr>
          <w:noProof/>
        </w:rPr>
        <w:fldChar w:fldCharType="separate"/>
      </w:r>
      <w:r w:rsidR="009F6872">
        <w:rPr>
          <w:noProof/>
        </w:rPr>
        <w:t>2</w:t>
      </w:r>
      <w:r w:rsidR="00A446AC" w:rsidRPr="00E87E42">
        <w:rPr>
          <w:noProof/>
        </w:rPr>
        <w:fldChar w:fldCharType="end"/>
      </w:r>
      <w:bookmarkEnd w:id="6"/>
      <w:r w:rsidRPr="00E87E42">
        <w:t>: Table A.2 Overall probability of fire starting in various types of occupancy</w:t>
      </w:r>
      <w:r w:rsidR="00477800" w:rsidRPr="00E87E42">
        <w:t xml:space="preserve"> in PD 7974-7, UK and USA fire statistics</w:t>
      </w:r>
    </w:p>
    <w:tbl>
      <w:tblPr>
        <w:tblStyle w:val="TableGrid"/>
        <w:tblW w:w="0" w:type="auto"/>
        <w:jc w:val="center"/>
        <w:tblCellMar>
          <w:left w:w="85" w:type="dxa"/>
          <w:right w:w="85" w:type="dxa"/>
        </w:tblCellMar>
        <w:tblLook w:val="04A0" w:firstRow="1" w:lastRow="0" w:firstColumn="1" w:lastColumn="0" w:noHBand="0" w:noVBand="1"/>
      </w:tblPr>
      <w:tblGrid>
        <w:gridCol w:w="4580"/>
        <w:gridCol w:w="1293"/>
        <w:gridCol w:w="1293"/>
        <w:gridCol w:w="1294"/>
      </w:tblGrid>
      <w:tr w:rsidR="00633CEB" w:rsidRPr="00E87E42" w14:paraId="710483D7" w14:textId="77777777" w:rsidTr="008A55B5">
        <w:trPr>
          <w:trHeight w:val="170"/>
          <w:jc w:val="center"/>
        </w:trPr>
        <w:tc>
          <w:tcPr>
            <w:tcW w:w="0" w:type="auto"/>
            <w:gridSpan w:val="4"/>
            <w:tcBorders>
              <w:top w:val="single" w:sz="4" w:space="0" w:color="auto"/>
              <w:bottom w:val="single" w:sz="4" w:space="0" w:color="auto"/>
            </w:tcBorders>
          </w:tcPr>
          <w:p w14:paraId="23D65841" w14:textId="6A9D7A00" w:rsidR="00633CEB" w:rsidRPr="00E87E42" w:rsidRDefault="00633CEB" w:rsidP="00836131">
            <w:pPr>
              <w:spacing w:after="0" w:line="240" w:lineRule="auto"/>
              <w:jc w:val="center"/>
              <w:rPr>
                <w:b/>
                <w:sz w:val="18"/>
                <w:u w:val="single"/>
              </w:rPr>
            </w:pPr>
            <w:r w:rsidRPr="00E87E42">
              <w:rPr>
                <w:b/>
                <w:sz w:val="18"/>
                <w:u w:val="single"/>
              </w:rPr>
              <w:t>Probability of fire starting (10</w:t>
            </w:r>
            <w:r w:rsidRPr="00E87E42">
              <w:rPr>
                <w:b/>
                <w:sz w:val="18"/>
                <w:u w:val="single"/>
                <w:vertAlign w:val="superscript"/>
              </w:rPr>
              <w:t>-2</w:t>
            </w:r>
            <w:r w:rsidRPr="00E87E42">
              <w:rPr>
                <w:b/>
                <w:sz w:val="18"/>
                <w:u w:val="single"/>
              </w:rPr>
              <w:t>)</w:t>
            </w:r>
          </w:p>
        </w:tc>
      </w:tr>
      <w:tr w:rsidR="00473093" w:rsidRPr="00E87E42" w14:paraId="51A02A9A" w14:textId="376A71B2" w:rsidTr="008A55B5">
        <w:trPr>
          <w:trHeight w:val="170"/>
          <w:jc w:val="center"/>
        </w:trPr>
        <w:tc>
          <w:tcPr>
            <w:tcW w:w="0" w:type="auto"/>
            <w:tcBorders>
              <w:top w:val="single" w:sz="4" w:space="0" w:color="auto"/>
            </w:tcBorders>
          </w:tcPr>
          <w:p w14:paraId="1D88B2CC" w14:textId="309091BB" w:rsidR="00800735" w:rsidRPr="00E87E42" w:rsidRDefault="00800735" w:rsidP="00836131">
            <w:pPr>
              <w:spacing w:after="0" w:line="240" w:lineRule="auto"/>
              <w:rPr>
                <w:b/>
                <w:sz w:val="18"/>
                <w:u w:val="single"/>
              </w:rPr>
            </w:pPr>
            <w:r w:rsidRPr="00E87E42">
              <w:rPr>
                <w:b/>
                <w:sz w:val="18"/>
                <w:u w:val="single"/>
              </w:rPr>
              <w:t>Occupancy</w:t>
            </w:r>
          </w:p>
        </w:tc>
        <w:tc>
          <w:tcPr>
            <w:tcW w:w="1293" w:type="dxa"/>
            <w:tcBorders>
              <w:top w:val="single" w:sz="4" w:space="0" w:color="auto"/>
            </w:tcBorders>
          </w:tcPr>
          <w:p w14:paraId="203FFB80" w14:textId="02F032C9" w:rsidR="00800735" w:rsidRPr="00E87E42" w:rsidRDefault="00800735" w:rsidP="00836131">
            <w:pPr>
              <w:spacing w:after="0" w:line="240" w:lineRule="auto"/>
              <w:jc w:val="center"/>
              <w:rPr>
                <w:b/>
                <w:sz w:val="18"/>
                <w:u w:val="single"/>
              </w:rPr>
            </w:pPr>
            <w:r w:rsidRPr="00E87E42">
              <w:rPr>
                <w:b/>
                <w:sz w:val="18"/>
                <w:u w:val="single"/>
              </w:rPr>
              <w:t>PD 7974-7</w:t>
            </w:r>
          </w:p>
        </w:tc>
        <w:tc>
          <w:tcPr>
            <w:tcW w:w="1293" w:type="dxa"/>
            <w:tcBorders>
              <w:top w:val="single" w:sz="4" w:space="0" w:color="auto"/>
            </w:tcBorders>
          </w:tcPr>
          <w:p w14:paraId="44791C5E" w14:textId="34376483" w:rsidR="00800735" w:rsidRPr="00E87E42" w:rsidRDefault="00800735" w:rsidP="00314FD6">
            <w:pPr>
              <w:spacing w:after="0" w:line="240" w:lineRule="auto"/>
              <w:jc w:val="center"/>
              <w:rPr>
                <w:b/>
                <w:sz w:val="18"/>
                <w:u w:val="single"/>
              </w:rPr>
            </w:pPr>
            <w:r w:rsidRPr="00E87E42">
              <w:rPr>
                <w:b/>
                <w:sz w:val="18"/>
                <w:u w:val="single"/>
              </w:rPr>
              <w:t>UK</w:t>
            </w:r>
          </w:p>
        </w:tc>
        <w:tc>
          <w:tcPr>
            <w:tcW w:w="1294" w:type="dxa"/>
            <w:tcBorders>
              <w:top w:val="single" w:sz="4" w:space="0" w:color="auto"/>
            </w:tcBorders>
          </w:tcPr>
          <w:p w14:paraId="09988EF0" w14:textId="21A07154" w:rsidR="00800735" w:rsidRPr="00E87E42" w:rsidRDefault="00800735" w:rsidP="00214A6C">
            <w:pPr>
              <w:spacing w:after="0" w:line="240" w:lineRule="auto"/>
              <w:jc w:val="center"/>
              <w:rPr>
                <w:b/>
                <w:sz w:val="18"/>
                <w:u w:val="single"/>
              </w:rPr>
            </w:pPr>
            <w:r w:rsidRPr="00E87E42">
              <w:rPr>
                <w:b/>
                <w:sz w:val="18"/>
                <w:u w:val="single"/>
              </w:rPr>
              <w:t>USA</w:t>
            </w:r>
          </w:p>
        </w:tc>
      </w:tr>
      <w:tr w:rsidR="00473093" w:rsidRPr="00E87E42" w14:paraId="199205D5" w14:textId="3CB04C6D" w:rsidTr="008A55B5">
        <w:trPr>
          <w:trHeight w:val="170"/>
          <w:jc w:val="center"/>
        </w:trPr>
        <w:tc>
          <w:tcPr>
            <w:tcW w:w="0" w:type="auto"/>
          </w:tcPr>
          <w:p w14:paraId="088F2C44" w14:textId="21FAC8C2" w:rsidR="00800735" w:rsidRPr="00E87E42" w:rsidRDefault="00800735" w:rsidP="00836131">
            <w:pPr>
              <w:spacing w:after="0" w:line="240" w:lineRule="auto"/>
              <w:rPr>
                <w:sz w:val="18"/>
              </w:rPr>
            </w:pPr>
            <w:r w:rsidRPr="00E87E42">
              <w:rPr>
                <w:sz w:val="18"/>
              </w:rPr>
              <w:t>Industrial</w:t>
            </w:r>
          </w:p>
        </w:tc>
        <w:tc>
          <w:tcPr>
            <w:tcW w:w="1293" w:type="dxa"/>
          </w:tcPr>
          <w:p w14:paraId="77A1E9C4" w14:textId="0978A233" w:rsidR="00800735" w:rsidRPr="00E87E42" w:rsidRDefault="00633CEB" w:rsidP="00836131">
            <w:pPr>
              <w:spacing w:after="0" w:line="240" w:lineRule="auto"/>
              <w:jc w:val="center"/>
              <w:rPr>
                <w:sz w:val="18"/>
              </w:rPr>
            </w:pPr>
            <w:r w:rsidRPr="00E87E42">
              <w:rPr>
                <w:sz w:val="18"/>
              </w:rPr>
              <w:t>4.4</w:t>
            </w:r>
          </w:p>
        </w:tc>
        <w:tc>
          <w:tcPr>
            <w:tcW w:w="1293" w:type="dxa"/>
          </w:tcPr>
          <w:p w14:paraId="01DA05E0" w14:textId="191D229C" w:rsidR="00800735" w:rsidRPr="00E87E42" w:rsidRDefault="00B177B3" w:rsidP="00314FD6">
            <w:pPr>
              <w:spacing w:after="0" w:line="240" w:lineRule="auto"/>
              <w:jc w:val="center"/>
              <w:rPr>
                <w:sz w:val="18"/>
              </w:rPr>
            </w:pPr>
            <w:r w:rsidRPr="00E87E42">
              <w:rPr>
                <w:sz w:val="18"/>
              </w:rPr>
              <w:t>0.903</w:t>
            </w:r>
          </w:p>
        </w:tc>
        <w:tc>
          <w:tcPr>
            <w:tcW w:w="1294" w:type="dxa"/>
          </w:tcPr>
          <w:p w14:paraId="5270D720" w14:textId="5B9C735A" w:rsidR="00800735" w:rsidRPr="00E87E42" w:rsidRDefault="00B177B3" w:rsidP="00214A6C">
            <w:pPr>
              <w:spacing w:after="0" w:line="240" w:lineRule="auto"/>
              <w:jc w:val="center"/>
              <w:rPr>
                <w:sz w:val="18"/>
              </w:rPr>
            </w:pPr>
            <w:r w:rsidRPr="00E87E42">
              <w:rPr>
                <w:sz w:val="18"/>
              </w:rPr>
              <w:t>1.121</w:t>
            </w:r>
          </w:p>
        </w:tc>
      </w:tr>
      <w:tr w:rsidR="00473093" w:rsidRPr="00E87E42" w14:paraId="06675945" w14:textId="4DF9C52F" w:rsidTr="008A55B5">
        <w:trPr>
          <w:trHeight w:val="170"/>
          <w:jc w:val="center"/>
        </w:trPr>
        <w:tc>
          <w:tcPr>
            <w:tcW w:w="0" w:type="auto"/>
          </w:tcPr>
          <w:p w14:paraId="11F67926" w14:textId="109541CC" w:rsidR="00800735" w:rsidRPr="00E87E42" w:rsidRDefault="00800735" w:rsidP="00836131">
            <w:pPr>
              <w:spacing w:after="0" w:line="240" w:lineRule="auto"/>
              <w:rPr>
                <w:sz w:val="18"/>
              </w:rPr>
            </w:pPr>
            <w:r w:rsidRPr="00E87E42">
              <w:rPr>
                <w:sz w:val="18"/>
              </w:rPr>
              <w:t>Storage</w:t>
            </w:r>
          </w:p>
        </w:tc>
        <w:tc>
          <w:tcPr>
            <w:tcW w:w="1293" w:type="dxa"/>
          </w:tcPr>
          <w:p w14:paraId="37926632" w14:textId="59CC549B" w:rsidR="00800735" w:rsidRPr="00E87E42" w:rsidRDefault="00633CEB" w:rsidP="00836131">
            <w:pPr>
              <w:spacing w:after="0" w:line="240" w:lineRule="auto"/>
              <w:jc w:val="center"/>
              <w:rPr>
                <w:sz w:val="18"/>
              </w:rPr>
            </w:pPr>
            <w:r w:rsidRPr="00E87E42">
              <w:rPr>
                <w:sz w:val="18"/>
              </w:rPr>
              <w:t>1.3</w:t>
            </w:r>
          </w:p>
        </w:tc>
        <w:tc>
          <w:tcPr>
            <w:tcW w:w="1293" w:type="dxa"/>
          </w:tcPr>
          <w:p w14:paraId="7BF934A1" w14:textId="0AD55014" w:rsidR="00800735" w:rsidRPr="00E87E42" w:rsidRDefault="00B177B3" w:rsidP="00314FD6">
            <w:pPr>
              <w:spacing w:after="0" w:line="240" w:lineRule="auto"/>
              <w:jc w:val="center"/>
              <w:rPr>
                <w:sz w:val="18"/>
              </w:rPr>
            </w:pPr>
            <w:r w:rsidRPr="00E87E42">
              <w:rPr>
                <w:sz w:val="18"/>
              </w:rPr>
              <w:t>N/A</w:t>
            </w:r>
          </w:p>
        </w:tc>
        <w:tc>
          <w:tcPr>
            <w:tcW w:w="1294" w:type="dxa"/>
          </w:tcPr>
          <w:p w14:paraId="020E7EC2" w14:textId="1C32237B" w:rsidR="00800735" w:rsidRPr="00E87E42" w:rsidRDefault="00B177B3" w:rsidP="00214A6C">
            <w:pPr>
              <w:spacing w:after="0" w:line="240" w:lineRule="auto"/>
              <w:jc w:val="center"/>
              <w:rPr>
                <w:sz w:val="18"/>
              </w:rPr>
            </w:pPr>
            <w:r w:rsidRPr="00E87E42">
              <w:rPr>
                <w:sz w:val="18"/>
              </w:rPr>
              <w:t>N/A</w:t>
            </w:r>
          </w:p>
        </w:tc>
      </w:tr>
      <w:tr w:rsidR="00473093" w:rsidRPr="00E87E42" w14:paraId="2C08BF27" w14:textId="0121946C" w:rsidTr="008A55B5">
        <w:trPr>
          <w:trHeight w:val="170"/>
          <w:jc w:val="center"/>
        </w:trPr>
        <w:tc>
          <w:tcPr>
            <w:tcW w:w="0" w:type="auto"/>
          </w:tcPr>
          <w:p w14:paraId="45D85C05" w14:textId="36EFFCE5" w:rsidR="00800735" w:rsidRPr="00E87E42" w:rsidRDefault="00800735" w:rsidP="00836131">
            <w:pPr>
              <w:spacing w:after="0" w:line="240" w:lineRule="auto"/>
              <w:rPr>
                <w:sz w:val="18"/>
              </w:rPr>
            </w:pPr>
            <w:r w:rsidRPr="00E87E42">
              <w:rPr>
                <w:sz w:val="18"/>
              </w:rPr>
              <w:t>Offices</w:t>
            </w:r>
          </w:p>
        </w:tc>
        <w:tc>
          <w:tcPr>
            <w:tcW w:w="1293" w:type="dxa"/>
          </w:tcPr>
          <w:p w14:paraId="184F0F40" w14:textId="76B151D8" w:rsidR="00800735" w:rsidRPr="00E87E42" w:rsidRDefault="00633CEB" w:rsidP="00836131">
            <w:pPr>
              <w:spacing w:after="0" w:line="240" w:lineRule="auto"/>
              <w:jc w:val="center"/>
              <w:rPr>
                <w:sz w:val="18"/>
              </w:rPr>
            </w:pPr>
            <w:r w:rsidRPr="00E87E42">
              <w:rPr>
                <w:sz w:val="18"/>
              </w:rPr>
              <w:t>0.62</w:t>
            </w:r>
          </w:p>
        </w:tc>
        <w:tc>
          <w:tcPr>
            <w:tcW w:w="1293" w:type="dxa"/>
          </w:tcPr>
          <w:p w14:paraId="15894D79" w14:textId="1D86B005" w:rsidR="00800735" w:rsidRPr="00E87E42" w:rsidRDefault="00B177B3" w:rsidP="00314FD6">
            <w:pPr>
              <w:spacing w:after="0" w:line="240" w:lineRule="auto"/>
              <w:jc w:val="center"/>
              <w:rPr>
                <w:sz w:val="18"/>
              </w:rPr>
            </w:pPr>
            <w:r w:rsidRPr="00E87E42">
              <w:rPr>
                <w:sz w:val="18"/>
              </w:rPr>
              <w:t>0.369</w:t>
            </w:r>
          </w:p>
        </w:tc>
        <w:tc>
          <w:tcPr>
            <w:tcW w:w="1294" w:type="dxa"/>
          </w:tcPr>
          <w:p w14:paraId="0047B2B5" w14:textId="0D4A302A" w:rsidR="00800735" w:rsidRPr="00E87E42" w:rsidRDefault="00B177B3" w:rsidP="00214A6C">
            <w:pPr>
              <w:spacing w:after="0" w:line="240" w:lineRule="auto"/>
              <w:jc w:val="center"/>
              <w:rPr>
                <w:sz w:val="18"/>
              </w:rPr>
            </w:pPr>
            <w:r w:rsidRPr="00E87E42">
              <w:rPr>
                <w:sz w:val="18"/>
              </w:rPr>
              <w:t>0.423</w:t>
            </w:r>
          </w:p>
        </w:tc>
      </w:tr>
      <w:tr w:rsidR="00473093" w:rsidRPr="00E87E42" w14:paraId="5D8A3416" w14:textId="599F6818" w:rsidTr="008A55B5">
        <w:trPr>
          <w:trHeight w:val="170"/>
          <w:jc w:val="center"/>
        </w:trPr>
        <w:tc>
          <w:tcPr>
            <w:tcW w:w="0" w:type="auto"/>
          </w:tcPr>
          <w:p w14:paraId="6699F7C8" w14:textId="02D3EBBD" w:rsidR="00800735" w:rsidRPr="00E87E42" w:rsidRDefault="00800735" w:rsidP="00836131">
            <w:pPr>
              <w:spacing w:after="0" w:line="240" w:lineRule="auto"/>
              <w:rPr>
                <w:sz w:val="18"/>
              </w:rPr>
            </w:pPr>
            <w:r w:rsidRPr="00E87E42">
              <w:rPr>
                <w:sz w:val="18"/>
              </w:rPr>
              <w:t>Assembly entertainment</w:t>
            </w:r>
          </w:p>
        </w:tc>
        <w:tc>
          <w:tcPr>
            <w:tcW w:w="1293" w:type="dxa"/>
          </w:tcPr>
          <w:p w14:paraId="3BC3B1D6" w14:textId="72659C9F" w:rsidR="00800735" w:rsidRPr="00E87E42" w:rsidRDefault="00633CEB" w:rsidP="00836131">
            <w:pPr>
              <w:spacing w:after="0" w:line="240" w:lineRule="auto"/>
              <w:jc w:val="center"/>
              <w:rPr>
                <w:sz w:val="18"/>
              </w:rPr>
            </w:pPr>
            <w:r w:rsidRPr="00E87E42">
              <w:rPr>
                <w:sz w:val="18"/>
              </w:rPr>
              <w:t>12</w:t>
            </w:r>
          </w:p>
        </w:tc>
        <w:tc>
          <w:tcPr>
            <w:tcW w:w="1293" w:type="dxa"/>
          </w:tcPr>
          <w:p w14:paraId="417E768A" w14:textId="3E792362" w:rsidR="00800735" w:rsidRPr="00E87E42" w:rsidRDefault="00B177B3" w:rsidP="00314FD6">
            <w:pPr>
              <w:spacing w:after="0" w:line="240" w:lineRule="auto"/>
              <w:jc w:val="center"/>
              <w:rPr>
                <w:sz w:val="18"/>
              </w:rPr>
            </w:pPr>
            <w:r w:rsidRPr="00E87E42">
              <w:rPr>
                <w:sz w:val="18"/>
              </w:rPr>
              <w:t>0.687</w:t>
            </w:r>
          </w:p>
        </w:tc>
        <w:tc>
          <w:tcPr>
            <w:tcW w:w="1294" w:type="dxa"/>
          </w:tcPr>
          <w:p w14:paraId="53693D16" w14:textId="721BD8C6" w:rsidR="00800735" w:rsidRPr="00E87E42" w:rsidRDefault="00B177B3" w:rsidP="00214A6C">
            <w:pPr>
              <w:spacing w:after="0" w:line="240" w:lineRule="auto"/>
              <w:jc w:val="center"/>
              <w:rPr>
                <w:sz w:val="18"/>
              </w:rPr>
            </w:pPr>
            <w:r w:rsidRPr="00E87E42">
              <w:rPr>
                <w:sz w:val="18"/>
              </w:rPr>
              <w:t>5.446</w:t>
            </w:r>
          </w:p>
        </w:tc>
      </w:tr>
      <w:tr w:rsidR="00473093" w:rsidRPr="00E87E42" w14:paraId="7F00F257" w14:textId="07595820" w:rsidTr="008A55B5">
        <w:trPr>
          <w:trHeight w:val="170"/>
          <w:jc w:val="center"/>
        </w:trPr>
        <w:tc>
          <w:tcPr>
            <w:tcW w:w="0" w:type="auto"/>
          </w:tcPr>
          <w:p w14:paraId="19FD0590" w14:textId="50238F20" w:rsidR="00800735" w:rsidRPr="00E87E42" w:rsidRDefault="00800735" w:rsidP="00836131">
            <w:pPr>
              <w:spacing w:after="0" w:line="240" w:lineRule="auto"/>
              <w:rPr>
                <w:sz w:val="18"/>
              </w:rPr>
            </w:pPr>
            <w:r w:rsidRPr="00E87E42">
              <w:rPr>
                <w:sz w:val="18"/>
              </w:rPr>
              <w:t>Assembly non-residential</w:t>
            </w:r>
          </w:p>
        </w:tc>
        <w:tc>
          <w:tcPr>
            <w:tcW w:w="1293" w:type="dxa"/>
          </w:tcPr>
          <w:p w14:paraId="1ACB296D" w14:textId="425532BD" w:rsidR="00800735" w:rsidRPr="00E87E42" w:rsidRDefault="00633CEB" w:rsidP="00836131">
            <w:pPr>
              <w:spacing w:after="0" w:line="240" w:lineRule="auto"/>
              <w:jc w:val="center"/>
              <w:rPr>
                <w:sz w:val="18"/>
              </w:rPr>
            </w:pPr>
            <w:r w:rsidRPr="00E87E42">
              <w:rPr>
                <w:sz w:val="18"/>
              </w:rPr>
              <w:t>2.0</w:t>
            </w:r>
          </w:p>
        </w:tc>
        <w:tc>
          <w:tcPr>
            <w:tcW w:w="1293" w:type="dxa"/>
          </w:tcPr>
          <w:p w14:paraId="462B981A" w14:textId="2EB9DFBA" w:rsidR="00800735" w:rsidRPr="00E87E42" w:rsidRDefault="00B177B3" w:rsidP="00314FD6">
            <w:pPr>
              <w:spacing w:after="0" w:line="240" w:lineRule="auto"/>
              <w:jc w:val="center"/>
              <w:rPr>
                <w:sz w:val="18"/>
              </w:rPr>
            </w:pPr>
            <w:r w:rsidRPr="00E87E42">
              <w:rPr>
                <w:sz w:val="18"/>
              </w:rPr>
              <w:t>N/A</w:t>
            </w:r>
          </w:p>
        </w:tc>
        <w:tc>
          <w:tcPr>
            <w:tcW w:w="1294" w:type="dxa"/>
          </w:tcPr>
          <w:p w14:paraId="09968305" w14:textId="7517432F" w:rsidR="00800735" w:rsidRPr="00E87E42" w:rsidRDefault="00B177B3" w:rsidP="00214A6C">
            <w:pPr>
              <w:spacing w:after="0" w:line="240" w:lineRule="auto"/>
              <w:jc w:val="center"/>
              <w:rPr>
                <w:sz w:val="18"/>
              </w:rPr>
            </w:pPr>
            <w:r w:rsidRPr="00E87E42">
              <w:rPr>
                <w:sz w:val="18"/>
              </w:rPr>
              <w:t>N/A</w:t>
            </w:r>
          </w:p>
        </w:tc>
      </w:tr>
      <w:tr w:rsidR="00473093" w:rsidRPr="00E87E42" w14:paraId="64DA7566" w14:textId="6E2CFD8D" w:rsidTr="008A55B5">
        <w:trPr>
          <w:trHeight w:val="170"/>
          <w:jc w:val="center"/>
        </w:trPr>
        <w:tc>
          <w:tcPr>
            <w:tcW w:w="0" w:type="auto"/>
          </w:tcPr>
          <w:p w14:paraId="625DF933" w14:textId="719EC99D" w:rsidR="00800735" w:rsidRPr="00E87E42" w:rsidRDefault="00800735" w:rsidP="00836131">
            <w:pPr>
              <w:spacing w:after="0" w:line="240" w:lineRule="auto"/>
              <w:rPr>
                <w:sz w:val="18"/>
              </w:rPr>
            </w:pPr>
            <w:r w:rsidRPr="00E87E42">
              <w:rPr>
                <w:sz w:val="18"/>
              </w:rPr>
              <w:t>Hospitals</w:t>
            </w:r>
          </w:p>
        </w:tc>
        <w:tc>
          <w:tcPr>
            <w:tcW w:w="1293" w:type="dxa"/>
          </w:tcPr>
          <w:p w14:paraId="4A2E14A2" w14:textId="580EEB54" w:rsidR="00800735" w:rsidRPr="00E87E42" w:rsidRDefault="00633CEB" w:rsidP="00836131">
            <w:pPr>
              <w:spacing w:after="0" w:line="240" w:lineRule="auto"/>
              <w:jc w:val="center"/>
              <w:rPr>
                <w:sz w:val="18"/>
              </w:rPr>
            </w:pPr>
            <w:r w:rsidRPr="00E87E42">
              <w:rPr>
                <w:sz w:val="18"/>
              </w:rPr>
              <w:t>30</w:t>
            </w:r>
          </w:p>
        </w:tc>
        <w:tc>
          <w:tcPr>
            <w:tcW w:w="1293" w:type="dxa"/>
          </w:tcPr>
          <w:p w14:paraId="19503BD8" w14:textId="7F6C8A03" w:rsidR="00800735" w:rsidRPr="00E87E42" w:rsidRDefault="00B177B3" w:rsidP="00314FD6">
            <w:pPr>
              <w:spacing w:after="0" w:line="240" w:lineRule="auto"/>
              <w:jc w:val="center"/>
              <w:rPr>
                <w:sz w:val="18"/>
              </w:rPr>
            </w:pPr>
            <w:r w:rsidRPr="00E87E42">
              <w:rPr>
                <w:sz w:val="18"/>
              </w:rPr>
              <w:t>2.571</w:t>
            </w:r>
          </w:p>
        </w:tc>
        <w:tc>
          <w:tcPr>
            <w:tcW w:w="1294" w:type="dxa"/>
          </w:tcPr>
          <w:p w14:paraId="4F0806E7" w14:textId="24AF5D97" w:rsidR="00800735" w:rsidRPr="00E87E42" w:rsidRDefault="00B177B3" w:rsidP="00214A6C">
            <w:pPr>
              <w:spacing w:after="0" w:line="240" w:lineRule="auto"/>
              <w:jc w:val="center"/>
              <w:rPr>
                <w:sz w:val="18"/>
              </w:rPr>
            </w:pPr>
            <w:r w:rsidRPr="00E87E42">
              <w:rPr>
                <w:sz w:val="18"/>
              </w:rPr>
              <w:t>0.363</w:t>
            </w:r>
          </w:p>
        </w:tc>
      </w:tr>
      <w:tr w:rsidR="00473093" w:rsidRPr="00E87E42" w14:paraId="16785847" w14:textId="01FDAF5A" w:rsidTr="008A55B5">
        <w:trPr>
          <w:trHeight w:val="170"/>
          <w:jc w:val="center"/>
        </w:trPr>
        <w:tc>
          <w:tcPr>
            <w:tcW w:w="0" w:type="auto"/>
          </w:tcPr>
          <w:p w14:paraId="2BD6AF22" w14:textId="43C4A7F0" w:rsidR="00800735" w:rsidRPr="00E87E42" w:rsidRDefault="00800735" w:rsidP="00836131">
            <w:pPr>
              <w:spacing w:after="0" w:line="240" w:lineRule="auto"/>
              <w:rPr>
                <w:sz w:val="18"/>
              </w:rPr>
            </w:pPr>
            <w:r w:rsidRPr="00E87E42">
              <w:rPr>
                <w:sz w:val="18"/>
              </w:rPr>
              <w:t>Schools</w:t>
            </w:r>
          </w:p>
        </w:tc>
        <w:tc>
          <w:tcPr>
            <w:tcW w:w="1293" w:type="dxa"/>
          </w:tcPr>
          <w:p w14:paraId="66098676" w14:textId="3F049C14" w:rsidR="00800735" w:rsidRPr="00E87E42" w:rsidRDefault="00633CEB" w:rsidP="00836131">
            <w:pPr>
              <w:spacing w:after="0" w:line="240" w:lineRule="auto"/>
              <w:jc w:val="center"/>
              <w:rPr>
                <w:sz w:val="18"/>
              </w:rPr>
            </w:pPr>
            <w:r w:rsidRPr="00E87E42">
              <w:rPr>
                <w:sz w:val="18"/>
              </w:rPr>
              <w:t>4.0</w:t>
            </w:r>
          </w:p>
        </w:tc>
        <w:tc>
          <w:tcPr>
            <w:tcW w:w="1293" w:type="dxa"/>
          </w:tcPr>
          <w:p w14:paraId="4E35D7F8" w14:textId="7E7D66E4" w:rsidR="00800735" w:rsidRPr="00E87E42" w:rsidRDefault="00B177B3" w:rsidP="00314FD6">
            <w:pPr>
              <w:spacing w:after="0" w:line="240" w:lineRule="auto"/>
              <w:jc w:val="center"/>
              <w:rPr>
                <w:sz w:val="18"/>
              </w:rPr>
            </w:pPr>
            <w:r w:rsidRPr="00E87E42">
              <w:rPr>
                <w:sz w:val="18"/>
              </w:rPr>
              <w:t>1.362</w:t>
            </w:r>
          </w:p>
        </w:tc>
        <w:tc>
          <w:tcPr>
            <w:tcW w:w="1294" w:type="dxa"/>
          </w:tcPr>
          <w:p w14:paraId="7C3CC497" w14:textId="0F0A7C0D" w:rsidR="00800735" w:rsidRPr="00E87E42" w:rsidRDefault="00B177B3" w:rsidP="00214A6C">
            <w:pPr>
              <w:spacing w:after="0" w:line="240" w:lineRule="auto"/>
              <w:jc w:val="center"/>
              <w:rPr>
                <w:sz w:val="18"/>
              </w:rPr>
            </w:pPr>
            <w:r w:rsidRPr="00E87E42">
              <w:rPr>
                <w:sz w:val="18"/>
              </w:rPr>
              <w:t>5.512</w:t>
            </w:r>
          </w:p>
        </w:tc>
      </w:tr>
      <w:tr w:rsidR="00473093" w:rsidRPr="00E87E42" w14:paraId="4FE56BEB" w14:textId="77777777" w:rsidTr="008A55B5">
        <w:trPr>
          <w:trHeight w:val="170"/>
          <w:jc w:val="center"/>
        </w:trPr>
        <w:tc>
          <w:tcPr>
            <w:tcW w:w="0" w:type="auto"/>
          </w:tcPr>
          <w:p w14:paraId="1BA67FBE" w14:textId="3E7D2453" w:rsidR="00800735" w:rsidRPr="00E87E42" w:rsidRDefault="00800735" w:rsidP="00836131">
            <w:pPr>
              <w:spacing w:after="0" w:line="240" w:lineRule="auto"/>
              <w:rPr>
                <w:sz w:val="18"/>
              </w:rPr>
            </w:pPr>
            <w:r w:rsidRPr="00E87E42">
              <w:rPr>
                <w:sz w:val="18"/>
              </w:rPr>
              <w:t>Dwellings</w:t>
            </w:r>
          </w:p>
        </w:tc>
        <w:tc>
          <w:tcPr>
            <w:tcW w:w="1293" w:type="dxa"/>
          </w:tcPr>
          <w:p w14:paraId="5D7F4AA1" w14:textId="1CCBD787" w:rsidR="00800735" w:rsidRPr="00E87E42" w:rsidRDefault="00633CEB" w:rsidP="00836131">
            <w:pPr>
              <w:spacing w:after="0" w:line="240" w:lineRule="auto"/>
              <w:jc w:val="center"/>
              <w:rPr>
                <w:sz w:val="18"/>
              </w:rPr>
            </w:pPr>
            <w:r w:rsidRPr="00E87E42">
              <w:rPr>
                <w:sz w:val="18"/>
              </w:rPr>
              <w:t>0.3</w:t>
            </w:r>
          </w:p>
        </w:tc>
        <w:tc>
          <w:tcPr>
            <w:tcW w:w="1293" w:type="dxa"/>
          </w:tcPr>
          <w:p w14:paraId="775EDB93" w14:textId="500F744B" w:rsidR="00800735" w:rsidRPr="00E87E42" w:rsidRDefault="00B177B3" w:rsidP="00314FD6">
            <w:pPr>
              <w:spacing w:after="0" w:line="240" w:lineRule="auto"/>
              <w:jc w:val="center"/>
              <w:rPr>
                <w:sz w:val="18"/>
              </w:rPr>
            </w:pPr>
            <w:r w:rsidRPr="00E87E42">
              <w:rPr>
                <w:sz w:val="18"/>
              </w:rPr>
              <w:t>0.133</w:t>
            </w:r>
          </w:p>
        </w:tc>
        <w:tc>
          <w:tcPr>
            <w:tcW w:w="1294" w:type="dxa"/>
          </w:tcPr>
          <w:p w14:paraId="0D1A957C" w14:textId="5773882E" w:rsidR="00800735" w:rsidRPr="00E87E42" w:rsidRDefault="00B177B3" w:rsidP="00214A6C">
            <w:pPr>
              <w:spacing w:after="0" w:line="240" w:lineRule="auto"/>
              <w:jc w:val="center"/>
              <w:rPr>
                <w:sz w:val="18"/>
              </w:rPr>
            </w:pPr>
            <w:r w:rsidRPr="00E87E42">
              <w:rPr>
                <w:sz w:val="18"/>
              </w:rPr>
              <w:t>0.151</w:t>
            </w:r>
          </w:p>
        </w:tc>
      </w:tr>
      <w:tr w:rsidR="00387DCE" w:rsidRPr="00E87E42" w14:paraId="24F193DB" w14:textId="77777777" w:rsidTr="008A55B5">
        <w:trPr>
          <w:trHeight w:val="170"/>
          <w:jc w:val="center"/>
        </w:trPr>
        <w:tc>
          <w:tcPr>
            <w:tcW w:w="0" w:type="auto"/>
          </w:tcPr>
          <w:p w14:paraId="605787C6" w14:textId="42274822" w:rsidR="00387DCE" w:rsidRPr="00E87E42" w:rsidRDefault="00387DCE" w:rsidP="00836131">
            <w:pPr>
              <w:spacing w:after="0" w:line="240" w:lineRule="auto"/>
              <w:rPr>
                <w:sz w:val="18"/>
              </w:rPr>
            </w:pPr>
            <w:r w:rsidRPr="00E87E42">
              <w:rPr>
                <w:sz w:val="18"/>
              </w:rPr>
              <w:t>Food and drinks premises: Hotels, Hostels; Communal living</w:t>
            </w:r>
          </w:p>
        </w:tc>
        <w:tc>
          <w:tcPr>
            <w:tcW w:w="1293" w:type="dxa"/>
          </w:tcPr>
          <w:p w14:paraId="1900A12E" w14:textId="3BF18D81" w:rsidR="00387DCE" w:rsidRPr="00E87E42" w:rsidRDefault="00387DCE" w:rsidP="00836131">
            <w:pPr>
              <w:spacing w:after="0" w:line="240" w:lineRule="auto"/>
              <w:jc w:val="center"/>
              <w:rPr>
                <w:sz w:val="18"/>
              </w:rPr>
            </w:pPr>
            <w:r w:rsidRPr="00E87E42">
              <w:rPr>
                <w:sz w:val="18"/>
              </w:rPr>
              <w:t>N/A</w:t>
            </w:r>
          </w:p>
        </w:tc>
        <w:tc>
          <w:tcPr>
            <w:tcW w:w="1293" w:type="dxa"/>
          </w:tcPr>
          <w:p w14:paraId="48342AEA" w14:textId="6B8A57DA" w:rsidR="00387DCE" w:rsidRPr="00E87E42" w:rsidRDefault="00387DCE" w:rsidP="00314FD6">
            <w:pPr>
              <w:spacing w:after="0" w:line="240" w:lineRule="auto"/>
              <w:jc w:val="center"/>
              <w:rPr>
                <w:sz w:val="18"/>
              </w:rPr>
            </w:pPr>
            <w:r w:rsidRPr="00E87E42">
              <w:rPr>
                <w:sz w:val="18"/>
              </w:rPr>
              <w:t>4.609</w:t>
            </w:r>
          </w:p>
        </w:tc>
        <w:tc>
          <w:tcPr>
            <w:tcW w:w="1294" w:type="dxa"/>
          </w:tcPr>
          <w:p w14:paraId="145F3E9C" w14:textId="3726D098" w:rsidR="00387DCE" w:rsidRPr="00E87E42" w:rsidRDefault="00387DCE" w:rsidP="00214A6C">
            <w:pPr>
              <w:spacing w:after="0" w:line="240" w:lineRule="auto"/>
              <w:jc w:val="center"/>
              <w:rPr>
                <w:sz w:val="18"/>
              </w:rPr>
            </w:pPr>
            <w:r w:rsidRPr="00E87E42">
              <w:rPr>
                <w:sz w:val="18"/>
              </w:rPr>
              <w:t>1.954</w:t>
            </w:r>
          </w:p>
        </w:tc>
      </w:tr>
      <w:tr w:rsidR="00387DCE" w:rsidRPr="00E87E42" w14:paraId="491E41E6" w14:textId="77777777" w:rsidTr="008A55B5">
        <w:trPr>
          <w:trHeight w:val="170"/>
          <w:jc w:val="center"/>
        </w:trPr>
        <w:tc>
          <w:tcPr>
            <w:tcW w:w="0" w:type="auto"/>
          </w:tcPr>
          <w:p w14:paraId="0E156FDF" w14:textId="57A56696" w:rsidR="00387DCE" w:rsidRPr="00E87E42" w:rsidRDefault="00387DCE" w:rsidP="00836131">
            <w:pPr>
              <w:spacing w:after="0" w:line="240" w:lineRule="auto"/>
              <w:rPr>
                <w:sz w:val="18"/>
              </w:rPr>
            </w:pPr>
            <w:r w:rsidRPr="00E87E42">
              <w:rPr>
                <w:sz w:val="18"/>
              </w:rPr>
              <w:t>Other public buildings and services</w:t>
            </w:r>
          </w:p>
        </w:tc>
        <w:tc>
          <w:tcPr>
            <w:tcW w:w="1293" w:type="dxa"/>
          </w:tcPr>
          <w:p w14:paraId="67716832" w14:textId="076115E6" w:rsidR="00387DCE" w:rsidRPr="00E87E42" w:rsidRDefault="00387DCE" w:rsidP="00836131">
            <w:pPr>
              <w:spacing w:after="0" w:line="240" w:lineRule="auto"/>
              <w:jc w:val="center"/>
              <w:rPr>
                <w:sz w:val="18"/>
              </w:rPr>
            </w:pPr>
            <w:r w:rsidRPr="00E87E42">
              <w:rPr>
                <w:sz w:val="18"/>
              </w:rPr>
              <w:t>N/A</w:t>
            </w:r>
          </w:p>
        </w:tc>
        <w:tc>
          <w:tcPr>
            <w:tcW w:w="1293" w:type="dxa"/>
          </w:tcPr>
          <w:p w14:paraId="04B72A1F" w14:textId="749D1E90" w:rsidR="00387DCE" w:rsidRPr="00E87E42" w:rsidRDefault="00387DCE" w:rsidP="00314FD6">
            <w:pPr>
              <w:spacing w:after="0" w:line="240" w:lineRule="auto"/>
              <w:jc w:val="center"/>
              <w:rPr>
                <w:sz w:val="18"/>
              </w:rPr>
            </w:pPr>
            <w:r w:rsidRPr="00E87E42">
              <w:rPr>
                <w:sz w:val="18"/>
              </w:rPr>
              <w:t>1.818</w:t>
            </w:r>
          </w:p>
        </w:tc>
        <w:tc>
          <w:tcPr>
            <w:tcW w:w="1294" w:type="dxa"/>
          </w:tcPr>
          <w:p w14:paraId="01D7A695" w14:textId="490FE10B" w:rsidR="00387DCE" w:rsidRPr="00E87E42" w:rsidRDefault="00387DCE" w:rsidP="00214A6C">
            <w:pPr>
              <w:spacing w:after="0" w:line="240" w:lineRule="auto"/>
              <w:jc w:val="center"/>
              <w:rPr>
                <w:sz w:val="18"/>
              </w:rPr>
            </w:pPr>
            <w:r w:rsidRPr="00E87E42">
              <w:rPr>
                <w:sz w:val="18"/>
              </w:rPr>
              <w:t>0.063</w:t>
            </w:r>
          </w:p>
        </w:tc>
      </w:tr>
      <w:tr w:rsidR="00387DCE" w:rsidRPr="00E87E42" w14:paraId="3CB5A6D0" w14:textId="77777777" w:rsidTr="008A55B5">
        <w:trPr>
          <w:trHeight w:val="170"/>
          <w:jc w:val="center"/>
        </w:trPr>
        <w:tc>
          <w:tcPr>
            <w:tcW w:w="0" w:type="auto"/>
          </w:tcPr>
          <w:p w14:paraId="21D00D00" w14:textId="2C076CE9" w:rsidR="00387DCE" w:rsidRPr="00E87E42" w:rsidRDefault="00387DCE" w:rsidP="00836131">
            <w:pPr>
              <w:spacing w:after="0" w:line="240" w:lineRule="auto"/>
              <w:rPr>
                <w:sz w:val="18"/>
              </w:rPr>
            </w:pPr>
            <w:r w:rsidRPr="00E87E42">
              <w:rPr>
                <w:sz w:val="18"/>
              </w:rPr>
              <w:t>Agricultural premises</w:t>
            </w:r>
          </w:p>
        </w:tc>
        <w:tc>
          <w:tcPr>
            <w:tcW w:w="1293" w:type="dxa"/>
          </w:tcPr>
          <w:p w14:paraId="458F82F4" w14:textId="126A0224" w:rsidR="00387DCE" w:rsidRPr="00E87E42" w:rsidRDefault="00387DCE" w:rsidP="00836131">
            <w:pPr>
              <w:spacing w:after="0" w:line="240" w:lineRule="auto"/>
              <w:jc w:val="center"/>
              <w:rPr>
                <w:sz w:val="18"/>
              </w:rPr>
            </w:pPr>
            <w:r w:rsidRPr="00E87E42">
              <w:rPr>
                <w:sz w:val="18"/>
              </w:rPr>
              <w:t>N/A</w:t>
            </w:r>
          </w:p>
        </w:tc>
        <w:tc>
          <w:tcPr>
            <w:tcW w:w="1293" w:type="dxa"/>
          </w:tcPr>
          <w:p w14:paraId="2D9FAF32" w14:textId="34DC38B5" w:rsidR="00387DCE" w:rsidRPr="00E87E42" w:rsidRDefault="00387DCE" w:rsidP="00314FD6">
            <w:pPr>
              <w:spacing w:after="0" w:line="240" w:lineRule="auto"/>
              <w:jc w:val="center"/>
              <w:rPr>
                <w:sz w:val="18"/>
              </w:rPr>
            </w:pPr>
            <w:r w:rsidRPr="00E87E42">
              <w:rPr>
                <w:sz w:val="18"/>
              </w:rPr>
              <w:t>N/A</w:t>
            </w:r>
          </w:p>
        </w:tc>
        <w:tc>
          <w:tcPr>
            <w:tcW w:w="1294" w:type="dxa"/>
          </w:tcPr>
          <w:p w14:paraId="6210E1DC" w14:textId="39EB8BF2" w:rsidR="00387DCE" w:rsidRPr="00E87E42" w:rsidRDefault="00387DCE" w:rsidP="00214A6C">
            <w:pPr>
              <w:spacing w:after="0" w:line="240" w:lineRule="auto"/>
              <w:jc w:val="center"/>
              <w:rPr>
                <w:sz w:val="18"/>
              </w:rPr>
            </w:pPr>
            <w:r w:rsidRPr="00E87E42">
              <w:rPr>
                <w:sz w:val="18"/>
              </w:rPr>
              <w:t>1.229</w:t>
            </w:r>
          </w:p>
        </w:tc>
      </w:tr>
    </w:tbl>
    <w:p w14:paraId="3AEC7BD8" w14:textId="147F571E" w:rsidR="008E2DD8" w:rsidRPr="00E87E42" w:rsidRDefault="008E2DD8" w:rsidP="008E2DD8"/>
    <w:p w14:paraId="743DCFB2" w14:textId="3282C143" w:rsidR="003B0354" w:rsidRPr="00E87E42" w:rsidRDefault="003B0354" w:rsidP="008E2DD8"/>
    <w:p w14:paraId="5D3CFC9B" w14:textId="77777777" w:rsidR="003B0354" w:rsidRPr="00E87E42" w:rsidRDefault="003B0354" w:rsidP="008E2DD8"/>
    <w:p w14:paraId="33102759" w14:textId="2F92211E" w:rsidR="00940EF7" w:rsidRPr="00E87E42" w:rsidRDefault="00115564" w:rsidP="005E093E">
      <w:pPr>
        <w:pStyle w:val="Heading1"/>
        <w:numPr>
          <w:ilvl w:val="0"/>
          <w:numId w:val="35"/>
        </w:numPr>
        <w:spacing w:before="120"/>
      </w:pPr>
      <w:r w:rsidRPr="00E87E42">
        <w:lastRenderedPageBreak/>
        <w:t>PD 7974-7 VS usa fire STATISTICS 2014</w:t>
      </w:r>
    </w:p>
    <w:p w14:paraId="0BB2C125" w14:textId="65FB3DAA" w:rsidR="00161D88" w:rsidRPr="00E87E42" w:rsidRDefault="005C4148" w:rsidP="005E093E">
      <w:pPr>
        <w:pStyle w:val="Heading2"/>
        <w:numPr>
          <w:ilvl w:val="1"/>
          <w:numId w:val="35"/>
        </w:numPr>
        <w:spacing w:before="120"/>
      </w:pPr>
      <w:bookmarkStart w:id="7" w:name="_Ref497742668"/>
      <w:r w:rsidRPr="00E87E42">
        <w:t>Probability of fire starting</w:t>
      </w:r>
      <w:bookmarkEnd w:id="7"/>
    </w:p>
    <w:p w14:paraId="0492E48E" w14:textId="106D8A30" w:rsidR="00852135" w:rsidRPr="00E87E42" w:rsidRDefault="00532393" w:rsidP="00852135">
      <w:r w:rsidRPr="00E87E42">
        <w:t xml:space="preserve">Frequency of ignition </w:t>
      </w:r>
      <w:r w:rsidR="008E2DD8" w:rsidRPr="00E87E42">
        <w:t xml:space="preserve">with respect to floor area </w:t>
      </w:r>
      <w:proofErr w:type="gramStart"/>
      <w:r w:rsidRPr="00E87E42">
        <w:t>is often used</w:t>
      </w:r>
      <w:proofErr w:type="gramEnd"/>
      <w:r w:rsidRPr="00E87E42">
        <w:t xml:space="preserve"> in probabilistic risk assessment</w:t>
      </w:r>
      <w:r w:rsidR="00852135" w:rsidRPr="00E87E42">
        <w:t>s</w:t>
      </w:r>
      <w:r w:rsidRPr="00E87E42">
        <w:t xml:space="preserve"> due to fact that it </w:t>
      </w:r>
      <w:r w:rsidR="00852135" w:rsidRPr="00E87E42">
        <w:t xml:space="preserve">is </w:t>
      </w:r>
      <w:r w:rsidRPr="00E87E42">
        <w:t xml:space="preserve">a fundamental </w:t>
      </w:r>
      <w:r w:rsidR="0034437B" w:rsidRPr="00E87E42">
        <w:t>input for event tree or fault tree analys</w:t>
      </w:r>
      <w:r w:rsidR="00852135" w:rsidRPr="00E87E42">
        <w:t>e</w:t>
      </w:r>
      <w:r w:rsidR="0034437B" w:rsidRPr="00E87E42">
        <w:t xml:space="preserve">s. </w:t>
      </w:r>
      <w:r w:rsidR="00852135" w:rsidRPr="00E87E42">
        <w:t xml:space="preserve">Table A.1 in PD 7974-7 presents the probability of fire starting </w:t>
      </w:r>
      <w:r w:rsidR="00852135" w:rsidRPr="00E87E42">
        <w:rPr>
          <w:i/>
        </w:rPr>
        <w:t>F</w:t>
      </w:r>
      <w:r w:rsidR="00852135" w:rsidRPr="00E87E42">
        <w:t xml:space="preserve"> as a function of the total area of the building according to Eq. 2 and </w:t>
      </w:r>
      <w:proofErr w:type="gramStart"/>
      <w:r w:rsidR="00852135" w:rsidRPr="00E87E42">
        <w:t>is repeated</w:t>
      </w:r>
      <w:proofErr w:type="gramEnd"/>
      <w:r w:rsidR="00852135" w:rsidRPr="00E87E42">
        <w:t xml:space="preserve"> here for convenience:</w:t>
      </w:r>
    </w:p>
    <w:p w14:paraId="1256D31C" w14:textId="143DCCA6" w:rsidR="00852135" w:rsidRPr="00E87E42" w:rsidRDefault="00D41F41" w:rsidP="002623BF">
      <w:pPr>
        <w:tabs>
          <w:tab w:val="center" w:pos="5103"/>
          <w:tab w:val="right" w:pos="10206"/>
        </w:tabs>
      </w:pPr>
      <w:r w:rsidRPr="00E87E42">
        <w:tab/>
      </w:r>
      <m:oMath>
        <m:r>
          <w:rPr>
            <w:rFonts w:ascii="Cambria Math" w:hAnsi="Cambria Math"/>
          </w:rPr>
          <m:t>F=a</m:t>
        </m:r>
        <m:sSup>
          <m:sSupPr>
            <m:ctrlPr>
              <w:rPr>
                <w:rFonts w:ascii="Cambria Math" w:hAnsi="Cambria Math"/>
              </w:rPr>
            </m:ctrlPr>
          </m:sSupPr>
          <m:e>
            <m:r>
              <w:rPr>
                <w:rFonts w:ascii="Cambria Math" w:hAnsi="Cambria Math"/>
              </w:rPr>
              <m:t>A</m:t>
            </m:r>
          </m:e>
          <m:sup>
            <m:r>
              <w:rPr>
                <w:rFonts w:ascii="Cambria Math" w:hAnsi="Cambria Math"/>
              </w:rPr>
              <m:t>b</m:t>
            </m:r>
          </m:sup>
        </m:sSup>
      </m:oMath>
      <w:r w:rsidRPr="00E87E42">
        <w:t xml:space="preserve"> </w:t>
      </w:r>
      <w:r w:rsidRPr="00E87E42">
        <w:tab/>
        <w:t>(5)</w:t>
      </w:r>
    </w:p>
    <w:p w14:paraId="55CDBBD7" w14:textId="168C1FB9" w:rsidR="00852135" w:rsidRPr="00E87E42" w:rsidRDefault="009B4EA4" w:rsidP="00852135">
      <w:proofErr w:type="gramStart"/>
      <w:r w:rsidRPr="00E87E42">
        <w:t>where</w:t>
      </w:r>
      <w:proofErr w:type="gramEnd"/>
      <w:r w:rsidRPr="00E87E42">
        <w:t xml:space="preserve"> </w:t>
      </w:r>
      <w:r w:rsidR="00852135" w:rsidRPr="00E87E42">
        <w:rPr>
          <w:i/>
        </w:rPr>
        <w:t>a</w:t>
      </w:r>
      <w:r w:rsidR="00852135" w:rsidRPr="00E87E42">
        <w:t xml:space="preserve"> and </w:t>
      </w:r>
      <w:r w:rsidR="00852135" w:rsidRPr="00E87E42">
        <w:rPr>
          <w:i/>
        </w:rPr>
        <w:t>b</w:t>
      </w:r>
      <w:r w:rsidR="00852135" w:rsidRPr="00E87E42">
        <w:t xml:space="preserve"> are coefficients obtained with the method explained in </w:t>
      </w:r>
      <w:r w:rsidR="003717CB" w:rsidRPr="00E87E42">
        <w:t>S</w:t>
      </w:r>
      <w:r w:rsidR="00852135" w:rsidRPr="00E87E42">
        <w:t>ection</w:t>
      </w:r>
      <w:r w:rsidR="003144BC" w:rsidRPr="00E87E42">
        <w:t xml:space="preserve"> </w:t>
      </w:r>
      <w:r w:rsidR="003144BC" w:rsidRPr="00E87E42">
        <w:fldChar w:fldCharType="begin"/>
      </w:r>
      <w:r w:rsidR="003144BC" w:rsidRPr="00E87E42">
        <w:instrText xml:space="preserve"> REF _Ref506116161 \r \h </w:instrText>
      </w:r>
      <w:r w:rsidR="00E87E42">
        <w:instrText xml:space="preserve"> \* MERGEFORMAT </w:instrText>
      </w:r>
      <w:r w:rsidR="003144BC" w:rsidRPr="00E87E42">
        <w:fldChar w:fldCharType="separate"/>
      </w:r>
      <w:r w:rsidR="009F6872">
        <w:t>2</w:t>
      </w:r>
      <w:r w:rsidR="003144BC" w:rsidRPr="00E87E42">
        <w:fldChar w:fldCharType="end"/>
      </w:r>
      <w:r w:rsidR="00852135" w:rsidRPr="00E87E42">
        <w:t xml:space="preserve">. </w:t>
      </w:r>
    </w:p>
    <w:p w14:paraId="5616FD53" w14:textId="15B64DF5" w:rsidR="00BB3B75" w:rsidRPr="00E87E42" w:rsidRDefault="00852135" w:rsidP="00C7491E">
      <w:r w:rsidRPr="00E87E42">
        <w:t xml:space="preserve">The following analysis </w:t>
      </w:r>
      <w:r w:rsidR="00387E57" w:rsidRPr="00E87E42">
        <w:t>takes the number of fires from the NFI</w:t>
      </w:r>
      <w:r w:rsidR="00C63BD5" w:rsidRPr="00E87E42">
        <w:t>R</w:t>
      </w:r>
      <w:r w:rsidR="00387E57" w:rsidRPr="00E87E42">
        <w:t xml:space="preserve">S fire database, and the number of buildings at risk from the CBECS and MECS. </w:t>
      </w:r>
      <w:r w:rsidR="00BB3B75" w:rsidRPr="00E87E42">
        <w:t>The fire events have be</w:t>
      </w:r>
      <w:r w:rsidRPr="00E87E42">
        <w:t>en sub-divided by property use</w:t>
      </w:r>
      <w:r w:rsidR="00BB3B75" w:rsidRPr="00E87E42">
        <w:t>,</w:t>
      </w:r>
      <w:r w:rsidRPr="00E87E42">
        <w:t xml:space="preserve"> whilst NF</w:t>
      </w:r>
      <w:r w:rsidR="00407E2D" w:rsidRPr="00E87E42">
        <w:t>IR</w:t>
      </w:r>
      <w:r w:rsidRPr="00E87E42">
        <w:t>S data of</w:t>
      </w:r>
      <w:r w:rsidR="00BB3B75" w:rsidRPr="00E87E42">
        <w:t xml:space="preserve"> building </w:t>
      </w:r>
      <w:r w:rsidRPr="00E87E42">
        <w:t xml:space="preserve">floors </w:t>
      </w:r>
      <w:r w:rsidR="00BB3B75" w:rsidRPr="00E87E42">
        <w:t xml:space="preserve">above and below ground </w:t>
      </w:r>
      <w:proofErr w:type="gramStart"/>
      <w:r w:rsidR="00BB3B75" w:rsidRPr="00E87E42">
        <w:t>level,</w:t>
      </w:r>
      <w:proofErr w:type="gramEnd"/>
      <w:r w:rsidR="00BB3B75" w:rsidRPr="00E87E42">
        <w:t xml:space="preserve"> and the average size of the floor </w:t>
      </w:r>
      <w:r w:rsidRPr="00E87E42">
        <w:t xml:space="preserve">are used to understand the total area of the buildings. </w:t>
      </w:r>
      <w:r w:rsidR="00BB3B75" w:rsidRPr="00E87E42">
        <w:t xml:space="preserve">The property types </w:t>
      </w:r>
      <w:proofErr w:type="gramStart"/>
      <w:r w:rsidR="00BB3B75" w:rsidRPr="00E87E42">
        <w:t>are presented</w:t>
      </w:r>
      <w:proofErr w:type="gramEnd"/>
      <w:r w:rsidR="00BB3B75" w:rsidRPr="00E87E42">
        <w:t xml:space="preserve"> in</w:t>
      </w:r>
      <w:r w:rsidR="00C512F0" w:rsidRPr="00E87E42">
        <w:t xml:space="preserve"> </w:t>
      </w:r>
      <w:r w:rsidR="00C512F0" w:rsidRPr="00E87E42">
        <w:fldChar w:fldCharType="begin"/>
      </w:r>
      <w:r w:rsidR="00C512F0" w:rsidRPr="00E87E42">
        <w:instrText xml:space="preserve"> REF _Ref508274708 \h </w:instrText>
      </w:r>
      <w:r w:rsidR="008A55B5" w:rsidRPr="00E87E42">
        <w:instrText xml:space="preserve"> \* MERGEFORMAT </w:instrText>
      </w:r>
      <w:r w:rsidR="00C512F0" w:rsidRPr="00E87E42">
        <w:fldChar w:fldCharType="separate"/>
      </w:r>
      <w:r w:rsidR="009F6872" w:rsidRPr="00E87E42">
        <w:t xml:space="preserve">Table </w:t>
      </w:r>
      <w:r w:rsidR="009F6872">
        <w:rPr>
          <w:noProof/>
        </w:rPr>
        <w:t>1</w:t>
      </w:r>
      <w:r w:rsidR="00C512F0" w:rsidRPr="00E87E42">
        <w:fldChar w:fldCharType="end"/>
      </w:r>
      <w:r w:rsidR="008A4006" w:rsidRPr="00E87E42">
        <w:t>.</w:t>
      </w:r>
    </w:p>
    <w:p w14:paraId="154C29F3" w14:textId="41B4B954" w:rsidR="002A7966" w:rsidRPr="00E87E42" w:rsidRDefault="00852135" w:rsidP="00AB4A67">
      <w:r w:rsidRPr="00E87E42">
        <w:t>T</w:t>
      </w:r>
      <w:r w:rsidR="006846EB" w:rsidRPr="00E87E42">
        <w:t xml:space="preserve">he evaluation of </w:t>
      </w:r>
      <w:r w:rsidR="00874789" w:rsidRPr="00E87E42">
        <w:t>the total size of the building</w:t>
      </w:r>
      <w:r w:rsidRPr="00E87E42">
        <w:t xml:space="preserve"> </w:t>
      </w:r>
      <w:proofErr w:type="gramStart"/>
      <w:r w:rsidR="00874789" w:rsidRPr="00E87E42">
        <w:t>has been calculated</w:t>
      </w:r>
      <w:proofErr w:type="gramEnd"/>
      <w:r w:rsidR="00874789" w:rsidRPr="00E87E42">
        <w:t xml:space="preserve"> summing the building below and the building above </w:t>
      </w:r>
      <w:r w:rsidR="00B3103F" w:rsidRPr="00E87E42">
        <w:t xml:space="preserve">to obtain </w:t>
      </w:r>
      <w:r w:rsidR="00874789" w:rsidRPr="00E87E42">
        <w:t>the total number of floors and then multiplying the total number of floor</w:t>
      </w:r>
      <w:r w:rsidR="00D10B79" w:rsidRPr="00E87E42">
        <w:t>s</w:t>
      </w:r>
      <w:r w:rsidR="00874789" w:rsidRPr="00E87E42">
        <w:t xml:space="preserve"> </w:t>
      </w:r>
      <w:r w:rsidR="0033412A" w:rsidRPr="00E87E42">
        <w:t>by</w:t>
      </w:r>
      <w:r w:rsidR="00874789" w:rsidRPr="00E87E42">
        <w:t xml:space="preserve"> the average size of flo</w:t>
      </w:r>
      <w:r w:rsidR="003532AC" w:rsidRPr="00E87E42">
        <w:t xml:space="preserve">or. Since the value is in </w:t>
      </w:r>
      <w:r w:rsidR="001B682D" w:rsidRPr="00E87E42">
        <w:t>ft</w:t>
      </w:r>
      <w:r w:rsidR="001B682D" w:rsidRPr="00E87E42">
        <w:rPr>
          <w:vertAlign w:val="superscript"/>
        </w:rPr>
        <w:t>2</w:t>
      </w:r>
      <w:r w:rsidR="00874789" w:rsidRPr="00E87E42">
        <w:t>, this has consequently been conv</w:t>
      </w:r>
      <w:r w:rsidR="003532AC" w:rsidRPr="00E87E42">
        <w:t xml:space="preserve">erted in </w:t>
      </w:r>
      <w:r w:rsidR="001B682D" w:rsidRPr="00E87E42">
        <w:t>m</w:t>
      </w:r>
      <w:r w:rsidR="001B682D" w:rsidRPr="00E87E42">
        <w:rPr>
          <w:vertAlign w:val="superscript"/>
        </w:rPr>
        <w:t>2</w:t>
      </w:r>
      <w:r w:rsidR="00387E57" w:rsidRPr="00E87E42">
        <w:t xml:space="preserve"> to provide a direct comparison to the results in PD</w:t>
      </w:r>
      <w:r w:rsidR="00C63BD5" w:rsidRPr="00E87E42">
        <w:t xml:space="preserve"> </w:t>
      </w:r>
      <w:r w:rsidR="00387E57" w:rsidRPr="00E87E42">
        <w:t>7974-7</w:t>
      </w:r>
      <w:r w:rsidR="00D41F41" w:rsidRPr="00E87E42">
        <w:t xml:space="preserve"> </w:t>
      </w:r>
      <w:r w:rsidR="001B28E5" w:rsidRPr="00E87E42">
        <w:fldChar w:fldCharType="begin" w:fldLock="1"/>
      </w:r>
      <w:r w:rsidR="00BC5ED7" w:rsidRPr="00E87E42">
        <w:instrText>ADDIN CSL_CITATION {"citationItems":[{"id":"ITEM-1","itemData":{"author":[{"dropping-particle":"","family":"BSI","given":"","non-dropping-particle":"","parse-names":false,"suffix":""}],"id":"ITEM-1","issued":{"date-parts":[["2003"]]},"title":"PD 7974-7: Application of fire safety engineering principles to the design of buildings — Part 7 : Probabilistic risk assessment","type":"article-journal","volume":"3"},"uris":["http://www.mendeley.com/documents/?uuid=939ef726-1b50-4e5c-b39d-a90e50ef2a69"]}],"mendeley":{"formattedCitation":"[3]","plainTextFormattedCitation":"[3]","previouslyFormattedCitation":"[3]"},"properties":{"noteIndex":0},"schema":"https://github.com/citation-style-language/schema/raw/master/csl-citation.json"}</w:instrText>
      </w:r>
      <w:r w:rsidR="001B28E5" w:rsidRPr="00E87E42">
        <w:fldChar w:fldCharType="separate"/>
      </w:r>
      <w:r w:rsidR="00214A6C" w:rsidRPr="00E87E42">
        <w:rPr>
          <w:noProof/>
        </w:rPr>
        <w:t>[3]</w:t>
      </w:r>
      <w:r w:rsidR="001B28E5" w:rsidRPr="00E87E42">
        <w:fldChar w:fldCharType="end"/>
      </w:r>
      <w:r w:rsidR="00874789" w:rsidRPr="00E87E42">
        <w:t>.</w:t>
      </w:r>
      <w:r w:rsidR="00731D92" w:rsidRPr="00E87E42">
        <w:t xml:space="preserve"> </w:t>
      </w:r>
    </w:p>
    <w:p w14:paraId="5DC23141" w14:textId="11FA9D99" w:rsidR="00B2554E" w:rsidRPr="00E87E42" w:rsidRDefault="009B4EA4" w:rsidP="00F259B6">
      <w:r w:rsidRPr="00E87E42">
        <w:t xml:space="preserve">The probability of fire </w:t>
      </w:r>
      <w:proofErr w:type="gramStart"/>
      <w:r w:rsidRPr="00E87E42">
        <w:t>has been obtained</w:t>
      </w:r>
      <w:proofErr w:type="gramEnd"/>
      <w:r w:rsidRPr="00E87E42">
        <w:t xml:space="preserve"> by dividing the </w:t>
      </w:r>
      <w:r w:rsidR="002A7966" w:rsidRPr="00E87E42">
        <w:t xml:space="preserve">total </w:t>
      </w:r>
      <w:r w:rsidR="00731D92" w:rsidRPr="00E87E42">
        <w:t>number of fires for each property use</w:t>
      </w:r>
      <w:r w:rsidR="00CA650E" w:rsidRPr="00E87E42">
        <w:t xml:space="preserve"> by the number of buildings at risk</w:t>
      </w:r>
      <w:r w:rsidR="00A804D5" w:rsidRPr="00E87E42">
        <w:t xml:space="preserve">. The results of the analysis have been repeated for each building type </w:t>
      </w:r>
      <w:r w:rsidR="00AD0AA1" w:rsidRPr="00E87E42">
        <w:t>and</w:t>
      </w:r>
      <w:r w:rsidR="00A804D5" w:rsidRPr="00E87E42">
        <w:t xml:space="preserve"> </w:t>
      </w:r>
      <w:r w:rsidR="00F3444C" w:rsidRPr="00E87E42">
        <w:t xml:space="preserve">potential relationships </w:t>
      </w:r>
      <w:r w:rsidR="00AD0AA1" w:rsidRPr="00E87E42">
        <w:t xml:space="preserve">are </w:t>
      </w:r>
      <w:r w:rsidR="00F3444C" w:rsidRPr="00E87E42">
        <w:t>examine</w:t>
      </w:r>
      <w:r w:rsidR="00AD0AA1" w:rsidRPr="00E87E42">
        <w:t>d and compared to</w:t>
      </w:r>
      <w:r w:rsidR="00F3444C" w:rsidRPr="00E87E42">
        <w:t xml:space="preserve"> the power</w:t>
      </w:r>
      <w:r w:rsidR="000F7C22" w:rsidRPr="00E87E42">
        <w:t xml:space="preserve"> </w:t>
      </w:r>
      <w:r w:rsidR="00A804D5" w:rsidRPr="00E87E42">
        <w:t xml:space="preserve">law </w:t>
      </w:r>
      <w:r w:rsidR="00AD0AA1" w:rsidRPr="00E87E42">
        <w:t xml:space="preserve">(Eq. 5) </w:t>
      </w:r>
      <w:r w:rsidR="00F3444C" w:rsidRPr="00E87E42">
        <w:t>used in PD</w:t>
      </w:r>
      <w:r w:rsidR="00C63BD5" w:rsidRPr="00E87E42">
        <w:t xml:space="preserve"> </w:t>
      </w:r>
      <w:r w:rsidR="00F3444C" w:rsidRPr="00E87E42">
        <w:t xml:space="preserve">7974-7 </w:t>
      </w:r>
      <w:r w:rsidR="001B28E5" w:rsidRPr="00E87E42">
        <w:fldChar w:fldCharType="begin" w:fldLock="1"/>
      </w:r>
      <w:r w:rsidR="00BC5ED7" w:rsidRPr="00E87E42">
        <w:instrText>ADDIN CSL_CITATION {"citationItems":[{"id":"ITEM-1","itemData":{"author":[{"dropping-particle":"","family":"BSI","given":"","non-dropping-particle":"","parse-names":false,"suffix":""}],"id":"ITEM-1","issued":{"date-parts":[["2003"]]},"title":"PD 7974-7: Application of fire safety engineering principles to the design of buildings — Part 7 : Probabilistic risk assessment","type":"article-journal","volume":"3"},"uris":["http://www.mendeley.com/documents/?uuid=939ef726-1b50-4e5c-b39d-a90e50ef2a69"]}],"mendeley":{"formattedCitation":"[3]","plainTextFormattedCitation":"[3]","previouslyFormattedCitation":"[3]"},"properties":{"noteIndex":0},"schema":"https://github.com/citation-style-language/schema/raw/master/csl-citation.json"}</w:instrText>
      </w:r>
      <w:r w:rsidR="001B28E5" w:rsidRPr="00E87E42">
        <w:fldChar w:fldCharType="separate"/>
      </w:r>
      <w:r w:rsidR="00214A6C" w:rsidRPr="00E87E42">
        <w:rPr>
          <w:noProof/>
        </w:rPr>
        <w:t>[3]</w:t>
      </w:r>
      <w:r w:rsidR="001B28E5" w:rsidRPr="00E87E42">
        <w:fldChar w:fldCharType="end"/>
      </w:r>
      <w:r w:rsidR="00AD0AA1" w:rsidRPr="00E87E42">
        <w:t>.</w:t>
      </w:r>
      <w:r w:rsidR="00657918" w:rsidRPr="00E87E42">
        <w:t xml:space="preserve"> </w:t>
      </w:r>
      <w:r w:rsidR="00E434BE" w:rsidRPr="00E87E42">
        <w:t xml:space="preserve">Table A.1 </w:t>
      </w:r>
      <w:r w:rsidR="00066E76" w:rsidRPr="00E87E42">
        <w:t xml:space="preserve">is </w:t>
      </w:r>
      <w:r w:rsidR="00A254AD" w:rsidRPr="00E87E42">
        <w:t>composed of t</w:t>
      </w:r>
      <w:r w:rsidR="00066E76" w:rsidRPr="00E87E42">
        <w:t xml:space="preserve">wo mains parts: one for industrial and manufacturing buildings </w:t>
      </w:r>
      <w:r w:rsidR="00E434BE" w:rsidRPr="00E87E42">
        <w:t xml:space="preserve">and </w:t>
      </w:r>
      <w:r w:rsidR="00066E76" w:rsidRPr="00E87E42">
        <w:t xml:space="preserve">one for other occupancies excluding residential buildings. </w:t>
      </w:r>
      <w:r w:rsidR="00CF50F3" w:rsidRPr="00E87E42">
        <w:t>In the PD 7974-7 document, the frequency</w:t>
      </w:r>
      <w:r w:rsidR="00AD0AA1" w:rsidRPr="00E87E42">
        <w:t xml:space="preserve"> period is not specified; in</w:t>
      </w:r>
      <w:r w:rsidR="00CF50F3" w:rsidRPr="00E87E42">
        <w:t xml:space="preserve"> </w:t>
      </w:r>
      <w:r w:rsidR="009E183A" w:rsidRPr="00E87E42">
        <w:t xml:space="preserve">this </w:t>
      </w:r>
      <w:proofErr w:type="gramStart"/>
      <w:r w:rsidR="009E183A" w:rsidRPr="00E87E42">
        <w:t>paper</w:t>
      </w:r>
      <w:proofErr w:type="gramEnd"/>
      <w:r w:rsidR="009E183A" w:rsidRPr="00E87E42">
        <w:t xml:space="preserve"> a yearly frequency</w:t>
      </w:r>
      <w:r w:rsidR="00670A5E" w:rsidRPr="00E87E42">
        <w:t xml:space="preserve"> is assumed</w:t>
      </w:r>
      <w:r w:rsidR="009E183A" w:rsidRPr="00E87E42">
        <w:t>.</w:t>
      </w:r>
      <w:r w:rsidR="00CF50F3" w:rsidRPr="00E87E42">
        <w:t xml:space="preserve"> </w:t>
      </w:r>
    </w:p>
    <w:p w14:paraId="45C72D45" w14:textId="43A59E59" w:rsidR="00796639" w:rsidRPr="00E87E42" w:rsidRDefault="00F3444C" w:rsidP="00F259B6">
      <w:proofErr w:type="gramStart"/>
      <w:r w:rsidRPr="00E87E42">
        <w:t xml:space="preserve">Parameters </w:t>
      </w:r>
      <w:r w:rsidRPr="00E87E42">
        <w:rPr>
          <w:i/>
        </w:rPr>
        <w:t>a</w:t>
      </w:r>
      <w:r w:rsidRPr="00E87E42">
        <w:t xml:space="preserve"> and </w:t>
      </w:r>
      <w:r w:rsidRPr="00E87E42">
        <w:rPr>
          <w:i/>
        </w:rPr>
        <w:t>b</w:t>
      </w:r>
      <w:r w:rsidR="008B3760" w:rsidRPr="00E87E42">
        <w:t xml:space="preserve"> have been derived</w:t>
      </w:r>
      <w:r w:rsidR="00082456" w:rsidRPr="00E87E42">
        <w:t>,</w:t>
      </w:r>
      <w:r w:rsidR="008B3760" w:rsidRPr="00E87E42">
        <w:t xml:space="preserve"> </w:t>
      </w:r>
      <w:r w:rsidR="00082456" w:rsidRPr="00E87E42">
        <w:t xml:space="preserve">to recreate the law present in PD 7974-7, </w:t>
      </w:r>
      <w:r w:rsidR="008B3760" w:rsidRPr="00E87E42">
        <w:t>in the light of their definitions</w:t>
      </w:r>
      <w:r w:rsidRPr="00E87E42">
        <w:t xml:space="preserve"> (</w:t>
      </w:r>
      <w:r w:rsidR="003717CB" w:rsidRPr="00E87E42">
        <w:t>S</w:t>
      </w:r>
      <w:r w:rsidRPr="00E87E42">
        <w:t>ection</w:t>
      </w:r>
      <w:r w:rsidR="001B28E5" w:rsidRPr="00E87E42">
        <w:t xml:space="preserve"> </w:t>
      </w:r>
      <w:r w:rsidR="001B28E5" w:rsidRPr="00E87E42">
        <w:fldChar w:fldCharType="begin"/>
      </w:r>
      <w:r w:rsidR="001B28E5" w:rsidRPr="00E87E42">
        <w:instrText xml:space="preserve"> REF _Ref506116161 \r \h </w:instrText>
      </w:r>
      <w:r w:rsidR="00E87E42">
        <w:instrText xml:space="preserve"> \* MERGEFORMAT </w:instrText>
      </w:r>
      <w:r w:rsidR="001B28E5" w:rsidRPr="00E87E42">
        <w:fldChar w:fldCharType="separate"/>
      </w:r>
      <w:r w:rsidR="009F6872">
        <w:t>2</w:t>
      </w:r>
      <w:r w:rsidR="001B28E5" w:rsidRPr="00E87E42">
        <w:fldChar w:fldCharType="end"/>
      </w:r>
      <w:r w:rsidR="00263D2E" w:rsidRPr="00E87E42">
        <w:t>)</w:t>
      </w:r>
      <w:r w:rsidR="00852135" w:rsidRPr="00E87E42">
        <w:t xml:space="preserve"> </w:t>
      </w:r>
      <w:r w:rsidR="009B4EA4" w:rsidRPr="00E87E42">
        <w:t>using</w:t>
      </w:r>
      <w:r w:rsidR="008B3760" w:rsidRPr="00E87E42">
        <w:t xml:space="preserve"> </w:t>
      </w:r>
      <w:r w:rsidR="00A723EE" w:rsidRPr="00E87E42">
        <w:t xml:space="preserve">USA fire statistics </w:t>
      </w:r>
      <w:r w:rsidR="0057305C" w:rsidRPr="00E87E42">
        <w:t xml:space="preserve">with respect to the different </w:t>
      </w:r>
      <w:r w:rsidR="00A723EE" w:rsidRPr="00E87E42">
        <w:t>property types</w:t>
      </w:r>
      <w:r w:rsidR="00263D2E" w:rsidRPr="00E87E42">
        <w:t xml:space="preserve"> (i.e.</w:t>
      </w:r>
      <w:r w:rsidR="00A723EE" w:rsidRPr="00E87E42">
        <w:t xml:space="preserve"> </w:t>
      </w:r>
      <w:r w:rsidR="00A723EE" w:rsidRPr="00E87E42">
        <w:rPr>
          <w:i/>
        </w:rPr>
        <w:t>a</w:t>
      </w:r>
      <w:r w:rsidR="00A723EE" w:rsidRPr="00E87E42">
        <w:t xml:space="preserve"> is </w:t>
      </w:r>
      <w:r w:rsidR="00B2554E" w:rsidRPr="00E87E42">
        <w:t>the ratio</w:t>
      </w:r>
      <w:r w:rsidR="00A723EE" w:rsidRPr="00E87E42">
        <w:t xml:space="preserve"> between total number of fires and total number of buildings at risk</w:t>
      </w:r>
      <w:r w:rsidR="00FF0E89" w:rsidRPr="00E87E42">
        <w:t xml:space="preserve"> from MECS and CBECS</w:t>
      </w:r>
      <w:r w:rsidR="003C11D4" w:rsidRPr="00E87E42">
        <w:t>,</w:t>
      </w:r>
      <w:r w:rsidR="00F769CE" w:rsidRPr="00E87E42">
        <w:t xml:space="preserve"> </w:t>
      </w:r>
      <w:r w:rsidR="00263D2E" w:rsidRPr="00E87E42">
        <w:t xml:space="preserve">and </w:t>
      </w:r>
      <w:r w:rsidR="00F769CE" w:rsidRPr="00E87E42">
        <w:rPr>
          <w:i/>
        </w:rPr>
        <w:t>b</w:t>
      </w:r>
      <w:r w:rsidR="00F769CE" w:rsidRPr="00E87E42">
        <w:t xml:space="preserve"> is</w:t>
      </w:r>
      <w:r w:rsidR="00A723EE" w:rsidRPr="00E87E42">
        <w:t xml:space="preserve"> given by the total number of fires divided by the </w:t>
      </w:r>
      <w:r w:rsidR="00B2554E" w:rsidRPr="00E87E42">
        <w:t xml:space="preserve">building </w:t>
      </w:r>
      <w:r w:rsidR="00A723EE" w:rsidRPr="00E87E42">
        <w:t>maximum floor</w:t>
      </w:r>
      <w:r w:rsidRPr="00E87E42">
        <w:t xml:space="preserve"> </w:t>
      </w:r>
      <w:r w:rsidR="00A723EE" w:rsidRPr="00E87E42">
        <w:t>area</w:t>
      </w:r>
      <w:r w:rsidR="00263D2E" w:rsidRPr="00E87E42">
        <w:t>)</w:t>
      </w:r>
      <w:r w:rsidR="00A723EE" w:rsidRPr="00E87E42">
        <w:t>.</w:t>
      </w:r>
      <w:proofErr w:type="gramEnd"/>
      <w:r w:rsidR="00A723EE" w:rsidRPr="00E87E42">
        <w:t xml:space="preserve"> </w:t>
      </w:r>
      <w:r w:rsidR="007750F1" w:rsidRPr="00E87E42">
        <w:fldChar w:fldCharType="begin"/>
      </w:r>
      <w:r w:rsidR="007750F1" w:rsidRPr="00E87E42">
        <w:instrText xml:space="preserve"> REF _Ref506126554 \h </w:instrText>
      </w:r>
      <w:r w:rsidR="008A55B5" w:rsidRPr="00E87E42">
        <w:instrText xml:space="preserve"> \* MERGEFORMAT </w:instrText>
      </w:r>
      <w:r w:rsidR="007750F1" w:rsidRPr="00E87E42">
        <w:fldChar w:fldCharType="separate"/>
      </w:r>
      <w:r w:rsidR="009F6872" w:rsidRPr="00E87E42">
        <w:t xml:space="preserve">Table </w:t>
      </w:r>
      <w:r w:rsidR="009F6872">
        <w:rPr>
          <w:noProof/>
        </w:rPr>
        <w:t>3</w:t>
      </w:r>
      <w:r w:rsidR="007750F1" w:rsidRPr="00E87E42">
        <w:fldChar w:fldCharType="end"/>
      </w:r>
      <w:r w:rsidR="007750F1" w:rsidRPr="00E87E42">
        <w:t xml:space="preserve"> </w:t>
      </w:r>
      <w:r w:rsidR="00E11EA3" w:rsidRPr="00E87E42">
        <w:t xml:space="preserve">shows the parameters </w:t>
      </w:r>
      <w:proofErr w:type="gramStart"/>
      <w:r w:rsidR="00E11EA3" w:rsidRPr="00E87E42">
        <w:rPr>
          <w:i/>
        </w:rPr>
        <w:t>a</w:t>
      </w:r>
      <w:r w:rsidR="00E11EA3" w:rsidRPr="00E87E42">
        <w:t xml:space="preserve"> and</w:t>
      </w:r>
      <w:proofErr w:type="gramEnd"/>
      <w:r w:rsidR="00E11EA3" w:rsidRPr="00E87E42">
        <w:t xml:space="preserve"> </w:t>
      </w:r>
      <w:r w:rsidR="00E11EA3" w:rsidRPr="00E87E42">
        <w:rPr>
          <w:i/>
        </w:rPr>
        <w:t>b</w:t>
      </w:r>
      <w:r w:rsidR="00E11EA3" w:rsidRPr="00E87E42">
        <w:t xml:space="preserve"> </w:t>
      </w:r>
      <w:r w:rsidR="00082456" w:rsidRPr="00E87E42">
        <w:t xml:space="preserve">obtained </w:t>
      </w:r>
      <w:r w:rsidR="00E11EA3" w:rsidRPr="00E87E42">
        <w:t>for the USA fire statistics</w:t>
      </w:r>
      <w:r w:rsidR="00082456" w:rsidRPr="00E87E42">
        <w:t xml:space="preserve">, where the related function is called </w:t>
      </w:r>
      <w:r w:rsidR="00AD0AA1" w:rsidRPr="00E87E42">
        <w:rPr>
          <w:i/>
        </w:rPr>
        <w:t>[Power (USA-</w:t>
      </w:r>
      <w:proofErr w:type="spellStart"/>
      <w:r w:rsidR="00AD0AA1" w:rsidRPr="00E87E42">
        <w:rPr>
          <w:i/>
        </w:rPr>
        <w:t>Rutstein</w:t>
      </w:r>
      <w:proofErr w:type="spellEnd"/>
      <w:r w:rsidR="00AD0AA1" w:rsidRPr="00E87E42">
        <w:rPr>
          <w:i/>
        </w:rPr>
        <w:t>)]</w:t>
      </w:r>
      <w:r w:rsidR="00082456" w:rsidRPr="00E87E42">
        <w:rPr>
          <w:i/>
        </w:rPr>
        <w:t>,</w:t>
      </w:r>
      <w:r w:rsidR="00AD0AA1" w:rsidRPr="00E87E42">
        <w:t xml:space="preserve"> </w:t>
      </w:r>
      <w:r w:rsidR="00E11EA3" w:rsidRPr="00E87E42">
        <w:t>and compares them to those provided in the PD 7974-7 Table A.1. Unfortunately, due to differences in the reported building types between PD 7974-7, NF</w:t>
      </w:r>
      <w:r w:rsidR="00407E2D" w:rsidRPr="00E87E42">
        <w:t>IR</w:t>
      </w:r>
      <w:r w:rsidR="00E11EA3" w:rsidRPr="00E87E42">
        <w:t xml:space="preserve">S, CBECS and MECS, not every industry or manufacturing subclass </w:t>
      </w:r>
      <w:proofErr w:type="gramStart"/>
      <w:r w:rsidR="00E11EA3" w:rsidRPr="00E87E42">
        <w:t>has been compared</w:t>
      </w:r>
      <w:proofErr w:type="gramEnd"/>
      <w:r w:rsidR="003C11D4" w:rsidRPr="00E87E42">
        <w:t xml:space="preserve">. </w:t>
      </w:r>
      <w:r w:rsidR="008A4006" w:rsidRPr="00E87E42">
        <w:t xml:space="preserve">For </w:t>
      </w:r>
      <w:r w:rsidR="00A9438C" w:rsidRPr="00E87E42">
        <w:t>industry</w:t>
      </w:r>
      <w:r w:rsidR="008A4006" w:rsidRPr="00E87E42">
        <w:t xml:space="preserve"> and manufacturing </w:t>
      </w:r>
      <w:r w:rsidR="00A9438C" w:rsidRPr="00E87E42">
        <w:t>categories t</w:t>
      </w:r>
      <w:r w:rsidR="008A4006" w:rsidRPr="00E87E42">
        <w:t xml:space="preserve">his results in five comparisons using the same method as </w:t>
      </w:r>
      <w:proofErr w:type="spellStart"/>
      <w:r w:rsidR="008A4006" w:rsidRPr="00E87E42">
        <w:t>Rutstein</w:t>
      </w:r>
      <w:proofErr w:type="spellEnd"/>
      <w:r w:rsidR="008A4006" w:rsidRPr="00E87E42">
        <w:t xml:space="preserve"> based on the USA data, </w:t>
      </w:r>
      <w:r w:rsidR="00A9438C" w:rsidRPr="00E87E42">
        <w:t xml:space="preserve">whilst </w:t>
      </w:r>
      <w:r w:rsidR="003C11D4" w:rsidRPr="00E87E42">
        <w:t xml:space="preserve">for other occupancies, </w:t>
      </w:r>
      <w:r w:rsidR="00A9438C" w:rsidRPr="00E87E42">
        <w:rPr>
          <w:i/>
        </w:rPr>
        <w:t>Shops</w:t>
      </w:r>
      <w:r w:rsidR="00A9438C" w:rsidRPr="00E87E42">
        <w:t xml:space="preserve"> and </w:t>
      </w:r>
      <w:r w:rsidR="00A9438C" w:rsidRPr="00E87E42">
        <w:rPr>
          <w:i/>
        </w:rPr>
        <w:t>Offices</w:t>
      </w:r>
      <w:r w:rsidR="00A9438C" w:rsidRPr="00E87E42">
        <w:t xml:space="preserve"> in PD</w:t>
      </w:r>
      <w:r w:rsidR="001A005B" w:rsidRPr="00E87E42">
        <w:t xml:space="preserve"> </w:t>
      </w:r>
      <w:r w:rsidR="00A9438C" w:rsidRPr="00E87E42">
        <w:t xml:space="preserve">7974-7 </w:t>
      </w:r>
      <w:proofErr w:type="gramStart"/>
      <w:r w:rsidR="00A9438C" w:rsidRPr="00E87E42">
        <w:t>have been represented</w:t>
      </w:r>
      <w:proofErr w:type="gramEnd"/>
      <w:r w:rsidR="00A9438C" w:rsidRPr="00E87E42">
        <w:t xml:space="preserve"> as </w:t>
      </w:r>
      <w:r w:rsidR="00A9438C" w:rsidRPr="00E87E42">
        <w:rPr>
          <w:i/>
        </w:rPr>
        <w:t>Mercantile</w:t>
      </w:r>
      <w:r w:rsidR="00A43875" w:rsidRPr="00E87E42">
        <w:rPr>
          <w:i/>
        </w:rPr>
        <w:t xml:space="preserve">, </w:t>
      </w:r>
      <w:r w:rsidR="00A9438C" w:rsidRPr="00E87E42">
        <w:rPr>
          <w:i/>
        </w:rPr>
        <w:t>Business</w:t>
      </w:r>
      <w:r w:rsidR="00A9438C" w:rsidRPr="00E87E42">
        <w:t xml:space="preserve"> in the USA data, and </w:t>
      </w:r>
      <w:r w:rsidR="00A9438C" w:rsidRPr="00E87E42">
        <w:rPr>
          <w:i/>
        </w:rPr>
        <w:t>Hospitals</w:t>
      </w:r>
      <w:r w:rsidR="00A9438C" w:rsidRPr="00E87E42">
        <w:t xml:space="preserve"> in PD</w:t>
      </w:r>
      <w:r w:rsidR="009948FE" w:rsidRPr="00E87E42">
        <w:t xml:space="preserve"> </w:t>
      </w:r>
      <w:r w:rsidR="00A9438C" w:rsidRPr="00E87E42">
        <w:t xml:space="preserve">7974-7 by </w:t>
      </w:r>
      <w:r w:rsidR="00A9438C" w:rsidRPr="00E87E42">
        <w:rPr>
          <w:i/>
        </w:rPr>
        <w:t>H</w:t>
      </w:r>
      <w:r w:rsidR="00591D41" w:rsidRPr="00E87E42">
        <w:rPr>
          <w:i/>
        </w:rPr>
        <w:t>ealth</w:t>
      </w:r>
      <w:r w:rsidR="003C11D4" w:rsidRPr="00E87E42">
        <w:rPr>
          <w:i/>
        </w:rPr>
        <w:t xml:space="preserve"> </w:t>
      </w:r>
      <w:r w:rsidR="00591D41" w:rsidRPr="00E87E42">
        <w:rPr>
          <w:i/>
        </w:rPr>
        <w:t>care</w:t>
      </w:r>
      <w:r w:rsidR="003C11D4" w:rsidRPr="00E87E42">
        <w:rPr>
          <w:i/>
        </w:rPr>
        <w:t>,</w:t>
      </w:r>
      <w:r w:rsidR="00A9438C" w:rsidRPr="00E87E42">
        <w:rPr>
          <w:i/>
        </w:rPr>
        <w:t xml:space="preserve"> Detention and C</w:t>
      </w:r>
      <w:r w:rsidR="00591D41" w:rsidRPr="00E87E42">
        <w:rPr>
          <w:i/>
        </w:rPr>
        <w:t>orrection</w:t>
      </w:r>
      <w:r w:rsidR="003C11D4" w:rsidRPr="00E87E42">
        <w:rPr>
          <w:i/>
        </w:rPr>
        <w:t xml:space="preserve">. </w:t>
      </w:r>
      <w:r w:rsidR="00A9438C" w:rsidRPr="00E87E42">
        <w:t>Whilst these representations are not perfect, the authors believe that they are appropriate for comparison.</w:t>
      </w:r>
      <w:r w:rsidR="00E11EA3" w:rsidRPr="00E87E42">
        <w:t xml:space="preserve"> </w:t>
      </w:r>
    </w:p>
    <w:p w14:paraId="016E8968" w14:textId="3CF22865" w:rsidR="00796639" w:rsidRPr="00E87E42" w:rsidRDefault="00796639" w:rsidP="00F259B6">
      <w:r w:rsidRPr="00E87E42">
        <w:fldChar w:fldCharType="begin"/>
      </w:r>
      <w:r w:rsidRPr="00E87E42">
        <w:instrText xml:space="preserve"> REF _Ref506126554 \h </w:instrText>
      </w:r>
      <w:r w:rsidR="00E87E42">
        <w:instrText xml:space="preserve"> \* MERGEFORMAT </w:instrText>
      </w:r>
      <w:r w:rsidRPr="00E87E42">
        <w:fldChar w:fldCharType="separate"/>
      </w:r>
      <w:r w:rsidR="009F6872" w:rsidRPr="00E87E42">
        <w:t xml:space="preserve">Table </w:t>
      </w:r>
      <w:r w:rsidR="009F6872">
        <w:rPr>
          <w:noProof/>
        </w:rPr>
        <w:t>3</w:t>
      </w:r>
      <w:r w:rsidRPr="00E87E42">
        <w:fldChar w:fldCharType="end"/>
      </w:r>
      <w:r w:rsidR="009B4EA4" w:rsidRPr="00E87E42">
        <w:t xml:space="preserve"> shows </w:t>
      </w:r>
      <w:r w:rsidRPr="00E87E42">
        <w:t xml:space="preserve">that when applying the same positive exponent restriction on the parameter </w:t>
      </w:r>
      <w:r w:rsidRPr="00E87E42">
        <w:rPr>
          <w:i/>
        </w:rPr>
        <w:t>b</w:t>
      </w:r>
      <w:r w:rsidRPr="00E87E42">
        <w:t xml:space="preserve"> as suggested by </w:t>
      </w:r>
      <w:proofErr w:type="spellStart"/>
      <w:r w:rsidRPr="00E87E42">
        <w:t>Rutstein</w:t>
      </w:r>
      <w:proofErr w:type="spellEnd"/>
      <w:r w:rsidRPr="00E87E42">
        <w:t xml:space="preserve">, the USA fire statistics trends are always lower </w:t>
      </w:r>
      <w:r w:rsidR="00D56832" w:rsidRPr="00E87E42">
        <w:t xml:space="preserve">(and thus conservative) </w:t>
      </w:r>
      <w:r w:rsidRPr="00E87E42">
        <w:t xml:space="preserve">than those reported in PD 7974-7. </w:t>
      </w:r>
      <w:r w:rsidR="00D56832" w:rsidRPr="00E87E42">
        <w:t>T</w:t>
      </w:r>
      <w:r w:rsidRPr="00E87E42">
        <w:t xml:space="preserve">hese positive exponent power laws do not show good agreement with the datasets created, therefore, further analysis of </w:t>
      </w:r>
      <w:r w:rsidRPr="00E87E42">
        <w:lastRenderedPageBreak/>
        <w:t>potential better fitting relationships</w:t>
      </w:r>
      <w:r w:rsidR="00082456" w:rsidRPr="00E87E42">
        <w:t xml:space="preserve"> </w:t>
      </w:r>
      <w:r w:rsidR="001A005B" w:rsidRPr="00E87E42">
        <w:t xml:space="preserve">for the </w:t>
      </w:r>
      <w:r w:rsidR="00082456" w:rsidRPr="00E87E42">
        <w:t>USA fire statistics</w:t>
      </w:r>
      <w:r w:rsidRPr="00E87E42">
        <w:t xml:space="preserve"> are required</w:t>
      </w:r>
      <w:r w:rsidR="00082456" w:rsidRPr="00E87E42">
        <w:t xml:space="preserve"> </w:t>
      </w:r>
      <w:r w:rsidR="00670A5E" w:rsidRPr="00E87E42">
        <w:t xml:space="preserve">and </w:t>
      </w:r>
      <w:r w:rsidR="00082456" w:rsidRPr="00E87E42">
        <w:t xml:space="preserve">described as </w:t>
      </w:r>
      <w:r w:rsidR="00082456" w:rsidRPr="00E87E42">
        <w:rPr>
          <w:i/>
        </w:rPr>
        <w:t>[Power (USA-improved)]</w:t>
      </w:r>
      <w:r w:rsidR="00082456" w:rsidRPr="00E87E42">
        <w:t xml:space="preserve"> and </w:t>
      </w:r>
      <w:r w:rsidR="00082456" w:rsidRPr="00E87E42">
        <w:rPr>
          <w:i/>
        </w:rPr>
        <w:t>[Poly (USA-improved)]</w:t>
      </w:r>
      <w:r w:rsidRPr="00E87E42">
        <w:t>.</w:t>
      </w:r>
    </w:p>
    <w:p w14:paraId="70A2D917" w14:textId="637423BE" w:rsidR="00796639" w:rsidRPr="00E87E42" w:rsidRDefault="00796639" w:rsidP="00F259B6">
      <w:r w:rsidRPr="00E87E42">
        <w:t>G</w:t>
      </w:r>
      <w:r w:rsidR="001218A3" w:rsidRPr="00E87E42">
        <w:t xml:space="preserve">rouping the </w:t>
      </w:r>
      <w:r w:rsidRPr="00E87E42">
        <w:t>fires by occupancy type and floor area band</w:t>
      </w:r>
      <w:r w:rsidR="00EA7136" w:rsidRPr="00E87E42">
        <w:t>s</w:t>
      </w:r>
      <w:r w:rsidRPr="00E87E42">
        <w:t xml:space="preserve"> of the building in which they occurred</w:t>
      </w:r>
      <w:r w:rsidR="00EA7136" w:rsidRPr="00E87E42">
        <w:t xml:space="preserve"> and relating them to the respective probability</w:t>
      </w:r>
      <w:r w:rsidR="00CA650E" w:rsidRPr="00E87E42">
        <w:t xml:space="preserve"> (fire divided by total n</w:t>
      </w:r>
      <w:r w:rsidR="001218A3" w:rsidRPr="00E87E42">
        <w:t xml:space="preserve">umber of buildings at risk per </w:t>
      </w:r>
      <w:r w:rsidR="00CA650E" w:rsidRPr="00E87E42">
        <w:t>floor area band)</w:t>
      </w:r>
      <w:r w:rsidRPr="00E87E42">
        <w:t>, new fire frequency relationships are obtained (</w:t>
      </w:r>
      <w:r w:rsidRPr="00E87E42">
        <w:rPr>
          <w:i/>
        </w:rPr>
        <w:t>[Power (USA-improved)]</w:t>
      </w:r>
      <w:r w:rsidRPr="00E87E42">
        <w:t xml:space="preserve"> and </w:t>
      </w:r>
      <w:r w:rsidRPr="00E87E42">
        <w:rPr>
          <w:i/>
        </w:rPr>
        <w:t>[Poly (USA-improved)]</w:t>
      </w:r>
      <w:r w:rsidRPr="00E87E42">
        <w:t>)</w:t>
      </w:r>
      <w:r w:rsidR="00EA7136" w:rsidRPr="00E87E42">
        <w:t xml:space="preserve"> based on the </w:t>
      </w:r>
      <w:r w:rsidR="001E5891" w:rsidRPr="00E87E42">
        <w:t>dot plots</w:t>
      </w:r>
      <w:r w:rsidR="00EA7136" w:rsidRPr="00E87E42">
        <w:t xml:space="preserve"> deduced by the analysis</w:t>
      </w:r>
      <w:r w:rsidRPr="00E87E42">
        <w:t xml:space="preserve">. </w:t>
      </w:r>
      <w:r w:rsidR="00D56832" w:rsidRPr="00E87E42">
        <w:t>F</w:t>
      </w:r>
      <w:r w:rsidR="00EA7136" w:rsidRPr="00E87E42">
        <w:t>loor area</w:t>
      </w:r>
      <w:r w:rsidRPr="00E87E42">
        <w:t xml:space="preserve"> bands (</w:t>
      </w:r>
      <w:r w:rsidRPr="00E87E42">
        <w:fldChar w:fldCharType="begin"/>
      </w:r>
      <w:r w:rsidRPr="00E87E42">
        <w:instrText xml:space="preserve"> REF _Ref508274708 \h  \* MERGEFORMAT </w:instrText>
      </w:r>
      <w:r w:rsidRPr="00E87E42">
        <w:fldChar w:fldCharType="separate"/>
      </w:r>
      <w:r w:rsidR="009F6872" w:rsidRPr="00E87E42">
        <w:t xml:space="preserve">Table </w:t>
      </w:r>
      <w:r w:rsidR="009F6872">
        <w:rPr>
          <w:noProof/>
        </w:rPr>
        <w:t>1</w:t>
      </w:r>
      <w:r w:rsidRPr="00E87E42">
        <w:fldChar w:fldCharType="end"/>
      </w:r>
      <w:r w:rsidRPr="00E87E42">
        <w:t xml:space="preserve">) and number of buildings within each band are determined from the MECS and CBECS databases. The probability of fire </w:t>
      </w:r>
      <w:proofErr w:type="gramStart"/>
      <w:r w:rsidRPr="00E87E42">
        <w:t>has then been plotted</w:t>
      </w:r>
      <w:proofErr w:type="gramEnd"/>
      <w:r w:rsidRPr="00E87E42">
        <w:t xml:space="preserve"> according to its respective </w:t>
      </w:r>
      <w:r w:rsidR="00D56832" w:rsidRPr="00E87E42">
        <w:t>floor area</w:t>
      </w:r>
      <w:r w:rsidRPr="00E87E42">
        <w:t xml:space="preserve">, and trends drawn to represent the data, with associated R-squared values to understand how well the trends are approximating the fire incident dataset. </w:t>
      </w:r>
      <w:proofErr w:type="gramStart"/>
      <w:r w:rsidRPr="00E87E42">
        <w:t>It should be noted, that due to the way the building area is represented in the MECS and CBECS databases, with buildings being classified within area bands (i.e. between 5,001-10,000 ft</w:t>
      </w:r>
      <w:r w:rsidRPr="00E87E42">
        <w:rPr>
          <w:vertAlign w:val="superscript"/>
        </w:rPr>
        <w:t>2</w:t>
      </w:r>
      <w:r w:rsidRPr="00E87E42">
        <w:t>)</w:t>
      </w:r>
      <w:r w:rsidR="004559B5">
        <w:t>,</w:t>
      </w:r>
      <w:r w:rsidRPr="00E87E42">
        <w:t xml:space="preserve"> some of the improved relationships within the industrial subcategories cannot be fitted due to having fewer than 3 floor area bands</w:t>
      </w:r>
      <w:r w:rsidR="00CA650E" w:rsidRPr="00E87E42">
        <w:t xml:space="preserve"> (</w:t>
      </w:r>
      <w:r w:rsidR="00CA650E" w:rsidRPr="00E87E42">
        <w:rPr>
          <w:i/>
        </w:rPr>
        <w:t xml:space="preserve">Mechanical engineering and other metal goods </w:t>
      </w:r>
      <w:r w:rsidR="00CA650E" w:rsidRPr="00E87E42">
        <w:t>and</w:t>
      </w:r>
      <w:r w:rsidR="00CA650E" w:rsidRPr="00E87E42">
        <w:rPr>
          <w:i/>
        </w:rPr>
        <w:t xml:space="preserve"> Electrical engineering)</w:t>
      </w:r>
      <w:r w:rsidRPr="00E87E42">
        <w:t>.</w:t>
      </w:r>
      <w:proofErr w:type="gramEnd"/>
    </w:p>
    <w:p w14:paraId="19581587" w14:textId="28113639" w:rsidR="007750F1" w:rsidRPr="00E87E42" w:rsidRDefault="007750F1" w:rsidP="005E093E">
      <w:pPr>
        <w:pStyle w:val="Caption"/>
      </w:pPr>
      <w:bookmarkStart w:id="8" w:name="_Ref506126554"/>
      <w:r w:rsidRPr="00E87E42">
        <w:t xml:space="preserve">Table </w:t>
      </w:r>
      <w:r w:rsidR="00A446AC" w:rsidRPr="00E87E42">
        <w:rPr>
          <w:noProof/>
        </w:rPr>
        <w:fldChar w:fldCharType="begin"/>
      </w:r>
      <w:r w:rsidR="00A446AC" w:rsidRPr="00E87E42">
        <w:rPr>
          <w:noProof/>
        </w:rPr>
        <w:instrText xml:space="preserve"> SEQ Table \* ARABIC </w:instrText>
      </w:r>
      <w:r w:rsidR="00A446AC" w:rsidRPr="00E87E42">
        <w:rPr>
          <w:noProof/>
        </w:rPr>
        <w:fldChar w:fldCharType="separate"/>
      </w:r>
      <w:r w:rsidR="009F6872">
        <w:rPr>
          <w:noProof/>
        </w:rPr>
        <w:t>3</w:t>
      </w:r>
      <w:r w:rsidR="00A446AC" w:rsidRPr="00E87E42">
        <w:rPr>
          <w:noProof/>
        </w:rPr>
        <w:fldChar w:fldCharType="end"/>
      </w:r>
      <w:bookmarkEnd w:id="8"/>
      <w:r w:rsidRPr="00E87E42">
        <w:t>: Probability of fire starting in different occupancy types</w:t>
      </w:r>
    </w:p>
    <w:tbl>
      <w:tblPr>
        <w:tblStyle w:val="TableGrid"/>
        <w:tblW w:w="0" w:type="auto"/>
        <w:tblCellMar>
          <w:left w:w="57" w:type="dxa"/>
          <w:right w:w="57" w:type="dxa"/>
        </w:tblCellMar>
        <w:tblLook w:val="04A0" w:firstRow="1" w:lastRow="0" w:firstColumn="1" w:lastColumn="0" w:noHBand="0" w:noVBand="1"/>
      </w:tblPr>
      <w:tblGrid>
        <w:gridCol w:w="2582"/>
        <w:gridCol w:w="714"/>
        <w:gridCol w:w="394"/>
        <w:gridCol w:w="917"/>
        <w:gridCol w:w="711"/>
        <w:gridCol w:w="685"/>
        <w:gridCol w:w="598"/>
        <w:gridCol w:w="513"/>
        <w:gridCol w:w="2662"/>
        <w:gridCol w:w="474"/>
      </w:tblGrid>
      <w:tr w:rsidR="008072F1" w:rsidRPr="00E87E42" w14:paraId="26A30353" w14:textId="77777777" w:rsidTr="008A55B5">
        <w:trPr>
          <w:trHeight w:val="170"/>
        </w:trPr>
        <w:tc>
          <w:tcPr>
            <w:tcW w:w="0" w:type="auto"/>
            <w:vMerge w:val="restart"/>
            <w:vAlign w:val="center"/>
          </w:tcPr>
          <w:p w14:paraId="20FA8B47" w14:textId="77777777" w:rsidR="008072F1" w:rsidRPr="00E87E42" w:rsidRDefault="008072F1" w:rsidP="00836131">
            <w:pPr>
              <w:spacing w:after="0" w:line="240" w:lineRule="auto"/>
              <w:jc w:val="center"/>
              <w:rPr>
                <w:b/>
                <w:sz w:val="16"/>
                <w:szCs w:val="16"/>
              </w:rPr>
            </w:pPr>
            <w:r w:rsidRPr="00E87E42">
              <w:rPr>
                <w:b/>
                <w:sz w:val="16"/>
                <w:szCs w:val="16"/>
              </w:rPr>
              <w:t>Industrial buildings</w:t>
            </w:r>
          </w:p>
        </w:tc>
        <w:tc>
          <w:tcPr>
            <w:tcW w:w="0" w:type="auto"/>
            <w:gridSpan w:val="2"/>
            <w:vAlign w:val="center"/>
          </w:tcPr>
          <w:p w14:paraId="46BDE1BC" w14:textId="77777777" w:rsidR="008072F1" w:rsidRPr="00E87E42" w:rsidRDefault="008072F1" w:rsidP="00836131">
            <w:pPr>
              <w:spacing w:after="0" w:line="240" w:lineRule="auto"/>
              <w:jc w:val="center"/>
              <w:rPr>
                <w:b/>
                <w:sz w:val="16"/>
                <w:szCs w:val="16"/>
                <w:u w:val="single"/>
              </w:rPr>
            </w:pPr>
            <w:r w:rsidRPr="00E87E42">
              <w:rPr>
                <w:b/>
                <w:sz w:val="16"/>
                <w:szCs w:val="16"/>
                <w:u w:val="single"/>
              </w:rPr>
              <w:t>PD 7974-7</w:t>
            </w:r>
          </w:p>
        </w:tc>
        <w:tc>
          <w:tcPr>
            <w:tcW w:w="0" w:type="auto"/>
            <w:gridSpan w:val="7"/>
            <w:vAlign w:val="center"/>
          </w:tcPr>
          <w:p w14:paraId="7D89B2F3" w14:textId="234C38C4" w:rsidR="008072F1" w:rsidRPr="00E87E42" w:rsidRDefault="008072F1" w:rsidP="00314FD6">
            <w:pPr>
              <w:spacing w:after="0" w:line="240" w:lineRule="auto"/>
              <w:jc w:val="center"/>
              <w:rPr>
                <w:b/>
                <w:sz w:val="16"/>
                <w:szCs w:val="16"/>
                <w:u w:val="single"/>
              </w:rPr>
            </w:pPr>
            <w:r w:rsidRPr="00E87E42">
              <w:rPr>
                <w:b/>
                <w:sz w:val="16"/>
                <w:szCs w:val="16"/>
                <w:u w:val="single"/>
              </w:rPr>
              <w:t>US</w:t>
            </w:r>
            <w:r w:rsidR="006728B6" w:rsidRPr="00E87E42">
              <w:rPr>
                <w:b/>
                <w:sz w:val="16"/>
                <w:szCs w:val="16"/>
                <w:u w:val="single"/>
              </w:rPr>
              <w:t>A</w:t>
            </w:r>
            <w:r w:rsidRPr="00E87E42">
              <w:rPr>
                <w:b/>
                <w:sz w:val="16"/>
                <w:szCs w:val="16"/>
                <w:u w:val="single"/>
              </w:rPr>
              <w:t xml:space="preserve"> Fire Statistics</w:t>
            </w:r>
          </w:p>
        </w:tc>
      </w:tr>
      <w:tr w:rsidR="008072F1" w:rsidRPr="00E87E42" w14:paraId="1A46A16B" w14:textId="77777777" w:rsidTr="008A55B5">
        <w:trPr>
          <w:trHeight w:val="170"/>
        </w:trPr>
        <w:tc>
          <w:tcPr>
            <w:tcW w:w="0" w:type="auto"/>
            <w:vMerge/>
            <w:vAlign w:val="center"/>
          </w:tcPr>
          <w:p w14:paraId="56C3421F" w14:textId="77777777" w:rsidR="008072F1" w:rsidRPr="00E87E42" w:rsidRDefault="008072F1" w:rsidP="002623BF">
            <w:pPr>
              <w:spacing w:after="0" w:line="240" w:lineRule="auto"/>
              <w:jc w:val="center"/>
              <w:rPr>
                <w:sz w:val="16"/>
                <w:szCs w:val="16"/>
              </w:rPr>
            </w:pPr>
          </w:p>
        </w:tc>
        <w:tc>
          <w:tcPr>
            <w:tcW w:w="0" w:type="auto"/>
            <w:gridSpan w:val="2"/>
            <w:vMerge w:val="restart"/>
            <w:vAlign w:val="center"/>
          </w:tcPr>
          <w:p w14:paraId="1BCC773B" w14:textId="77777777" w:rsidR="008072F1" w:rsidRPr="00E87E42" w:rsidRDefault="008072F1" w:rsidP="002623BF">
            <w:pPr>
              <w:spacing w:after="0" w:line="240" w:lineRule="auto"/>
              <w:jc w:val="center"/>
              <w:rPr>
                <w:sz w:val="16"/>
                <w:szCs w:val="16"/>
              </w:rPr>
            </w:pPr>
            <w:r w:rsidRPr="00E87E42">
              <w:rPr>
                <w:sz w:val="16"/>
                <w:szCs w:val="16"/>
              </w:rPr>
              <w:t>Power law</w:t>
            </w:r>
          </w:p>
          <w:p w14:paraId="0E06CF5B" w14:textId="77777777" w:rsidR="008072F1" w:rsidRPr="00E87E42" w:rsidRDefault="008072F1" w:rsidP="002623BF">
            <w:pPr>
              <w:spacing w:after="0" w:line="240" w:lineRule="auto"/>
              <w:jc w:val="center"/>
              <w:rPr>
                <w:sz w:val="16"/>
                <w:szCs w:val="16"/>
              </w:rPr>
            </w:pPr>
          </w:p>
        </w:tc>
        <w:tc>
          <w:tcPr>
            <w:tcW w:w="0" w:type="auto"/>
            <w:gridSpan w:val="2"/>
            <w:vMerge w:val="restart"/>
            <w:vAlign w:val="center"/>
          </w:tcPr>
          <w:p w14:paraId="364D7D06" w14:textId="77777777" w:rsidR="008072F1" w:rsidRPr="00E87E42" w:rsidRDefault="008072F1" w:rsidP="002623BF">
            <w:pPr>
              <w:spacing w:after="0" w:line="240" w:lineRule="auto"/>
              <w:jc w:val="center"/>
              <w:rPr>
                <w:sz w:val="16"/>
                <w:szCs w:val="16"/>
              </w:rPr>
            </w:pPr>
            <w:r w:rsidRPr="00E87E42">
              <w:rPr>
                <w:sz w:val="16"/>
                <w:szCs w:val="16"/>
              </w:rPr>
              <w:t>Power law</w:t>
            </w:r>
          </w:p>
          <w:p w14:paraId="55C2140A" w14:textId="77777777" w:rsidR="008072F1" w:rsidRPr="00E87E42" w:rsidRDefault="008072F1" w:rsidP="002623BF">
            <w:pPr>
              <w:spacing w:after="0" w:line="240" w:lineRule="auto"/>
              <w:jc w:val="center"/>
              <w:rPr>
                <w:sz w:val="16"/>
                <w:szCs w:val="16"/>
              </w:rPr>
            </w:pPr>
            <w:r w:rsidRPr="00E87E42">
              <w:rPr>
                <w:sz w:val="16"/>
                <w:szCs w:val="16"/>
              </w:rPr>
              <w:t>(+</w:t>
            </w:r>
            <w:proofErr w:type="spellStart"/>
            <w:r w:rsidRPr="00E87E42">
              <w:rPr>
                <w:sz w:val="16"/>
                <w:szCs w:val="16"/>
              </w:rPr>
              <w:t>ve</w:t>
            </w:r>
            <w:proofErr w:type="spellEnd"/>
            <w:r w:rsidRPr="00E87E42">
              <w:rPr>
                <w:sz w:val="16"/>
                <w:szCs w:val="16"/>
              </w:rPr>
              <w:t xml:space="preserve"> b)</w:t>
            </w:r>
          </w:p>
        </w:tc>
        <w:tc>
          <w:tcPr>
            <w:tcW w:w="0" w:type="auto"/>
            <w:gridSpan w:val="5"/>
            <w:vAlign w:val="center"/>
          </w:tcPr>
          <w:p w14:paraId="11879AB4" w14:textId="77777777" w:rsidR="008072F1" w:rsidRPr="00E87E42" w:rsidRDefault="008072F1" w:rsidP="002623BF">
            <w:pPr>
              <w:spacing w:after="0" w:line="240" w:lineRule="auto"/>
              <w:jc w:val="center"/>
              <w:rPr>
                <w:sz w:val="16"/>
                <w:szCs w:val="16"/>
              </w:rPr>
            </w:pPr>
            <w:r w:rsidRPr="00E87E42">
              <w:rPr>
                <w:sz w:val="16"/>
                <w:szCs w:val="16"/>
              </w:rPr>
              <w:t>According to dots graph probability of fire – tot floor space</w:t>
            </w:r>
          </w:p>
        </w:tc>
      </w:tr>
      <w:tr w:rsidR="008072F1" w:rsidRPr="00E87E42" w14:paraId="67E4712D" w14:textId="77777777" w:rsidTr="008A55B5">
        <w:trPr>
          <w:trHeight w:val="170"/>
        </w:trPr>
        <w:tc>
          <w:tcPr>
            <w:tcW w:w="0" w:type="auto"/>
            <w:vMerge/>
            <w:vAlign w:val="center"/>
          </w:tcPr>
          <w:p w14:paraId="22AB37ED" w14:textId="77777777" w:rsidR="008072F1" w:rsidRPr="00E87E42" w:rsidRDefault="008072F1" w:rsidP="002623BF">
            <w:pPr>
              <w:spacing w:after="0" w:line="240" w:lineRule="auto"/>
              <w:jc w:val="center"/>
              <w:rPr>
                <w:sz w:val="16"/>
                <w:szCs w:val="16"/>
              </w:rPr>
            </w:pPr>
          </w:p>
        </w:tc>
        <w:tc>
          <w:tcPr>
            <w:tcW w:w="0" w:type="auto"/>
            <w:gridSpan w:val="2"/>
            <w:vMerge/>
            <w:vAlign w:val="center"/>
          </w:tcPr>
          <w:p w14:paraId="1D8D3F77" w14:textId="77777777" w:rsidR="008072F1" w:rsidRPr="00E87E42" w:rsidRDefault="008072F1" w:rsidP="002623BF">
            <w:pPr>
              <w:spacing w:after="0" w:line="240" w:lineRule="auto"/>
              <w:jc w:val="center"/>
              <w:rPr>
                <w:sz w:val="16"/>
                <w:szCs w:val="16"/>
              </w:rPr>
            </w:pPr>
          </w:p>
        </w:tc>
        <w:tc>
          <w:tcPr>
            <w:tcW w:w="0" w:type="auto"/>
            <w:gridSpan w:val="2"/>
            <w:vMerge/>
            <w:vAlign w:val="center"/>
          </w:tcPr>
          <w:p w14:paraId="4EC86CD4" w14:textId="77777777" w:rsidR="008072F1" w:rsidRPr="00E87E42" w:rsidRDefault="008072F1" w:rsidP="002623BF">
            <w:pPr>
              <w:spacing w:after="0" w:line="240" w:lineRule="auto"/>
              <w:jc w:val="center"/>
              <w:rPr>
                <w:sz w:val="16"/>
                <w:szCs w:val="16"/>
              </w:rPr>
            </w:pPr>
          </w:p>
        </w:tc>
        <w:tc>
          <w:tcPr>
            <w:tcW w:w="0" w:type="auto"/>
            <w:gridSpan w:val="3"/>
            <w:vAlign w:val="center"/>
          </w:tcPr>
          <w:p w14:paraId="7A03EE7C" w14:textId="77777777" w:rsidR="008072F1" w:rsidRPr="00E87E42" w:rsidRDefault="008072F1" w:rsidP="002623BF">
            <w:pPr>
              <w:spacing w:after="0" w:line="240" w:lineRule="auto"/>
              <w:jc w:val="center"/>
              <w:rPr>
                <w:sz w:val="16"/>
                <w:szCs w:val="16"/>
              </w:rPr>
            </w:pPr>
            <w:r w:rsidRPr="00E87E42">
              <w:rPr>
                <w:sz w:val="16"/>
                <w:szCs w:val="16"/>
              </w:rPr>
              <w:t>Power law</w:t>
            </w:r>
          </w:p>
        </w:tc>
        <w:tc>
          <w:tcPr>
            <w:tcW w:w="0" w:type="auto"/>
            <w:gridSpan w:val="2"/>
            <w:vAlign w:val="center"/>
          </w:tcPr>
          <w:p w14:paraId="03E0F35A" w14:textId="77777777" w:rsidR="008072F1" w:rsidRPr="00E87E42" w:rsidRDefault="008072F1" w:rsidP="002623BF">
            <w:pPr>
              <w:spacing w:after="0" w:line="240" w:lineRule="auto"/>
              <w:jc w:val="center"/>
              <w:rPr>
                <w:sz w:val="16"/>
                <w:szCs w:val="16"/>
              </w:rPr>
            </w:pPr>
            <w:r w:rsidRPr="00E87E42">
              <w:rPr>
                <w:sz w:val="16"/>
                <w:szCs w:val="16"/>
              </w:rPr>
              <w:t>Improved form</w:t>
            </w:r>
          </w:p>
        </w:tc>
      </w:tr>
      <w:tr w:rsidR="008072F1" w:rsidRPr="00E87E42" w14:paraId="75565F2F" w14:textId="77777777" w:rsidTr="008A55B5">
        <w:trPr>
          <w:trHeight w:val="170"/>
        </w:trPr>
        <w:tc>
          <w:tcPr>
            <w:tcW w:w="0" w:type="auto"/>
            <w:vMerge w:val="restart"/>
            <w:vAlign w:val="center"/>
          </w:tcPr>
          <w:p w14:paraId="41D6AF01" w14:textId="3A023E55" w:rsidR="008072F1" w:rsidRPr="00E87E42" w:rsidRDefault="008072F1" w:rsidP="00836131">
            <w:pPr>
              <w:spacing w:after="0" w:line="240" w:lineRule="auto"/>
              <w:jc w:val="center"/>
              <w:rPr>
                <w:i/>
                <w:sz w:val="16"/>
                <w:szCs w:val="16"/>
              </w:rPr>
            </w:pPr>
            <w:r w:rsidRPr="00E87E42">
              <w:rPr>
                <w:i/>
                <w:sz w:val="16"/>
                <w:szCs w:val="16"/>
              </w:rPr>
              <w:t xml:space="preserve">Trend in figures </w:t>
            </w:r>
            <w:r w:rsidR="00AA1190" w:rsidRPr="00E87E42">
              <w:rPr>
                <w:i/>
                <w:sz w:val="16"/>
                <w:szCs w:val="16"/>
              </w:rPr>
              <w:t>3-4</w:t>
            </w:r>
            <w:r w:rsidRPr="00E87E42">
              <w:rPr>
                <w:i/>
                <w:sz w:val="16"/>
                <w:szCs w:val="16"/>
              </w:rPr>
              <w:t xml:space="preserve"> below</w:t>
            </w:r>
          </w:p>
        </w:tc>
        <w:tc>
          <w:tcPr>
            <w:tcW w:w="0" w:type="auto"/>
            <w:gridSpan w:val="2"/>
            <w:vAlign w:val="center"/>
          </w:tcPr>
          <w:p w14:paraId="6404832A" w14:textId="77777777" w:rsidR="008072F1" w:rsidRPr="00E87E42" w:rsidRDefault="008072F1" w:rsidP="00836131">
            <w:pPr>
              <w:spacing w:after="0" w:line="240" w:lineRule="auto"/>
              <w:jc w:val="center"/>
              <w:rPr>
                <w:i/>
                <w:sz w:val="16"/>
                <w:szCs w:val="16"/>
              </w:rPr>
            </w:pPr>
            <w:r w:rsidRPr="00E87E42">
              <w:rPr>
                <w:i/>
                <w:sz w:val="16"/>
                <w:szCs w:val="16"/>
              </w:rPr>
              <w:t>[Power (PD)]</w:t>
            </w:r>
          </w:p>
        </w:tc>
        <w:tc>
          <w:tcPr>
            <w:tcW w:w="0" w:type="auto"/>
            <w:gridSpan w:val="2"/>
            <w:vAlign w:val="center"/>
          </w:tcPr>
          <w:p w14:paraId="1C28DF3E" w14:textId="77777777" w:rsidR="008072F1" w:rsidRPr="00E87E42" w:rsidRDefault="008072F1" w:rsidP="00314FD6">
            <w:pPr>
              <w:spacing w:after="0" w:line="240" w:lineRule="auto"/>
              <w:jc w:val="center"/>
              <w:rPr>
                <w:i/>
                <w:sz w:val="16"/>
                <w:szCs w:val="16"/>
              </w:rPr>
            </w:pPr>
            <w:r w:rsidRPr="00E87E42">
              <w:rPr>
                <w:i/>
                <w:sz w:val="16"/>
                <w:szCs w:val="16"/>
              </w:rPr>
              <w:t xml:space="preserve">[Power (USA - </w:t>
            </w:r>
            <w:proofErr w:type="spellStart"/>
            <w:r w:rsidRPr="00E87E42">
              <w:rPr>
                <w:i/>
                <w:sz w:val="16"/>
                <w:szCs w:val="16"/>
              </w:rPr>
              <w:t>Rutstein</w:t>
            </w:r>
            <w:proofErr w:type="spellEnd"/>
            <w:r w:rsidRPr="00E87E42">
              <w:rPr>
                <w:i/>
                <w:sz w:val="16"/>
                <w:szCs w:val="16"/>
              </w:rPr>
              <w:t>)]</w:t>
            </w:r>
          </w:p>
        </w:tc>
        <w:tc>
          <w:tcPr>
            <w:tcW w:w="0" w:type="auto"/>
            <w:gridSpan w:val="3"/>
            <w:vAlign w:val="center"/>
          </w:tcPr>
          <w:p w14:paraId="67090019" w14:textId="77777777" w:rsidR="008072F1" w:rsidRPr="00E87E42" w:rsidRDefault="008072F1" w:rsidP="00214A6C">
            <w:pPr>
              <w:spacing w:after="0" w:line="240" w:lineRule="auto"/>
              <w:jc w:val="center"/>
              <w:rPr>
                <w:i/>
                <w:sz w:val="16"/>
                <w:szCs w:val="16"/>
              </w:rPr>
            </w:pPr>
            <w:r w:rsidRPr="00E87E42">
              <w:rPr>
                <w:i/>
                <w:sz w:val="16"/>
                <w:szCs w:val="16"/>
              </w:rPr>
              <w:t>[Power (USA - Improved)]</w:t>
            </w:r>
          </w:p>
        </w:tc>
        <w:tc>
          <w:tcPr>
            <w:tcW w:w="0" w:type="auto"/>
            <w:gridSpan w:val="2"/>
            <w:vAlign w:val="center"/>
          </w:tcPr>
          <w:p w14:paraId="5F55B039" w14:textId="77777777" w:rsidR="008072F1" w:rsidRPr="00E87E42" w:rsidRDefault="008072F1" w:rsidP="00214A6C">
            <w:pPr>
              <w:spacing w:after="0" w:line="240" w:lineRule="auto"/>
              <w:jc w:val="center"/>
              <w:rPr>
                <w:i/>
                <w:sz w:val="16"/>
                <w:szCs w:val="16"/>
              </w:rPr>
            </w:pPr>
            <w:r w:rsidRPr="00E87E42">
              <w:rPr>
                <w:i/>
                <w:sz w:val="16"/>
                <w:szCs w:val="16"/>
              </w:rPr>
              <w:t>[Poly (USA - Improved)]</w:t>
            </w:r>
          </w:p>
        </w:tc>
      </w:tr>
      <w:tr w:rsidR="008072F1" w:rsidRPr="00E87E42" w14:paraId="7A7A9465" w14:textId="77777777" w:rsidTr="008A55B5">
        <w:trPr>
          <w:trHeight w:val="170"/>
        </w:trPr>
        <w:tc>
          <w:tcPr>
            <w:tcW w:w="0" w:type="auto"/>
            <w:vMerge/>
            <w:vAlign w:val="center"/>
          </w:tcPr>
          <w:p w14:paraId="0D8E7E2C" w14:textId="77777777" w:rsidR="008072F1" w:rsidRPr="00E87E42" w:rsidRDefault="008072F1" w:rsidP="002623BF">
            <w:pPr>
              <w:spacing w:after="0" w:line="240" w:lineRule="auto"/>
              <w:jc w:val="center"/>
              <w:rPr>
                <w:sz w:val="16"/>
                <w:szCs w:val="16"/>
              </w:rPr>
            </w:pPr>
          </w:p>
        </w:tc>
        <w:tc>
          <w:tcPr>
            <w:tcW w:w="0" w:type="auto"/>
            <w:vAlign w:val="center"/>
          </w:tcPr>
          <w:p w14:paraId="2E8B0745" w14:textId="77777777" w:rsidR="008072F1" w:rsidRPr="00E87E42" w:rsidRDefault="008072F1" w:rsidP="002623BF">
            <w:pPr>
              <w:spacing w:after="0" w:line="240" w:lineRule="auto"/>
              <w:jc w:val="center"/>
              <w:rPr>
                <w:sz w:val="16"/>
                <w:szCs w:val="16"/>
              </w:rPr>
            </w:pPr>
            <w:r w:rsidRPr="00E87E42">
              <w:rPr>
                <w:sz w:val="16"/>
                <w:szCs w:val="16"/>
              </w:rPr>
              <w:t>a</w:t>
            </w:r>
          </w:p>
        </w:tc>
        <w:tc>
          <w:tcPr>
            <w:tcW w:w="0" w:type="auto"/>
            <w:vAlign w:val="center"/>
          </w:tcPr>
          <w:p w14:paraId="26A2BF21" w14:textId="77777777" w:rsidR="008072F1" w:rsidRPr="00E87E42" w:rsidRDefault="008072F1" w:rsidP="002623BF">
            <w:pPr>
              <w:spacing w:after="0" w:line="240" w:lineRule="auto"/>
              <w:jc w:val="center"/>
              <w:rPr>
                <w:sz w:val="16"/>
                <w:szCs w:val="16"/>
              </w:rPr>
            </w:pPr>
            <w:r w:rsidRPr="00E87E42">
              <w:rPr>
                <w:sz w:val="16"/>
                <w:szCs w:val="16"/>
              </w:rPr>
              <w:t>b</w:t>
            </w:r>
          </w:p>
        </w:tc>
        <w:tc>
          <w:tcPr>
            <w:tcW w:w="0" w:type="auto"/>
            <w:vAlign w:val="center"/>
          </w:tcPr>
          <w:p w14:paraId="4C8B1F64" w14:textId="77777777" w:rsidR="008072F1" w:rsidRPr="00E87E42" w:rsidRDefault="008072F1" w:rsidP="002623BF">
            <w:pPr>
              <w:spacing w:after="0" w:line="240" w:lineRule="auto"/>
              <w:jc w:val="center"/>
              <w:rPr>
                <w:sz w:val="16"/>
                <w:szCs w:val="16"/>
              </w:rPr>
            </w:pPr>
            <w:r w:rsidRPr="00E87E42">
              <w:rPr>
                <w:sz w:val="16"/>
                <w:szCs w:val="16"/>
              </w:rPr>
              <w:t>a</w:t>
            </w:r>
          </w:p>
        </w:tc>
        <w:tc>
          <w:tcPr>
            <w:tcW w:w="0" w:type="auto"/>
            <w:vAlign w:val="center"/>
          </w:tcPr>
          <w:p w14:paraId="10402755" w14:textId="77777777" w:rsidR="008072F1" w:rsidRPr="00E87E42" w:rsidRDefault="008072F1" w:rsidP="002623BF">
            <w:pPr>
              <w:spacing w:after="0" w:line="240" w:lineRule="auto"/>
              <w:jc w:val="center"/>
              <w:rPr>
                <w:sz w:val="16"/>
                <w:szCs w:val="16"/>
              </w:rPr>
            </w:pPr>
            <w:r w:rsidRPr="00E87E42">
              <w:rPr>
                <w:sz w:val="16"/>
                <w:szCs w:val="16"/>
              </w:rPr>
              <w:t>b</w:t>
            </w:r>
          </w:p>
        </w:tc>
        <w:tc>
          <w:tcPr>
            <w:tcW w:w="0" w:type="auto"/>
            <w:vAlign w:val="center"/>
          </w:tcPr>
          <w:p w14:paraId="08319FDB" w14:textId="77777777" w:rsidR="008072F1" w:rsidRPr="00E87E42" w:rsidRDefault="008072F1" w:rsidP="002623BF">
            <w:pPr>
              <w:spacing w:after="0" w:line="240" w:lineRule="auto"/>
              <w:jc w:val="center"/>
              <w:rPr>
                <w:sz w:val="16"/>
                <w:szCs w:val="16"/>
              </w:rPr>
            </w:pPr>
            <w:r w:rsidRPr="00E87E42">
              <w:rPr>
                <w:sz w:val="16"/>
                <w:szCs w:val="16"/>
              </w:rPr>
              <w:t>a</w:t>
            </w:r>
          </w:p>
        </w:tc>
        <w:tc>
          <w:tcPr>
            <w:tcW w:w="0" w:type="auto"/>
            <w:vAlign w:val="center"/>
          </w:tcPr>
          <w:p w14:paraId="72CE3BF8" w14:textId="77777777" w:rsidR="008072F1" w:rsidRPr="00E87E42" w:rsidRDefault="008072F1" w:rsidP="002623BF">
            <w:pPr>
              <w:spacing w:after="0" w:line="240" w:lineRule="auto"/>
              <w:jc w:val="center"/>
              <w:rPr>
                <w:sz w:val="16"/>
                <w:szCs w:val="16"/>
              </w:rPr>
            </w:pPr>
            <w:r w:rsidRPr="00E87E42">
              <w:rPr>
                <w:sz w:val="16"/>
                <w:szCs w:val="16"/>
              </w:rPr>
              <w:t>b</w:t>
            </w:r>
          </w:p>
        </w:tc>
        <w:tc>
          <w:tcPr>
            <w:tcW w:w="0" w:type="auto"/>
            <w:vAlign w:val="center"/>
          </w:tcPr>
          <w:p w14:paraId="6CDF87C3" w14:textId="77777777" w:rsidR="008072F1" w:rsidRPr="00E87E42" w:rsidRDefault="008072F1" w:rsidP="002623BF">
            <w:pPr>
              <w:spacing w:after="0" w:line="240" w:lineRule="auto"/>
              <w:jc w:val="center"/>
              <w:rPr>
                <w:sz w:val="16"/>
                <w:szCs w:val="16"/>
              </w:rPr>
            </w:pPr>
            <w:r w:rsidRPr="00E87E42">
              <w:rPr>
                <w:sz w:val="16"/>
                <w:szCs w:val="16"/>
              </w:rPr>
              <w:t>R</w:t>
            </w:r>
            <w:r w:rsidRPr="00E87E42">
              <w:rPr>
                <w:sz w:val="16"/>
                <w:szCs w:val="16"/>
                <w:vertAlign w:val="superscript"/>
              </w:rPr>
              <w:t>2</w:t>
            </w:r>
          </w:p>
        </w:tc>
        <w:tc>
          <w:tcPr>
            <w:tcW w:w="0" w:type="auto"/>
            <w:vAlign w:val="center"/>
          </w:tcPr>
          <w:p w14:paraId="5668289E" w14:textId="77777777" w:rsidR="008072F1" w:rsidRPr="00E87E42" w:rsidRDefault="008072F1" w:rsidP="002623BF">
            <w:pPr>
              <w:spacing w:after="0" w:line="240" w:lineRule="auto"/>
              <w:jc w:val="center"/>
              <w:rPr>
                <w:sz w:val="16"/>
                <w:szCs w:val="16"/>
              </w:rPr>
            </w:pPr>
            <w:r w:rsidRPr="00E87E42">
              <w:rPr>
                <w:sz w:val="16"/>
                <w:szCs w:val="16"/>
              </w:rPr>
              <w:t>Law</w:t>
            </w:r>
          </w:p>
        </w:tc>
        <w:tc>
          <w:tcPr>
            <w:tcW w:w="0" w:type="auto"/>
            <w:vAlign w:val="center"/>
          </w:tcPr>
          <w:p w14:paraId="74EB1B13" w14:textId="77777777" w:rsidR="008072F1" w:rsidRPr="00E87E42" w:rsidRDefault="008072F1" w:rsidP="002623BF">
            <w:pPr>
              <w:spacing w:after="0" w:line="240" w:lineRule="auto"/>
              <w:jc w:val="center"/>
              <w:rPr>
                <w:sz w:val="16"/>
                <w:szCs w:val="16"/>
              </w:rPr>
            </w:pPr>
            <w:r w:rsidRPr="00E87E42">
              <w:rPr>
                <w:sz w:val="16"/>
                <w:szCs w:val="16"/>
              </w:rPr>
              <w:t>R</w:t>
            </w:r>
            <w:r w:rsidRPr="00E87E42">
              <w:rPr>
                <w:sz w:val="16"/>
                <w:szCs w:val="16"/>
                <w:vertAlign w:val="superscript"/>
              </w:rPr>
              <w:t>2</w:t>
            </w:r>
          </w:p>
        </w:tc>
      </w:tr>
      <w:tr w:rsidR="008072F1" w:rsidRPr="00E87E42" w14:paraId="7F43B270" w14:textId="77777777" w:rsidTr="008A55B5">
        <w:trPr>
          <w:trHeight w:val="170"/>
        </w:trPr>
        <w:tc>
          <w:tcPr>
            <w:tcW w:w="0" w:type="auto"/>
            <w:vAlign w:val="center"/>
          </w:tcPr>
          <w:p w14:paraId="4B9BE77E" w14:textId="77777777" w:rsidR="008072F1" w:rsidRPr="00E87E42" w:rsidRDefault="008072F1" w:rsidP="00836131">
            <w:pPr>
              <w:spacing w:after="0" w:line="240" w:lineRule="auto"/>
              <w:jc w:val="center"/>
              <w:rPr>
                <w:sz w:val="16"/>
                <w:szCs w:val="16"/>
              </w:rPr>
            </w:pPr>
            <w:r w:rsidRPr="00E87E42">
              <w:rPr>
                <w:sz w:val="16"/>
                <w:szCs w:val="16"/>
              </w:rPr>
              <w:t>Overall Industry and Manufacturing</w:t>
            </w:r>
          </w:p>
        </w:tc>
        <w:tc>
          <w:tcPr>
            <w:tcW w:w="0" w:type="auto"/>
            <w:vAlign w:val="center"/>
          </w:tcPr>
          <w:p w14:paraId="370CAFE8" w14:textId="77777777" w:rsidR="008072F1" w:rsidRPr="00E87E42" w:rsidRDefault="008072F1" w:rsidP="002623BF">
            <w:pPr>
              <w:spacing w:after="0" w:line="240" w:lineRule="auto"/>
              <w:jc w:val="left"/>
              <w:rPr>
                <w:sz w:val="16"/>
                <w:szCs w:val="16"/>
              </w:rPr>
            </w:pPr>
            <w:r w:rsidRPr="00E87E42">
              <w:rPr>
                <w:sz w:val="16"/>
                <w:szCs w:val="16"/>
              </w:rPr>
              <w:t>0.0017</w:t>
            </w:r>
          </w:p>
        </w:tc>
        <w:tc>
          <w:tcPr>
            <w:tcW w:w="0" w:type="auto"/>
            <w:vAlign w:val="center"/>
          </w:tcPr>
          <w:p w14:paraId="7CC516AB" w14:textId="77777777" w:rsidR="008072F1" w:rsidRPr="00E87E42" w:rsidRDefault="008072F1" w:rsidP="00836131">
            <w:pPr>
              <w:spacing w:after="0" w:line="240" w:lineRule="auto"/>
              <w:jc w:val="center"/>
              <w:rPr>
                <w:sz w:val="16"/>
                <w:szCs w:val="16"/>
              </w:rPr>
            </w:pPr>
            <w:r w:rsidRPr="00E87E42">
              <w:rPr>
                <w:sz w:val="16"/>
                <w:szCs w:val="16"/>
              </w:rPr>
              <w:t>0.53</w:t>
            </w:r>
          </w:p>
        </w:tc>
        <w:tc>
          <w:tcPr>
            <w:tcW w:w="0" w:type="auto"/>
            <w:vAlign w:val="center"/>
          </w:tcPr>
          <w:p w14:paraId="30039196" w14:textId="77777777" w:rsidR="008072F1" w:rsidRPr="00E87E42" w:rsidRDefault="008072F1" w:rsidP="00836131">
            <w:pPr>
              <w:spacing w:after="0" w:line="240" w:lineRule="auto"/>
              <w:jc w:val="center"/>
              <w:rPr>
                <w:sz w:val="16"/>
                <w:szCs w:val="16"/>
              </w:rPr>
            </w:pPr>
            <w:r w:rsidRPr="00E87E42">
              <w:rPr>
                <w:sz w:val="16"/>
                <w:szCs w:val="16"/>
              </w:rPr>
              <w:t>0.003920</w:t>
            </w:r>
          </w:p>
        </w:tc>
        <w:tc>
          <w:tcPr>
            <w:tcW w:w="0" w:type="auto"/>
            <w:vAlign w:val="center"/>
          </w:tcPr>
          <w:p w14:paraId="13F4FDE3" w14:textId="77777777" w:rsidR="008072F1" w:rsidRPr="00E87E42" w:rsidRDefault="008072F1" w:rsidP="00314FD6">
            <w:pPr>
              <w:spacing w:after="0" w:line="240" w:lineRule="auto"/>
              <w:jc w:val="center"/>
              <w:rPr>
                <w:sz w:val="16"/>
                <w:szCs w:val="16"/>
              </w:rPr>
            </w:pPr>
            <w:r w:rsidRPr="00E87E42">
              <w:rPr>
                <w:sz w:val="16"/>
                <w:szCs w:val="16"/>
              </w:rPr>
              <w:t>0.1464</w:t>
            </w:r>
          </w:p>
        </w:tc>
        <w:tc>
          <w:tcPr>
            <w:tcW w:w="0" w:type="auto"/>
            <w:vAlign w:val="center"/>
          </w:tcPr>
          <w:p w14:paraId="38BCB180" w14:textId="77777777" w:rsidR="008072F1" w:rsidRPr="00E87E42" w:rsidRDefault="008072F1" w:rsidP="00214A6C">
            <w:pPr>
              <w:spacing w:after="0" w:line="240" w:lineRule="auto"/>
              <w:jc w:val="center"/>
              <w:rPr>
                <w:sz w:val="16"/>
                <w:szCs w:val="16"/>
              </w:rPr>
            </w:pPr>
            <w:r w:rsidRPr="00E87E42">
              <w:rPr>
                <w:sz w:val="16"/>
                <w:szCs w:val="16"/>
              </w:rPr>
              <w:t>1.7584</w:t>
            </w:r>
          </w:p>
        </w:tc>
        <w:tc>
          <w:tcPr>
            <w:tcW w:w="0" w:type="auto"/>
            <w:vAlign w:val="center"/>
          </w:tcPr>
          <w:p w14:paraId="39F252A4" w14:textId="77777777" w:rsidR="008072F1" w:rsidRPr="00E87E42" w:rsidRDefault="008072F1" w:rsidP="00214A6C">
            <w:pPr>
              <w:spacing w:after="0" w:line="240" w:lineRule="auto"/>
              <w:jc w:val="center"/>
              <w:rPr>
                <w:sz w:val="16"/>
                <w:szCs w:val="16"/>
              </w:rPr>
            </w:pPr>
            <w:r w:rsidRPr="00E87E42">
              <w:rPr>
                <w:sz w:val="16"/>
                <w:szCs w:val="16"/>
              </w:rPr>
              <w:t>-0.831</w:t>
            </w:r>
          </w:p>
        </w:tc>
        <w:tc>
          <w:tcPr>
            <w:tcW w:w="0" w:type="auto"/>
            <w:vAlign w:val="center"/>
          </w:tcPr>
          <w:p w14:paraId="205940EF" w14:textId="77777777" w:rsidR="008072F1" w:rsidRPr="00E87E42" w:rsidRDefault="008072F1" w:rsidP="00214A6C">
            <w:pPr>
              <w:spacing w:after="0" w:line="240" w:lineRule="auto"/>
              <w:jc w:val="center"/>
              <w:rPr>
                <w:sz w:val="16"/>
                <w:szCs w:val="16"/>
              </w:rPr>
            </w:pPr>
            <w:r w:rsidRPr="00E87E42">
              <w:rPr>
                <w:sz w:val="16"/>
                <w:szCs w:val="16"/>
              </w:rPr>
              <w:t>0.482</w:t>
            </w:r>
          </w:p>
        </w:tc>
        <w:tc>
          <w:tcPr>
            <w:tcW w:w="0" w:type="auto"/>
            <w:vAlign w:val="center"/>
          </w:tcPr>
          <w:p w14:paraId="1B1CE51F" w14:textId="77777777" w:rsidR="008072F1" w:rsidRPr="00E87E42" w:rsidRDefault="008072F1" w:rsidP="00281B2C">
            <w:pPr>
              <w:spacing w:after="0" w:line="240" w:lineRule="auto"/>
              <w:jc w:val="center"/>
              <w:rPr>
                <w:sz w:val="16"/>
                <w:szCs w:val="16"/>
              </w:rPr>
            </w:pPr>
            <w:r w:rsidRPr="00E87E42">
              <w:rPr>
                <w:sz w:val="16"/>
                <w:szCs w:val="16"/>
              </w:rPr>
              <w:t>N/A</w:t>
            </w:r>
          </w:p>
        </w:tc>
        <w:tc>
          <w:tcPr>
            <w:tcW w:w="0" w:type="auto"/>
            <w:vAlign w:val="center"/>
          </w:tcPr>
          <w:p w14:paraId="3E8E9700" w14:textId="77777777" w:rsidR="008072F1" w:rsidRPr="00E87E42" w:rsidRDefault="008072F1" w:rsidP="002623BF">
            <w:pPr>
              <w:spacing w:after="0" w:line="240" w:lineRule="auto"/>
              <w:jc w:val="center"/>
              <w:rPr>
                <w:sz w:val="16"/>
                <w:szCs w:val="16"/>
              </w:rPr>
            </w:pPr>
            <w:r w:rsidRPr="00E87E42">
              <w:rPr>
                <w:sz w:val="16"/>
                <w:szCs w:val="16"/>
              </w:rPr>
              <w:t>N/A</w:t>
            </w:r>
          </w:p>
        </w:tc>
      </w:tr>
      <w:tr w:rsidR="008072F1" w:rsidRPr="00E87E42" w14:paraId="62CA8785" w14:textId="77777777" w:rsidTr="008A55B5">
        <w:trPr>
          <w:trHeight w:val="170"/>
        </w:trPr>
        <w:tc>
          <w:tcPr>
            <w:tcW w:w="0" w:type="auto"/>
            <w:vAlign w:val="center"/>
          </w:tcPr>
          <w:p w14:paraId="632171EA" w14:textId="77777777" w:rsidR="008072F1" w:rsidRPr="00E87E42" w:rsidRDefault="008072F1" w:rsidP="00836131">
            <w:pPr>
              <w:spacing w:after="0" w:line="240" w:lineRule="auto"/>
              <w:jc w:val="center"/>
              <w:rPr>
                <w:sz w:val="16"/>
                <w:szCs w:val="16"/>
              </w:rPr>
            </w:pPr>
            <w:r w:rsidRPr="00E87E42">
              <w:rPr>
                <w:sz w:val="16"/>
                <w:szCs w:val="16"/>
              </w:rPr>
              <w:t>Food, drink and tobacco</w:t>
            </w:r>
          </w:p>
        </w:tc>
        <w:tc>
          <w:tcPr>
            <w:tcW w:w="0" w:type="auto"/>
            <w:vAlign w:val="center"/>
          </w:tcPr>
          <w:p w14:paraId="151C0856" w14:textId="77777777" w:rsidR="008072F1" w:rsidRPr="00E87E42" w:rsidRDefault="008072F1" w:rsidP="002623BF">
            <w:pPr>
              <w:spacing w:after="0" w:line="240" w:lineRule="auto"/>
              <w:jc w:val="left"/>
              <w:rPr>
                <w:sz w:val="16"/>
                <w:szCs w:val="16"/>
              </w:rPr>
            </w:pPr>
            <w:r w:rsidRPr="00E87E42">
              <w:rPr>
                <w:sz w:val="16"/>
                <w:szCs w:val="16"/>
              </w:rPr>
              <w:t>0.0011</w:t>
            </w:r>
          </w:p>
        </w:tc>
        <w:tc>
          <w:tcPr>
            <w:tcW w:w="0" w:type="auto"/>
            <w:vAlign w:val="center"/>
          </w:tcPr>
          <w:p w14:paraId="6F78750D" w14:textId="77777777" w:rsidR="008072F1" w:rsidRPr="00E87E42" w:rsidRDefault="008072F1" w:rsidP="00836131">
            <w:pPr>
              <w:spacing w:after="0" w:line="240" w:lineRule="auto"/>
              <w:jc w:val="center"/>
              <w:rPr>
                <w:sz w:val="16"/>
                <w:szCs w:val="16"/>
              </w:rPr>
            </w:pPr>
            <w:r w:rsidRPr="00E87E42">
              <w:rPr>
                <w:sz w:val="16"/>
                <w:szCs w:val="16"/>
              </w:rPr>
              <w:t>0.60</w:t>
            </w:r>
          </w:p>
        </w:tc>
        <w:tc>
          <w:tcPr>
            <w:tcW w:w="0" w:type="auto"/>
            <w:gridSpan w:val="7"/>
            <w:shd w:val="clear" w:color="auto" w:fill="auto"/>
            <w:vAlign w:val="center"/>
          </w:tcPr>
          <w:p w14:paraId="7B2F5B32" w14:textId="77777777" w:rsidR="008072F1" w:rsidRPr="00E87E42" w:rsidRDefault="008072F1" w:rsidP="00836131">
            <w:pPr>
              <w:spacing w:after="0" w:line="240" w:lineRule="auto"/>
              <w:jc w:val="center"/>
              <w:rPr>
                <w:i/>
                <w:sz w:val="16"/>
                <w:szCs w:val="16"/>
              </w:rPr>
            </w:pPr>
            <w:r w:rsidRPr="00E87E42">
              <w:rPr>
                <w:i/>
                <w:sz w:val="16"/>
                <w:szCs w:val="16"/>
              </w:rPr>
              <w:t>Not applicable</w:t>
            </w:r>
          </w:p>
        </w:tc>
      </w:tr>
      <w:tr w:rsidR="008072F1" w:rsidRPr="00E87E42" w14:paraId="107D8879" w14:textId="77777777" w:rsidTr="008A55B5">
        <w:trPr>
          <w:trHeight w:val="170"/>
        </w:trPr>
        <w:tc>
          <w:tcPr>
            <w:tcW w:w="0" w:type="auto"/>
            <w:vAlign w:val="center"/>
          </w:tcPr>
          <w:p w14:paraId="0EBDEAFC" w14:textId="77777777" w:rsidR="008072F1" w:rsidRPr="00E87E42" w:rsidRDefault="008072F1" w:rsidP="00836131">
            <w:pPr>
              <w:spacing w:after="0" w:line="240" w:lineRule="auto"/>
              <w:jc w:val="center"/>
              <w:rPr>
                <w:sz w:val="16"/>
                <w:szCs w:val="16"/>
              </w:rPr>
            </w:pPr>
            <w:r w:rsidRPr="00E87E42">
              <w:rPr>
                <w:sz w:val="16"/>
                <w:szCs w:val="16"/>
              </w:rPr>
              <w:t>Chemical and allied</w:t>
            </w:r>
          </w:p>
        </w:tc>
        <w:tc>
          <w:tcPr>
            <w:tcW w:w="0" w:type="auto"/>
            <w:vAlign w:val="center"/>
          </w:tcPr>
          <w:p w14:paraId="26EC8E14" w14:textId="77777777" w:rsidR="008072F1" w:rsidRPr="00E87E42" w:rsidRDefault="008072F1" w:rsidP="002623BF">
            <w:pPr>
              <w:spacing w:after="0" w:line="240" w:lineRule="auto"/>
              <w:jc w:val="left"/>
              <w:rPr>
                <w:sz w:val="16"/>
                <w:szCs w:val="16"/>
              </w:rPr>
            </w:pPr>
            <w:r w:rsidRPr="00E87E42">
              <w:rPr>
                <w:sz w:val="16"/>
                <w:szCs w:val="16"/>
              </w:rPr>
              <w:t>0.0069</w:t>
            </w:r>
          </w:p>
        </w:tc>
        <w:tc>
          <w:tcPr>
            <w:tcW w:w="0" w:type="auto"/>
            <w:vAlign w:val="center"/>
          </w:tcPr>
          <w:p w14:paraId="5C136882" w14:textId="77777777" w:rsidR="008072F1" w:rsidRPr="00E87E42" w:rsidRDefault="008072F1" w:rsidP="00836131">
            <w:pPr>
              <w:spacing w:after="0" w:line="240" w:lineRule="auto"/>
              <w:jc w:val="center"/>
              <w:rPr>
                <w:sz w:val="16"/>
                <w:szCs w:val="16"/>
              </w:rPr>
            </w:pPr>
            <w:r w:rsidRPr="00E87E42">
              <w:rPr>
                <w:sz w:val="16"/>
                <w:szCs w:val="16"/>
              </w:rPr>
              <w:t>0.46</w:t>
            </w:r>
          </w:p>
        </w:tc>
        <w:tc>
          <w:tcPr>
            <w:tcW w:w="0" w:type="auto"/>
            <w:vAlign w:val="center"/>
          </w:tcPr>
          <w:p w14:paraId="6F9D3BDC" w14:textId="77777777" w:rsidR="008072F1" w:rsidRPr="00E87E42" w:rsidRDefault="008072F1" w:rsidP="00836131">
            <w:pPr>
              <w:spacing w:after="0" w:line="240" w:lineRule="auto"/>
              <w:jc w:val="center"/>
              <w:rPr>
                <w:sz w:val="16"/>
                <w:szCs w:val="16"/>
              </w:rPr>
            </w:pPr>
            <w:r w:rsidRPr="00E87E42">
              <w:rPr>
                <w:sz w:val="16"/>
                <w:szCs w:val="16"/>
              </w:rPr>
              <w:t>0.000249</w:t>
            </w:r>
          </w:p>
        </w:tc>
        <w:tc>
          <w:tcPr>
            <w:tcW w:w="0" w:type="auto"/>
            <w:vAlign w:val="center"/>
          </w:tcPr>
          <w:p w14:paraId="7E0E51B1" w14:textId="77777777" w:rsidR="008072F1" w:rsidRPr="00E87E42" w:rsidRDefault="008072F1" w:rsidP="00314FD6">
            <w:pPr>
              <w:spacing w:after="0" w:line="240" w:lineRule="auto"/>
              <w:jc w:val="center"/>
              <w:rPr>
                <w:sz w:val="16"/>
                <w:szCs w:val="16"/>
              </w:rPr>
            </w:pPr>
            <w:r w:rsidRPr="00E87E42">
              <w:rPr>
                <w:sz w:val="16"/>
                <w:szCs w:val="16"/>
              </w:rPr>
              <w:t>0.0028</w:t>
            </w:r>
          </w:p>
        </w:tc>
        <w:tc>
          <w:tcPr>
            <w:tcW w:w="0" w:type="auto"/>
            <w:shd w:val="clear" w:color="auto" w:fill="auto"/>
            <w:vAlign w:val="center"/>
          </w:tcPr>
          <w:p w14:paraId="0660ED5D" w14:textId="77777777" w:rsidR="008072F1" w:rsidRPr="00E87E42" w:rsidRDefault="008072F1" w:rsidP="00214A6C">
            <w:pPr>
              <w:spacing w:after="0" w:line="240" w:lineRule="auto"/>
              <w:jc w:val="center"/>
              <w:rPr>
                <w:sz w:val="16"/>
                <w:szCs w:val="16"/>
              </w:rPr>
            </w:pPr>
            <w:r w:rsidRPr="00E87E42">
              <w:rPr>
                <w:sz w:val="16"/>
                <w:szCs w:val="16"/>
              </w:rPr>
              <w:t>0.00003</w:t>
            </w:r>
          </w:p>
        </w:tc>
        <w:tc>
          <w:tcPr>
            <w:tcW w:w="0" w:type="auto"/>
            <w:shd w:val="clear" w:color="auto" w:fill="auto"/>
            <w:vAlign w:val="center"/>
          </w:tcPr>
          <w:p w14:paraId="4F7EB837" w14:textId="77777777" w:rsidR="008072F1" w:rsidRPr="00E87E42" w:rsidRDefault="008072F1" w:rsidP="00214A6C">
            <w:pPr>
              <w:spacing w:after="0" w:line="240" w:lineRule="auto"/>
              <w:jc w:val="center"/>
              <w:rPr>
                <w:sz w:val="16"/>
                <w:szCs w:val="16"/>
              </w:rPr>
            </w:pPr>
            <w:r w:rsidRPr="00E87E42">
              <w:rPr>
                <w:sz w:val="16"/>
                <w:szCs w:val="16"/>
              </w:rPr>
              <w:t>0.2447</w:t>
            </w:r>
          </w:p>
        </w:tc>
        <w:tc>
          <w:tcPr>
            <w:tcW w:w="0" w:type="auto"/>
            <w:shd w:val="clear" w:color="auto" w:fill="auto"/>
            <w:vAlign w:val="center"/>
          </w:tcPr>
          <w:p w14:paraId="4B6DEEFF" w14:textId="77777777" w:rsidR="008072F1" w:rsidRPr="00E87E42" w:rsidRDefault="008072F1" w:rsidP="00214A6C">
            <w:pPr>
              <w:spacing w:after="0" w:line="240" w:lineRule="auto"/>
              <w:jc w:val="center"/>
              <w:rPr>
                <w:sz w:val="16"/>
                <w:szCs w:val="16"/>
              </w:rPr>
            </w:pPr>
            <w:r w:rsidRPr="00E87E42">
              <w:rPr>
                <w:sz w:val="16"/>
                <w:szCs w:val="16"/>
              </w:rPr>
              <w:t>0.047</w:t>
            </w:r>
          </w:p>
        </w:tc>
        <w:tc>
          <w:tcPr>
            <w:tcW w:w="0" w:type="auto"/>
            <w:shd w:val="clear" w:color="auto" w:fill="auto"/>
            <w:vAlign w:val="center"/>
          </w:tcPr>
          <w:p w14:paraId="53767E62" w14:textId="77777777" w:rsidR="008072F1" w:rsidRPr="00E87E42" w:rsidRDefault="008072F1" w:rsidP="00281B2C">
            <w:pPr>
              <w:spacing w:after="0" w:line="240" w:lineRule="auto"/>
              <w:jc w:val="center"/>
              <w:rPr>
                <w:sz w:val="16"/>
                <w:szCs w:val="16"/>
              </w:rPr>
            </w:pPr>
            <w:r w:rsidRPr="00E87E42">
              <w:rPr>
                <w:sz w:val="16"/>
                <w:szCs w:val="16"/>
              </w:rPr>
              <w:t>N/A</w:t>
            </w:r>
          </w:p>
        </w:tc>
        <w:tc>
          <w:tcPr>
            <w:tcW w:w="0" w:type="auto"/>
            <w:shd w:val="clear" w:color="auto" w:fill="auto"/>
            <w:vAlign w:val="center"/>
          </w:tcPr>
          <w:p w14:paraId="03DB55F7" w14:textId="77777777" w:rsidR="008072F1" w:rsidRPr="00E87E42" w:rsidRDefault="008072F1" w:rsidP="002623BF">
            <w:pPr>
              <w:spacing w:after="0" w:line="240" w:lineRule="auto"/>
              <w:jc w:val="center"/>
              <w:rPr>
                <w:sz w:val="16"/>
                <w:szCs w:val="16"/>
              </w:rPr>
            </w:pPr>
            <w:r w:rsidRPr="00E87E42">
              <w:rPr>
                <w:sz w:val="16"/>
                <w:szCs w:val="16"/>
              </w:rPr>
              <w:t>N/A</w:t>
            </w:r>
          </w:p>
        </w:tc>
      </w:tr>
      <w:tr w:rsidR="008072F1" w:rsidRPr="00E87E42" w14:paraId="7E4CA332" w14:textId="77777777" w:rsidTr="008A55B5">
        <w:trPr>
          <w:trHeight w:val="170"/>
        </w:trPr>
        <w:tc>
          <w:tcPr>
            <w:tcW w:w="0" w:type="auto"/>
            <w:vAlign w:val="center"/>
          </w:tcPr>
          <w:p w14:paraId="3AE95616" w14:textId="77777777" w:rsidR="008072F1" w:rsidRPr="00E87E42" w:rsidRDefault="008072F1" w:rsidP="00836131">
            <w:pPr>
              <w:spacing w:after="0" w:line="240" w:lineRule="auto"/>
              <w:jc w:val="center"/>
              <w:rPr>
                <w:sz w:val="16"/>
                <w:szCs w:val="16"/>
              </w:rPr>
            </w:pPr>
            <w:r w:rsidRPr="00E87E42">
              <w:rPr>
                <w:sz w:val="16"/>
                <w:szCs w:val="16"/>
              </w:rPr>
              <w:t>Mechanical engineering and other metal goods</w:t>
            </w:r>
          </w:p>
        </w:tc>
        <w:tc>
          <w:tcPr>
            <w:tcW w:w="0" w:type="auto"/>
            <w:vAlign w:val="center"/>
          </w:tcPr>
          <w:p w14:paraId="24985273" w14:textId="77777777" w:rsidR="008072F1" w:rsidRPr="00E87E42" w:rsidRDefault="008072F1" w:rsidP="002623BF">
            <w:pPr>
              <w:spacing w:after="0" w:line="240" w:lineRule="auto"/>
              <w:jc w:val="left"/>
              <w:rPr>
                <w:sz w:val="16"/>
                <w:szCs w:val="16"/>
              </w:rPr>
            </w:pPr>
            <w:r w:rsidRPr="00E87E42">
              <w:rPr>
                <w:sz w:val="16"/>
                <w:szCs w:val="16"/>
              </w:rPr>
              <w:t>0.00086</w:t>
            </w:r>
          </w:p>
        </w:tc>
        <w:tc>
          <w:tcPr>
            <w:tcW w:w="0" w:type="auto"/>
            <w:vAlign w:val="center"/>
          </w:tcPr>
          <w:p w14:paraId="029FD20F" w14:textId="77777777" w:rsidR="008072F1" w:rsidRPr="00E87E42" w:rsidRDefault="008072F1" w:rsidP="00836131">
            <w:pPr>
              <w:spacing w:after="0" w:line="240" w:lineRule="auto"/>
              <w:jc w:val="center"/>
              <w:rPr>
                <w:sz w:val="16"/>
                <w:szCs w:val="16"/>
              </w:rPr>
            </w:pPr>
            <w:r w:rsidRPr="00E87E42">
              <w:rPr>
                <w:sz w:val="16"/>
                <w:szCs w:val="16"/>
              </w:rPr>
              <w:t>0.56</w:t>
            </w:r>
          </w:p>
        </w:tc>
        <w:tc>
          <w:tcPr>
            <w:tcW w:w="0" w:type="auto"/>
            <w:vAlign w:val="center"/>
          </w:tcPr>
          <w:p w14:paraId="484A397A" w14:textId="77777777" w:rsidR="008072F1" w:rsidRPr="00E87E42" w:rsidRDefault="008072F1" w:rsidP="00836131">
            <w:pPr>
              <w:spacing w:after="0" w:line="240" w:lineRule="auto"/>
              <w:jc w:val="center"/>
              <w:rPr>
                <w:sz w:val="16"/>
                <w:szCs w:val="16"/>
              </w:rPr>
            </w:pPr>
            <w:r w:rsidRPr="00E87E42">
              <w:rPr>
                <w:sz w:val="16"/>
                <w:szCs w:val="16"/>
              </w:rPr>
              <w:t>0.000245</w:t>
            </w:r>
          </w:p>
        </w:tc>
        <w:tc>
          <w:tcPr>
            <w:tcW w:w="0" w:type="auto"/>
            <w:vAlign w:val="center"/>
          </w:tcPr>
          <w:p w14:paraId="628BE7B8" w14:textId="77777777" w:rsidR="008072F1" w:rsidRPr="00E87E42" w:rsidRDefault="008072F1" w:rsidP="00314FD6">
            <w:pPr>
              <w:spacing w:after="0" w:line="240" w:lineRule="auto"/>
              <w:jc w:val="center"/>
              <w:rPr>
                <w:sz w:val="16"/>
                <w:szCs w:val="16"/>
              </w:rPr>
            </w:pPr>
            <w:r w:rsidRPr="00E87E42">
              <w:rPr>
                <w:sz w:val="16"/>
                <w:szCs w:val="16"/>
              </w:rPr>
              <w:t>0.0027</w:t>
            </w:r>
          </w:p>
        </w:tc>
        <w:tc>
          <w:tcPr>
            <w:tcW w:w="0" w:type="auto"/>
            <w:gridSpan w:val="5"/>
            <w:shd w:val="clear" w:color="auto" w:fill="auto"/>
            <w:vAlign w:val="center"/>
          </w:tcPr>
          <w:p w14:paraId="2C456BFD" w14:textId="77777777" w:rsidR="008072F1" w:rsidRPr="00E87E42" w:rsidRDefault="008072F1" w:rsidP="00214A6C">
            <w:pPr>
              <w:spacing w:after="0" w:line="240" w:lineRule="auto"/>
              <w:jc w:val="center"/>
              <w:rPr>
                <w:i/>
                <w:sz w:val="16"/>
                <w:szCs w:val="16"/>
              </w:rPr>
            </w:pPr>
            <w:r w:rsidRPr="00E87E42">
              <w:rPr>
                <w:i/>
                <w:sz w:val="16"/>
                <w:szCs w:val="16"/>
              </w:rPr>
              <w:t xml:space="preserve">Only 2 points </w:t>
            </w:r>
          </w:p>
        </w:tc>
      </w:tr>
      <w:tr w:rsidR="008072F1" w:rsidRPr="00E87E42" w14:paraId="3ED0D4B2" w14:textId="77777777" w:rsidTr="008A55B5">
        <w:trPr>
          <w:trHeight w:val="170"/>
        </w:trPr>
        <w:tc>
          <w:tcPr>
            <w:tcW w:w="0" w:type="auto"/>
            <w:vAlign w:val="center"/>
          </w:tcPr>
          <w:p w14:paraId="5D1DB0A5" w14:textId="77777777" w:rsidR="008072F1" w:rsidRPr="00E87E42" w:rsidRDefault="008072F1" w:rsidP="00836131">
            <w:pPr>
              <w:spacing w:after="0" w:line="240" w:lineRule="auto"/>
              <w:jc w:val="center"/>
              <w:rPr>
                <w:sz w:val="16"/>
                <w:szCs w:val="16"/>
              </w:rPr>
            </w:pPr>
            <w:r w:rsidRPr="00E87E42">
              <w:rPr>
                <w:sz w:val="16"/>
                <w:szCs w:val="16"/>
              </w:rPr>
              <w:t>Electrical engineering</w:t>
            </w:r>
          </w:p>
        </w:tc>
        <w:tc>
          <w:tcPr>
            <w:tcW w:w="0" w:type="auto"/>
            <w:vAlign w:val="center"/>
          </w:tcPr>
          <w:p w14:paraId="570E90F7" w14:textId="77777777" w:rsidR="008072F1" w:rsidRPr="00E87E42" w:rsidRDefault="008072F1" w:rsidP="002623BF">
            <w:pPr>
              <w:spacing w:after="0" w:line="240" w:lineRule="auto"/>
              <w:jc w:val="left"/>
              <w:rPr>
                <w:sz w:val="16"/>
                <w:szCs w:val="16"/>
              </w:rPr>
            </w:pPr>
            <w:r w:rsidRPr="00E87E42">
              <w:rPr>
                <w:sz w:val="16"/>
                <w:szCs w:val="16"/>
              </w:rPr>
              <w:t>0.0061</w:t>
            </w:r>
          </w:p>
        </w:tc>
        <w:tc>
          <w:tcPr>
            <w:tcW w:w="0" w:type="auto"/>
            <w:vAlign w:val="center"/>
          </w:tcPr>
          <w:p w14:paraId="64DC4A91" w14:textId="77777777" w:rsidR="008072F1" w:rsidRPr="00E87E42" w:rsidRDefault="008072F1" w:rsidP="00836131">
            <w:pPr>
              <w:spacing w:after="0" w:line="240" w:lineRule="auto"/>
              <w:jc w:val="center"/>
              <w:rPr>
                <w:sz w:val="16"/>
                <w:szCs w:val="16"/>
              </w:rPr>
            </w:pPr>
            <w:r w:rsidRPr="00E87E42">
              <w:rPr>
                <w:sz w:val="16"/>
                <w:szCs w:val="16"/>
              </w:rPr>
              <w:t>0.59</w:t>
            </w:r>
          </w:p>
        </w:tc>
        <w:tc>
          <w:tcPr>
            <w:tcW w:w="0" w:type="auto"/>
            <w:vAlign w:val="center"/>
          </w:tcPr>
          <w:p w14:paraId="722579A9" w14:textId="77777777" w:rsidR="008072F1" w:rsidRPr="00E87E42" w:rsidRDefault="008072F1" w:rsidP="00836131">
            <w:pPr>
              <w:spacing w:after="0" w:line="240" w:lineRule="auto"/>
              <w:jc w:val="center"/>
              <w:rPr>
                <w:sz w:val="16"/>
                <w:szCs w:val="16"/>
              </w:rPr>
            </w:pPr>
            <w:r w:rsidRPr="00E87E42">
              <w:rPr>
                <w:sz w:val="16"/>
                <w:szCs w:val="16"/>
              </w:rPr>
              <w:t>0.002537</w:t>
            </w:r>
          </w:p>
        </w:tc>
        <w:tc>
          <w:tcPr>
            <w:tcW w:w="0" w:type="auto"/>
            <w:vAlign w:val="center"/>
          </w:tcPr>
          <w:p w14:paraId="22B93232" w14:textId="77777777" w:rsidR="008072F1" w:rsidRPr="00E87E42" w:rsidRDefault="008072F1" w:rsidP="00314FD6">
            <w:pPr>
              <w:spacing w:after="0" w:line="240" w:lineRule="auto"/>
              <w:jc w:val="center"/>
              <w:rPr>
                <w:sz w:val="16"/>
                <w:szCs w:val="16"/>
              </w:rPr>
            </w:pPr>
            <w:r w:rsidRPr="00E87E42">
              <w:rPr>
                <w:sz w:val="16"/>
                <w:szCs w:val="16"/>
              </w:rPr>
              <w:t>0.0041</w:t>
            </w:r>
          </w:p>
        </w:tc>
        <w:tc>
          <w:tcPr>
            <w:tcW w:w="0" w:type="auto"/>
            <w:gridSpan w:val="5"/>
            <w:shd w:val="clear" w:color="auto" w:fill="auto"/>
            <w:vAlign w:val="center"/>
          </w:tcPr>
          <w:p w14:paraId="35C76DEC" w14:textId="77777777" w:rsidR="008072F1" w:rsidRPr="00E87E42" w:rsidRDefault="008072F1" w:rsidP="00214A6C">
            <w:pPr>
              <w:spacing w:after="0" w:line="240" w:lineRule="auto"/>
              <w:jc w:val="center"/>
              <w:rPr>
                <w:i/>
                <w:sz w:val="16"/>
                <w:szCs w:val="16"/>
              </w:rPr>
            </w:pPr>
            <w:r w:rsidRPr="00E87E42">
              <w:rPr>
                <w:i/>
                <w:sz w:val="16"/>
                <w:szCs w:val="16"/>
              </w:rPr>
              <w:t xml:space="preserve">Only 2 points </w:t>
            </w:r>
          </w:p>
        </w:tc>
      </w:tr>
      <w:tr w:rsidR="008072F1" w:rsidRPr="00E87E42" w14:paraId="02BE40D3" w14:textId="77777777" w:rsidTr="008A55B5">
        <w:trPr>
          <w:trHeight w:val="170"/>
        </w:trPr>
        <w:tc>
          <w:tcPr>
            <w:tcW w:w="0" w:type="auto"/>
            <w:vAlign w:val="center"/>
          </w:tcPr>
          <w:p w14:paraId="6C7C81F5" w14:textId="77777777" w:rsidR="008072F1" w:rsidRPr="00E87E42" w:rsidRDefault="008072F1" w:rsidP="00836131">
            <w:pPr>
              <w:spacing w:after="0" w:line="240" w:lineRule="auto"/>
              <w:jc w:val="center"/>
              <w:rPr>
                <w:sz w:val="16"/>
                <w:szCs w:val="16"/>
              </w:rPr>
            </w:pPr>
            <w:r w:rsidRPr="00E87E42">
              <w:rPr>
                <w:sz w:val="16"/>
                <w:szCs w:val="16"/>
              </w:rPr>
              <w:t>Vehicles</w:t>
            </w:r>
          </w:p>
        </w:tc>
        <w:tc>
          <w:tcPr>
            <w:tcW w:w="0" w:type="auto"/>
            <w:vAlign w:val="center"/>
          </w:tcPr>
          <w:p w14:paraId="7F929746" w14:textId="77777777" w:rsidR="008072F1" w:rsidRPr="00E87E42" w:rsidRDefault="008072F1" w:rsidP="002623BF">
            <w:pPr>
              <w:spacing w:after="0" w:line="240" w:lineRule="auto"/>
              <w:jc w:val="left"/>
              <w:rPr>
                <w:sz w:val="16"/>
                <w:szCs w:val="16"/>
              </w:rPr>
            </w:pPr>
            <w:r w:rsidRPr="00E87E42">
              <w:rPr>
                <w:sz w:val="16"/>
                <w:szCs w:val="16"/>
              </w:rPr>
              <w:t>0.00012</w:t>
            </w:r>
          </w:p>
        </w:tc>
        <w:tc>
          <w:tcPr>
            <w:tcW w:w="0" w:type="auto"/>
            <w:vAlign w:val="center"/>
          </w:tcPr>
          <w:p w14:paraId="35C261A0" w14:textId="77777777" w:rsidR="008072F1" w:rsidRPr="00E87E42" w:rsidRDefault="008072F1" w:rsidP="00836131">
            <w:pPr>
              <w:spacing w:after="0" w:line="240" w:lineRule="auto"/>
              <w:jc w:val="center"/>
              <w:rPr>
                <w:sz w:val="16"/>
                <w:szCs w:val="16"/>
              </w:rPr>
            </w:pPr>
            <w:r w:rsidRPr="00E87E42">
              <w:rPr>
                <w:sz w:val="16"/>
                <w:szCs w:val="16"/>
              </w:rPr>
              <w:t>0.86</w:t>
            </w:r>
          </w:p>
        </w:tc>
        <w:tc>
          <w:tcPr>
            <w:tcW w:w="0" w:type="auto"/>
            <w:gridSpan w:val="7"/>
            <w:shd w:val="clear" w:color="auto" w:fill="auto"/>
            <w:vAlign w:val="center"/>
          </w:tcPr>
          <w:p w14:paraId="7D280113" w14:textId="77777777" w:rsidR="008072F1" w:rsidRPr="00E87E42" w:rsidRDefault="008072F1" w:rsidP="00836131">
            <w:pPr>
              <w:spacing w:after="0" w:line="240" w:lineRule="auto"/>
              <w:jc w:val="center"/>
              <w:rPr>
                <w:i/>
                <w:sz w:val="16"/>
                <w:szCs w:val="16"/>
              </w:rPr>
            </w:pPr>
            <w:r w:rsidRPr="00E87E42">
              <w:rPr>
                <w:i/>
                <w:sz w:val="16"/>
                <w:szCs w:val="16"/>
              </w:rPr>
              <w:t>Not applicable</w:t>
            </w:r>
          </w:p>
        </w:tc>
      </w:tr>
      <w:tr w:rsidR="008072F1" w:rsidRPr="00E87E42" w14:paraId="755BEACA" w14:textId="77777777" w:rsidTr="008A55B5">
        <w:trPr>
          <w:trHeight w:val="170"/>
        </w:trPr>
        <w:tc>
          <w:tcPr>
            <w:tcW w:w="0" w:type="auto"/>
            <w:vAlign w:val="center"/>
          </w:tcPr>
          <w:p w14:paraId="57C98923" w14:textId="77777777" w:rsidR="008072F1" w:rsidRPr="00E87E42" w:rsidRDefault="008072F1" w:rsidP="00836131">
            <w:pPr>
              <w:spacing w:after="0" w:line="240" w:lineRule="auto"/>
              <w:jc w:val="center"/>
              <w:rPr>
                <w:sz w:val="16"/>
                <w:szCs w:val="16"/>
              </w:rPr>
            </w:pPr>
            <w:r w:rsidRPr="00E87E42">
              <w:rPr>
                <w:sz w:val="16"/>
                <w:szCs w:val="16"/>
              </w:rPr>
              <w:t>Textiles</w:t>
            </w:r>
          </w:p>
        </w:tc>
        <w:tc>
          <w:tcPr>
            <w:tcW w:w="0" w:type="auto"/>
            <w:vAlign w:val="center"/>
          </w:tcPr>
          <w:p w14:paraId="699EDD2E" w14:textId="77777777" w:rsidR="008072F1" w:rsidRPr="00E87E42" w:rsidRDefault="008072F1" w:rsidP="002623BF">
            <w:pPr>
              <w:spacing w:after="0" w:line="240" w:lineRule="auto"/>
              <w:jc w:val="left"/>
              <w:rPr>
                <w:sz w:val="16"/>
                <w:szCs w:val="16"/>
              </w:rPr>
            </w:pPr>
            <w:r w:rsidRPr="00E87E42">
              <w:rPr>
                <w:sz w:val="16"/>
                <w:szCs w:val="16"/>
              </w:rPr>
              <w:t>0.0075</w:t>
            </w:r>
          </w:p>
        </w:tc>
        <w:tc>
          <w:tcPr>
            <w:tcW w:w="0" w:type="auto"/>
            <w:vAlign w:val="center"/>
          </w:tcPr>
          <w:p w14:paraId="0E9819E9" w14:textId="77777777" w:rsidR="008072F1" w:rsidRPr="00E87E42" w:rsidRDefault="008072F1" w:rsidP="00836131">
            <w:pPr>
              <w:spacing w:after="0" w:line="240" w:lineRule="auto"/>
              <w:jc w:val="center"/>
              <w:rPr>
                <w:sz w:val="16"/>
                <w:szCs w:val="16"/>
              </w:rPr>
            </w:pPr>
            <w:r w:rsidRPr="00E87E42">
              <w:rPr>
                <w:sz w:val="16"/>
                <w:szCs w:val="16"/>
              </w:rPr>
              <w:t>0.35</w:t>
            </w:r>
          </w:p>
        </w:tc>
        <w:tc>
          <w:tcPr>
            <w:tcW w:w="0" w:type="auto"/>
            <w:gridSpan w:val="7"/>
            <w:shd w:val="clear" w:color="auto" w:fill="auto"/>
            <w:vAlign w:val="center"/>
          </w:tcPr>
          <w:p w14:paraId="7C26BE35" w14:textId="77777777" w:rsidR="008072F1" w:rsidRPr="00E87E42" w:rsidRDefault="008072F1" w:rsidP="00836131">
            <w:pPr>
              <w:spacing w:after="0" w:line="240" w:lineRule="auto"/>
              <w:jc w:val="center"/>
              <w:rPr>
                <w:i/>
                <w:sz w:val="16"/>
                <w:szCs w:val="16"/>
              </w:rPr>
            </w:pPr>
            <w:r w:rsidRPr="00E87E42">
              <w:rPr>
                <w:i/>
                <w:sz w:val="16"/>
                <w:szCs w:val="16"/>
              </w:rPr>
              <w:t>Not applicable</w:t>
            </w:r>
          </w:p>
        </w:tc>
      </w:tr>
      <w:tr w:rsidR="008072F1" w:rsidRPr="00E87E42" w14:paraId="38D18BD1" w14:textId="77777777" w:rsidTr="008A55B5">
        <w:trPr>
          <w:trHeight w:val="170"/>
        </w:trPr>
        <w:tc>
          <w:tcPr>
            <w:tcW w:w="0" w:type="auto"/>
            <w:vAlign w:val="center"/>
          </w:tcPr>
          <w:p w14:paraId="624B4B2E" w14:textId="77777777" w:rsidR="008072F1" w:rsidRPr="00E87E42" w:rsidRDefault="008072F1" w:rsidP="00836131">
            <w:pPr>
              <w:spacing w:after="0" w:line="240" w:lineRule="auto"/>
              <w:jc w:val="center"/>
              <w:rPr>
                <w:sz w:val="16"/>
                <w:szCs w:val="16"/>
              </w:rPr>
            </w:pPr>
            <w:r w:rsidRPr="00E87E42">
              <w:rPr>
                <w:sz w:val="16"/>
                <w:szCs w:val="16"/>
              </w:rPr>
              <w:t>Timber, Furniture</w:t>
            </w:r>
          </w:p>
        </w:tc>
        <w:tc>
          <w:tcPr>
            <w:tcW w:w="0" w:type="auto"/>
            <w:vAlign w:val="center"/>
          </w:tcPr>
          <w:p w14:paraId="7D901107" w14:textId="77777777" w:rsidR="008072F1" w:rsidRPr="00E87E42" w:rsidRDefault="008072F1" w:rsidP="002623BF">
            <w:pPr>
              <w:spacing w:after="0" w:line="240" w:lineRule="auto"/>
              <w:jc w:val="left"/>
              <w:rPr>
                <w:sz w:val="16"/>
                <w:szCs w:val="16"/>
              </w:rPr>
            </w:pPr>
            <w:r w:rsidRPr="00E87E42">
              <w:rPr>
                <w:sz w:val="16"/>
                <w:szCs w:val="16"/>
              </w:rPr>
              <w:t>0.00037</w:t>
            </w:r>
          </w:p>
        </w:tc>
        <w:tc>
          <w:tcPr>
            <w:tcW w:w="0" w:type="auto"/>
            <w:vAlign w:val="center"/>
          </w:tcPr>
          <w:p w14:paraId="1AEA3A46" w14:textId="77777777" w:rsidR="008072F1" w:rsidRPr="00E87E42" w:rsidRDefault="008072F1" w:rsidP="00836131">
            <w:pPr>
              <w:spacing w:after="0" w:line="240" w:lineRule="auto"/>
              <w:jc w:val="center"/>
              <w:rPr>
                <w:sz w:val="16"/>
                <w:szCs w:val="16"/>
              </w:rPr>
            </w:pPr>
            <w:r w:rsidRPr="00E87E42">
              <w:rPr>
                <w:sz w:val="16"/>
                <w:szCs w:val="16"/>
              </w:rPr>
              <w:t>0.77</w:t>
            </w:r>
          </w:p>
        </w:tc>
        <w:tc>
          <w:tcPr>
            <w:tcW w:w="0" w:type="auto"/>
            <w:gridSpan w:val="7"/>
            <w:shd w:val="clear" w:color="auto" w:fill="auto"/>
            <w:vAlign w:val="center"/>
          </w:tcPr>
          <w:p w14:paraId="26CA454E" w14:textId="77777777" w:rsidR="008072F1" w:rsidRPr="00E87E42" w:rsidRDefault="008072F1" w:rsidP="00836131">
            <w:pPr>
              <w:spacing w:after="0" w:line="240" w:lineRule="auto"/>
              <w:jc w:val="center"/>
              <w:rPr>
                <w:i/>
                <w:sz w:val="16"/>
                <w:szCs w:val="16"/>
              </w:rPr>
            </w:pPr>
            <w:r w:rsidRPr="00E87E42">
              <w:rPr>
                <w:i/>
                <w:sz w:val="16"/>
                <w:szCs w:val="16"/>
              </w:rPr>
              <w:t xml:space="preserve">Only 1 point </w:t>
            </w:r>
          </w:p>
        </w:tc>
      </w:tr>
      <w:tr w:rsidR="008072F1" w:rsidRPr="00E87E42" w14:paraId="511015D8" w14:textId="77777777" w:rsidTr="008A55B5">
        <w:trPr>
          <w:trHeight w:val="170"/>
        </w:trPr>
        <w:tc>
          <w:tcPr>
            <w:tcW w:w="0" w:type="auto"/>
            <w:tcBorders>
              <w:bottom w:val="single" w:sz="4" w:space="0" w:color="auto"/>
            </w:tcBorders>
            <w:vAlign w:val="center"/>
          </w:tcPr>
          <w:p w14:paraId="59ED9988" w14:textId="77777777" w:rsidR="008072F1" w:rsidRPr="00E87E42" w:rsidRDefault="008072F1" w:rsidP="00836131">
            <w:pPr>
              <w:spacing w:after="0" w:line="240" w:lineRule="auto"/>
              <w:jc w:val="center"/>
              <w:rPr>
                <w:sz w:val="16"/>
                <w:szCs w:val="16"/>
              </w:rPr>
            </w:pPr>
            <w:r w:rsidRPr="00E87E42">
              <w:rPr>
                <w:sz w:val="16"/>
                <w:szCs w:val="16"/>
              </w:rPr>
              <w:t>Paper, printing and publishing</w:t>
            </w:r>
          </w:p>
        </w:tc>
        <w:tc>
          <w:tcPr>
            <w:tcW w:w="0" w:type="auto"/>
            <w:tcBorders>
              <w:bottom w:val="single" w:sz="4" w:space="0" w:color="auto"/>
            </w:tcBorders>
            <w:vAlign w:val="center"/>
          </w:tcPr>
          <w:p w14:paraId="0B27D0A0" w14:textId="77777777" w:rsidR="008072F1" w:rsidRPr="00E87E42" w:rsidRDefault="008072F1" w:rsidP="002623BF">
            <w:pPr>
              <w:spacing w:after="0" w:line="240" w:lineRule="auto"/>
              <w:jc w:val="left"/>
              <w:rPr>
                <w:sz w:val="16"/>
                <w:szCs w:val="16"/>
              </w:rPr>
            </w:pPr>
            <w:r w:rsidRPr="00E87E42">
              <w:rPr>
                <w:sz w:val="16"/>
                <w:szCs w:val="16"/>
              </w:rPr>
              <w:t>0.000069</w:t>
            </w:r>
          </w:p>
        </w:tc>
        <w:tc>
          <w:tcPr>
            <w:tcW w:w="0" w:type="auto"/>
            <w:tcBorders>
              <w:bottom w:val="single" w:sz="4" w:space="0" w:color="auto"/>
            </w:tcBorders>
            <w:vAlign w:val="center"/>
          </w:tcPr>
          <w:p w14:paraId="117B31EA" w14:textId="77777777" w:rsidR="008072F1" w:rsidRPr="00E87E42" w:rsidRDefault="008072F1" w:rsidP="00836131">
            <w:pPr>
              <w:spacing w:after="0" w:line="240" w:lineRule="auto"/>
              <w:jc w:val="center"/>
              <w:rPr>
                <w:sz w:val="16"/>
                <w:szCs w:val="16"/>
              </w:rPr>
            </w:pPr>
            <w:r w:rsidRPr="00E87E42">
              <w:rPr>
                <w:sz w:val="16"/>
                <w:szCs w:val="16"/>
              </w:rPr>
              <w:t>0.91</w:t>
            </w:r>
          </w:p>
        </w:tc>
        <w:tc>
          <w:tcPr>
            <w:tcW w:w="0" w:type="auto"/>
            <w:gridSpan w:val="7"/>
            <w:tcBorders>
              <w:bottom w:val="single" w:sz="4" w:space="0" w:color="auto"/>
            </w:tcBorders>
            <w:shd w:val="clear" w:color="auto" w:fill="auto"/>
            <w:vAlign w:val="center"/>
          </w:tcPr>
          <w:p w14:paraId="3E36A2CB" w14:textId="77777777" w:rsidR="008072F1" w:rsidRPr="00E87E42" w:rsidRDefault="008072F1" w:rsidP="00836131">
            <w:pPr>
              <w:spacing w:after="0" w:line="240" w:lineRule="auto"/>
              <w:jc w:val="center"/>
              <w:rPr>
                <w:i/>
                <w:sz w:val="16"/>
                <w:szCs w:val="16"/>
              </w:rPr>
            </w:pPr>
            <w:r w:rsidRPr="00E87E42">
              <w:rPr>
                <w:i/>
                <w:sz w:val="16"/>
                <w:szCs w:val="16"/>
              </w:rPr>
              <w:t>Not applicable</w:t>
            </w:r>
          </w:p>
        </w:tc>
      </w:tr>
      <w:tr w:rsidR="008072F1" w:rsidRPr="00E87E42" w14:paraId="11534096" w14:textId="77777777" w:rsidTr="008A55B5">
        <w:trPr>
          <w:trHeight w:val="170"/>
        </w:trPr>
        <w:tc>
          <w:tcPr>
            <w:tcW w:w="0" w:type="auto"/>
            <w:tcBorders>
              <w:bottom w:val="single" w:sz="4" w:space="0" w:color="auto"/>
            </w:tcBorders>
            <w:vAlign w:val="center"/>
          </w:tcPr>
          <w:p w14:paraId="7122DFF9" w14:textId="77777777" w:rsidR="008072F1" w:rsidRPr="00E87E42" w:rsidRDefault="008072F1" w:rsidP="00836131">
            <w:pPr>
              <w:spacing w:after="0" w:line="240" w:lineRule="auto"/>
              <w:jc w:val="center"/>
              <w:rPr>
                <w:sz w:val="16"/>
                <w:szCs w:val="16"/>
              </w:rPr>
            </w:pPr>
            <w:r w:rsidRPr="00E87E42">
              <w:rPr>
                <w:sz w:val="16"/>
                <w:szCs w:val="16"/>
              </w:rPr>
              <w:t>Other manufacturing</w:t>
            </w:r>
          </w:p>
        </w:tc>
        <w:tc>
          <w:tcPr>
            <w:tcW w:w="0" w:type="auto"/>
            <w:tcBorders>
              <w:bottom w:val="single" w:sz="4" w:space="0" w:color="auto"/>
            </w:tcBorders>
            <w:vAlign w:val="center"/>
          </w:tcPr>
          <w:p w14:paraId="61F751DC" w14:textId="77777777" w:rsidR="008072F1" w:rsidRPr="00E87E42" w:rsidRDefault="008072F1" w:rsidP="002623BF">
            <w:pPr>
              <w:spacing w:after="0" w:line="240" w:lineRule="auto"/>
              <w:jc w:val="left"/>
              <w:rPr>
                <w:sz w:val="16"/>
                <w:szCs w:val="16"/>
              </w:rPr>
            </w:pPr>
            <w:r w:rsidRPr="00E87E42">
              <w:rPr>
                <w:sz w:val="16"/>
                <w:szCs w:val="16"/>
              </w:rPr>
              <w:t>0.0084</w:t>
            </w:r>
          </w:p>
        </w:tc>
        <w:tc>
          <w:tcPr>
            <w:tcW w:w="0" w:type="auto"/>
            <w:tcBorders>
              <w:bottom w:val="single" w:sz="4" w:space="0" w:color="auto"/>
            </w:tcBorders>
            <w:vAlign w:val="center"/>
          </w:tcPr>
          <w:p w14:paraId="680C4F3E" w14:textId="77777777" w:rsidR="008072F1" w:rsidRPr="00E87E42" w:rsidRDefault="008072F1" w:rsidP="00836131">
            <w:pPr>
              <w:spacing w:after="0" w:line="240" w:lineRule="auto"/>
              <w:jc w:val="center"/>
              <w:rPr>
                <w:sz w:val="16"/>
                <w:szCs w:val="16"/>
              </w:rPr>
            </w:pPr>
            <w:r w:rsidRPr="00E87E42">
              <w:rPr>
                <w:sz w:val="16"/>
                <w:szCs w:val="16"/>
              </w:rPr>
              <w:t>0.41</w:t>
            </w:r>
          </w:p>
        </w:tc>
        <w:tc>
          <w:tcPr>
            <w:tcW w:w="0" w:type="auto"/>
            <w:tcBorders>
              <w:bottom w:val="single" w:sz="4" w:space="0" w:color="auto"/>
            </w:tcBorders>
            <w:vAlign w:val="center"/>
          </w:tcPr>
          <w:p w14:paraId="3B48F410" w14:textId="77777777" w:rsidR="008072F1" w:rsidRPr="00E87E42" w:rsidRDefault="008072F1" w:rsidP="00836131">
            <w:pPr>
              <w:spacing w:after="0" w:line="240" w:lineRule="auto"/>
              <w:jc w:val="center"/>
              <w:rPr>
                <w:sz w:val="16"/>
                <w:szCs w:val="16"/>
              </w:rPr>
            </w:pPr>
            <w:r w:rsidRPr="00E87E42">
              <w:rPr>
                <w:sz w:val="16"/>
                <w:szCs w:val="16"/>
              </w:rPr>
              <w:t>0.012748</w:t>
            </w:r>
          </w:p>
        </w:tc>
        <w:tc>
          <w:tcPr>
            <w:tcW w:w="0" w:type="auto"/>
            <w:tcBorders>
              <w:bottom w:val="single" w:sz="4" w:space="0" w:color="auto"/>
            </w:tcBorders>
            <w:vAlign w:val="center"/>
          </w:tcPr>
          <w:p w14:paraId="78C7CAEC" w14:textId="5C1E2723" w:rsidR="008072F1" w:rsidRPr="00E87E42" w:rsidRDefault="008072F1" w:rsidP="00314FD6">
            <w:pPr>
              <w:spacing w:after="0" w:line="240" w:lineRule="auto"/>
              <w:jc w:val="center"/>
              <w:rPr>
                <w:sz w:val="16"/>
                <w:szCs w:val="16"/>
              </w:rPr>
            </w:pPr>
            <w:r w:rsidRPr="00E87E42">
              <w:rPr>
                <w:sz w:val="16"/>
                <w:szCs w:val="16"/>
              </w:rPr>
              <w:t>0.</w:t>
            </w:r>
            <w:r w:rsidR="001258FD" w:rsidRPr="00E87E42">
              <w:rPr>
                <w:sz w:val="16"/>
                <w:szCs w:val="16"/>
              </w:rPr>
              <w:t>0</w:t>
            </w:r>
            <w:r w:rsidRPr="00E87E42">
              <w:rPr>
                <w:sz w:val="16"/>
                <w:szCs w:val="16"/>
              </w:rPr>
              <w:t>474</w:t>
            </w:r>
          </w:p>
        </w:tc>
        <w:tc>
          <w:tcPr>
            <w:tcW w:w="0" w:type="auto"/>
            <w:tcBorders>
              <w:bottom w:val="single" w:sz="4" w:space="0" w:color="auto"/>
            </w:tcBorders>
            <w:vAlign w:val="center"/>
          </w:tcPr>
          <w:p w14:paraId="23C0BA05" w14:textId="77777777" w:rsidR="008072F1" w:rsidRPr="00E87E42" w:rsidRDefault="008072F1" w:rsidP="00214A6C">
            <w:pPr>
              <w:spacing w:after="0" w:line="240" w:lineRule="auto"/>
              <w:jc w:val="center"/>
              <w:rPr>
                <w:sz w:val="16"/>
                <w:szCs w:val="16"/>
              </w:rPr>
            </w:pPr>
            <w:r w:rsidRPr="00E87E42">
              <w:rPr>
                <w:sz w:val="16"/>
                <w:szCs w:val="16"/>
              </w:rPr>
              <w:t>0.0018</w:t>
            </w:r>
          </w:p>
        </w:tc>
        <w:tc>
          <w:tcPr>
            <w:tcW w:w="0" w:type="auto"/>
            <w:tcBorders>
              <w:bottom w:val="single" w:sz="4" w:space="0" w:color="auto"/>
            </w:tcBorders>
            <w:vAlign w:val="center"/>
          </w:tcPr>
          <w:p w14:paraId="33AD1614" w14:textId="77777777" w:rsidR="008072F1" w:rsidRPr="00E87E42" w:rsidRDefault="008072F1" w:rsidP="00214A6C">
            <w:pPr>
              <w:spacing w:after="0" w:line="240" w:lineRule="auto"/>
              <w:jc w:val="center"/>
              <w:rPr>
                <w:sz w:val="16"/>
                <w:szCs w:val="16"/>
              </w:rPr>
            </w:pPr>
            <w:r w:rsidRPr="00E87E42">
              <w:rPr>
                <w:sz w:val="16"/>
                <w:szCs w:val="16"/>
              </w:rPr>
              <w:t>0.1523</w:t>
            </w:r>
          </w:p>
        </w:tc>
        <w:tc>
          <w:tcPr>
            <w:tcW w:w="0" w:type="auto"/>
            <w:tcBorders>
              <w:bottom w:val="single" w:sz="4" w:space="0" w:color="auto"/>
            </w:tcBorders>
            <w:vAlign w:val="center"/>
          </w:tcPr>
          <w:p w14:paraId="1234C2F4" w14:textId="77777777" w:rsidR="008072F1" w:rsidRPr="00E87E42" w:rsidRDefault="008072F1" w:rsidP="00281B2C">
            <w:pPr>
              <w:spacing w:after="0" w:line="240" w:lineRule="auto"/>
              <w:jc w:val="center"/>
              <w:rPr>
                <w:sz w:val="16"/>
                <w:szCs w:val="16"/>
              </w:rPr>
            </w:pPr>
            <w:r w:rsidRPr="00E87E42">
              <w:rPr>
                <w:sz w:val="16"/>
                <w:szCs w:val="16"/>
              </w:rPr>
              <w:t>0.010</w:t>
            </w:r>
          </w:p>
        </w:tc>
        <w:tc>
          <w:tcPr>
            <w:tcW w:w="0" w:type="auto"/>
            <w:tcBorders>
              <w:bottom w:val="single" w:sz="4" w:space="0" w:color="auto"/>
            </w:tcBorders>
            <w:vAlign w:val="center"/>
          </w:tcPr>
          <w:p w14:paraId="0D27BB46" w14:textId="3F3FA114" w:rsidR="008072F1" w:rsidRPr="00E87E42" w:rsidRDefault="007D2A4C" w:rsidP="002623BF">
            <w:pPr>
              <w:spacing w:after="0" w:line="240" w:lineRule="auto"/>
              <w:jc w:val="center"/>
              <w:rPr>
                <w:sz w:val="16"/>
                <w:szCs w:val="16"/>
              </w:rPr>
            </w:pPr>
            <w:r w:rsidRPr="00E87E42">
              <w:rPr>
                <w:sz w:val="16"/>
                <w:szCs w:val="16"/>
              </w:rPr>
              <w:t>2.28*10</w:t>
            </w:r>
            <w:r w:rsidRPr="00E87E42">
              <w:rPr>
                <w:sz w:val="16"/>
                <w:szCs w:val="16"/>
                <w:vertAlign w:val="superscript"/>
              </w:rPr>
              <w:t>-9</w:t>
            </w:r>
            <w:r w:rsidRPr="00E87E42">
              <w:rPr>
                <w:sz w:val="16"/>
                <w:szCs w:val="16"/>
              </w:rPr>
              <w:t>A</w:t>
            </w:r>
            <w:r w:rsidRPr="00E87E42">
              <w:rPr>
                <w:sz w:val="16"/>
                <w:szCs w:val="16"/>
                <w:vertAlign w:val="superscript"/>
              </w:rPr>
              <w:t>2</w:t>
            </w:r>
            <w:r w:rsidRPr="00E87E42">
              <w:rPr>
                <w:sz w:val="16"/>
                <w:szCs w:val="16"/>
              </w:rPr>
              <w:t>-1.95*10</w:t>
            </w:r>
            <w:r w:rsidRPr="00E87E42">
              <w:rPr>
                <w:sz w:val="16"/>
                <w:szCs w:val="16"/>
                <w:vertAlign w:val="superscript"/>
              </w:rPr>
              <w:t>-5</w:t>
            </w:r>
            <w:r w:rsidRPr="00E87E42">
              <w:rPr>
                <w:sz w:val="16"/>
                <w:szCs w:val="16"/>
              </w:rPr>
              <w:t>A+4.23*10-2</w:t>
            </w:r>
          </w:p>
        </w:tc>
        <w:tc>
          <w:tcPr>
            <w:tcW w:w="0" w:type="auto"/>
            <w:tcBorders>
              <w:bottom w:val="single" w:sz="4" w:space="0" w:color="auto"/>
            </w:tcBorders>
            <w:vAlign w:val="center"/>
          </w:tcPr>
          <w:p w14:paraId="48481B7C" w14:textId="071353A3" w:rsidR="008072F1" w:rsidRPr="00E87E42" w:rsidRDefault="007D2A4C" w:rsidP="002623BF">
            <w:pPr>
              <w:spacing w:after="0" w:line="240" w:lineRule="auto"/>
              <w:jc w:val="center"/>
              <w:rPr>
                <w:sz w:val="16"/>
                <w:szCs w:val="16"/>
              </w:rPr>
            </w:pPr>
            <w:r w:rsidRPr="00E87E42">
              <w:rPr>
                <w:sz w:val="16"/>
                <w:szCs w:val="16"/>
              </w:rPr>
              <w:t>1</w:t>
            </w:r>
          </w:p>
        </w:tc>
      </w:tr>
      <w:tr w:rsidR="008072F1" w:rsidRPr="00E87E42" w14:paraId="27AE734F" w14:textId="77777777" w:rsidTr="008A55B5">
        <w:trPr>
          <w:trHeight w:val="170"/>
        </w:trPr>
        <w:tc>
          <w:tcPr>
            <w:tcW w:w="0" w:type="auto"/>
            <w:tcBorders>
              <w:top w:val="single" w:sz="4" w:space="0" w:color="auto"/>
              <w:left w:val="nil"/>
              <w:bottom w:val="single" w:sz="4" w:space="0" w:color="auto"/>
              <w:right w:val="nil"/>
            </w:tcBorders>
            <w:vAlign w:val="center"/>
          </w:tcPr>
          <w:p w14:paraId="41E17A7B" w14:textId="77777777" w:rsidR="008072F1" w:rsidRPr="00E87E42" w:rsidRDefault="008072F1" w:rsidP="00836131">
            <w:pPr>
              <w:spacing w:after="0" w:line="240" w:lineRule="auto"/>
              <w:jc w:val="center"/>
              <w:rPr>
                <w:sz w:val="16"/>
                <w:szCs w:val="16"/>
              </w:rPr>
            </w:pPr>
          </w:p>
        </w:tc>
        <w:tc>
          <w:tcPr>
            <w:tcW w:w="0" w:type="auto"/>
            <w:gridSpan w:val="2"/>
            <w:tcBorders>
              <w:top w:val="single" w:sz="4" w:space="0" w:color="auto"/>
              <w:left w:val="nil"/>
              <w:bottom w:val="single" w:sz="4" w:space="0" w:color="auto"/>
              <w:right w:val="nil"/>
            </w:tcBorders>
            <w:vAlign w:val="center"/>
          </w:tcPr>
          <w:p w14:paraId="02249F2C" w14:textId="77777777" w:rsidR="008072F1" w:rsidRPr="00E87E42" w:rsidRDefault="008072F1" w:rsidP="00836131">
            <w:pPr>
              <w:spacing w:after="0" w:line="240" w:lineRule="auto"/>
              <w:jc w:val="center"/>
              <w:rPr>
                <w:sz w:val="16"/>
                <w:szCs w:val="16"/>
              </w:rPr>
            </w:pPr>
          </w:p>
        </w:tc>
        <w:tc>
          <w:tcPr>
            <w:tcW w:w="0" w:type="auto"/>
            <w:gridSpan w:val="7"/>
            <w:tcBorders>
              <w:top w:val="single" w:sz="4" w:space="0" w:color="auto"/>
              <w:left w:val="nil"/>
              <w:bottom w:val="single" w:sz="4" w:space="0" w:color="auto"/>
              <w:right w:val="nil"/>
            </w:tcBorders>
            <w:vAlign w:val="center"/>
          </w:tcPr>
          <w:p w14:paraId="51FB1055" w14:textId="77777777" w:rsidR="008072F1" w:rsidRPr="00E87E42" w:rsidRDefault="008072F1" w:rsidP="00314FD6">
            <w:pPr>
              <w:spacing w:after="0" w:line="240" w:lineRule="auto"/>
              <w:jc w:val="center"/>
              <w:rPr>
                <w:sz w:val="16"/>
                <w:szCs w:val="16"/>
              </w:rPr>
            </w:pPr>
          </w:p>
        </w:tc>
      </w:tr>
      <w:tr w:rsidR="008072F1" w:rsidRPr="00E87E42" w14:paraId="721BB728" w14:textId="77777777" w:rsidTr="008A55B5">
        <w:trPr>
          <w:trHeight w:val="170"/>
        </w:trPr>
        <w:tc>
          <w:tcPr>
            <w:tcW w:w="0" w:type="auto"/>
            <w:vMerge w:val="restart"/>
            <w:tcBorders>
              <w:top w:val="single" w:sz="4" w:space="0" w:color="auto"/>
            </w:tcBorders>
            <w:vAlign w:val="center"/>
          </w:tcPr>
          <w:p w14:paraId="6A8A73CA" w14:textId="77777777" w:rsidR="008072F1" w:rsidRPr="00E87E42" w:rsidRDefault="008072F1" w:rsidP="00836131">
            <w:pPr>
              <w:spacing w:after="0" w:line="240" w:lineRule="auto"/>
              <w:jc w:val="center"/>
              <w:rPr>
                <w:b/>
                <w:sz w:val="16"/>
                <w:szCs w:val="16"/>
              </w:rPr>
            </w:pPr>
            <w:r w:rsidRPr="00E87E42">
              <w:rPr>
                <w:b/>
                <w:sz w:val="16"/>
                <w:szCs w:val="16"/>
              </w:rPr>
              <w:t>Other Occupancies</w:t>
            </w:r>
          </w:p>
        </w:tc>
        <w:tc>
          <w:tcPr>
            <w:tcW w:w="0" w:type="auto"/>
            <w:gridSpan w:val="2"/>
            <w:tcBorders>
              <w:top w:val="single" w:sz="4" w:space="0" w:color="auto"/>
            </w:tcBorders>
            <w:vAlign w:val="center"/>
          </w:tcPr>
          <w:p w14:paraId="5C890145" w14:textId="77777777" w:rsidR="008072F1" w:rsidRPr="00E87E42" w:rsidRDefault="008072F1" w:rsidP="00836131">
            <w:pPr>
              <w:spacing w:after="0" w:line="240" w:lineRule="auto"/>
              <w:jc w:val="center"/>
              <w:rPr>
                <w:b/>
                <w:sz w:val="16"/>
                <w:szCs w:val="16"/>
                <w:u w:val="single"/>
              </w:rPr>
            </w:pPr>
            <w:r w:rsidRPr="00E87E42">
              <w:rPr>
                <w:b/>
                <w:sz w:val="16"/>
                <w:szCs w:val="16"/>
                <w:u w:val="single"/>
              </w:rPr>
              <w:t>PD 7974-7</w:t>
            </w:r>
          </w:p>
        </w:tc>
        <w:tc>
          <w:tcPr>
            <w:tcW w:w="0" w:type="auto"/>
            <w:gridSpan w:val="7"/>
            <w:tcBorders>
              <w:top w:val="single" w:sz="4" w:space="0" w:color="auto"/>
            </w:tcBorders>
            <w:vAlign w:val="center"/>
          </w:tcPr>
          <w:p w14:paraId="0F029BB2" w14:textId="0AD3A6F2" w:rsidR="008072F1" w:rsidRPr="00E87E42" w:rsidRDefault="008072F1" w:rsidP="00314FD6">
            <w:pPr>
              <w:spacing w:after="0" w:line="240" w:lineRule="auto"/>
              <w:jc w:val="center"/>
              <w:rPr>
                <w:b/>
                <w:sz w:val="16"/>
                <w:szCs w:val="16"/>
                <w:u w:val="single"/>
              </w:rPr>
            </w:pPr>
            <w:r w:rsidRPr="00E87E42">
              <w:rPr>
                <w:b/>
                <w:sz w:val="16"/>
                <w:szCs w:val="16"/>
                <w:u w:val="single"/>
              </w:rPr>
              <w:t>US</w:t>
            </w:r>
            <w:r w:rsidR="006728B6" w:rsidRPr="00E87E42">
              <w:rPr>
                <w:b/>
                <w:sz w:val="16"/>
                <w:szCs w:val="16"/>
                <w:u w:val="single"/>
              </w:rPr>
              <w:t>A</w:t>
            </w:r>
            <w:r w:rsidRPr="00E87E42">
              <w:rPr>
                <w:b/>
                <w:sz w:val="16"/>
                <w:szCs w:val="16"/>
                <w:u w:val="single"/>
              </w:rPr>
              <w:t xml:space="preserve"> Fire Statistics</w:t>
            </w:r>
          </w:p>
        </w:tc>
      </w:tr>
      <w:tr w:rsidR="008072F1" w:rsidRPr="00E87E42" w14:paraId="74D58ACE" w14:textId="77777777" w:rsidTr="008A55B5">
        <w:trPr>
          <w:trHeight w:val="170"/>
        </w:trPr>
        <w:tc>
          <w:tcPr>
            <w:tcW w:w="0" w:type="auto"/>
            <w:vMerge/>
            <w:vAlign w:val="center"/>
          </w:tcPr>
          <w:p w14:paraId="2C4E5BEA" w14:textId="77777777" w:rsidR="008072F1" w:rsidRPr="00E87E42" w:rsidRDefault="008072F1" w:rsidP="002623BF">
            <w:pPr>
              <w:spacing w:after="0" w:line="240" w:lineRule="auto"/>
              <w:jc w:val="center"/>
              <w:rPr>
                <w:sz w:val="16"/>
                <w:szCs w:val="16"/>
              </w:rPr>
            </w:pPr>
          </w:p>
        </w:tc>
        <w:tc>
          <w:tcPr>
            <w:tcW w:w="0" w:type="auto"/>
            <w:gridSpan w:val="2"/>
            <w:vMerge w:val="restart"/>
            <w:vAlign w:val="center"/>
          </w:tcPr>
          <w:p w14:paraId="5528E684" w14:textId="77777777" w:rsidR="008072F1" w:rsidRPr="00E87E42" w:rsidRDefault="008072F1" w:rsidP="002623BF">
            <w:pPr>
              <w:spacing w:after="0" w:line="240" w:lineRule="auto"/>
              <w:jc w:val="center"/>
              <w:rPr>
                <w:sz w:val="16"/>
                <w:szCs w:val="16"/>
              </w:rPr>
            </w:pPr>
            <w:r w:rsidRPr="00E87E42">
              <w:rPr>
                <w:sz w:val="16"/>
                <w:szCs w:val="16"/>
              </w:rPr>
              <w:t>Power law</w:t>
            </w:r>
          </w:p>
        </w:tc>
        <w:tc>
          <w:tcPr>
            <w:tcW w:w="0" w:type="auto"/>
            <w:gridSpan w:val="2"/>
            <w:vMerge w:val="restart"/>
            <w:vAlign w:val="center"/>
          </w:tcPr>
          <w:p w14:paraId="1D202CDF" w14:textId="77777777" w:rsidR="008072F1" w:rsidRPr="00E87E42" w:rsidRDefault="008072F1" w:rsidP="002623BF">
            <w:pPr>
              <w:spacing w:after="0" w:line="240" w:lineRule="auto"/>
              <w:jc w:val="center"/>
              <w:rPr>
                <w:sz w:val="16"/>
                <w:szCs w:val="16"/>
              </w:rPr>
            </w:pPr>
            <w:r w:rsidRPr="00E87E42">
              <w:rPr>
                <w:sz w:val="16"/>
                <w:szCs w:val="16"/>
              </w:rPr>
              <w:t>Power law</w:t>
            </w:r>
          </w:p>
          <w:p w14:paraId="76663575" w14:textId="77777777" w:rsidR="008072F1" w:rsidRPr="00E87E42" w:rsidRDefault="008072F1" w:rsidP="002623BF">
            <w:pPr>
              <w:spacing w:after="0" w:line="240" w:lineRule="auto"/>
              <w:jc w:val="center"/>
              <w:rPr>
                <w:sz w:val="16"/>
                <w:szCs w:val="16"/>
              </w:rPr>
            </w:pPr>
            <w:r w:rsidRPr="00E87E42">
              <w:rPr>
                <w:sz w:val="16"/>
                <w:szCs w:val="16"/>
              </w:rPr>
              <w:t>(+</w:t>
            </w:r>
            <w:proofErr w:type="spellStart"/>
            <w:r w:rsidRPr="00E87E42">
              <w:rPr>
                <w:sz w:val="16"/>
                <w:szCs w:val="16"/>
              </w:rPr>
              <w:t>ve</w:t>
            </w:r>
            <w:proofErr w:type="spellEnd"/>
            <w:r w:rsidRPr="00E87E42">
              <w:rPr>
                <w:sz w:val="16"/>
                <w:szCs w:val="16"/>
              </w:rPr>
              <w:t xml:space="preserve"> b)</w:t>
            </w:r>
          </w:p>
        </w:tc>
        <w:tc>
          <w:tcPr>
            <w:tcW w:w="0" w:type="auto"/>
            <w:gridSpan w:val="5"/>
            <w:vAlign w:val="center"/>
          </w:tcPr>
          <w:p w14:paraId="4A1DD086" w14:textId="77777777" w:rsidR="008072F1" w:rsidRPr="00E87E42" w:rsidRDefault="008072F1" w:rsidP="002623BF">
            <w:pPr>
              <w:spacing w:after="0" w:line="240" w:lineRule="auto"/>
              <w:jc w:val="center"/>
              <w:rPr>
                <w:sz w:val="16"/>
                <w:szCs w:val="16"/>
              </w:rPr>
            </w:pPr>
            <w:r w:rsidRPr="00E87E42">
              <w:rPr>
                <w:sz w:val="16"/>
                <w:szCs w:val="16"/>
              </w:rPr>
              <w:t>According to dots graph probability of fire – tot floor space</w:t>
            </w:r>
          </w:p>
        </w:tc>
      </w:tr>
      <w:tr w:rsidR="008072F1" w:rsidRPr="00E87E42" w14:paraId="291E3B4E" w14:textId="77777777" w:rsidTr="008A55B5">
        <w:trPr>
          <w:trHeight w:val="170"/>
        </w:trPr>
        <w:tc>
          <w:tcPr>
            <w:tcW w:w="0" w:type="auto"/>
            <w:vMerge/>
            <w:vAlign w:val="center"/>
          </w:tcPr>
          <w:p w14:paraId="3F3AF0C7" w14:textId="77777777" w:rsidR="008072F1" w:rsidRPr="00E87E42" w:rsidRDefault="008072F1" w:rsidP="002623BF">
            <w:pPr>
              <w:spacing w:after="0" w:line="240" w:lineRule="auto"/>
              <w:jc w:val="center"/>
              <w:rPr>
                <w:sz w:val="16"/>
                <w:szCs w:val="16"/>
              </w:rPr>
            </w:pPr>
          </w:p>
        </w:tc>
        <w:tc>
          <w:tcPr>
            <w:tcW w:w="0" w:type="auto"/>
            <w:gridSpan w:val="2"/>
            <w:vMerge/>
            <w:vAlign w:val="center"/>
          </w:tcPr>
          <w:p w14:paraId="5333EA84" w14:textId="77777777" w:rsidR="008072F1" w:rsidRPr="00E87E42" w:rsidRDefault="008072F1" w:rsidP="002623BF">
            <w:pPr>
              <w:spacing w:after="0" w:line="240" w:lineRule="auto"/>
              <w:jc w:val="center"/>
              <w:rPr>
                <w:sz w:val="16"/>
                <w:szCs w:val="16"/>
              </w:rPr>
            </w:pPr>
          </w:p>
        </w:tc>
        <w:tc>
          <w:tcPr>
            <w:tcW w:w="0" w:type="auto"/>
            <w:gridSpan w:val="2"/>
            <w:vMerge/>
            <w:vAlign w:val="center"/>
          </w:tcPr>
          <w:p w14:paraId="09B8BD32" w14:textId="77777777" w:rsidR="008072F1" w:rsidRPr="00E87E42" w:rsidRDefault="008072F1" w:rsidP="002623BF">
            <w:pPr>
              <w:spacing w:after="0" w:line="240" w:lineRule="auto"/>
              <w:jc w:val="center"/>
              <w:rPr>
                <w:sz w:val="16"/>
                <w:szCs w:val="16"/>
              </w:rPr>
            </w:pPr>
          </w:p>
        </w:tc>
        <w:tc>
          <w:tcPr>
            <w:tcW w:w="0" w:type="auto"/>
            <w:gridSpan w:val="3"/>
            <w:vAlign w:val="center"/>
          </w:tcPr>
          <w:p w14:paraId="0F3EE894" w14:textId="77777777" w:rsidR="008072F1" w:rsidRPr="00E87E42" w:rsidRDefault="008072F1" w:rsidP="002623BF">
            <w:pPr>
              <w:spacing w:after="0" w:line="240" w:lineRule="auto"/>
              <w:jc w:val="center"/>
              <w:rPr>
                <w:sz w:val="16"/>
                <w:szCs w:val="16"/>
              </w:rPr>
            </w:pPr>
            <w:r w:rsidRPr="00E87E42">
              <w:rPr>
                <w:sz w:val="16"/>
                <w:szCs w:val="16"/>
              </w:rPr>
              <w:t>Power law</w:t>
            </w:r>
          </w:p>
        </w:tc>
        <w:tc>
          <w:tcPr>
            <w:tcW w:w="0" w:type="auto"/>
            <w:gridSpan w:val="2"/>
            <w:vAlign w:val="center"/>
          </w:tcPr>
          <w:p w14:paraId="7B6D3F31" w14:textId="77777777" w:rsidR="008072F1" w:rsidRPr="00E87E42" w:rsidRDefault="008072F1" w:rsidP="002623BF">
            <w:pPr>
              <w:spacing w:after="0" w:line="240" w:lineRule="auto"/>
              <w:jc w:val="center"/>
              <w:rPr>
                <w:sz w:val="16"/>
                <w:szCs w:val="16"/>
              </w:rPr>
            </w:pPr>
            <w:r w:rsidRPr="00E87E42">
              <w:rPr>
                <w:sz w:val="16"/>
                <w:szCs w:val="16"/>
              </w:rPr>
              <w:t>Improved form</w:t>
            </w:r>
          </w:p>
        </w:tc>
      </w:tr>
      <w:tr w:rsidR="008072F1" w:rsidRPr="00E87E42" w14:paraId="5E76A734" w14:textId="77777777" w:rsidTr="008A55B5">
        <w:trPr>
          <w:trHeight w:val="170"/>
        </w:trPr>
        <w:tc>
          <w:tcPr>
            <w:tcW w:w="0" w:type="auto"/>
            <w:vMerge w:val="restart"/>
            <w:vAlign w:val="center"/>
          </w:tcPr>
          <w:p w14:paraId="07D5E699" w14:textId="031E0425" w:rsidR="008072F1" w:rsidRPr="00E87E42" w:rsidRDefault="008072F1" w:rsidP="00836131">
            <w:pPr>
              <w:spacing w:after="0" w:line="240" w:lineRule="auto"/>
              <w:jc w:val="center"/>
              <w:rPr>
                <w:sz w:val="16"/>
                <w:szCs w:val="16"/>
              </w:rPr>
            </w:pPr>
            <w:r w:rsidRPr="00E87E42">
              <w:rPr>
                <w:i/>
                <w:sz w:val="16"/>
                <w:szCs w:val="16"/>
              </w:rPr>
              <w:t xml:space="preserve">Trend in figures </w:t>
            </w:r>
            <w:r w:rsidR="00AA1190" w:rsidRPr="00E87E42">
              <w:rPr>
                <w:i/>
                <w:sz w:val="16"/>
                <w:szCs w:val="16"/>
              </w:rPr>
              <w:t>5-9</w:t>
            </w:r>
            <w:r w:rsidRPr="00E87E42">
              <w:rPr>
                <w:i/>
                <w:sz w:val="16"/>
                <w:szCs w:val="16"/>
              </w:rPr>
              <w:t xml:space="preserve"> below</w:t>
            </w:r>
          </w:p>
        </w:tc>
        <w:tc>
          <w:tcPr>
            <w:tcW w:w="0" w:type="auto"/>
            <w:gridSpan w:val="2"/>
            <w:vAlign w:val="center"/>
          </w:tcPr>
          <w:p w14:paraId="33FC2518" w14:textId="77777777" w:rsidR="008072F1" w:rsidRPr="00E87E42" w:rsidRDefault="008072F1" w:rsidP="00836131">
            <w:pPr>
              <w:spacing w:after="0" w:line="240" w:lineRule="auto"/>
              <w:jc w:val="center"/>
              <w:rPr>
                <w:sz w:val="16"/>
                <w:szCs w:val="16"/>
              </w:rPr>
            </w:pPr>
            <w:r w:rsidRPr="00E87E42">
              <w:rPr>
                <w:i/>
                <w:sz w:val="16"/>
                <w:szCs w:val="16"/>
              </w:rPr>
              <w:t>[Power (PD)]</w:t>
            </w:r>
          </w:p>
          <w:p w14:paraId="6B27D552" w14:textId="77777777" w:rsidR="008072F1" w:rsidRPr="00E87E42" w:rsidRDefault="008072F1" w:rsidP="00314FD6">
            <w:pPr>
              <w:spacing w:after="0" w:line="240" w:lineRule="auto"/>
              <w:jc w:val="center"/>
              <w:rPr>
                <w:sz w:val="16"/>
                <w:szCs w:val="16"/>
              </w:rPr>
            </w:pPr>
          </w:p>
        </w:tc>
        <w:tc>
          <w:tcPr>
            <w:tcW w:w="0" w:type="auto"/>
            <w:gridSpan w:val="2"/>
            <w:vAlign w:val="center"/>
          </w:tcPr>
          <w:p w14:paraId="722F8F31" w14:textId="77777777" w:rsidR="008072F1" w:rsidRPr="00E87E42" w:rsidRDefault="008072F1" w:rsidP="00214A6C">
            <w:pPr>
              <w:spacing w:after="0" w:line="240" w:lineRule="auto"/>
              <w:jc w:val="center"/>
              <w:rPr>
                <w:sz w:val="16"/>
                <w:szCs w:val="16"/>
              </w:rPr>
            </w:pPr>
            <w:r w:rsidRPr="00E87E42">
              <w:rPr>
                <w:i/>
                <w:sz w:val="16"/>
                <w:szCs w:val="16"/>
              </w:rPr>
              <w:t xml:space="preserve">[Power (USA - </w:t>
            </w:r>
            <w:proofErr w:type="spellStart"/>
            <w:r w:rsidRPr="00E87E42">
              <w:rPr>
                <w:i/>
                <w:sz w:val="16"/>
                <w:szCs w:val="16"/>
              </w:rPr>
              <w:t>Rutstein</w:t>
            </w:r>
            <w:proofErr w:type="spellEnd"/>
            <w:r w:rsidRPr="00E87E42">
              <w:rPr>
                <w:i/>
                <w:sz w:val="16"/>
                <w:szCs w:val="16"/>
              </w:rPr>
              <w:t>)]</w:t>
            </w:r>
          </w:p>
        </w:tc>
        <w:tc>
          <w:tcPr>
            <w:tcW w:w="0" w:type="auto"/>
            <w:gridSpan w:val="3"/>
            <w:vAlign w:val="center"/>
          </w:tcPr>
          <w:p w14:paraId="259533ED" w14:textId="77777777" w:rsidR="008072F1" w:rsidRPr="00E87E42" w:rsidRDefault="008072F1" w:rsidP="00214A6C">
            <w:pPr>
              <w:spacing w:after="0" w:line="240" w:lineRule="auto"/>
              <w:jc w:val="center"/>
              <w:rPr>
                <w:sz w:val="16"/>
                <w:szCs w:val="16"/>
              </w:rPr>
            </w:pPr>
            <w:r w:rsidRPr="00E87E42">
              <w:rPr>
                <w:i/>
                <w:sz w:val="16"/>
                <w:szCs w:val="16"/>
              </w:rPr>
              <w:t>[Power (USA - Improved)]</w:t>
            </w:r>
          </w:p>
        </w:tc>
        <w:tc>
          <w:tcPr>
            <w:tcW w:w="0" w:type="auto"/>
            <w:gridSpan w:val="2"/>
            <w:vAlign w:val="center"/>
          </w:tcPr>
          <w:p w14:paraId="67F5DEF1" w14:textId="77777777" w:rsidR="008072F1" w:rsidRPr="00E87E42" w:rsidRDefault="008072F1" w:rsidP="00281B2C">
            <w:pPr>
              <w:spacing w:after="0" w:line="240" w:lineRule="auto"/>
              <w:jc w:val="center"/>
              <w:rPr>
                <w:sz w:val="16"/>
                <w:szCs w:val="16"/>
              </w:rPr>
            </w:pPr>
            <w:r w:rsidRPr="00E87E42">
              <w:rPr>
                <w:i/>
                <w:sz w:val="16"/>
                <w:szCs w:val="16"/>
              </w:rPr>
              <w:t>[Poly (USA - Improved)]</w:t>
            </w:r>
          </w:p>
        </w:tc>
      </w:tr>
      <w:tr w:rsidR="008072F1" w:rsidRPr="00E87E42" w14:paraId="4D8A9BAD" w14:textId="77777777" w:rsidTr="008A55B5">
        <w:trPr>
          <w:trHeight w:val="170"/>
        </w:trPr>
        <w:tc>
          <w:tcPr>
            <w:tcW w:w="0" w:type="auto"/>
            <w:vMerge/>
            <w:vAlign w:val="center"/>
          </w:tcPr>
          <w:p w14:paraId="08F96610" w14:textId="77777777" w:rsidR="008072F1" w:rsidRPr="00E87E42" w:rsidRDefault="008072F1" w:rsidP="002623BF">
            <w:pPr>
              <w:spacing w:after="0" w:line="240" w:lineRule="auto"/>
              <w:jc w:val="center"/>
              <w:rPr>
                <w:sz w:val="16"/>
                <w:szCs w:val="16"/>
              </w:rPr>
            </w:pPr>
          </w:p>
        </w:tc>
        <w:tc>
          <w:tcPr>
            <w:tcW w:w="0" w:type="auto"/>
            <w:vAlign w:val="center"/>
          </w:tcPr>
          <w:p w14:paraId="62CD2411" w14:textId="77777777" w:rsidR="008072F1" w:rsidRPr="00E87E42" w:rsidRDefault="008072F1" w:rsidP="002623BF">
            <w:pPr>
              <w:spacing w:after="0" w:line="240" w:lineRule="auto"/>
              <w:jc w:val="center"/>
              <w:rPr>
                <w:sz w:val="16"/>
                <w:szCs w:val="16"/>
              </w:rPr>
            </w:pPr>
            <w:r w:rsidRPr="00E87E42">
              <w:rPr>
                <w:sz w:val="16"/>
                <w:szCs w:val="16"/>
              </w:rPr>
              <w:t>a</w:t>
            </w:r>
          </w:p>
        </w:tc>
        <w:tc>
          <w:tcPr>
            <w:tcW w:w="0" w:type="auto"/>
            <w:vAlign w:val="center"/>
          </w:tcPr>
          <w:p w14:paraId="72ED791D" w14:textId="77777777" w:rsidR="008072F1" w:rsidRPr="00E87E42" w:rsidRDefault="008072F1" w:rsidP="002623BF">
            <w:pPr>
              <w:spacing w:after="0" w:line="240" w:lineRule="auto"/>
              <w:jc w:val="center"/>
              <w:rPr>
                <w:sz w:val="16"/>
                <w:szCs w:val="16"/>
              </w:rPr>
            </w:pPr>
            <w:r w:rsidRPr="00E87E42">
              <w:rPr>
                <w:sz w:val="16"/>
                <w:szCs w:val="16"/>
              </w:rPr>
              <w:t>b</w:t>
            </w:r>
          </w:p>
        </w:tc>
        <w:tc>
          <w:tcPr>
            <w:tcW w:w="0" w:type="auto"/>
            <w:vAlign w:val="center"/>
          </w:tcPr>
          <w:p w14:paraId="1B4C3EAE" w14:textId="77777777" w:rsidR="008072F1" w:rsidRPr="00E87E42" w:rsidRDefault="008072F1" w:rsidP="002623BF">
            <w:pPr>
              <w:spacing w:after="0" w:line="240" w:lineRule="auto"/>
              <w:jc w:val="center"/>
              <w:rPr>
                <w:sz w:val="16"/>
                <w:szCs w:val="16"/>
              </w:rPr>
            </w:pPr>
            <w:r w:rsidRPr="00E87E42">
              <w:rPr>
                <w:sz w:val="16"/>
                <w:szCs w:val="16"/>
              </w:rPr>
              <w:t>a</w:t>
            </w:r>
          </w:p>
        </w:tc>
        <w:tc>
          <w:tcPr>
            <w:tcW w:w="0" w:type="auto"/>
            <w:vAlign w:val="center"/>
          </w:tcPr>
          <w:p w14:paraId="570D577A" w14:textId="77777777" w:rsidR="008072F1" w:rsidRPr="00E87E42" w:rsidRDefault="008072F1" w:rsidP="002623BF">
            <w:pPr>
              <w:spacing w:after="0" w:line="240" w:lineRule="auto"/>
              <w:jc w:val="center"/>
              <w:rPr>
                <w:sz w:val="16"/>
                <w:szCs w:val="16"/>
              </w:rPr>
            </w:pPr>
            <w:r w:rsidRPr="00E87E42">
              <w:rPr>
                <w:sz w:val="16"/>
                <w:szCs w:val="16"/>
              </w:rPr>
              <w:t>b</w:t>
            </w:r>
          </w:p>
        </w:tc>
        <w:tc>
          <w:tcPr>
            <w:tcW w:w="0" w:type="auto"/>
            <w:vAlign w:val="center"/>
          </w:tcPr>
          <w:p w14:paraId="35E1BAFD" w14:textId="77777777" w:rsidR="008072F1" w:rsidRPr="00E87E42" w:rsidRDefault="008072F1" w:rsidP="002623BF">
            <w:pPr>
              <w:spacing w:after="0" w:line="240" w:lineRule="auto"/>
              <w:jc w:val="center"/>
              <w:rPr>
                <w:sz w:val="16"/>
                <w:szCs w:val="16"/>
              </w:rPr>
            </w:pPr>
            <w:r w:rsidRPr="00E87E42">
              <w:rPr>
                <w:sz w:val="16"/>
                <w:szCs w:val="16"/>
              </w:rPr>
              <w:t>a</w:t>
            </w:r>
          </w:p>
        </w:tc>
        <w:tc>
          <w:tcPr>
            <w:tcW w:w="0" w:type="auto"/>
            <w:vAlign w:val="center"/>
          </w:tcPr>
          <w:p w14:paraId="2FCF4351" w14:textId="77777777" w:rsidR="008072F1" w:rsidRPr="00E87E42" w:rsidRDefault="008072F1" w:rsidP="002623BF">
            <w:pPr>
              <w:spacing w:after="0" w:line="240" w:lineRule="auto"/>
              <w:jc w:val="center"/>
              <w:rPr>
                <w:sz w:val="16"/>
                <w:szCs w:val="16"/>
              </w:rPr>
            </w:pPr>
            <w:r w:rsidRPr="00E87E42">
              <w:rPr>
                <w:sz w:val="16"/>
                <w:szCs w:val="16"/>
              </w:rPr>
              <w:t>b</w:t>
            </w:r>
          </w:p>
        </w:tc>
        <w:tc>
          <w:tcPr>
            <w:tcW w:w="0" w:type="auto"/>
            <w:vAlign w:val="center"/>
          </w:tcPr>
          <w:p w14:paraId="3D56583D" w14:textId="77777777" w:rsidR="008072F1" w:rsidRPr="00E87E42" w:rsidRDefault="008072F1" w:rsidP="002623BF">
            <w:pPr>
              <w:spacing w:after="0" w:line="240" w:lineRule="auto"/>
              <w:jc w:val="center"/>
              <w:rPr>
                <w:sz w:val="16"/>
                <w:szCs w:val="16"/>
              </w:rPr>
            </w:pPr>
            <w:r w:rsidRPr="00E87E42">
              <w:rPr>
                <w:sz w:val="16"/>
                <w:szCs w:val="16"/>
              </w:rPr>
              <w:t>R</w:t>
            </w:r>
            <w:r w:rsidRPr="00E87E42">
              <w:rPr>
                <w:sz w:val="16"/>
                <w:szCs w:val="16"/>
                <w:vertAlign w:val="superscript"/>
              </w:rPr>
              <w:t>2</w:t>
            </w:r>
          </w:p>
        </w:tc>
        <w:tc>
          <w:tcPr>
            <w:tcW w:w="0" w:type="auto"/>
            <w:vAlign w:val="center"/>
          </w:tcPr>
          <w:p w14:paraId="3483DF86" w14:textId="77777777" w:rsidR="008072F1" w:rsidRPr="00E87E42" w:rsidRDefault="008072F1" w:rsidP="002623BF">
            <w:pPr>
              <w:spacing w:after="0" w:line="240" w:lineRule="auto"/>
              <w:jc w:val="center"/>
              <w:rPr>
                <w:sz w:val="16"/>
                <w:szCs w:val="16"/>
              </w:rPr>
            </w:pPr>
            <w:r w:rsidRPr="00E87E42">
              <w:rPr>
                <w:sz w:val="16"/>
                <w:szCs w:val="16"/>
              </w:rPr>
              <w:t>Law</w:t>
            </w:r>
          </w:p>
        </w:tc>
        <w:tc>
          <w:tcPr>
            <w:tcW w:w="0" w:type="auto"/>
            <w:vAlign w:val="center"/>
          </w:tcPr>
          <w:p w14:paraId="4222D678" w14:textId="77777777" w:rsidR="008072F1" w:rsidRPr="00E87E42" w:rsidRDefault="008072F1" w:rsidP="002623BF">
            <w:pPr>
              <w:spacing w:after="0" w:line="240" w:lineRule="auto"/>
              <w:jc w:val="center"/>
              <w:rPr>
                <w:sz w:val="16"/>
                <w:szCs w:val="16"/>
              </w:rPr>
            </w:pPr>
            <w:r w:rsidRPr="00E87E42">
              <w:rPr>
                <w:sz w:val="16"/>
                <w:szCs w:val="16"/>
              </w:rPr>
              <w:t>R</w:t>
            </w:r>
            <w:r w:rsidRPr="00E87E42">
              <w:rPr>
                <w:sz w:val="16"/>
                <w:szCs w:val="16"/>
                <w:vertAlign w:val="superscript"/>
              </w:rPr>
              <w:t>2</w:t>
            </w:r>
          </w:p>
        </w:tc>
      </w:tr>
      <w:tr w:rsidR="008072F1" w:rsidRPr="00E87E42" w14:paraId="7F3FB7A9" w14:textId="77777777" w:rsidTr="008A55B5">
        <w:trPr>
          <w:trHeight w:val="170"/>
        </w:trPr>
        <w:tc>
          <w:tcPr>
            <w:tcW w:w="0" w:type="auto"/>
            <w:vAlign w:val="center"/>
          </w:tcPr>
          <w:p w14:paraId="59830CC5" w14:textId="77777777" w:rsidR="008072F1" w:rsidRPr="00E87E42" w:rsidRDefault="008072F1" w:rsidP="00836131">
            <w:pPr>
              <w:spacing w:after="0" w:line="240" w:lineRule="auto"/>
              <w:jc w:val="center"/>
              <w:rPr>
                <w:sz w:val="16"/>
                <w:szCs w:val="16"/>
              </w:rPr>
            </w:pPr>
            <w:r w:rsidRPr="00E87E42">
              <w:rPr>
                <w:sz w:val="16"/>
                <w:szCs w:val="16"/>
              </w:rPr>
              <w:t>Storage</w:t>
            </w:r>
          </w:p>
        </w:tc>
        <w:tc>
          <w:tcPr>
            <w:tcW w:w="0" w:type="auto"/>
            <w:vAlign w:val="center"/>
          </w:tcPr>
          <w:p w14:paraId="138DC201" w14:textId="04FDE436" w:rsidR="008072F1" w:rsidRPr="00E87E42" w:rsidRDefault="008072F1" w:rsidP="002623BF">
            <w:pPr>
              <w:spacing w:after="0" w:line="240" w:lineRule="auto"/>
              <w:jc w:val="left"/>
              <w:rPr>
                <w:sz w:val="16"/>
                <w:szCs w:val="16"/>
              </w:rPr>
            </w:pPr>
            <w:r w:rsidRPr="00E87E42">
              <w:rPr>
                <w:sz w:val="16"/>
                <w:szCs w:val="16"/>
              </w:rPr>
              <w:t>0</w:t>
            </w:r>
            <w:r w:rsidR="001258FD" w:rsidRPr="00E87E42">
              <w:rPr>
                <w:sz w:val="16"/>
                <w:szCs w:val="16"/>
              </w:rPr>
              <w:t>.</w:t>
            </w:r>
            <w:r w:rsidRPr="00E87E42">
              <w:rPr>
                <w:sz w:val="16"/>
                <w:szCs w:val="16"/>
              </w:rPr>
              <w:t>00067</w:t>
            </w:r>
          </w:p>
        </w:tc>
        <w:tc>
          <w:tcPr>
            <w:tcW w:w="0" w:type="auto"/>
            <w:vAlign w:val="center"/>
          </w:tcPr>
          <w:p w14:paraId="40584B13" w14:textId="77777777" w:rsidR="008072F1" w:rsidRPr="00E87E42" w:rsidRDefault="008072F1" w:rsidP="00836131">
            <w:pPr>
              <w:spacing w:after="0" w:line="240" w:lineRule="auto"/>
              <w:jc w:val="center"/>
              <w:rPr>
                <w:sz w:val="16"/>
                <w:szCs w:val="16"/>
              </w:rPr>
            </w:pPr>
            <w:r w:rsidRPr="00E87E42">
              <w:rPr>
                <w:sz w:val="16"/>
                <w:szCs w:val="16"/>
              </w:rPr>
              <w:t>0.5</w:t>
            </w:r>
          </w:p>
        </w:tc>
        <w:tc>
          <w:tcPr>
            <w:tcW w:w="0" w:type="auto"/>
            <w:vAlign w:val="center"/>
          </w:tcPr>
          <w:p w14:paraId="1644DFE9" w14:textId="77777777" w:rsidR="008072F1" w:rsidRPr="00E87E42" w:rsidRDefault="008072F1" w:rsidP="00836131">
            <w:pPr>
              <w:spacing w:after="0" w:line="240" w:lineRule="auto"/>
              <w:jc w:val="center"/>
              <w:rPr>
                <w:sz w:val="16"/>
                <w:szCs w:val="16"/>
              </w:rPr>
            </w:pPr>
            <w:r w:rsidRPr="00E87E42">
              <w:rPr>
                <w:sz w:val="16"/>
                <w:szCs w:val="16"/>
              </w:rPr>
              <w:t>0.0023</w:t>
            </w:r>
          </w:p>
        </w:tc>
        <w:tc>
          <w:tcPr>
            <w:tcW w:w="0" w:type="auto"/>
            <w:vAlign w:val="center"/>
          </w:tcPr>
          <w:p w14:paraId="6B4EB679" w14:textId="77777777" w:rsidR="008072F1" w:rsidRPr="00E87E42" w:rsidRDefault="008072F1" w:rsidP="00314FD6">
            <w:pPr>
              <w:spacing w:after="0" w:line="240" w:lineRule="auto"/>
              <w:jc w:val="center"/>
              <w:rPr>
                <w:sz w:val="16"/>
                <w:szCs w:val="16"/>
              </w:rPr>
            </w:pPr>
            <w:r w:rsidRPr="00E87E42">
              <w:rPr>
                <w:sz w:val="16"/>
                <w:szCs w:val="16"/>
              </w:rPr>
              <w:t>0.0392</w:t>
            </w:r>
          </w:p>
        </w:tc>
        <w:tc>
          <w:tcPr>
            <w:tcW w:w="0" w:type="auto"/>
            <w:vAlign w:val="center"/>
          </w:tcPr>
          <w:p w14:paraId="45BB2F13" w14:textId="77777777" w:rsidR="008072F1" w:rsidRPr="00E87E42" w:rsidRDefault="008072F1" w:rsidP="00214A6C">
            <w:pPr>
              <w:spacing w:after="0" w:line="240" w:lineRule="auto"/>
              <w:jc w:val="center"/>
              <w:rPr>
                <w:sz w:val="16"/>
                <w:szCs w:val="16"/>
              </w:rPr>
            </w:pPr>
            <w:r w:rsidRPr="00E87E42">
              <w:rPr>
                <w:sz w:val="16"/>
                <w:szCs w:val="16"/>
              </w:rPr>
              <w:t>0.0001</w:t>
            </w:r>
          </w:p>
        </w:tc>
        <w:tc>
          <w:tcPr>
            <w:tcW w:w="0" w:type="auto"/>
            <w:vAlign w:val="center"/>
          </w:tcPr>
          <w:p w14:paraId="3909D421" w14:textId="77777777" w:rsidR="008072F1" w:rsidRPr="00E87E42" w:rsidRDefault="008072F1" w:rsidP="00214A6C">
            <w:pPr>
              <w:spacing w:after="0" w:line="240" w:lineRule="auto"/>
              <w:jc w:val="center"/>
              <w:rPr>
                <w:sz w:val="16"/>
                <w:szCs w:val="16"/>
              </w:rPr>
            </w:pPr>
            <w:r w:rsidRPr="00E87E42">
              <w:rPr>
                <w:sz w:val="16"/>
                <w:szCs w:val="16"/>
              </w:rPr>
              <w:t>0.349</w:t>
            </w:r>
          </w:p>
        </w:tc>
        <w:tc>
          <w:tcPr>
            <w:tcW w:w="0" w:type="auto"/>
            <w:vAlign w:val="center"/>
          </w:tcPr>
          <w:p w14:paraId="491BC2DD" w14:textId="77777777" w:rsidR="008072F1" w:rsidRPr="00E87E42" w:rsidRDefault="008072F1" w:rsidP="00281B2C">
            <w:pPr>
              <w:spacing w:after="0" w:line="240" w:lineRule="auto"/>
              <w:jc w:val="center"/>
              <w:rPr>
                <w:sz w:val="16"/>
                <w:szCs w:val="16"/>
              </w:rPr>
            </w:pPr>
            <w:r w:rsidRPr="00E87E42">
              <w:rPr>
                <w:sz w:val="16"/>
                <w:szCs w:val="16"/>
              </w:rPr>
              <w:t>0.405</w:t>
            </w:r>
          </w:p>
        </w:tc>
        <w:tc>
          <w:tcPr>
            <w:tcW w:w="0" w:type="auto"/>
            <w:vAlign w:val="center"/>
          </w:tcPr>
          <w:p w14:paraId="490F8010" w14:textId="77777777" w:rsidR="008072F1" w:rsidRPr="00E87E42" w:rsidRDefault="008072F1" w:rsidP="002623BF">
            <w:pPr>
              <w:spacing w:after="0" w:line="240" w:lineRule="auto"/>
              <w:jc w:val="center"/>
              <w:rPr>
                <w:sz w:val="16"/>
                <w:szCs w:val="16"/>
              </w:rPr>
            </w:pPr>
            <w:r w:rsidRPr="00E87E42">
              <w:rPr>
                <w:sz w:val="16"/>
                <w:szCs w:val="16"/>
              </w:rPr>
              <w:t>-3.75*10</w:t>
            </w:r>
            <w:r w:rsidRPr="00E87E42">
              <w:rPr>
                <w:sz w:val="16"/>
                <w:szCs w:val="16"/>
                <w:vertAlign w:val="superscript"/>
              </w:rPr>
              <w:t>-17</w:t>
            </w:r>
            <w:r w:rsidRPr="00E87E42">
              <w:rPr>
                <w:sz w:val="16"/>
                <w:szCs w:val="16"/>
              </w:rPr>
              <w:t>A</w:t>
            </w:r>
            <w:r w:rsidRPr="00E87E42">
              <w:rPr>
                <w:sz w:val="16"/>
                <w:szCs w:val="16"/>
                <w:vertAlign w:val="superscript"/>
              </w:rPr>
              <w:t>3</w:t>
            </w:r>
            <w:r w:rsidRPr="00E87E42">
              <w:rPr>
                <w:sz w:val="16"/>
                <w:szCs w:val="16"/>
              </w:rPr>
              <w:t>+7.26*10</w:t>
            </w:r>
            <w:r w:rsidRPr="00E87E42">
              <w:rPr>
                <w:sz w:val="16"/>
                <w:szCs w:val="16"/>
                <w:vertAlign w:val="superscript"/>
              </w:rPr>
              <w:t>-12</w:t>
            </w:r>
            <w:r w:rsidRPr="00E87E42">
              <w:rPr>
                <w:sz w:val="16"/>
                <w:szCs w:val="16"/>
              </w:rPr>
              <w:t>A</w:t>
            </w:r>
            <w:r w:rsidRPr="00E87E42">
              <w:rPr>
                <w:sz w:val="16"/>
                <w:szCs w:val="16"/>
                <w:vertAlign w:val="superscript"/>
              </w:rPr>
              <w:t>2</w:t>
            </w:r>
            <w:r w:rsidRPr="00E87E42">
              <w:rPr>
                <w:sz w:val="16"/>
                <w:szCs w:val="16"/>
              </w:rPr>
              <w:t>-9.90*10</w:t>
            </w:r>
            <w:r w:rsidRPr="00E87E42">
              <w:rPr>
                <w:sz w:val="16"/>
                <w:szCs w:val="16"/>
                <w:vertAlign w:val="superscript"/>
              </w:rPr>
              <w:t>-8</w:t>
            </w:r>
            <w:r w:rsidRPr="00E87E42">
              <w:rPr>
                <w:sz w:val="16"/>
                <w:szCs w:val="16"/>
              </w:rPr>
              <w:t>A+0.0019</w:t>
            </w:r>
          </w:p>
        </w:tc>
        <w:tc>
          <w:tcPr>
            <w:tcW w:w="0" w:type="auto"/>
            <w:vAlign w:val="center"/>
          </w:tcPr>
          <w:p w14:paraId="72B0AF3D" w14:textId="77777777" w:rsidR="008072F1" w:rsidRPr="00E87E42" w:rsidRDefault="008072F1" w:rsidP="002623BF">
            <w:pPr>
              <w:spacing w:after="0" w:line="240" w:lineRule="auto"/>
              <w:jc w:val="center"/>
              <w:rPr>
                <w:sz w:val="16"/>
                <w:szCs w:val="16"/>
              </w:rPr>
            </w:pPr>
            <w:r w:rsidRPr="00E87E42">
              <w:rPr>
                <w:sz w:val="16"/>
                <w:szCs w:val="16"/>
              </w:rPr>
              <w:t>0.993</w:t>
            </w:r>
          </w:p>
        </w:tc>
      </w:tr>
      <w:tr w:rsidR="008072F1" w:rsidRPr="00E87E42" w14:paraId="62E4DFD6" w14:textId="77777777" w:rsidTr="008A55B5">
        <w:trPr>
          <w:trHeight w:val="170"/>
        </w:trPr>
        <w:tc>
          <w:tcPr>
            <w:tcW w:w="0" w:type="auto"/>
            <w:vAlign w:val="center"/>
          </w:tcPr>
          <w:p w14:paraId="4A75BC04" w14:textId="77777777" w:rsidR="008072F1" w:rsidRPr="00E87E42" w:rsidRDefault="008072F1" w:rsidP="00836131">
            <w:pPr>
              <w:spacing w:after="0" w:line="240" w:lineRule="auto"/>
              <w:jc w:val="center"/>
              <w:rPr>
                <w:sz w:val="16"/>
                <w:szCs w:val="16"/>
              </w:rPr>
            </w:pPr>
            <w:r w:rsidRPr="00E87E42">
              <w:rPr>
                <w:sz w:val="16"/>
                <w:szCs w:val="16"/>
              </w:rPr>
              <w:t>Shops</w:t>
            </w:r>
          </w:p>
        </w:tc>
        <w:tc>
          <w:tcPr>
            <w:tcW w:w="0" w:type="auto"/>
            <w:vAlign w:val="center"/>
          </w:tcPr>
          <w:p w14:paraId="21BAB567" w14:textId="77777777" w:rsidR="008072F1" w:rsidRPr="00E87E42" w:rsidRDefault="008072F1" w:rsidP="002623BF">
            <w:pPr>
              <w:spacing w:after="0" w:line="240" w:lineRule="auto"/>
              <w:jc w:val="left"/>
              <w:rPr>
                <w:sz w:val="16"/>
                <w:szCs w:val="16"/>
              </w:rPr>
            </w:pPr>
            <w:r w:rsidRPr="00E87E42">
              <w:rPr>
                <w:sz w:val="16"/>
                <w:szCs w:val="16"/>
              </w:rPr>
              <w:t>0.000066</w:t>
            </w:r>
          </w:p>
        </w:tc>
        <w:tc>
          <w:tcPr>
            <w:tcW w:w="0" w:type="auto"/>
            <w:vAlign w:val="center"/>
          </w:tcPr>
          <w:p w14:paraId="12CE02FE" w14:textId="77777777" w:rsidR="008072F1" w:rsidRPr="00E87E42" w:rsidRDefault="008072F1" w:rsidP="00836131">
            <w:pPr>
              <w:spacing w:after="0" w:line="240" w:lineRule="auto"/>
              <w:jc w:val="center"/>
              <w:rPr>
                <w:sz w:val="16"/>
                <w:szCs w:val="16"/>
              </w:rPr>
            </w:pPr>
            <w:r w:rsidRPr="00E87E42">
              <w:rPr>
                <w:sz w:val="16"/>
                <w:szCs w:val="16"/>
              </w:rPr>
              <w:t>1</w:t>
            </w:r>
          </w:p>
        </w:tc>
        <w:tc>
          <w:tcPr>
            <w:tcW w:w="0" w:type="auto"/>
            <w:vMerge w:val="restart"/>
            <w:vAlign w:val="center"/>
          </w:tcPr>
          <w:p w14:paraId="04558432" w14:textId="77777777" w:rsidR="008072F1" w:rsidRPr="00E87E42" w:rsidRDefault="008072F1" w:rsidP="00836131">
            <w:pPr>
              <w:spacing w:after="0" w:line="240" w:lineRule="auto"/>
              <w:jc w:val="center"/>
              <w:rPr>
                <w:sz w:val="16"/>
                <w:szCs w:val="16"/>
              </w:rPr>
            </w:pPr>
            <w:r w:rsidRPr="00E87E42">
              <w:rPr>
                <w:sz w:val="16"/>
                <w:szCs w:val="16"/>
              </w:rPr>
              <w:t>0.0010</w:t>
            </w:r>
          </w:p>
        </w:tc>
        <w:tc>
          <w:tcPr>
            <w:tcW w:w="0" w:type="auto"/>
            <w:vMerge w:val="restart"/>
            <w:vAlign w:val="center"/>
          </w:tcPr>
          <w:p w14:paraId="5FBD354C" w14:textId="77777777" w:rsidR="008072F1" w:rsidRPr="00E87E42" w:rsidRDefault="008072F1" w:rsidP="00314FD6">
            <w:pPr>
              <w:spacing w:after="0" w:line="240" w:lineRule="auto"/>
              <w:jc w:val="center"/>
              <w:rPr>
                <w:sz w:val="16"/>
                <w:szCs w:val="16"/>
              </w:rPr>
            </w:pPr>
            <w:r w:rsidRPr="00E87E42">
              <w:rPr>
                <w:sz w:val="16"/>
                <w:szCs w:val="16"/>
              </w:rPr>
              <w:t>0.0589</w:t>
            </w:r>
          </w:p>
        </w:tc>
        <w:tc>
          <w:tcPr>
            <w:tcW w:w="0" w:type="auto"/>
            <w:vMerge w:val="restart"/>
            <w:vAlign w:val="center"/>
          </w:tcPr>
          <w:p w14:paraId="78B29B38" w14:textId="77777777" w:rsidR="008072F1" w:rsidRPr="00E87E42" w:rsidRDefault="008072F1" w:rsidP="00214A6C">
            <w:pPr>
              <w:spacing w:after="0" w:line="240" w:lineRule="auto"/>
              <w:jc w:val="center"/>
              <w:rPr>
                <w:sz w:val="16"/>
                <w:szCs w:val="16"/>
              </w:rPr>
            </w:pPr>
            <w:r w:rsidRPr="00E87E42">
              <w:rPr>
                <w:sz w:val="16"/>
                <w:szCs w:val="16"/>
              </w:rPr>
              <w:t>0.00005</w:t>
            </w:r>
          </w:p>
        </w:tc>
        <w:tc>
          <w:tcPr>
            <w:tcW w:w="0" w:type="auto"/>
            <w:vMerge w:val="restart"/>
            <w:vAlign w:val="center"/>
          </w:tcPr>
          <w:p w14:paraId="76F9A1C9" w14:textId="77777777" w:rsidR="008072F1" w:rsidRPr="00E87E42" w:rsidRDefault="008072F1" w:rsidP="00214A6C">
            <w:pPr>
              <w:spacing w:after="0" w:line="240" w:lineRule="auto"/>
              <w:jc w:val="center"/>
              <w:rPr>
                <w:sz w:val="16"/>
                <w:szCs w:val="16"/>
              </w:rPr>
            </w:pPr>
            <w:r w:rsidRPr="00E87E42">
              <w:rPr>
                <w:sz w:val="16"/>
                <w:szCs w:val="16"/>
              </w:rPr>
              <w:t>0.4514</w:t>
            </w:r>
          </w:p>
        </w:tc>
        <w:tc>
          <w:tcPr>
            <w:tcW w:w="0" w:type="auto"/>
            <w:vMerge w:val="restart"/>
            <w:vAlign w:val="center"/>
          </w:tcPr>
          <w:p w14:paraId="61C09254" w14:textId="77777777" w:rsidR="008072F1" w:rsidRPr="00E87E42" w:rsidRDefault="008072F1" w:rsidP="00281B2C">
            <w:pPr>
              <w:spacing w:after="0" w:line="240" w:lineRule="auto"/>
              <w:jc w:val="center"/>
              <w:rPr>
                <w:sz w:val="16"/>
                <w:szCs w:val="16"/>
              </w:rPr>
            </w:pPr>
            <w:r w:rsidRPr="00E87E42">
              <w:rPr>
                <w:sz w:val="16"/>
                <w:szCs w:val="16"/>
              </w:rPr>
              <w:t>0.927</w:t>
            </w:r>
          </w:p>
        </w:tc>
        <w:tc>
          <w:tcPr>
            <w:tcW w:w="0" w:type="auto"/>
            <w:vMerge w:val="restart"/>
            <w:vAlign w:val="center"/>
          </w:tcPr>
          <w:p w14:paraId="33BA9987" w14:textId="0B7C3FC0" w:rsidR="008072F1" w:rsidRPr="00E87E42" w:rsidRDefault="008072F1" w:rsidP="002623BF">
            <w:pPr>
              <w:spacing w:after="0" w:line="240" w:lineRule="auto"/>
              <w:jc w:val="center"/>
              <w:rPr>
                <w:sz w:val="16"/>
                <w:szCs w:val="16"/>
              </w:rPr>
            </w:pPr>
            <w:r w:rsidRPr="00E87E42">
              <w:rPr>
                <w:sz w:val="16"/>
                <w:szCs w:val="16"/>
              </w:rPr>
              <w:t>4.88*10</w:t>
            </w:r>
            <w:r w:rsidRPr="00E87E42">
              <w:rPr>
                <w:sz w:val="16"/>
                <w:szCs w:val="16"/>
                <w:vertAlign w:val="superscript"/>
              </w:rPr>
              <w:t>-17</w:t>
            </w:r>
            <w:r w:rsidRPr="00E87E42">
              <w:rPr>
                <w:sz w:val="16"/>
                <w:szCs w:val="16"/>
              </w:rPr>
              <w:t>A</w:t>
            </w:r>
            <w:r w:rsidRPr="00E87E42">
              <w:rPr>
                <w:sz w:val="16"/>
                <w:szCs w:val="16"/>
                <w:vertAlign w:val="superscript"/>
              </w:rPr>
              <w:t>3</w:t>
            </w:r>
            <w:r w:rsidRPr="00E87E42">
              <w:rPr>
                <w:sz w:val="16"/>
                <w:szCs w:val="16"/>
              </w:rPr>
              <w:t>-4.61</w:t>
            </w:r>
            <w:r w:rsidR="00694494" w:rsidRPr="00E87E42">
              <w:rPr>
                <w:sz w:val="16"/>
                <w:szCs w:val="16"/>
              </w:rPr>
              <w:t>*</w:t>
            </w:r>
            <w:r w:rsidRPr="00E87E42">
              <w:rPr>
                <w:sz w:val="16"/>
                <w:szCs w:val="16"/>
              </w:rPr>
              <w:t>10</w:t>
            </w:r>
            <w:r w:rsidRPr="00E87E42">
              <w:rPr>
                <w:sz w:val="16"/>
                <w:szCs w:val="16"/>
                <w:vertAlign w:val="superscript"/>
              </w:rPr>
              <w:t>-12</w:t>
            </w:r>
            <w:r w:rsidRPr="00E87E42">
              <w:rPr>
                <w:sz w:val="16"/>
                <w:szCs w:val="16"/>
              </w:rPr>
              <w:t>A</w:t>
            </w:r>
            <w:r w:rsidRPr="00E87E42">
              <w:rPr>
                <w:sz w:val="16"/>
                <w:szCs w:val="16"/>
                <w:vertAlign w:val="superscript"/>
              </w:rPr>
              <w:t>2</w:t>
            </w:r>
            <w:r w:rsidRPr="00E87E42">
              <w:rPr>
                <w:sz w:val="16"/>
                <w:szCs w:val="16"/>
              </w:rPr>
              <w:t>+2.25*10</w:t>
            </w:r>
            <w:r w:rsidRPr="00E87E42">
              <w:rPr>
                <w:sz w:val="16"/>
                <w:szCs w:val="16"/>
                <w:vertAlign w:val="superscript"/>
              </w:rPr>
              <w:t>-7</w:t>
            </w:r>
            <w:r w:rsidRPr="00E87E42">
              <w:rPr>
                <w:sz w:val="16"/>
                <w:szCs w:val="16"/>
              </w:rPr>
              <w:t>A+0.0008</w:t>
            </w:r>
          </w:p>
        </w:tc>
        <w:tc>
          <w:tcPr>
            <w:tcW w:w="0" w:type="auto"/>
            <w:vMerge w:val="restart"/>
            <w:vAlign w:val="center"/>
          </w:tcPr>
          <w:p w14:paraId="18A090EF" w14:textId="38A670AF" w:rsidR="008072F1" w:rsidRPr="00E87E42" w:rsidRDefault="008072F1" w:rsidP="002623BF">
            <w:pPr>
              <w:spacing w:after="0" w:line="240" w:lineRule="auto"/>
              <w:jc w:val="center"/>
              <w:rPr>
                <w:sz w:val="16"/>
                <w:szCs w:val="16"/>
              </w:rPr>
            </w:pPr>
            <w:r w:rsidRPr="00E87E42">
              <w:rPr>
                <w:sz w:val="16"/>
                <w:szCs w:val="16"/>
              </w:rPr>
              <w:t>0.99</w:t>
            </w:r>
            <w:r w:rsidR="00694494" w:rsidRPr="00E87E42">
              <w:rPr>
                <w:sz w:val="16"/>
                <w:szCs w:val="16"/>
              </w:rPr>
              <w:t>7</w:t>
            </w:r>
          </w:p>
        </w:tc>
      </w:tr>
      <w:tr w:rsidR="008072F1" w:rsidRPr="00E87E42" w14:paraId="1C1DB65E" w14:textId="77777777" w:rsidTr="008A55B5">
        <w:trPr>
          <w:trHeight w:val="170"/>
        </w:trPr>
        <w:tc>
          <w:tcPr>
            <w:tcW w:w="0" w:type="auto"/>
            <w:vAlign w:val="center"/>
          </w:tcPr>
          <w:p w14:paraId="016C0BBC" w14:textId="77777777" w:rsidR="008072F1" w:rsidRPr="00E87E42" w:rsidRDefault="008072F1" w:rsidP="00836131">
            <w:pPr>
              <w:spacing w:after="0" w:line="240" w:lineRule="auto"/>
              <w:jc w:val="center"/>
              <w:rPr>
                <w:sz w:val="16"/>
                <w:szCs w:val="16"/>
              </w:rPr>
            </w:pPr>
            <w:r w:rsidRPr="00E87E42">
              <w:rPr>
                <w:sz w:val="16"/>
                <w:szCs w:val="16"/>
              </w:rPr>
              <w:t>Offices</w:t>
            </w:r>
          </w:p>
        </w:tc>
        <w:tc>
          <w:tcPr>
            <w:tcW w:w="0" w:type="auto"/>
            <w:vAlign w:val="center"/>
          </w:tcPr>
          <w:p w14:paraId="290AC97F" w14:textId="77777777" w:rsidR="008072F1" w:rsidRPr="00E87E42" w:rsidRDefault="008072F1" w:rsidP="002623BF">
            <w:pPr>
              <w:spacing w:after="0" w:line="240" w:lineRule="auto"/>
              <w:jc w:val="left"/>
              <w:rPr>
                <w:sz w:val="16"/>
                <w:szCs w:val="16"/>
              </w:rPr>
            </w:pPr>
            <w:r w:rsidRPr="00E87E42">
              <w:rPr>
                <w:sz w:val="16"/>
                <w:szCs w:val="16"/>
              </w:rPr>
              <w:t>0.000059</w:t>
            </w:r>
          </w:p>
        </w:tc>
        <w:tc>
          <w:tcPr>
            <w:tcW w:w="0" w:type="auto"/>
            <w:vAlign w:val="center"/>
          </w:tcPr>
          <w:p w14:paraId="1DE0C855" w14:textId="77777777" w:rsidR="008072F1" w:rsidRPr="00E87E42" w:rsidRDefault="008072F1" w:rsidP="00836131">
            <w:pPr>
              <w:spacing w:after="0" w:line="240" w:lineRule="auto"/>
              <w:jc w:val="center"/>
              <w:rPr>
                <w:sz w:val="16"/>
                <w:szCs w:val="16"/>
              </w:rPr>
            </w:pPr>
            <w:r w:rsidRPr="00E87E42">
              <w:rPr>
                <w:sz w:val="16"/>
                <w:szCs w:val="16"/>
              </w:rPr>
              <w:t>0.9</w:t>
            </w:r>
          </w:p>
        </w:tc>
        <w:tc>
          <w:tcPr>
            <w:tcW w:w="0" w:type="auto"/>
            <w:vMerge/>
            <w:vAlign w:val="center"/>
          </w:tcPr>
          <w:p w14:paraId="537236E3" w14:textId="77777777" w:rsidR="008072F1" w:rsidRPr="00E87E42" w:rsidRDefault="008072F1" w:rsidP="002623BF">
            <w:pPr>
              <w:spacing w:after="0" w:line="240" w:lineRule="auto"/>
              <w:jc w:val="center"/>
              <w:rPr>
                <w:sz w:val="16"/>
                <w:szCs w:val="16"/>
              </w:rPr>
            </w:pPr>
          </w:p>
        </w:tc>
        <w:tc>
          <w:tcPr>
            <w:tcW w:w="0" w:type="auto"/>
            <w:vMerge/>
            <w:vAlign w:val="center"/>
          </w:tcPr>
          <w:p w14:paraId="5FB08807" w14:textId="77777777" w:rsidR="008072F1" w:rsidRPr="00E87E42" w:rsidRDefault="008072F1" w:rsidP="002623BF">
            <w:pPr>
              <w:spacing w:after="0" w:line="240" w:lineRule="auto"/>
              <w:jc w:val="center"/>
              <w:rPr>
                <w:sz w:val="16"/>
                <w:szCs w:val="16"/>
              </w:rPr>
            </w:pPr>
          </w:p>
        </w:tc>
        <w:tc>
          <w:tcPr>
            <w:tcW w:w="0" w:type="auto"/>
            <w:vMerge/>
            <w:vAlign w:val="center"/>
          </w:tcPr>
          <w:p w14:paraId="125F69BC" w14:textId="77777777" w:rsidR="008072F1" w:rsidRPr="00E87E42" w:rsidRDefault="008072F1" w:rsidP="002623BF">
            <w:pPr>
              <w:spacing w:after="0" w:line="240" w:lineRule="auto"/>
              <w:jc w:val="center"/>
              <w:rPr>
                <w:sz w:val="16"/>
                <w:szCs w:val="16"/>
              </w:rPr>
            </w:pPr>
          </w:p>
        </w:tc>
        <w:tc>
          <w:tcPr>
            <w:tcW w:w="0" w:type="auto"/>
            <w:vMerge/>
            <w:vAlign w:val="center"/>
          </w:tcPr>
          <w:p w14:paraId="71680811" w14:textId="77777777" w:rsidR="008072F1" w:rsidRPr="00E87E42" w:rsidRDefault="008072F1" w:rsidP="002623BF">
            <w:pPr>
              <w:spacing w:after="0" w:line="240" w:lineRule="auto"/>
              <w:jc w:val="center"/>
              <w:rPr>
                <w:sz w:val="16"/>
                <w:szCs w:val="16"/>
              </w:rPr>
            </w:pPr>
          </w:p>
        </w:tc>
        <w:tc>
          <w:tcPr>
            <w:tcW w:w="0" w:type="auto"/>
            <w:vMerge/>
            <w:vAlign w:val="center"/>
          </w:tcPr>
          <w:p w14:paraId="3F0A6BE9" w14:textId="77777777" w:rsidR="008072F1" w:rsidRPr="00E87E42" w:rsidRDefault="008072F1" w:rsidP="002623BF">
            <w:pPr>
              <w:spacing w:after="0" w:line="240" w:lineRule="auto"/>
              <w:jc w:val="center"/>
              <w:rPr>
                <w:sz w:val="16"/>
                <w:szCs w:val="16"/>
              </w:rPr>
            </w:pPr>
          </w:p>
        </w:tc>
        <w:tc>
          <w:tcPr>
            <w:tcW w:w="0" w:type="auto"/>
            <w:vMerge/>
            <w:vAlign w:val="center"/>
          </w:tcPr>
          <w:p w14:paraId="0DDAADAD" w14:textId="77777777" w:rsidR="008072F1" w:rsidRPr="00E87E42" w:rsidRDefault="008072F1" w:rsidP="002623BF">
            <w:pPr>
              <w:spacing w:after="0" w:line="240" w:lineRule="auto"/>
              <w:jc w:val="center"/>
              <w:rPr>
                <w:sz w:val="16"/>
                <w:szCs w:val="16"/>
              </w:rPr>
            </w:pPr>
          </w:p>
        </w:tc>
        <w:tc>
          <w:tcPr>
            <w:tcW w:w="0" w:type="auto"/>
            <w:vMerge/>
            <w:vAlign w:val="center"/>
          </w:tcPr>
          <w:p w14:paraId="19458C22" w14:textId="77777777" w:rsidR="008072F1" w:rsidRPr="00E87E42" w:rsidRDefault="008072F1" w:rsidP="002623BF">
            <w:pPr>
              <w:spacing w:after="0" w:line="240" w:lineRule="auto"/>
              <w:jc w:val="center"/>
              <w:rPr>
                <w:sz w:val="16"/>
                <w:szCs w:val="16"/>
              </w:rPr>
            </w:pPr>
          </w:p>
        </w:tc>
      </w:tr>
      <w:tr w:rsidR="008072F1" w:rsidRPr="00E87E42" w14:paraId="78AC87E8" w14:textId="77777777" w:rsidTr="008A55B5">
        <w:trPr>
          <w:trHeight w:val="170"/>
        </w:trPr>
        <w:tc>
          <w:tcPr>
            <w:tcW w:w="0" w:type="auto"/>
            <w:vAlign w:val="center"/>
          </w:tcPr>
          <w:p w14:paraId="3AE9E899" w14:textId="77777777" w:rsidR="008072F1" w:rsidRPr="00E87E42" w:rsidRDefault="008072F1" w:rsidP="00836131">
            <w:pPr>
              <w:spacing w:after="0" w:line="240" w:lineRule="auto"/>
              <w:jc w:val="center"/>
              <w:rPr>
                <w:sz w:val="16"/>
                <w:szCs w:val="16"/>
              </w:rPr>
            </w:pPr>
            <w:r w:rsidRPr="00E87E42">
              <w:rPr>
                <w:sz w:val="16"/>
                <w:szCs w:val="16"/>
              </w:rPr>
              <w:t>Hotels</w:t>
            </w:r>
          </w:p>
        </w:tc>
        <w:tc>
          <w:tcPr>
            <w:tcW w:w="0" w:type="auto"/>
            <w:vAlign w:val="center"/>
          </w:tcPr>
          <w:p w14:paraId="3A8D151E" w14:textId="77777777" w:rsidR="008072F1" w:rsidRPr="00E87E42" w:rsidRDefault="008072F1" w:rsidP="002623BF">
            <w:pPr>
              <w:spacing w:after="0" w:line="240" w:lineRule="auto"/>
              <w:jc w:val="left"/>
              <w:rPr>
                <w:sz w:val="16"/>
                <w:szCs w:val="16"/>
              </w:rPr>
            </w:pPr>
            <w:r w:rsidRPr="00E87E42">
              <w:rPr>
                <w:sz w:val="16"/>
                <w:szCs w:val="16"/>
              </w:rPr>
              <w:t>0.00008</w:t>
            </w:r>
          </w:p>
        </w:tc>
        <w:tc>
          <w:tcPr>
            <w:tcW w:w="0" w:type="auto"/>
            <w:vAlign w:val="center"/>
          </w:tcPr>
          <w:p w14:paraId="516FEA14" w14:textId="77777777" w:rsidR="008072F1" w:rsidRPr="00E87E42" w:rsidRDefault="008072F1" w:rsidP="00836131">
            <w:pPr>
              <w:spacing w:after="0" w:line="240" w:lineRule="auto"/>
              <w:jc w:val="center"/>
              <w:rPr>
                <w:sz w:val="16"/>
                <w:szCs w:val="16"/>
              </w:rPr>
            </w:pPr>
            <w:r w:rsidRPr="00E87E42">
              <w:rPr>
                <w:sz w:val="16"/>
                <w:szCs w:val="16"/>
              </w:rPr>
              <w:t>1</w:t>
            </w:r>
          </w:p>
        </w:tc>
        <w:tc>
          <w:tcPr>
            <w:tcW w:w="0" w:type="auto"/>
            <w:vAlign w:val="center"/>
          </w:tcPr>
          <w:p w14:paraId="4D73D45C" w14:textId="77777777" w:rsidR="008072F1" w:rsidRPr="00E87E42" w:rsidRDefault="008072F1" w:rsidP="00836131">
            <w:pPr>
              <w:spacing w:after="0" w:line="240" w:lineRule="auto"/>
              <w:jc w:val="center"/>
              <w:rPr>
                <w:sz w:val="16"/>
                <w:szCs w:val="16"/>
              </w:rPr>
            </w:pPr>
            <w:r w:rsidRPr="00E87E42">
              <w:rPr>
                <w:sz w:val="16"/>
                <w:szCs w:val="16"/>
              </w:rPr>
              <w:t>0.0037</w:t>
            </w:r>
          </w:p>
        </w:tc>
        <w:tc>
          <w:tcPr>
            <w:tcW w:w="0" w:type="auto"/>
            <w:vAlign w:val="center"/>
          </w:tcPr>
          <w:p w14:paraId="6FA6B81E" w14:textId="77777777" w:rsidR="008072F1" w:rsidRPr="00E87E42" w:rsidRDefault="008072F1" w:rsidP="00314FD6">
            <w:pPr>
              <w:spacing w:after="0" w:line="240" w:lineRule="auto"/>
              <w:jc w:val="center"/>
              <w:rPr>
                <w:sz w:val="16"/>
                <w:szCs w:val="16"/>
              </w:rPr>
            </w:pPr>
            <w:r w:rsidRPr="00E87E42">
              <w:rPr>
                <w:sz w:val="16"/>
                <w:szCs w:val="16"/>
              </w:rPr>
              <w:t>0.0125</w:t>
            </w:r>
          </w:p>
        </w:tc>
        <w:tc>
          <w:tcPr>
            <w:tcW w:w="0" w:type="auto"/>
            <w:vAlign w:val="center"/>
          </w:tcPr>
          <w:p w14:paraId="69F249E9" w14:textId="77777777" w:rsidR="008072F1" w:rsidRPr="00E87E42" w:rsidRDefault="008072F1" w:rsidP="00214A6C">
            <w:pPr>
              <w:spacing w:after="0" w:line="240" w:lineRule="auto"/>
              <w:jc w:val="center"/>
              <w:rPr>
                <w:sz w:val="16"/>
                <w:szCs w:val="16"/>
              </w:rPr>
            </w:pPr>
            <w:r w:rsidRPr="00E87E42">
              <w:rPr>
                <w:sz w:val="16"/>
                <w:szCs w:val="16"/>
              </w:rPr>
              <w:t>0.0003</w:t>
            </w:r>
          </w:p>
        </w:tc>
        <w:tc>
          <w:tcPr>
            <w:tcW w:w="0" w:type="auto"/>
            <w:vAlign w:val="center"/>
          </w:tcPr>
          <w:p w14:paraId="0F0A68F5" w14:textId="77777777" w:rsidR="008072F1" w:rsidRPr="00E87E42" w:rsidRDefault="008072F1" w:rsidP="00214A6C">
            <w:pPr>
              <w:spacing w:after="0" w:line="240" w:lineRule="auto"/>
              <w:jc w:val="center"/>
              <w:rPr>
                <w:sz w:val="16"/>
                <w:szCs w:val="16"/>
              </w:rPr>
            </w:pPr>
            <w:r w:rsidRPr="00E87E42">
              <w:rPr>
                <w:sz w:val="16"/>
                <w:szCs w:val="16"/>
              </w:rPr>
              <w:t>0.366</w:t>
            </w:r>
          </w:p>
        </w:tc>
        <w:tc>
          <w:tcPr>
            <w:tcW w:w="0" w:type="auto"/>
            <w:vAlign w:val="center"/>
          </w:tcPr>
          <w:p w14:paraId="1D693567" w14:textId="77777777" w:rsidR="008072F1" w:rsidRPr="00E87E42" w:rsidRDefault="008072F1" w:rsidP="00281B2C">
            <w:pPr>
              <w:spacing w:after="0" w:line="240" w:lineRule="auto"/>
              <w:jc w:val="center"/>
              <w:rPr>
                <w:sz w:val="16"/>
                <w:szCs w:val="16"/>
              </w:rPr>
            </w:pPr>
            <w:r w:rsidRPr="00E87E42">
              <w:rPr>
                <w:sz w:val="16"/>
                <w:szCs w:val="16"/>
              </w:rPr>
              <w:t>0.673</w:t>
            </w:r>
          </w:p>
        </w:tc>
        <w:tc>
          <w:tcPr>
            <w:tcW w:w="0" w:type="auto"/>
            <w:vAlign w:val="center"/>
          </w:tcPr>
          <w:p w14:paraId="6832854F" w14:textId="77777777" w:rsidR="008072F1" w:rsidRPr="00E87E42" w:rsidRDefault="008072F1" w:rsidP="002623BF">
            <w:pPr>
              <w:spacing w:after="0" w:line="240" w:lineRule="auto"/>
              <w:jc w:val="center"/>
              <w:rPr>
                <w:sz w:val="16"/>
                <w:szCs w:val="16"/>
              </w:rPr>
            </w:pPr>
            <w:r w:rsidRPr="00E87E42">
              <w:rPr>
                <w:sz w:val="16"/>
                <w:szCs w:val="16"/>
              </w:rPr>
              <w:t>-1.10*10</w:t>
            </w:r>
            <w:r w:rsidRPr="00E87E42">
              <w:rPr>
                <w:sz w:val="16"/>
                <w:szCs w:val="16"/>
                <w:vertAlign w:val="superscript"/>
              </w:rPr>
              <w:t>-16</w:t>
            </w:r>
            <w:r w:rsidRPr="00E87E42">
              <w:rPr>
                <w:sz w:val="16"/>
                <w:szCs w:val="16"/>
              </w:rPr>
              <w:t>A</w:t>
            </w:r>
            <w:r w:rsidRPr="00E87E42">
              <w:rPr>
                <w:sz w:val="16"/>
                <w:szCs w:val="16"/>
                <w:vertAlign w:val="superscript"/>
              </w:rPr>
              <w:t>3</w:t>
            </w:r>
            <w:r w:rsidRPr="00E87E42">
              <w:rPr>
                <w:sz w:val="16"/>
                <w:szCs w:val="16"/>
              </w:rPr>
              <w:t>+1.13*10</w:t>
            </w:r>
            <w:r w:rsidRPr="00E87E42">
              <w:rPr>
                <w:sz w:val="16"/>
                <w:szCs w:val="16"/>
                <w:vertAlign w:val="superscript"/>
              </w:rPr>
              <w:t>-11</w:t>
            </w:r>
            <w:r w:rsidRPr="00E87E42">
              <w:rPr>
                <w:sz w:val="16"/>
                <w:szCs w:val="16"/>
              </w:rPr>
              <w:t>A</w:t>
            </w:r>
            <w:r w:rsidRPr="00E87E42">
              <w:rPr>
                <w:sz w:val="16"/>
                <w:szCs w:val="16"/>
                <w:vertAlign w:val="superscript"/>
              </w:rPr>
              <w:t>2</w:t>
            </w:r>
            <w:r w:rsidRPr="00E87E42">
              <w:rPr>
                <w:sz w:val="16"/>
                <w:szCs w:val="16"/>
              </w:rPr>
              <w:t>+9.35*10</w:t>
            </w:r>
            <w:r w:rsidRPr="00E87E42">
              <w:rPr>
                <w:sz w:val="16"/>
                <w:szCs w:val="16"/>
                <w:vertAlign w:val="superscript"/>
              </w:rPr>
              <w:t>-8</w:t>
            </w:r>
            <w:r w:rsidRPr="00E87E42">
              <w:rPr>
                <w:sz w:val="16"/>
                <w:szCs w:val="16"/>
              </w:rPr>
              <w:t>A+0.0031</w:t>
            </w:r>
          </w:p>
        </w:tc>
        <w:tc>
          <w:tcPr>
            <w:tcW w:w="0" w:type="auto"/>
            <w:vAlign w:val="center"/>
          </w:tcPr>
          <w:p w14:paraId="7531202E" w14:textId="77777777" w:rsidR="008072F1" w:rsidRPr="00E87E42" w:rsidRDefault="008072F1" w:rsidP="002623BF">
            <w:pPr>
              <w:spacing w:after="0" w:line="240" w:lineRule="auto"/>
              <w:jc w:val="center"/>
              <w:rPr>
                <w:sz w:val="16"/>
                <w:szCs w:val="16"/>
              </w:rPr>
            </w:pPr>
            <w:r w:rsidRPr="00E87E42">
              <w:rPr>
                <w:sz w:val="16"/>
                <w:szCs w:val="16"/>
              </w:rPr>
              <w:t>0.991</w:t>
            </w:r>
          </w:p>
        </w:tc>
      </w:tr>
      <w:tr w:rsidR="008072F1" w:rsidRPr="00E87E42" w14:paraId="7B8EBB57" w14:textId="77777777" w:rsidTr="008A55B5">
        <w:trPr>
          <w:trHeight w:val="170"/>
        </w:trPr>
        <w:tc>
          <w:tcPr>
            <w:tcW w:w="0" w:type="auto"/>
            <w:vAlign w:val="center"/>
          </w:tcPr>
          <w:p w14:paraId="0DE6D196" w14:textId="77777777" w:rsidR="008072F1" w:rsidRPr="00E87E42" w:rsidRDefault="008072F1" w:rsidP="00836131">
            <w:pPr>
              <w:spacing w:after="0" w:line="240" w:lineRule="auto"/>
              <w:jc w:val="center"/>
              <w:rPr>
                <w:sz w:val="16"/>
                <w:szCs w:val="16"/>
              </w:rPr>
            </w:pPr>
            <w:r w:rsidRPr="00E87E42">
              <w:rPr>
                <w:sz w:val="16"/>
                <w:szCs w:val="16"/>
              </w:rPr>
              <w:t>Hospitals</w:t>
            </w:r>
          </w:p>
        </w:tc>
        <w:tc>
          <w:tcPr>
            <w:tcW w:w="0" w:type="auto"/>
            <w:vAlign w:val="center"/>
          </w:tcPr>
          <w:p w14:paraId="6B03162C" w14:textId="77777777" w:rsidR="008072F1" w:rsidRPr="00E87E42" w:rsidRDefault="008072F1" w:rsidP="002623BF">
            <w:pPr>
              <w:spacing w:after="0" w:line="240" w:lineRule="auto"/>
              <w:jc w:val="left"/>
              <w:rPr>
                <w:sz w:val="16"/>
                <w:szCs w:val="16"/>
              </w:rPr>
            </w:pPr>
            <w:r w:rsidRPr="00E87E42">
              <w:rPr>
                <w:sz w:val="16"/>
                <w:szCs w:val="16"/>
              </w:rPr>
              <w:t>0.0007</w:t>
            </w:r>
          </w:p>
        </w:tc>
        <w:tc>
          <w:tcPr>
            <w:tcW w:w="0" w:type="auto"/>
            <w:vAlign w:val="center"/>
          </w:tcPr>
          <w:p w14:paraId="7076760A" w14:textId="77777777" w:rsidR="008072F1" w:rsidRPr="00E87E42" w:rsidRDefault="008072F1" w:rsidP="00836131">
            <w:pPr>
              <w:spacing w:after="0" w:line="240" w:lineRule="auto"/>
              <w:jc w:val="center"/>
              <w:rPr>
                <w:sz w:val="16"/>
                <w:szCs w:val="16"/>
              </w:rPr>
            </w:pPr>
            <w:r w:rsidRPr="00E87E42">
              <w:rPr>
                <w:sz w:val="16"/>
                <w:szCs w:val="16"/>
              </w:rPr>
              <w:t>0.75</w:t>
            </w:r>
          </w:p>
        </w:tc>
        <w:tc>
          <w:tcPr>
            <w:tcW w:w="0" w:type="auto"/>
            <w:vAlign w:val="center"/>
          </w:tcPr>
          <w:p w14:paraId="0B9B58BE" w14:textId="77777777" w:rsidR="008072F1" w:rsidRPr="00E87E42" w:rsidRDefault="008072F1" w:rsidP="00836131">
            <w:pPr>
              <w:spacing w:after="0" w:line="240" w:lineRule="auto"/>
              <w:jc w:val="center"/>
              <w:rPr>
                <w:sz w:val="16"/>
                <w:szCs w:val="16"/>
              </w:rPr>
            </w:pPr>
            <w:r w:rsidRPr="00E87E42">
              <w:rPr>
                <w:sz w:val="16"/>
                <w:szCs w:val="16"/>
              </w:rPr>
              <w:t>0.0029</w:t>
            </w:r>
          </w:p>
        </w:tc>
        <w:tc>
          <w:tcPr>
            <w:tcW w:w="0" w:type="auto"/>
            <w:vAlign w:val="center"/>
          </w:tcPr>
          <w:p w14:paraId="61A83548" w14:textId="77777777" w:rsidR="008072F1" w:rsidRPr="00E87E42" w:rsidRDefault="008072F1" w:rsidP="00314FD6">
            <w:pPr>
              <w:spacing w:after="0" w:line="240" w:lineRule="auto"/>
              <w:jc w:val="center"/>
              <w:rPr>
                <w:sz w:val="16"/>
                <w:szCs w:val="16"/>
              </w:rPr>
            </w:pPr>
            <w:r w:rsidRPr="00E87E42">
              <w:rPr>
                <w:sz w:val="16"/>
                <w:szCs w:val="16"/>
              </w:rPr>
              <w:t>0.0115</w:t>
            </w:r>
          </w:p>
        </w:tc>
        <w:tc>
          <w:tcPr>
            <w:tcW w:w="0" w:type="auto"/>
            <w:vAlign w:val="center"/>
          </w:tcPr>
          <w:p w14:paraId="0D10F735" w14:textId="77777777" w:rsidR="008072F1" w:rsidRPr="00E87E42" w:rsidRDefault="008072F1" w:rsidP="00214A6C">
            <w:pPr>
              <w:spacing w:after="0" w:line="240" w:lineRule="auto"/>
              <w:jc w:val="center"/>
              <w:rPr>
                <w:sz w:val="16"/>
                <w:szCs w:val="16"/>
              </w:rPr>
            </w:pPr>
            <w:r w:rsidRPr="00E87E42">
              <w:rPr>
                <w:sz w:val="16"/>
                <w:szCs w:val="16"/>
              </w:rPr>
              <w:t>0.0001</w:t>
            </w:r>
          </w:p>
        </w:tc>
        <w:tc>
          <w:tcPr>
            <w:tcW w:w="0" w:type="auto"/>
            <w:vAlign w:val="center"/>
          </w:tcPr>
          <w:p w14:paraId="5EE85CE1" w14:textId="77777777" w:rsidR="008072F1" w:rsidRPr="00E87E42" w:rsidRDefault="008072F1" w:rsidP="00214A6C">
            <w:pPr>
              <w:spacing w:after="0" w:line="240" w:lineRule="auto"/>
              <w:jc w:val="center"/>
              <w:rPr>
                <w:sz w:val="16"/>
                <w:szCs w:val="16"/>
              </w:rPr>
            </w:pPr>
            <w:r w:rsidRPr="00E87E42">
              <w:rPr>
                <w:sz w:val="16"/>
                <w:szCs w:val="16"/>
              </w:rPr>
              <w:t>0.4867</w:t>
            </w:r>
          </w:p>
        </w:tc>
        <w:tc>
          <w:tcPr>
            <w:tcW w:w="0" w:type="auto"/>
            <w:vAlign w:val="center"/>
          </w:tcPr>
          <w:p w14:paraId="13401F86" w14:textId="643DAB6F" w:rsidR="008072F1" w:rsidRPr="00E87E42" w:rsidRDefault="008072F1" w:rsidP="00281B2C">
            <w:pPr>
              <w:spacing w:after="0" w:line="240" w:lineRule="auto"/>
              <w:jc w:val="center"/>
              <w:rPr>
                <w:sz w:val="16"/>
                <w:szCs w:val="16"/>
              </w:rPr>
            </w:pPr>
            <w:r w:rsidRPr="00E87E42">
              <w:rPr>
                <w:sz w:val="16"/>
                <w:szCs w:val="16"/>
              </w:rPr>
              <w:t>0.8</w:t>
            </w:r>
            <w:r w:rsidR="00694494" w:rsidRPr="00E87E42">
              <w:rPr>
                <w:sz w:val="16"/>
                <w:szCs w:val="16"/>
              </w:rPr>
              <w:t>39</w:t>
            </w:r>
          </w:p>
        </w:tc>
        <w:tc>
          <w:tcPr>
            <w:tcW w:w="0" w:type="auto"/>
            <w:vAlign w:val="center"/>
          </w:tcPr>
          <w:p w14:paraId="1E060DDB" w14:textId="77777777" w:rsidR="008072F1" w:rsidRPr="00E87E42" w:rsidRDefault="008072F1" w:rsidP="002623BF">
            <w:pPr>
              <w:spacing w:after="0" w:line="240" w:lineRule="auto"/>
              <w:jc w:val="center"/>
              <w:rPr>
                <w:sz w:val="16"/>
                <w:szCs w:val="16"/>
              </w:rPr>
            </w:pPr>
            <w:r w:rsidRPr="00E87E42">
              <w:rPr>
                <w:sz w:val="16"/>
                <w:szCs w:val="16"/>
              </w:rPr>
              <w:t>-2.37*10</w:t>
            </w:r>
            <w:r w:rsidRPr="00E87E42">
              <w:rPr>
                <w:sz w:val="16"/>
                <w:szCs w:val="16"/>
                <w:vertAlign w:val="superscript"/>
              </w:rPr>
              <w:t>-12</w:t>
            </w:r>
            <w:r w:rsidRPr="00E87E42">
              <w:rPr>
                <w:sz w:val="16"/>
                <w:szCs w:val="16"/>
              </w:rPr>
              <w:t>A</w:t>
            </w:r>
            <w:r w:rsidRPr="00E87E42">
              <w:rPr>
                <w:sz w:val="16"/>
                <w:szCs w:val="16"/>
                <w:vertAlign w:val="superscript"/>
              </w:rPr>
              <w:t>2</w:t>
            </w:r>
            <w:r w:rsidRPr="00E87E42">
              <w:rPr>
                <w:sz w:val="16"/>
                <w:szCs w:val="16"/>
              </w:rPr>
              <w:t>+4.71*10</w:t>
            </w:r>
            <w:r w:rsidRPr="00E87E42">
              <w:rPr>
                <w:sz w:val="16"/>
                <w:szCs w:val="16"/>
                <w:vertAlign w:val="superscript"/>
              </w:rPr>
              <w:t>-7</w:t>
            </w:r>
            <w:r w:rsidRPr="00E87E42">
              <w:rPr>
                <w:sz w:val="16"/>
                <w:szCs w:val="16"/>
              </w:rPr>
              <w:t>A+0.004</w:t>
            </w:r>
          </w:p>
        </w:tc>
        <w:tc>
          <w:tcPr>
            <w:tcW w:w="0" w:type="auto"/>
            <w:vAlign w:val="center"/>
          </w:tcPr>
          <w:p w14:paraId="694E4A8C" w14:textId="77777777" w:rsidR="008072F1" w:rsidRPr="00E87E42" w:rsidRDefault="008072F1" w:rsidP="002623BF">
            <w:pPr>
              <w:spacing w:after="0" w:line="240" w:lineRule="auto"/>
              <w:jc w:val="center"/>
              <w:rPr>
                <w:sz w:val="16"/>
                <w:szCs w:val="16"/>
              </w:rPr>
            </w:pPr>
            <w:r w:rsidRPr="00E87E42">
              <w:rPr>
                <w:sz w:val="16"/>
                <w:szCs w:val="16"/>
              </w:rPr>
              <w:t>0.742</w:t>
            </w:r>
          </w:p>
        </w:tc>
      </w:tr>
      <w:tr w:rsidR="008072F1" w:rsidRPr="00E87E42" w14:paraId="5F5E85E4" w14:textId="77777777" w:rsidTr="008A55B5">
        <w:trPr>
          <w:trHeight w:val="170"/>
        </w:trPr>
        <w:tc>
          <w:tcPr>
            <w:tcW w:w="0" w:type="auto"/>
            <w:vAlign w:val="center"/>
          </w:tcPr>
          <w:p w14:paraId="2DB5FAAF" w14:textId="77777777" w:rsidR="008072F1" w:rsidRPr="00E87E42" w:rsidRDefault="008072F1" w:rsidP="00836131">
            <w:pPr>
              <w:spacing w:after="0" w:line="240" w:lineRule="auto"/>
              <w:jc w:val="center"/>
              <w:rPr>
                <w:sz w:val="16"/>
                <w:szCs w:val="16"/>
              </w:rPr>
            </w:pPr>
            <w:r w:rsidRPr="00E87E42">
              <w:rPr>
                <w:sz w:val="16"/>
                <w:szCs w:val="16"/>
              </w:rPr>
              <w:t>Schools</w:t>
            </w:r>
          </w:p>
        </w:tc>
        <w:tc>
          <w:tcPr>
            <w:tcW w:w="0" w:type="auto"/>
            <w:vAlign w:val="center"/>
          </w:tcPr>
          <w:p w14:paraId="395ECBA3" w14:textId="77777777" w:rsidR="008072F1" w:rsidRPr="00E87E42" w:rsidRDefault="008072F1" w:rsidP="002623BF">
            <w:pPr>
              <w:spacing w:after="0" w:line="240" w:lineRule="auto"/>
              <w:jc w:val="left"/>
              <w:rPr>
                <w:sz w:val="16"/>
                <w:szCs w:val="16"/>
              </w:rPr>
            </w:pPr>
            <w:r w:rsidRPr="00E87E42">
              <w:rPr>
                <w:sz w:val="16"/>
                <w:szCs w:val="16"/>
              </w:rPr>
              <w:t>0.0002</w:t>
            </w:r>
          </w:p>
        </w:tc>
        <w:tc>
          <w:tcPr>
            <w:tcW w:w="0" w:type="auto"/>
            <w:vAlign w:val="center"/>
          </w:tcPr>
          <w:p w14:paraId="04B711AC" w14:textId="77777777" w:rsidR="008072F1" w:rsidRPr="00E87E42" w:rsidRDefault="008072F1" w:rsidP="00836131">
            <w:pPr>
              <w:spacing w:after="0" w:line="240" w:lineRule="auto"/>
              <w:jc w:val="center"/>
              <w:rPr>
                <w:sz w:val="16"/>
                <w:szCs w:val="16"/>
              </w:rPr>
            </w:pPr>
            <w:r w:rsidRPr="00E87E42">
              <w:rPr>
                <w:sz w:val="16"/>
                <w:szCs w:val="16"/>
              </w:rPr>
              <w:t>0.75</w:t>
            </w:r>
          </w:p>
        </w:tc>
        <w:tc>
          <w:tcPr>
            <w:tcW w:w="0" w:type="auto"/>
            <w:vAlign w:val="center"/>
          </w:tcPr>
          <w:p w14:paraId="7E2DA4B5" w14:textId="77777777" w:rsidR="008072F1" w:rsidRPr="00E87E42" w:rsidRDefault="008072F1" w:rsidP="00836131">
            <w:pPr>
              <w:spacing w:after="0" w:line="240" w:lineRule="auto"/>
              <w:jc w:val="center"/>
              <w:rPr>
                <w:sz w:val="16"/>
                <w:szCs w:val="16"/>
              </w:rPr>
            </w:pPr>
            <w:r w:rsidRPr="00E87E42">
              <w:rPr>
                <w:sz w:val="16"/>
                <w:szCs w:val="16"/>
              </w:rPr>
              <w:t>0.0012</w:t>
            </w:r>
          </w:p>
        </w:tc>
        <w:tc>
          <w:tcPr>
            <w:tcW w:w="0" w:type="auto"/>
            <w:vAlign w:val="center"/>
          </w:tcPr>
          <w:p w14:paraId="3814C0EB" w14:textId="77777777" w:rsidR="008072F1" w:rsidRPr="00E87E42" w:rsidRDefault="008072F1" w:rsidP="00314FD6">
            <w:pPr>
              <w:spacing w:after="0" w:line="240" w:lineRule="auto"/>
              <w:jc w:val="center"/>
              <w:rPr>
                <w:sz w:val="16"/>
                <w:szCs w:val="16"/>
              </w:rPr>
            </w:pPr>
            <w:r w:rsidRPr="00E87E42">
              <w:rPr>
                <w:sz w:val="16"/>
                <w:szCs w:val="16"/>
              </w:rPr>
              <w:t>0.0101</w:t>
            </w:r>
          </w:p>
        </w:tc>
        <w:tc>
          <w:tcPr>
            <w:tcW w:w="0" w:type="auto"/>
            <w:vAlign w:val="center"/>
          </w:tcPr>
          <w:p w14:paraId="0F39D94E" w14:textId="77777777" w:rsidR="008072F1" w:rsidRPr="00E87E42" w:rsidRDefault="008072F1" w:rsidP="00214A6C">
            <w:pPr>
              <w:spacing w:after="0" w:line="240" w:lineRule="auto"/>
              <w:jc w:val="center"/>
              <w:rPr>
                <w:sz w:val="16"/>
                <w:szCs w:val="16"/>
              </w:rPr>
            </w:pPr>
            <w:r w:rsidRPr="00E87E42">
              <w:rPr>
                <w:sz w:val="16"/>
                <w:szCs w:val="16"/>
              </w:rPr>
              <w:t>0.0002</w:t>
            </w:r>
          </w:p>
        </w:tc>
        <w:tc>
          <w:tcPr>
            <w:tcW w:w="0" w:type="auto"/>
            <w:vAlign w:val="center"/>
          </w:tcPr>
          <w:p w14:paraId="39524853" w14:textId="77777777" w:rsidR="008072F1" w:rsidRPr="00E87E42" w:rsidRDefault="008072F1" w:rsidP="002623BF">
            <w:pPr>
              <w:spacing w:after="0" w:line="240" w:lineRule="auto"/>
              <w:jc w:val="center"/>
              <w:rPr>
                <w:sz w:val="16"/>
                <w:szCs w:val="16"/>
              </w:rPr>
            </w:pPr>
            <w:r w:rsidRPr="00E87E42">
              <w:rPr>
                <w:sz w:val="16"/>
                <w:szCs w:val="16"/>
              </w:rPr>
              <w:t>0.2179</w:t>
            </w:r>
          </w:p>
        </w:tc>
        <w:tc>
          <w:tcPr>
            <w:tcW w:w="0" w:type="auto"/>
            <w:vAlign w:val="center"/>
          </w:tcPr>
          <w:p w14:paraId="24AD5A77" w14:textId="77777777" w:rsidR="008072F1" w:rsidRPr="00E87E42" w:rsidRDefault="008072F1" w:rsidP="002623BF">
            <w:pPr>
              <w:spacing w:after="0" w:line="240" w:lineRule="auto"/>
              <w:jc w:val="center"/>
              <w:rPr>
                <w:sz w:val="16"/>
                <w:szCs w:val="16"/>
              </w:rPr>
            </w:pPr>
            <w:r w:rsidRPr="00E87E42">
              <w:rPr>
                <w:sz w:val="16"/>
                <w:szCs w:val="16"/>
              </w:rPr>
              <w:t>0.768</w:t>
            </w:r>
          </w:p>
        </w:tc>
        <w:tc>
          <w:tcPr>
            <w:tcW w:w="0" w:type="auto"/>
            <w:vAlign w:val="center"/>
          </w:tcPr>
          <w:p w14:paraId="2974578E" w14:textId="77777777" w:rsidR="008072F1" w:rsidRPr="00E87E42" w:rsidRDefault="008072F1" w:rsidP="002623BF">
            <w:pPr>
              <w:spacing w:after="0" w:line="240" w:lineRule="auto"/>
              <w:jc w:val="center"/>
              <w:rPr>
                <w:sz w:val="16"/>
                <w:szCs w:val="16"/>
              </w:rPr>
            </w:pPr>
            <w:r w:rsidRPr="00E87E42">
              <w:rPr>
                <w:sz w:val="16"/>
                <w:szCs w:val="16"/>
              </w:rPr>
              <w:t>2.92*10</w:t>
            </w:r>
            <w:r w:rsidRPr="00E87E42">
              <w:rPr>
                <w:sz w:val="16"/>
                <w:szCs w:val="16"/>
                <w:vertAlign w:val="superscript"/>
              </w:rPr>
              <w:t>-16</w:t>
            </w:r>
            <w:r w:rsidRPr="00E87E42">
              <w:rPr>
                <w:sz w:val="16"/>
                <w:szCs w:val="16"/>
              </w:rPr>
              <w:t>A</w:t>
            </w:r>
            <w:r w:rsidRPr="00E87E42">
              <w:rPr>
                <w:sz w:val="16"/>
                <w:szCs w:val="16"/>
                <w:vertAlign w:val="superscript"/>
              </w:rPr>
              <w:t>3</w:t>
            </w:r>
            <w:r w:rsidRPr="00E87E42">
              <w:rPr>
                <w:sz w:val="16"/>
                <w:szCs w:val="16"/>
              </w:rPr>
              <w:t>-7.76*10</w:t>
            </w:r>
            <w:r w:rsidRPr="00E87E42">
              <w:rPr>
                <w:sz w:val="16"/>
                <w:szCs w:val="16"/>
                <w:vertAlign w:val="superscript"/>
              </w:rPr>
              <w:t>-12</w:t>
            </w:r>
            <w:r w:rsidRPr="00E87E42">
              <w:rPr>
                <w:sz w:val="16"/>
                <w:szCs w:val="16"/>
              </w:rPr>
              <w:t>A</w:t>
            </w:r>
            <w:r w:rsidRPr="00E87E42">
              <w:rPr>
                <w:sz w:val="16"/>
                <w:szCs w:val="16"/>
                <w:vertAlign w:val="superscript"/>
              </w:rPr>
              <w:t>2</w:t>
            </w:r>
            <w:r w:rsidRPr="00E87E42">
              <w:rPr>
                <w:sz w:val="16"/>
                <w:szCs w:val="16"/>
              </w:rPr>
              <w:t>+1.04*10</w:t>
            </w:r>
            <w:r w:rsidRPr="00E87E42">
              <w:rPr>
                <w:sz w:val="16"/>
                <w:szCs w:val="16"/>
                <w:vertAlign w:val="superscript"/>
              </w:rPr>
              <w:t>-7</w:t>
            </w:r>
            <w:r w:rsidRPr="00E87E42">
              <w:rPr>
                <w:sz w:val="16"/>
                <w:szCs w:val="16"/>
              </w:rPr>
              <w:t>A+0.0010</w:t>
            </w:r>
          </w:p>
        </w:tc>
        <w:tc>
          <w:tcPr>
            <w:tcW w:w="0" w:type="auto"/>
            <w:vAlign w:val="center"/>
          </w:tcPr>
          <w:p w14:paraId="6F4FB1A2" w14:textId="77777777" w:rsidR="008072F1" w:rsidRPr="00E87E42" w:rsidRDefault="008072F1" w:rsidP="002623BF">
            <w:pPr>
              <w:spacing w:after="0" w:line="240" w:lineRule="auto"/>
              <w:jc w:val="center"/>
              <w:rPr>
                <w:sz w:val="16"/>
                <w:szCs w:val="16"/>
              </w:rPr>
            </w:pPr>
            <w:r w:rsidRPr="00E87E42">
              <w:rPr>
                <w:sz w:val="16"/>
                <w:szCs w:val="16"/>
              </w:rPr>
              <w:t>0.983</w:t>
            </w:r>
          </w:p>
        </w:tc>
      </w:tr>
    </w:tbl>
    <w:p w14:paraId="2E5B138C" w14:textId="77777777" w:rsidR="00657918" w:rsidRPr="00E87E42" w:rsidRDefault="00657918" w:rsidP="00F259B6"/>
    <w:p w14:paraId="6DA526AC" w14:textId="304D5E04" w:rsidR="00BD26AA" w:rsidRPr="00E87E42" w:rsidRDefault="004A13F0" w:rsidP="00BD26AA">
      <w:r w:rsidRPr="00E87E42">
        <w:fldChar w:fldCharType="begin"/>
      </w:r>
      <w:r w:rsidRPr="00E87E42">
        <w:instrText xml:space="preserve"> REF _Ref506129409 \h  \* MERGEFORMAT </w:instrText>
      </w:r>
      <w:r w:rsidRPr="00E87E42">
        <w:fldChar w:fldCharType="separate"/>
      </w:r>
      <w:r w:rsidR="009F6872" w:rsidRPr="00E87E42">
        <w:t xml:space="preserve">Figure </w:t>
      </w:r>
      <w:r w:rsidR="009F6872">
        <w:rPr>
          <w:noProof/>
        </w:rPr>
        <w:t>3</w:t>
      </w:r>
      <w:r w:rsidRPr="00E87E42">
        <w:fldChar w:fldCharType="end"/>
      </w:r>
      <w:r w:rsidRPr="00E87E42">
        <w:t xml:space="preserve"> </w:t>
      </w:r>
      <w:r w:rsidR="00747B23" w:rsidRPr="00E87E42">
        <w:t xml:space="preserve">(a) </w:t>
      </w:r>
      <w:r w:rsidR="0018291A" w:rsidRPr="00E87E42">
        <w:t xml:space="preserve">shows the fire frequency relationship for </w:t>
      </w:r>
      <w:r w:rsidR="0018291A" w:rsidRPr="00E87E42">
        <w:rPr>
          <w:b/>
        </w:rPr>
        <w:t>Overall Industry and Manufacturing</w:t>
      </w:r>
      <w:r w:rsidR="0018291A" w:rsidRPr="00E87E42">
        <w:t xml:space="preserve"> according to the USA positive exponent function</w:t>
      </w:r>
      <w:r w:rsidR="00AA11F7" w:rsidRPr="00E87E42">
        <w:t xml:space="preserve"> </w:t>
      </w:r>
      <w:r w:rsidR="00AA11F7" w:rsidRPr="00E87E42">
        <w:rPr>
          <w:i/>
        </w:rPr>
        <w:t>[Power (USA-</w:t>
      </w:r>
      <w:proofErr w:type="spellStart"/>
      <w:r w:rsidR="00AA11F7" w:rsidRPr="00E87E42">
        <w:rPr>
          <w:i/>
        </w:rPr>
        <w:t>Rutstein</w:t>
      </w:r>
      <w:proofErr w:type="spellEnd"/>
      <w:r w:rsidR="00AA11F7" w:rsidRPr="00E87E42">
        <w:rPr>
          <w:i/>
        </w:rPr>
        <w:t>)]</w:t>
      </w:r>
      <w:r w:rsidR="0018291A" w:rsidRPr="00E87E42">
        <w:t>, the function presented in PD 7974-7</w:t>
      </w:r>
      <w:r w:rsidR="00AA11F7" w:rsidRPr="00E87E42">
        <w:t xml:space="preserve"> </w:t>
      </w:r>
      <w:r w:rsidR="00AA11F7" w:rsidRPr="00E87E42">
        <w:rPr>
          <w:i/>
        </w:rPr>
        <w:t>[Power (PD)]</w:t>
      </w:r>
      <w:r w:rsidR="0018291A" w:rsidRPr="00E87E42">
        <w:t xml:space="preserve">, and a new function </w:t>
      </w:r>
      <w:r w:rsidR="008A4006" w:rsidRPr="00E87E42">
        <w:t xml:space="preserve">based on </w:t>
      </w:r>
      <w:r w:rsidR="0018291A" w:rsidRPr="00E87E42">
        <w:t>fires per area band</w:t>
      </w:r>
      <w:r w:rsidR="00AA11F7" w:rsidRPr="00E87E42">
        <w:t xml:space="preserve"> </w:t>
      </w:r>
      <w:r w:rsidR="00AA11F7" w:rsidRPr="00E87E42">
        <w:rPr>
          <w:i/>
        </w:rPr>
        <w:t>[Power (USA-improved)]</w:t>
      </w:r>
      <w:r w:rsidR="0018291A" w:rsidRPr="00E87E42">
        <w:t xml:space="preserve">. </w:t>
      </w:r>
      <w:r w:rsidR="00747B23" w:rsidRPr="00E87E42">
        <w:t xml:space="preserve">Whilst </w:t>
      </w:r>
      <w:r w:rsidRPr="00E87E42">
        <w:fldChar w:fldCharType="begin"/>
      </w:r>
      <w:r w:rsidRPr="00E87E42">
        <w:instrText xml:space="preserve"> REF _Ref506129409 \h  \* MERGEFORMAT </w:instrText>
      </w:r>
      <w:r w:rsidRPr="00E87E42">
        <w:fldChar w:fldCharType="separate"/>
      </w:r>
      <w:r w:rsidR="009F6872" w:rsidRPr="00E87E42">
        <w:t xml:space="preserve">Figure </w:t>
      </w:r>
      <w:r w:rsidR="009F6872">
        <w:rPr>
          <w:noProof/>
        </w:rPr>
        <w:t>3</w:t>
      </w:r>
      <w:r w:rsidRPr="00E87E42">
        <w:fldChar w:fldCharType="end"/>
      </w:r>
      <w:r w:rsidRPr="00E87E42">
        <w:t xml:space="preserve"> </w:t>
      </w:r>
      <w:r w:rsidR="00747B23" w:rsidRPr="00E87E42">
        <w:t xml:space="preserve">(b) presents a closer look of the USA functions and data. </w:t>
      </w:r>
      <w:r w:rsidR="00D56832" w:rsidRPr="00E87E42">
        <w:fldChar w:fldCharType="begin"/>
      </w:r>
      <w:r w:rsidR="00D56832" w:rsidRPr="00E87E42">
        <w:instrText xml:space="preserve"> REF _Ref506129409 \h  \* MERGEFORMAT </w:instrText>
      </w:r>
      <w:r w:rsidR="00D56832" w:rsidRPr="00E87E42">
        <w:fldChar w:fldCharType="separate"/>
      </w:r>
      <w:r w:rsidR="009F6872" w:rsidRPr="00E87E42">
        <w:t xml:space="preserve">Figure </w:t>
      </w:r>
      <w:r w:rsidR="009F6872">
        <w:rPr>
          <w:noProof/>
        </w:rPr>
        <w:t>3</w:t>
      </w:r>
      <w:r w:rsidR="00D56832" w:rsidRPr="00E87E42">
        <w:fldChar w:fldCharType="end"/>
      </w:r>
      <w:r w:rsidR="00D56832" w:rsidRPr="00E87E42">
        <w:t xml:space="preserve"> clearly shows </w:t>
      </w:r>
      <w:r w:rsidR="00747B23" w:rsidRPr="00E87E42">
        <w:t>that the positive exponent power law from PD</w:t>
      </w:r>
      <w:r w:rsidR="00571E8E" w:rsidRPr="00E87E42">
        <w:t xml:space="preserve"> </w:t>
      </w:r>
      <w:r w:rsidR="00747B23" w:rsidRPr="00E87E42">
        <w:t xml:space="preserve">7974-7 and the law generated using the USA data </w:t>
      </w:r>
      <w:r w:rsidR="008A4006" w:rsidRPr="00E87E42">
        <w:t>with</w:t>
      </w:r>
      <w:r w:rsidR="00747B23" w:rsidRPr="00E87E42">
        <w:t xml:space="preserve"> the positive exponent constraint, do not represent the data at all well. There is </w:t>
      </w:r>
      <w:r w:rsidR="00D56832" w:rsidRPr="00E87E42">
        <w:t>a</w:t>
      </w:r>
      <w:r w:rsidR="00747B23" w:rsidRPr="00E87E42">
        <w:t xml:space="preserve"> trend in the </w:t>
      </w:r>
      <w:r w:rsidR="00747B23" w:rsidRPr="00E87E42">
        <w:lastRenderedPageBreak/>
        <w:t xml:space="preserve">data for a reduction in fire frequency as the total floor area increases, i.e. a negative exponent. </w:t>
      </w:r>
      <w:r w:rsidR="00A43335" w:rsidRPr="00E87E42">
        <w:t xml:space="preserve">This could be </w:t>
      </w:r>
      <w:proofErr w:type="gramStart"/>
      <w:r w:rsidR="00A43335" w:rsidRPr="00E87E42">
        <w:t>due to the fact that</w:t>
      </w:r>
      <w:proofErr w:type="gramEnd"/>
      <w:r w:rsidR="00A43335" w:rsidRPr="00E87E42">
        <w:t xml:space="preserve"> larger buildings present better fire safety measures that should prevent the origin of fires or detect them in their early stages. </w:t>
      </w:r>
      <w:r w:rsidR="00AA11F7" w:rsidRPr="00E87E42">
        <w:t xml:space="preserve">It should also be noted however, that for small floor areas a negative exponent </w:t>
      </w:r>
      <w:proofErr w:type="gramStart"/>
      <w:r w:rsidR="00AA11F7" w:rsidRPr="00E87E42">
        <w:t>will</w:t>
      </w:r>
      <w:proofErr w:type="gramEnd"/>
      <w:r w:rsidR="00AA11F7" w:rsidRPr="00E87E42">
        <w:t xml:space="preserve"> </w:t>
      </w:r>
      <w:r w:rsidR="00BD26AA" w:rsidRPr="00E87E42">
        <w:t>produce</w:t>
      </w:r>
      <w:r w:rsidR="00AA11F7" w:rsidRPr="00E87E42">
        <w:t xml:space="preserve"> high fire frequenc</w:t>
      </w:r>
      <w:r w:rsidR="00BD26AA" w:rsidRPr="00E87E42">
        <w:t>ies</w:t>
      </w:r>
      <w:r w:rsidR="00AA11F7" w:rsidRPr="00E87E42">
        <w:t>. For instance, a floor area of 10</w:t>
      </w:r>
      <w:r w:rsidR="0010534D" w:rsidRPr="00E87E42">
        <w:t xml:space="preserve"> </w:t>
      </w:r>
      <w:r w:rsidR="00AA11F7" w:rsidRPr="00E87E42">
        <w:t>m</w:t>
      </w:r>
      <w:r w:rsidR="00AA11F7" w:rsidRPr="00E87E42">
        <w:rPr>
          <w:vertAlign w:val="superscript"/>
        </w:rPr>
        <w:t>2</w:t>
      </w:r>
      <w:r w:rsidR="00AA11F7" w:rsidRPr="00E87E42">
        <w:t xml:space="preserve"> using </w:t>
      </w:r>
      <w:r w:rsidR="00BD26AA" w:rsidRPr="00E87E42">
        <w:rPr>
          <w:i/>
        </w:rPr>
        <w:t xml:space="preserve">Power (USA-improved) </w:t>
      </w:r>
      <w:r w:rsidR="00AA11F7" w:rsidRPr="00E87E42">
        <w:t xml:space="preserve">would have a fire probability of 26%. Therefore, there is a need to identify the potential limits of </w:t>
      </w:r>
      <w:proofErr w:type="gramStart"/>
      <w:r w:rsidR="00AA11F7" w:rsidRPr="00E87E42">
        <w:t>the relationships, and how to incorporate small building areas into the analysis</w:t>
      </w:r>
      <w:proofErr w:type="gramEnd"/>
      <w:r w:rsidR="00AA11F7" w:rsidRPr="00E87E42">
        <w:t>.</w:t>
      </w:r>
      <w:r w:rsidR="00BD26AA" w:rsidRPr="00E87E42">
        <w:t xml:space="preserve"> </w:t>
      </w:r>
      <w:r w:rsidR="00BD26AA" w:rsidRPr="00E87E42">
        <w:fldChar w:fldCharType="begin"/>
      </w:r>
      <w:r w:rsidR="00BD26AA" w:rsidRPr="00E87E42">
        <w:instrText xml:space="preserve"> REF _Ref506129409 \h  \* MERGEFORMAT </w:instrText>
      </w:r>
      <w:r w:rsidR="00BD26AA" w:rsidRPr="00E87E42">
        <w:fldChar w:fldCharType="separate"/>
      </w:r>
      <w:r w:rsidR="009F6872" w:rsidRPr="00E87E42">
        <w:t xml:space="preserve">Figure </w:t>
      </w:r>
      <w:r w:rsidR="009F6872">
        <w:rPr>
          <w:noProof/>
        </w:rPr>
        <w:t>3</w:t>
      </w:r>
      <w:r w:rsidR="00BD26AA" w:rsidRPr="00E87E42">
        <w:fldChar w:fldCharType="end"/>
      </w:r>
      <w:r w:rsidR="00BD26AA" w:rsidRPr="00E87E42">
        <w:t xml:space="preserve"> clearly shows that the </w:t>
      </w:r>
      <w:r w:rsidR="00BD26AA" w:rsidRPr="00E87E42">
        <w:rPr>
          <w:i/>
        </w:rPr>
        <w:t>Power (PD)</w:t>
      </w:r>
      <w:r w:rsidR="00BD26AA" w:rsidRPr="00E87E42" w:rsidDel="00BD26AA">
        <w:t xml:space="preserve"> </w:t>
      </w:r>
      <w:r w:rsidR="00BD26AA" w:rsidRPr="00E87E42">
        <w:t xml:space="preserve">relationship is very conservative, </w:t>
      </w:r>
      <w:proofErr w:type="gramStart"/>
      <w:r w:rsidR="00BD26AA" w:rsidRPr="00E87E42">
        <w:t>and  it</w:t>
      </w:r>
      <w:proofErr w:type="gramEnd"/>
      <w:r w:rsidR="00BD26AA" w:rsidRPr="00E87E42">
        <w:t xml:space="preserve"> may therefore cause structures to be overly protected and thus increase the fire safety related costs.  </w:t>
      </w:r>
    </w:p>
    <w:p w14:paraId="0AAA9FDE" w14:textId="72311B3F" w:rsidR="002E48B4" w:rsidRPr="00E87E42" w:rsidRDefault="00B46DEC" w:rsidP="00AB4A67">
      <w:r w:rsidRPr="00E87E42">
        <w:t>B</w:t>
      </w:r>
      <w:r w:rsidR="002E48B4" w:rsidRPr="00E87E42">
        <w:t>uildings at risks</w:t>
      </w:r>
      <w:r w:rsidRPr="00E87E42">
        <w:t xml:space="preserve"> for </w:t>
      </w:r>
      <w:r w:rsidRPr="00E87E42">
        <w:rPr>
          <w:i/>
        </w:rPr>
        <w:t>Chemical and allied</w:t>
      </w:r>
      <w:r w:rsidR="002E48B4" w:rsidRPr="00E87E42">
        <w:t xml:space="preserve"> are distributed from 464.4 to 9</w:t>
      </w:r>
      <w:r w:rsidR="0010534D" w:rsidRPr="00E87E42">
        <w:t>,</w:t>
      </w:r>
      <w:r w:rsidR="002E48B4" w:rsidRPr="00E87E42">
        <w:t>290.3 total floor</w:t>
      </w:r>
      <w:r w:rsidR="00EE04A0" w:rsidRPr="00E87E42">
        <w:t xml:space="preserve"> </w:t>
      </w:r>
      <w:r w:rsidR="002E48B4" w:rsidRPr="00E87E42">
        <w:t xml:space="preserve">space in </w:t>
      </w:r>
      <w:r w:rsidR="001B682D" w:rsidRPr="00E87E42">
        <w:t>m</w:t>
      </w:r>
      <w:r w:rsidR="001B682D" w:rsidRPr="00E87E42">
        <w:rPr>
          <w:vertAlign w:val="superscript"/>
        </w:rPr>
        <w:t>2</w:t>
      </w:r>
      <w:r w:rsidR="002E48B4" w:rsidRPr="00E87E42">
        <w:t xml:space="preserve"> with zero </w:t>
      </w:r>
      <w:r w:rsidR="006F6019" w:rsidRPr="00E87E42">
        <w:t xml:space="preserve">structures </w:t>
      </w:r>
      <w:r w:rsidR="002E48B4" w:rsidRPr="00E87E42">
        <w:t>in the range between 2</w:t>
      </w:r>
      <w:r w:rsidR="0010534D" w:rsidRPr="00E87E42">
        <w:t>,</w:t>
      </w:r>
      <w:r w:rsidR="002E48B4" w:rsidRPr="00E87E42">
        <w:t>323 and 4</w:t>
      </w:r>
      <w:r w:rsidR="0010534D" w:rsidRPr="00E87E42">
        <w:t>,</w:t>
      </w:r>
      <w:r w:rsidR="002E48B4" w:rsidRPr="00E87E42">
        <w:t xml:space="preserve">645 </w:t>
      </w:r>
      <w:r w:rsidR="001B682D" w:rsidRPr="00E87E42">
        <w:t>m</w:t>
      </w:r>
      <w:r w:rsidR="001B682D" w:rsidRPr="00E87E42">
        <w:rPr>
          <w:vertAlign w:val="superscript"/>
        </w:rPr>
        <w:t>2</w:t>
      </w:r>
      <w:r w:rsidR="006F6019" w:rsidRPr="00E87E42">
        <w:t>;</w:t>
      </w:r>
      <w:r w:rsidR="002E48B4" w:rsidRPr="00E87E42">
        <w:t xml:space="preserve"> </w:t>
      </w:r>
      <w:r w:rsidR="006F6019" w:rsidRPr="00E87E42">
        <w:t>this</w:t>
      </w:r>
      <w:r w:rsidRPr="00E87E42">
        <w:t xml:space="preserve"> data point</w:t>
      </w:r>
      <w:r w:rsidR="006F6019" w:rsidRPr="00E87E42">
        <w:t xml:space="preserve"> </w:t>
      </w:r>
      <w:r w:rsidR="002E48B4" w:rsidRPr="00E87E42">
        <w:t>has been neglected</w:t>
      </w:r>
      <w:r w:rsidR="006F6019" w:rsidRPr="00E87E42">
        <w:t xml:space="preserve"> in subsequent analys</w:t>
      </w:r>
      <w:r w:rsidRPr="00E87E42">
        <w:t>e</w:t>
      </w:r>
      <w:r w:rsidR="006F6019" w:rsidRPr="00E87E42">
        <w:t>s</w:t>
      </w:r>
      <w:r w:rsidR="002E48B4" w:rsidRPr="00E87E42">
        <w:t xml:space="preserve">. </w:t>
      </w:r>
      <w:r w:rsidRPr="00E87E42">
        <w:fldChar w:fldCharType="begin"/>
      </w:r>
      <w:r w:rsidRPr="00E87E42">
        <w:instrText xml:space="preserve"> REF _Ref506132771 \h </w:instrText>
      </w:r>
      <w:r w:rsidR="00E87E42">
        <w:instrText xml:space="preserve"> \* MERGEFORMAT </w:instrText>
      </w:r>
      <w:r w:rsidRPr="00E87E42">
        <w:fldChar w:fldCharType="separate"/>
      </w:r>
      <w:r w:rsidR="009F6872" w:rsidRPr="00E87E42">
        <w:t xml:space="preserve">Figure </w:t>
      </w:r>
      <w:r w:rsidR="009F6872">
        <w:rPr>
          <w:noProof/>
        </w:rPr>
        <w:t>4</w:t>
      </w:r>
      <w:r w:rsidRPr="00E87E42">
        <w:fldChar w:fldCharType="end"/>
      </w:r>
      <w:r w:rsidRPr="00E87E42">
        <w:t xml:space="preserve"> (a), shows the power law </w:t>
      </w:r>
      <w:r w:rsidRPr="00E87E42">
        <w:rPr>
          <w:i/>
        </w:rPr>
        <w:t>Power (USA-improved)</w:t>
      </w:r>
      <w:r w:rsidRPr="00E87E42">
        <w:t xml:space="preserve"> and the general function </w:t>
      </w:r>
      <w:r w:rsidRPr="00E87E42">
        <w:rPr>
          <w:i/>
        </w:rPr>
        <w:t>Power (USA-</w:t>
      </w:r>
      <w:proofErr w:type="spellStart"/>
      <w:r w:rsidRPr="00E87E42">
        <w:rPr>
          <w:i/>
        </w:rPr>
        <w:t>Rutstein</w:t>
      </w:r>
      <w:proofErr w:type="spellEnd"/>
      <w:r w:rsidRPr="00E87E42">
        <w:rPr>
          <w:i/>
        </w:rPr>
        <w:t>)</w:t>
      </w:r>
      <w:r w:rsidRPr="00E87E42">
        <w:t xml:space="preserve"> obtained just evaluating the two coefficients </w:t>
      </w:r>
      <w:proofErr w:type="gramStart"/>
      <w:r w:rsidRPr="00E87E42">
        <w:rPr>
          <w:i/>
        </w:rPr>
        <w:t>a</w:t>
      </w:r>
      <w:r w:rsidRPr="00E87E42">
        <w:t xml:space="preserve"> and</w:t>
      </w:r>
      <w:proofErr w:type="gramEnd"/>
      <w:r w:rsidRPr="00E87E42">
        <w:t xml:space="preserve"> </w:t>
      </w:r>
      <w:r w:rsidRPr="00E87E42">
        <w:rPr>
          <w:i/>
        </w:rPr>
        <w:t>b</w:t>
      </w:r>
      <w:r w:rsidRPr="00E87E42">
        <w:t xml:space="preserve">. Neither of the laws are accurate due to a large dispersion in data, however, </w:t>
      </w:r>
      <w:r w:rsidRPr="00E87E42">
        <w:fldChar w:fldCharType="begin"/>
      </w:r>
      <w:r w:rsidRPr="00E87E42">
        <w:instrText xml:space="preserve"> REF _Ref506132771 \h </w:instrText>
      </w:r>
      <w:r w:rsidR="00E87E42">
        <w:instrText xml:space="preserve"> \* MERGEFORMAT </w:instrText>
      </w:r>
      <w:r w:rsidRPr="00E87E42">
        <w:fldChar w:fldCharType="separate"/>
      </w:r>
      <w:r w:rsidR="009F6872" w:rsidRPr="00E87E42">
        <w:t xml:space="preserve">Figure </w:t>
      </w:r>
      <w:r w:rsidR="009F6872">
        <w:rPr>
          <w:noProof/>
        </w:rPr>
        <w:t>4</w:t>
      </w:r>
      <w:r w:rsidRPr="00E87E42">
        <w:fldChar w:fldCharType="end"/>
      </w:r>
      <w:r w:rsidRPr="00E87E42">
        <w:t xml:space="preserve"> (a), shows</w:t>
      </w:r>
      <w:r w:rsidRPr="00E87E42" w:rsidDel="00B46DEC">
        <w:t xml:space="preserve"> </w:t>
      </w:r>
      <w:r w:rsidRPr="00E87E42">
        <w:t xml:space="preserve">that </w:t>
      </w:r>
      <w:r w:rsidR="002E48B4" w:rsidRPr="00E87E42">
        <w:t xml:space="preserve">the </w:t>
      </w:r>
      <w:r w:rsidRPr="00E87E42">
        <w:t xml:space="preserve">fire </w:t>
      </w:r>
      <w:r w:rsidR="002E48B4" w:rsidRPr="00E87E42">
        <w:t>frequency according to the building area with the power law</w:t>
      </w:r>
      <w:r w:rsidR="00D139FF" w:rsidRPr="00E87E42">
        <w:t xml:space="preserve"> </w:t>
      </w:r>
      <w:r w:rsidR="002E48B4" w:rsidRPr="00E87E42">
        <w:t>gives a positive exponent</w:t>
      </w:r>
      <w:r w:rsidRPr="00E87E42">
        <w:t xml:space="preserve"> as in the PD 7974-7;</w:t>
      </w:r>
      <w:r w:rsidR="002E48B4" w:rsidRPr="00E87E42">
        <w:t xml:space="preserve"> an opposite trend to that of </w:t>
      </w:r>
      <w:r w:rsidR="002E48B4" w:rsidRPr="00E87E42">
        <w:rPr>
          <w:i/>
        </w:rPr>
        <w:t>Overall Industry and Manufacturing</w:t>
      </w:r>
      <w:r w:rsidR="002E48B4" w:rsidRPr="00E87E4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216"/>
        <w:gridCol w:w="4696"/>
        <w:gridCol w:w="224"/>
      </w:tblGrid>
      <w:tr w:rsidR="00EC7286" w:rsidRPr="00E87E42" w14:paraId="0DB52688" w14:textId="77777777" w:rsidTr="008A55B5">
        <w:tc>
          <w:tcPr>
            <w:tcW w:w="5185" w:type="dxa"/>
            <w:gridSpan w:val="2"/>
          </w:tcPr>
          <w:p w14:paraId="040AA3F9" w14:textId="7B8DDD2F" w:rsidR="00EC2FE4" w:rsidRPr="00E87E42" w:rsidRDefault="00795C33" w:rsidP="00B57DAB">
            <w:pPr>
              <w:tabs>
                <w:tab w:val="center" w:pos="2518"/>
              </w:tabs>
              <w:spacing w:line="240" w:lineRule="auto"/>
            </w:pPr>
            <w:bookmarkStart w:id="9" w:name="OLE_LINK1"/>
            <w:bookmarkStart w:id="10" w:name="OLE_LINK2"/>
            <w:r w:rsidRPr="00E87E42">
              <w:rPr>
                <w:noProof/>
                <w:lang w:eastAsia="en-GB"/>
              </w:rPr>
              <w:drawing>
                <wp:anchor distT="0" distB="0" distL="114300" distR="114300" simplePos="0" relativeHeight="253394944" behindDoc="0" locked="0" layoutInCell="1" allowOverlap="1" wp14:anchorId="48EA0B17" wp14:editId="08420504">
                  <wp:simplePos x="0" y="0"/>
                  <wp:positionH relativeFrom="column">
                    <wp:posOffset>-31750</wp:posOffset>
                  </wp:positionH>
                  <wp:positionV relativeFrom="paragraph">
                    <wp:posOffset>17145</wp:posOffset>
                  </wp:positionV>
                  <wp:extent cx="3240000" cy="3060000"/>
                  <wp:effectExtent l="0" t="0" r="0" b="7620"/>
                  <wp:wrapSquare wrapText="bothSides"/>
                  <wp:docPr id="10" name="Chart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tc>
        <w:tc>
          <w:tcPr>
            <w:tcW w:w="5075" w:type="dxa"/>
            <w:gridSpan w:val="2"/>
          </w:tcPr>
          <w:p w14:paraId="27414307" w14:textId="09DA28F7" w:rsidR="00EC2FE4" w:rsidRPr="00E87E42" w:rsidRDefault="00795C33" w:rsidP="008A55B5">
            <w:pPr>
              <w:spacing w:line="240" w:lineRule="auto"/>
            </w:pPr>
            <w:r w:rsidRPr="00E87E42">
              <w:rPr>
                <w:noProof/>
                <w:lang w:eastAsia="en-GB"/>
              </w:rPr>
              <w:drawing>
                <wp:anchor distT="0" distB="0" distL="114300" distR="114300" simplePos="0" relativeHeight="253396992" behindDoc="0" locked="0" layoutInCell="1" allowOverlap="1" wp14:anchorId="1B6DC1B9" wp14:editId="589366A4">
                  <wp:simplePos x="0" y="0"/>
                  <wp:positionH relativeFrom="column">
                    <wp:posOffset>-65405</wp:posOffset>
                  </wp:positionH>
                  <wp:positionV relativeFrom="paragraph">
                    <wp:posOffset>0</wp:posOffset>
                  </wp:positionV>
                  <wp:extent cx="3240000" cy="3060000"/>
                  <wp:effectExtent l="0" t="0" r="0" b="7620"/>
                  <wp:wrapSquare wrapText="bothSides"/>
                  <wp:docPr id="11" name="Chart 11">
                    <a:extLst xmlns:a="http://schemas.openxmlformats.org/drawingml/2006/main">
                      <a:ext uri="{FF2B5EF4-FFF2-40B4-BE49-F238E27FC236}">
                        <a16:creationId xmlns:a16="http://schemas.microsoft.com/office/drawing/2014/main" id="{3BD7C1FB-2250-428C-82BB-0DC143742A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E87E42">
              <w:rPr>
                <w:noProof/>
                <w:lang w:eastAsia="en-GB"/>
              </w:rPr>
              <w:t xml:space="preserve"> </w:t>
            </w:r>
          </w:p>
        </w:tc>
      </w:tr>
      <w:tr w:rsidR="00EC7286" w:rsidRPr="00E87E42" w14:paraId="465A6B2F" w14:textId="77777777" w:rsidTr="008A55B5">
        <w:tc>
          <w:tcPr>
            <w:tcW w:w="5185" w:type="dxa"/>
            <w:gridSpan w:val="2"/>
          </w:tcPr>
          <w:p w14:paraId="40206045" w14:textId="746AAC16" w:rsidR="00EC7286" w:rsidRPr="00E87E42" w:rsidRDefault="00EC7286" w:rsidP="00B57DAB">
            <w:pPr>
              <w:tabs>
                <w:tab w:val="center" w:pos="2518"/>
              </w:tabs>
              <w:spacing w:line="240" w:lineRule="auto"/>
              <w:jc w:val="center"/>
              <w:rPr>
                <w:noProof/>
              </w:rPr>
            </w:pPr>
            <w:r w:rsidRPr="00E87E42">
              <w:rPr>
                <w:noProof/>
              </w:rPr>
              <w:t>(a)</w:t>
            </w:r>
          </w:p>
        </w:tc>
        <w:tc>
          <w:tcPr>
            <w:tcW w:w="5075" w:type="dxa"/>
            <w:gridSpan w:val="2"/>
          </w:tcPr>
          <w:p w14:paraId="351A206B" w14:textId="4A67B407" w:rsidR="00EC7286" w:rsidRPr="00E87E42" w:rsidRDefault="00EC7286" w:rsidP="00B57DAB">
            <w:pPr>
              <w:spacing w:line="240" w:lineRule="auto"/>
              <w:jc w:val="center"/>
              <w:rPr>
                <w:noProof/>
              </w:rPr>
            </w:pPr>
            <w:r w:rsidRPr="00E87E42">
              <w:rPr>
                <w:noProof/>
              </w:rPr>
              <w:t>(b)</w:t>
            </w:r>
          </w:p>
        </w:tc>
      </w:tr>
      <w:tr w:rsidR="00E31B19" w:rsidRPr="00E87E42" w14:paraId="5D9F3FD4" w14:textId="77777777" w:rsidTr="00F86978">
        <w:trPr>
          <w:gridAfter w:val="1"/>
          <w:wAfter w:w="218" w:type="dxa"/>
        </w:trPr>
        <w:tc>
          <w:tcPr>
            <w:tcW w:w="10042" w:type="dxa"/>
            <w:gridSpan w:val="3"/>
          </w:tcPr>
          <w:p w14:paraId="3D00AAA5" w14:textId="35E142B2" w:rsidR="00EC2FE4" w:rsidRPr="00E87E42" w:rsidRDefault="00EC2FE4" w:rsidP="00B57DAB">
            <w:pPr>
              <w:pStyle w:val="Caption"/>
              <w:spacing w:line="240" w:lineRule="auto"/>
            </w:pPr>
            <w:bookmarkStart w:id="11" w:name="_Ref506129409"/>
            <w:bookmarkStart w:id="12" w:name="_Ref506129330"/>
            <w:r w:rsidRPr="00E87E42">
              <w:t xml:space="preserve">Figure </w:t>
            </w:r>
            <w:r w:rsidR="00A446AC" w:rsidRPr="00E87E42">
              <w:rPr>
                <w:noProof/>
              </w:rPr>
              <w:fldChar w:fldCharType="begin"/>
            </w:r>
            <w:r w:rsidR="00A446AC" w:rsidRPr="00E87E42">
              <w:rPr>
                <w:noProof/>
              </w:rPr>
              <w:instrText xml:space="preserve"> SEQ Figure \* ARABIC </w:instrText>
            </w:r>
            <w:r w:rsidR="00A446AC" w:rsidRPr="00E87E42">
              <w:rPr>
                <w:noProof/>
              </w:rPr>
              <w:fldChar w:fldCharType="separate"/>
            </w:r>
            <w:r w:rsidR="009F6872">
              <w:rPr>
                <w:noProof/>
              </w:rPr>
              <w:t>3</w:t>
            </w:r>
            <w:r w:rsidR="00A446AC" w:rsidRPr="00E87E42">
              <w:rPr>
                <w:noProof/>
              </w:rPr>
              <w:fldChar w:fldCharType="end"/>
            </w:r>
            <w:bookmarkEnd w:id="11"/>
            <w:r w:rsidRPr="00E87E42">
              <w:t xml:space="preserve">: Probability of fire starting in </w:t>
            </w:r>
            <w:r w:rsidR="00A056AD" w:rsidRPr="00E87E42">
              <w:t>I</w:t>
            </w:r>
            <w:r w:rsidRPr="00E87E42">
              <w:t>ndustry and manufacturing</w:t>
            </w:r>
            <w:r w:rsidR="00747B23" w:rsidRPr="00E87E42">
              <w:t xml:space="preserve"> (a) comparing</w:t>
            </w:r>
            <w:r w:rsidRPr="00E87E42">
              <w:t xml:space="preserve"> PD 7974-7 and USA fire </w:t>
            </w:r>
            <w:r w:rsidR="00747B23" w:rsidRPr="00E87E42">
              <w:t>frequency relationships; and (b) looking solely at the USA fire frequency relationships</w:t>
            </w:r>
            <w:bookmarkEnd w:id="12"/>
          </w:p>
        </w:tc>
      </w:tr>
      <w:bookmarkEnd w:id="9"/>
      <w:bookmarkEnd w:id="10"/>
      <w:tr w:rsidR="00EC7286" w:rsidRPr="00E87E42" w14:paraId="435FFFF9" w14:textId="77777777" w:rsidTr="008A55B5">
        <w:tc>
          <w:tcPr>
            <w:tcW w:w="4969" w:type="dxa"/>
          </w:tcPr>
          <w:p w14:paraId="461BCDAE" w14:textId="2D571160" w:rsidR="00734E64" w:rsidRPr="00E87E42" w:rsidRDefault="00795C33" w:rsidP="00B57DAB">
            <w:pPr>
              <w:spacing w:line="240" w:lineRule="auto"/>
            </w:pPr>
            <w:r w:rsidRPr="00E87E42">
              <w:rPr>
                <w:noProof/>
                <w:lang w:eastAsia="en-GB"/>
              </w:rPr>
              <w:lastRenderedPageBreak/>
              <w:drawing>
                <wp:anchor distT="0" distB="0" distL="114300" distR="114300" simplePos="0" relativeHeight="253399040" behindDoc="0" locked="0" layoutInCell="1" allowOverlap="1" wp14:anchorId="173B0999" wp14:editId="78CB703A">
                  <wp:simplePos x="0" y="0"/>
                  <wp:positionH relativeFrom="column">
                    <wp:posOffset>-65405</wp:posOffset>
                  </wp:positionH>
                  <wp:positionV relativeFrom="paragraph">
                    <wp:posOffset>17145</wp:posOffset>
                  </wp:positionV>
                  <wp:extent cx="3240000" cy="3060000"/>
                  <wp:effectExtent l="0" t="0" r="0" b="7620"/>
                  <wp:wrapSquare wrapText="bothSides"/>
                  <wp:docPr id="24" name="Chart 24">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E87E42">
              <w:rPr>
                <w:noProof/>
                <w:lang w:eastAsia="en-GB"/>
              </w:rPr>
              <w:t xml:space="preserve"> </w:t>
            </w:r>
          </w:p>
        </w:tc>
        <w:tc>
          <w:tcPr>
            <w:tcW w:w="5291" w:type="dxa"/>
            <w:gridSpan w:val="3"/>
          </w:tcPr>
          <w:p w14:paraId="33AE5E2F" w14:textId="004260F1" w:rsidR="00734E64" w:rsidRPr="00E87E42" w:rsidRDefault="003B34C8" w:rsidP="00B57DAB">
            <w:pPr>
              <w:spacing w:line="240" w:lineRule="auto"/>
            </w:pPr>
            <w:r w:rsidRPr="00E87E42">
              <w:rPr>
                <w:noProof/>
                <w:lang w:eastAsia="en-GB"/>
              </w:rPr>
              <w:drawing>
                <wp:anchor distT="0" distB="0" distL="114300" distR="114300" simplePos="0" relativeHeight="253401088" behindDoc="0" locked="0" layoutInCell="1" allowOverlap="1" wp14:anchorId="169A9C6E" wp14:editId="71285529">
                  <wp:simplePos x="0" y="0"/>
                  <wp:positionH relativeFrom="column">
                    <wp:posOffset>-53340</wp:posOffset>
                  </wp:positionH>
                  <wp:positionV relativeFrom="paragraph">
                    <wp:posOffset>0</wp:posOffset>
                  </wp:positionV>
                  <wp:extent cx="3240000" cy="3060000"/>
                  <wp:effectExtent l="0" t="0" r="0" b="7620"/>
                  <wp:wrapSquare wrapText="bothSides"/>
                  <wp:docPr id="27" name="Chart 27">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E87E42">
              <w:rPr>
                <w:noProof/>
                <w:lang w:eastAsia="en-GB"/>
              </w:rPr>
              <w:t xml:space="preserve"> </w:t>
            </w:r>
          </w:p>
        </w:tc>
      </w:tr>
      <w:tr w:rsidR="00EC7286" w:rsidRPr="00E87E42" w14:paraId="44EC8491" w14:textId="77777777" w:rsidTr="008A55B5">
        <w:tc>
          <w:tcPr>
            <w:tcW w:w="4969" w:type="dxa"/>
          </w:tcPr>
          <w:p w14:paraId="54EBD78F" w14:textId="6F4BFAEB" w:rsidR="00734E64" w:rsidRPr="00E87E42" w:rsidRDefault="00734E64" w:rsidP="00B57DAB">
            <w:pPr>
              <w:spacing w:line="240" w:lineRule="auto"/>
              <w:jc w:val="center"/>
            </w:pPr>
            <w:r w:rsidRPr="00E87E42">
              <w:t>(a)</w:t>
            </w:r>
          </w:p>
        </w:tc>
        <w:tc>
          <w:tcPr>
            <w:tcW w:w="5291" w:type="dxa"/>
            <w:gridSpan w:val="3"/>
          </w:tcPr>
          <w:p w14:paraId="76B97C90" w14:textId="5754C5E6" w:rsidR="00734E64" w:rsidRPr="00E87E42" w:rsidRDefault="00734E64" w:rsidP="00B57DAB">
            <w:pPr>
              <w:spacing w:line="240" w:lineRule="auto"/>
              <w:jc w:val="center"/>
            </w:pPr>
            <w:r w:rsidRPr="00E87E42">
              <w:t>(b)</w:t>
            </w:r>
          </w:p>
        </w:tc>
      </w:tr>
      <w:tr w:rsidR="00734E64" w:rsidRPr="00E87E42" w14:paraId="476C93FB" w14:textId="77777777" w:rsidTr="00F86978">
        <w:trPr>
          <w:gridAfter w:val="1"/>
          <w:wAfter w:w="218" w:type="dxa"/>
        </w:trPr>
        <w:tc>
          <w:tcPr>
            <w:tcW w:w="10042" w:type="dxa"/>
            <w:gridSpan w:val="3"/>
          </w:tcPr>
          <w:p w14:paraId="40A68A03" w14:textId="6B5A89F4" w:rsidR="00734E64" w:rsidRPr="00E87E42" w:rsidRDefault="00734E64" w:rsidP="00B57DAB">
            <w:pPr>
              <w:pStyle w:val="Caption"/>
              <w:spacing w:line="240" w:lineRule="auto"/>
            </w:pPr>
            <w:bookmarkStart w:id="13" w:name="_Ref506132771"/>
            <w:r w:rsidRPr="00E87E42">
              <w:t xml:space="preserve">Figure </w:t>
            </w:r>
            <w:r w:rsidR="00A446AC" w:rsidRPr="00E87E42">
              <w:rPr>
                <w:noProof/>
              </w:rPr>
              <w:fldChar w:fldCharType="begin"/>
            </w:r>
            <w:r w:rsidR="00A446AC" w:rsidRPr="00E87E42">
              <w:rPr>
                <w:noProof/>
              </w:rPr>
              <w:instrText xml:space="preserve"> SEQ Figure \* ARABIC </w:instrText>
            </w:r>
            <w:r w:rsidR="00A446AC" w:rsidRPr="00E87E42">
              <w:rPr>
                <w:noProof/>
              </w:rPr>
              <w:fldChar w:fldCharType="separate"/>
            </w:r>
            <w:r w:rsidR="009F6872">
              <w:rPr>
                <w:noProof/>
              </w:rPr>
              <w:t>4</w:t>
            </w:r>
            <w:r w:rsidR="00A446AC" w:rsidRPr="00E87E42">
              <w:rPr>
                <w:noProof/>
              </w:rPr>
              <w:fldChar w:fldCharType="end"/>
            </w:r>
            <w:bookmarkEnd w:id="13"/>
            <w:r w:rsidRPr="00E87E42">
              <w:t xml:space="preserve">: Probability of fire starting from USA fire statistics in (a) chemical and allied industry; and (b) other manufacturing </w:t>
            </w:r>
          </w:p>
        </w:tc>
      </w:tr>
    </w:tbl>
    <w:p w14:paraId="0D65908F" w14:textId="19CFB70A" w:rsidR="00734E64" w:rsidRPr="00E87E42" w:rsidRDefault="00734E64" w:rsidP="00AB4A67"/>
    <w:p w14:paraId="1E883D05" w14:textId="1A9B0D94" w:rsidR="00A9438C" w:rsidRPr="00E87E42" w:rsidRDefault="00EB0F18" w:rsidP="00AB4A67">
      <w:r w:rsidRPr="00E87E42">
        <w:rPr>
          <w:i/>
        </w:rPr>
        <w:t>O</w:t>
      </w:r>
      <w:r w:rsidR="00747F4F" w:rsidRPr="00E87E42">
        <w:rPr>
          <w:i/>
        </w:rPr>
        <w:t>ther manufacturing</w:t>
      </w:r>
      <w:r w:rsidR="00263052" w:rsidRPr="00E87E42">
        <w:t xml:space="preserve">, </w:t>
      </w:r>
      <w:r w:rsidR="00F9671F" w:rsidRPr="00E87E42">
        <w:t>again a positive exponent</w:t>
      </w:r>
      <w:r w:rsidR="00A24730" w:rsidRPr="00E87E42">
        <w:t xml:space="preserve"> </w:t>
      </w:r>
      <w:r w:rsidR="00A24730" w:rsidRPr="00E87E42">
        <w:rPr>
          <w:i/>
        </w:rPr>
        <w:t>Power (USA-improved)</w:t>
      </w:r>
      <w:r w:rsidR="00A24730" w:rsidRPr="00E87E42">
        <w:t xml:space="preserve"> </w:t>
      </w:r>
      <w:r w:rsidR="00F9671F" w:rsidRPr="00E87E42">
        <w:t xml:space="preserve">relationship is present </w:t>
      </w:r>
      <w:r w:rsidR="007E4701" w:rsidRPr="00E87E42">
        <w:t xml:space="preserve">as </w:t>
      </w:r>
      <w:r w:rsidR="00A24730" w:rsidRPr="00E87E42">
        <w:t>shown</w:t>
      </w:r>
      <w:r w:rsidR="007E4701" w:rsidRPr="00E87E42">
        <w:t xml:space="preserve"> in </w:t>
      </w:r>
      <w:r w:rsidR="00541F5A" w:rsidRPr="00E87E42">
        <w:fldChar w:fldCharType="begin"/>
      </w:r>
      <w:r w:rsidR="00541F5A" w:rsidRPr="00E87E42">
        <w:instrText xml:space="preserve"> REF _Ref506132771 \h </w:instrText>
      </w:r>
      <w:r w:rsidR="00E87E42">
        <w:instrText xml:space="preserve"> \* MERGEFORMAT </w:instrText>
      </w:r>
      <w:r w:rsidR="00541F5A" w:rsidRPr="00E87E42">
        <w:fldChar w:fldCharType="separate"/>
      </w:r>
      <w:r w:rsidR="009F6872" w:rsidRPr="00E87E42">
        <w:t xml:space="preserve">Figure </w:t>
      </w:r>
      <w:r w:rsidR="009F6872">
        <w:rPr>
          <w:noProof/>
        </w:rPr>
        <w:t>4</w:t>
      </w:r>
      <w:r w:rsidR="00541F5A" w:rsidRPr="00E87E42">
        <w:fldChar w:fldCharType="end"/>
      </w:r>
      <w:r w:rsidR="00541F5A" w:rsidRPr="00E87E42">
        <w:t xml:space="preserve"> (b) </w:t>
      </w:r>
      <w:r w:rsidR="00263052" w:rsidRPr="00E87E42">
        <w:t>based on the USA fir</w:t>
      </w:r>
      <w:r w:rsidR="00F9671F" w:rsidRPr="00E87E42">
        <w:t>e</w:t>
      </w:r>
      <w:r w:rsidR="00263052" w:rsidRPr="00E87E42">
        <w:t xml:space="preserve"> statistics data</w:t>
      </w:r>
      <w:r w:rsidR="007E4701" w:rsidRPr="00E87E42">
        <w:t xml:space="preserve">. </w:t>
      </w:r>
      <w:r w:rsidR="00F9671F" w:rsidRPr="00E87E42">
        <w:t xml:space="preserve">However, as for </w:t>
      </w:r>
      <w:r w:rsidR="00F9671F" w:rsidRPr="00E87E42">
        <w:rPr>
          <w:i/>
        </w:rPr>
        <w:t>Chemical and Allied industries</w:t>
      </w:r>
      <w:r w:rsidR="00F9671F" w:rsidRPr="00E87E42">
        <w:t>, there is a great dispersion in the data</w:t>
      </w:r>
      <w:r w:rsidR="00BF4A00" w:rsidRPr="00E87E42">
        <w:t xml:space="preserve"> leading to a very low correlation (R</w:t>
      </w:r>
      <w:r w:rsidR="00BF4A00" w:rsidRPr="00E87E42">
        <w:rPr>
          <w:vertAlign w:val="superscript"/>
        </w:rPr>
        <w:t>2</w:t>
      </w:r>
      <w:r w:rsidR="00CA3541" w:rsidRPr="00E87E42">
        <w:rPr>
          <w:vertAlign w:val="superscript"/>
        </w:rPr>
        <w:t xml:space="preserve"> </w:t>
      </w:r>
      <w:r w:rsidR="00CA3541" w:rsidRPr="00E87E42">
        <w:t xml:space="preserve">= </w:t>
      </w:r>
      <w:r w:rsidR="00BF4A00" w:rsidRPr="00E87E42">
        <w:t>0.010)</w:t>
      </w:r>
      <w:r w:rsidR="00F9671F" w:rsidRPr="00E87E42">
        <w:t xml:space="preserve">. This could be in </w:t>
      </w:r>
      <w:proofErr w:type="gramStart"/>
      <w:r w:rsidR="00F9671F" w:rsidRPr="00E87E42">
        <w:t>part</w:t>
      </w:r>
      <w:proofErr w:type="gramEnd"/>
      <w:r w:rsidR="00F9671F" w:rsidRPr="00E87E42">
        <w:t xml:space="preserve"> due to how buildings have been grouped by area</w:t>
      </w:r>
      <w:r w:rsidR="00615147" w:rsidRPr="00E87E42">
        <w:t>s</w:t>
      </w:r>
      <w:r w:rsidR="00F9671F" w:rsidRPr="00E87E42">
        <w:t xml:space="preserve">, and limited variety in area ranges, therefore a higher fidelity in the building stock data </w:t>
      </w:r>
      <w:r w:rsidR="00BF4A00" w:rsidRPr="00E87E42">
        <w:t xml:space="preserve">for the specific types of industrial buildings </w:t>
      </w:r>
      <w:r w:rsidR="00F9671F" w:rsidRPr="00E87E42">
        <w:t>is required to improve these relationships further.</w:t>
      </w:r>
    </w:p>
    <w:p w14:paraId="5C2A5339" w14:textId="74FF87F7" w:rsidR="00E71E18" w:rsidRPr="00E87E42" w:rsidRDefault="00DC6A25" w:rsidP="00AB4A67">
      <w:r w:rsidRPr="00E87E42">
        <w:t xml:space="preserve">The second part of Table A.1 </w:t>
      </w:r>
      <w:proofErr w:type="gramStart"/>
      <w:r w:rsidRPr="00E87E42">
        <w:t>is related</w:t>
      </w:r>
      <w:proofErr w:type="gramEnd"/>
      <w:r w:rsidRPr="00E87E42">
        <w:t xml:space="preserve"> to </w:t>
      </w:r>
      <w:r w:rsidRPr="00E87E42">
        <w:rPr>
          <w:b/>
        </w:rPr>
        <w:t xml:space="preserve">Other </w:t>
      </w:r>
      <w:r w:rsidR="00F9671F" w:rsidRPr="00E87E42">
        <w:rPr>
          <w:b/>
        </w:rPr>
        <w:t>O</w:t>
      </w:r>
      <w:r w:rsidRPr="00E87E42">
        <w:rPr>
          <w:b/>
        </w:rPr>
        <w:t>ccupancies</w:t>
      </w:r>
      <w:r w:rsidRPr="00E87E42">
        <w:t xml:space="preserve"> excluding residential buildings. For this analysis, the number of buildings at risk for each category has been found in the </w:t>
      </w:r>
      <w:r w:rsidR="00BD486C" w:rsidRPr="00E87E42">
        <w:t>CBECS</w:t>
      </w:r>
      <w:r w:rsidR="00EF0064" w:rsidRPr="00E87E42">
        <w:t xml:space="preserve">, </w:t>
      </w:r>
      <w:r w:rsidR="00C26AA0" w:rsidRPr="00E87E42">
        <w:t xml:space="preserve">again banded by </w:t>
      </w:r>
      <w:r w:rsidR="00BD486C" w:rsidRPr="00E87E42">
        <w:t xml:space="preserve">area from </w:t>
      </w:r>
      <w:r w:rsidR="00833236" w:rsidRPr="00E87E42">
        <w:t xml:space="preserve">a </w:t>
      </w:r>
      <w:r w:rsidR="00BD486C" w:rsidRPr="00E87E42">
        <w:t>total</w:t>
      </w:r>
      <w:r w:rsidR="00EF0064" w:rsidRPr="00E87E42">
        <w:t xml:space="preserve"> building</w:t>
      </w:r>
      <w:r w:rsidR="00BD486C" w:rsidRPr="00E87E42">
        <w:t xml:space="preserve"> area below 1</w:t>
      </w:r>
      <w:r w:rsidR="0010534D" w:rsidRPr="00E87E42">
        <w:t>,</w:t>
      </w:r>
      <w:r w:rsidR="00BD486C" w:rsidRPr="00E87E42">
        <w:t xml:space="preserve">000 </w:t>
      </w:r>
      <w:r w:rsidR="001B682D" w:rsidRPr="00E87E42">
        <w:t>ft</w:t>
      </w:r>
      <w:r w:rsidR="001B682D" w:rsidRPr="00E87E42">
        <w:rPr>
          <w:vertAlign w:val="superscript"/>
        </w:rPr>
        <w:t>2</w:t>
      </w:r>
      <w:r w:rsidR="00BD486C" w:rsidRPr="00E87E42">
        <w:t xml:space="preserve"> to over 500</w:t>
      </w:r>
      <w:r w:rsidR="0010534D" w:rsidRPr="00E87E42">
        <w:t>,</w:t>
      </w:r>
      <w:r w:rsidR="00BD486C" w:rsidRPr="00E87E42">
        <w:t xml:space="preserve">000 </w:t>
      </w:r>
      <w:r w:rsidR="001B682D" w:rsidRPr="00E87E42">
        <w:t>ft</w:t>
      </w:r>
      <w:r w:rsidR="001B682D" w:rsidRPr="00E87E42">
        <w:rPr>
          <w:vertAlign w:val="superscript"/>
        </w:rPr>
        <w:t>2</w:t>
      </w:r>
      <w:r w:rsidR="00BD486C" w:rsidRPr="00E87E42">
        <w:t xml:space="preserve"> </w:t>
      </w:r>
      <w:r w:rsidR="00B64EE5" w:rsidRPr="00E87E42">
        <w:t>(</w:t>
      </w:r>
      <w:r w:rsidR="00BD486C" w:rsidRPr="00E87E42">
        <w:t xml:space="preserve">below 92.03 </w:t>
      </w:r>
      <w:r w:rsidR="001B682D" w:rsidRPr="00E87E42">
        <w:t>m</w:t>
      </w:r>
      <w:r w:rsidR="001B682D" w:rsidRPr="00E87E42">
        <w:rPr>
          <w:vertAlign w:val="superscript"/>
        </w:rPr>
        <w:t>2</w:t>
      </w:r>
      <w:r w:rsidR="00BD486C" w:rsidRPr="00E87E42">
        <w:t xml:space="preserve"> to over 46</w:t>
      </w:r>
      <w:r w:rsidR="0010534D" w:rsidRPr="00E87E42">
        <w:t>,</w:t>
      </w:r>
      <w:r w:rsidR="00BD486C" w:rsidRPr="00E87E42">
        <w:t xml:space="preserve">451.59 </w:t>
      </w:r>
      <w:r w:rsidR="001B682D" w:rsidRPr="00E87E42">
        <w:t>m</w:t>
      </w:r>
      <w:r w:rsidR="001B682D" w:rsidRPr="00E87E42">
        <w:rPr>
          <w:vertAlign w:val="superscript"/>
        </w:rPr>
        <w:t>2</w:t>
      </w:r>
      <w:r w:rsidR="00BD486C" w:rsidRPr="00E87E42">
        <w:t xml:space="preserve">). </w:t>
      </w:r>
      <w:r w:rsidR="00FD7564" w:rsidRPr="00E87E42">
        <w:t xml:space="preserve">In general, there is a consistency in the results presented in these classes, with fire frequency increasing with floor area as noted by </w:t>
      </w:r>
      <w:proofErr w:type="spellStart"/>
      <w:r w:rsidR="00FD7564" w:rsidRPr="00E87E42">
        <w:t>Rutst</w:t>
      </w:r>
      <w:r w:rsidR="00541F5A" w:rsidRPr="00E87E42">
        <w:t>ei</w:t>
      </w:r>
      <w:r w:rsidR="00FD7564" w:rsidRPr="00E87E42">
        <w:t>n</w:t>
      </w:r>
      <w:proofErr w:type="spellEnd"/>
      <w:r w:rsidR="00FD7564" w:rsidRPr="00E87E42">
        <w:t>, however</w:t>
      </w:r>
      <w:r w:rsidR="001D0032" w:rsidRPr="00E87E42">
        <w:t>,</w:t>
      </w:r>
      <w:r w:rsidR="00FD7564" w:rsidRPr="00E87E42">
        <w:t xml:space="preserve"> </w:t>
      </w:r>
      <w:proofErr w:type="spellStart"/>
      <w:r w:rsidR="00FD7564" w:rsidRPr="00E87E42">
        <w:t>Rutstein</w:t>
      </w:r>
      <w:r w:rsidR="001D0032" w:rsidRPr="00E87E42">
        <w:t>’s</w:t>
      </w:r>
      <w:proofErr w:type="spellEnd"/>
      <w:r w:rsidR="00FD7564" w:rsidRPr="00E87E42">
        <w:t xml:space="preserve"> method is poor</w:t>
      </w:r>
      <w:r w:rsidR="006572CB" w:rsidRPr="00E87E42">
        <w:t xml:space="preserve">. The </w:t>
      </w:r>
      <w:r w:rsidR="006572CB" w:rsidRPr="00E87E42">
        <w:rPr>
          <w:i/>
        </w:rPr>
        <w:t>Power (USA-</w:t>
      </w:r>
      <w:proofErr w:type="spellStart"/>
      <w:r w:rsidR="006572CB" w:rsidRPr="00E87E42">
        <w:rPr>
          <w:i/>
        </w:rPr>
        <w:t>Rutstein</w:t>
      </w:r>
      <w:proofErr w:type="spellEnd"/>
      <w:r w:rsidR="006572CB" w:rsidRPr="00E87E42">
        <w:rPr>
          <w:i/>
        </w:rPr>
        <w:t>)</w:t>
      </w:r>
      <w:r w:rsidR="006572CB" w:rsidRPr="00E87E42">
        <w:t xml:space="preserve"> relationship, evaluated calculating the two coefficients </w:t>
      </w:r>
      <w:proofErr w:type="gramStart"/>
      <w:r w:rsidR="006572CB" w:rsidRPr="00E87E42">
        <w:rPr>
          <w:i/>
        </w:rPr>
        <w:t>a</w:t>
      </w:r>
      <w:r w:rsidR="006572CB" w:rsidRPr="00E87E42">
        <w:t xml:space="preserve"> and</w:t>
      </w:r>
      <w:proofErr w:type="gramEnd"/>
      <w:r w:rsidR="006572CB" w:rsidRPr="00E87E42">
        <w:t xml:space="preserve"> </w:t>
      </w:r>
      <w:r w:rsidR="006572CB" w:rsidRPr="00E87E42">
        <w:rPr>
          <w:i/>
        </w:rPr>
        <w:t>b</w:t>
      </w:r>
      <w:r w:rsidR="006572CB" w:rsidRPr="00E87E42">
        <w:t>, seems to consistently and significantly underestimate the tendency of fire frequency according to the building size (</w:t>
      </w:r>
      <w:r w:rsidR="00E50197" w:rsidRPr="00E87E42">
        <w:t>F</w:t>
      </w:r>
      <w:r w:rsidR="006572CB" w:rsidRPr="00E87E42">
        <w:t xml:space="preserve">igures </w:t>
      </w:r>
      <w:r w:rsidR="00E50197" w:rsidRPr="00E87E42">
        <w:t>5-9</w:t>
      </w:r>
      <w:r w:rsidR="00C043FE" w:rsidRPr="00E87E42">
        <w:t>)</w:t>
      </w:r>
      <w:r w:rsidR="006572CB" w:rsidRPr="00E87E42">
        <w:t xml:space="preserve">. </w:t>
      </w:r>
      <w:r w:rsidR="00E71E18" w:rsidRPr="00E87E42">
        <w:t>Therefore, a change in the analysis of the data is required.</w:t>
      </w:r>
    </w:p>
    <w:p w14:paraId="4A188432" w14:textId="6472F9E0" w:rsidR="00DC6A25" w:rsidRPr="00E87E42" w:rsidRDefault="008E269A" w:rsidP="00AB4A67">
      <w:r w:rsidRPr="00E87E42">
        <w:t>C</w:t>
      </w:r>
      <w:r w:rsidR="00FD7564" w:rsidRPr="00E87E42">
        <w:t xml:space="preserve">urve fitting </w:t>
      </w:r>
      <w:r w:rsidR="00E71E18" w:rsidRPr="00E87E42">
        <w:t>power law</w:t>
      </w:r>
      <w:r w:rsidRPr="00E87E42">
        <w:t>s</w:t>
      </w:r>
      <w:r w:rsidR="00E71E18" w:rsidRPr="00E87E42">
        <w:t xml:space="preserve"> </w:t>
      </w:r>
      <w:r w:rsidR="006572CB" w:rsidRPr="00E87E42">
        <w:t xml:space="preserve">with </w:t>
      </w:r>
      <w:r w:rsidRPr="00E87E42">
        <w:t xml:space="preserve">respect to </w:t>
      </w:r>
      <w:r w:rsidR="00FD7564" w:rsidRPr="00E87E42">
        <w:t xml:space="preserve">the banded area data </w:t>
      </w:r>
      <w:proofErr w:type="gramStart"/>
      <w:r w:rsidR="00FD7564" w:rsidRPr="00E87E42">
        <w:t>points</w:t>
      </w:r>
      <w:r w:rsidR="00E71E18" w:rsidRPr="00E87E42">
        <w:t>,</w:t>
      </w:r>
      <w:proofErr w:type="gramEnd"/>
      <w:r w:rsidR="00FD7564" w:rsidRPr="00E87E42">
        <w:t xml:space="preserve"> </w:t>
      </w:r>
      <w:r w:rsidR="006572CB" w:rsidRPr="00E87E42">
        <w:t>in general</w:t>
      </w:r>
      <w:r w:rsidR="00E71E18" w:rsidRPr="00E87E42">
        <w:t>,</w:t>
      </w:r>
      <w:r w:rsidR="006572CB" w:rsidRPr="00E87E42">
        <w:t xml:space="preserve"> </w:t>
      </w:r>
      <w:r w:rsidR="00FD7564" w:rsidRPr="00E87E42">
        <w:t>provides better relationship</w:t>
      </w:r>
      <w:r w:rsidR="006572CB" w:rsidRPr="00E87E42">
        <w:t>s</w:t>
      </w:r>
      <w:r w:rsidR="00E71E18" w:rsidRPr="00E87E42">
        <w:t xml:space="preserve"> for all the different occupancy types with R</w:t>
      </w:r>
      <w:r w:rsidR="00E71E18" w:rsidRPr="00E87E42">
        <w:rPr>
          <w:vertAlign w:val="superscript"/>
        </w:rPr>
        <w:t>2</w:t>
      </w:r>
      <w:r w:rsidR="00E71E18" w:rsidRPr="00E87E42">
        <w:t xml:space="preserve"> values between 0.405-0.9</w:t>
      </w:r>
      <w:r w:rsidR="00B039EE" w:rsidRPr="00E87E42">
        <w:t>27</w:t>
      </w:r>
      <w:r w:rsidR="00FD7564" w:rsidRPr="00E87E42">
        <w:t xml:space="preserve">. </w:t>
      </w:r>
      <w:r w:rsidRPr="00E87E42">
        <w:t xml:space="preserve">Across several different classes of occupancy, the </w:t>
      </w:r>
      <w:r w:rsidR="00FD7564" w:rsidRPr="00E87E42">
        <w:t xml:space="preserve">most </w:t>
      </w:r>
      <w:r w:rsidR="00A17DB8" w:rsidRPr="00E87E42">
        <w:t xml:space="preserve">consistently </w:t>
      </w:r>
      <w:r w:rsidR="00FD7564" w:rsidRPr="00E87E42">
        <w:t xml:space="preserve">accurate form examined for the relationship </w:t>
      </w:r>
      <w:r w:rsidR="00A17DB8" w:rsidRPr="00E87E42">
        <w:t xml:space="preserve">were cubic </w:t>
      </w:r>
      <w:r w:rsidR="00FD7564" w:rsidRPr="00E87E42">
        <w:t>polynomial</w:t>
      </w:r>
      <w:r w:rsidR="00A17DB8" w:rsidRPr="00E87E42">
        <w:t xml:space="preserve">s which </w:t>
      </w:r>
      <w:r w:rsidR="00477800" w:rsidRPr="00E87E42">
        <w:t xml:space="preserve">regularly </w:t>
      </w:r>
      <w:r w:rsidR="00A17DB8" w:rsidRPr="00E87E42">
        <w:t>produced R</w:t>
      </w:r>
      <w:r w:rsidR="00A17DB8" w:rsidRPr="00E87E42">
        <w:rPr>
          <w:vertAlign w:val="superscript"/>
        </w:rPr>
        <w:t>2</w:t>
      </w:r>
      <w:r w:rsidR="00A17DB8" w:rsidRPr="00E87E42">
        <w:t xml:space="preserve"> values close to unity</w:t>
      </w:r>
      <w:r w:rsidR="00E71E18" w:rsidRPr="00E87E42">
        <w:t xml:space="preserve"> (0.742-0.99</w:t>
      </w:r>
      <w:r w:rsidR="001D0032" w:rsidRPr="00E87E42">
        <w:t>7</w:t>
      </w:r>
      <w:r w:rsidR="00E71E18" w:rsidRPr="00E87E42">
        <w:t>)</w:t>
      </w:r>
      <w:r w:rsidR="00FD7564" w:rsidRPr="00E87E42">
        <w:t xml:space="preserve">, however </w:t>
      </w:r>
      <w:r w:rsidR="00D91105" w:rsidRPr="00E87E42">
        <w:t>this may not be a physically representative relationship and is difficult to justify</w:t>
      </w:r>
      <w:r w:rsidR="00FD7564" w:rsidRPr="00E87E42">
        <w:t xml:space="preserve">. </w:t>
      </w:r>
      <w:r w:rsidR="00D91105" w:rsidRPr="00E87E42">
        <w:t>This could be an influence of how the codes used to design structures hav</w:t>
      </w:r>
      <w:r w:rsidR="00B039EE" w:rsidRPr="00E87E42">
        <w:t>e</w:t>
      </w:r>
      <w:r w:rsidR="00D91105" w:rsidRPr="00E87E42">
        <w:t xml:space="preserve"> different criteria as buildings get larger/taller, </w:t>
      </w:r>
      <w:r w:rsidR="00B039EE" w:rsidRPr="00E87E42">
        <w:t xml:space="preserve">where </w:t>
      </w:r>
      <w:r w:rsidR="00D91105" w:rsidRPr="00E87E42">
        <w:t>the cubic function may be capturing this</w:t>
      </w:r>
      <w:r w:rsidR="00B039EE" w:rsidRPr="00E87E42">
        <w:t xml:space="preserve"> aspect; </w:t>
      </w:r>
      <w:r w:rsidR="00D91105" w:rsidRPr="00E87E42">
        <w:t xml:space="preserve">future research will investigate </w:t>
      </w:r>
      <w:r w:rsidR="0065531C" w:rsidRPr="00E87E42">
        <w:t>a possible explanation</w:t>
      </w:r>
      <w:r w:rsidR="00D91105" w:rsidRPr="00E87E42">
        <w:t>.</w:t>
      </w:r>
    </w:p>
    <w:p w14:paraId="24A06448" w14:textId="59808EC3" w:rsidR="00146AAA" w:rsidRPr="00E87E42" w:rsidRDefault="008E5E9F" w:rsidP="00AB4A67">
      <w:r w:rsidRPr="00E87E42">
        <w:lastRenderedPageBreak/>
        <w:fldChar w:fldCharType="begin"/>
      </w:r>
      <w:r w:rsidRPr="00E87E42">
        <w:instrText xml:space="preserve"> REF _Ref506136056 \h </w:instrText>
      </w:r>
      <w:r w:rsidR="00A17DB8" w:rsidRPr="00E87E42">
        <w:instrText xml:space="preserve"> \* MERGEFORMAT </w:instrText>
      </w:r>
      <w:r w:rsidRPr="00E87E42">
        <w:fldChar w:fldCharType="separate"/>
      </w:r>
      <w:r w:rsidR="009F6872" w:rsidRPr="00E87E42">
        <w:t xml:space="preserve">Figure </w:t>
      </w:r>
      <w:r w:rsidR="009F6872">
        <w:rPr>
          <w:noProof/>
        </w:rPr>
        <w:t>5</w:t>
      </w:r>
      <w:r w:rsidRPr="00E87E42">
        <w:fldChar w:fldCharType="end"/>
      </w:r>
      <w:r w:rsidR="00C26AA0" w:rsidRPr="00E87E42">
        <w:t xml:space="preserve"> </w:t>
      </w:r>
      <w:r w:rsidR="00477800" w:rsidRPr="00E87E42">
        <w:t xml:space="preserve">presents </w:t>
      </w:r>
      <w:r w:rsidR="00C26AA0" w:rsidRPr="00E87E42">
        <w:t xml:space="preserve">the PD 7974-7 relationship, the </w:t>
      </w:r>
      <w:r w:rsidR="00C26AA0" w:rsidRPr="00E87E42">
        <w:rPr>
          <w:i/>
        </w:rPr>
        <w:t>USA-</w:t>
      </w:r>
      <w:proofErr w:type="spellStart"/>
      <w:r w:rsidR="00C26AA0" w:rsidRPr="00E87E42">
        <w:rPr>
          <w:i/>
        </w:rPr>
        <w:t>Rutste</w:t>
      </w:r>
      <w:r w:rsidR="00541F5A" w:rsidRPr="00E87E42">
        <w:rPr>
          <w:i/>
        </w:rPr>
        <w:t>i</w:t>
      </w:r>
      <w:r w:rsidR="00C26AA0" w:rsidRPr="00E87E42">
        <w:rPr>
          <w:i/>
        </w:rPr>
        <w:t>n</w:t>
      </w:r>
      <w:proofErr w:type="spellEnd"/>
      <w:r w:rsidR="00C26AA0" w:rsidRPr="00E87E42">
        <w:t xml:space="preserve">, and the </w:t>
      </w:r>
      <w:r w:rsidR="00C26AA0" w:rsidRPr="00E87E42">
        <w:rPr>
          <w:i/>
        </w:rPr>
        <w:t>USA-</w:t>
      </w:r>
      <w:r w:rsidR="00615147" w:rsidRPr="00E87E42">
        <w:rPr>
          <w:i/>
        </w:rPr>
        <w:t>I</w:t>
      </w:r>
      <w:r w:rsidR="00C26AA0" w:rsidRPr="00E87E42">
        <w:rPr>
          <w:i/>
        </w:rPr>
        <w:t>mproved</w:t>
      </w:r>
      <w:r w:rsidR="00C26AA0" w:rsidRPr="00E87E42">
        <w:t xml:space="preserve"> relationships, for </w:t>
      </w:r>
      <w:r w:rsidR="00144F28" w:rsidRPr="00E87E42">
        <w:rPr>
          <w:b/>
        </w:rPr>
        <w:t>S</w:t>
      </w:r>
      <w:r w:rsidR="00C26AA0" w:rsidRPr="00E87E42">
        <w:rPr>
          <w:b/>
        </w:rPr>
        <w:t>torage</w:t>
      </w:r>
      <w:r w:rsidR="00C26AA0" w:rsidRPr="00E87E42">
        <w:t xml:space="preserve"> buildings with a total area of greater than </w:t>
      </w:r>
      <w:r w:rsidR="00E377C7" w:rsidRPr="00E87E42">
        <w:t>92.99</w:t>
      </w:r>
      <w:r w:rsidR="00146AAA" w:rsidRPr="00E87E42">
        <w:t xml:space="preserve"> </w:t>
      </w:r>
      <w:r w:rsidR="001B682D" w:rsidRPr="00E87E42">
        <w:t>m</w:t>
      </w:r>
      <w:r w:rsidR="001B682D" w:rsidRPr="00E87E42">
        <w:rPr>
          <w:vertAlign w:val="superscript"/>
        </w:rPr>
        <w:t>2</w:t>
      </w:r>
      <w:r w:rsidR="008E269A" w:rsidRPr="00E87E42">
        <w:t xml:space="preserve">, and </w:t>
      </w:r>
      <w:r w:rsidR="002F0D9D" w:rsidRPr="00E87E42">
        <w:t>shows that PD 7974-7</w:t>
      </w:r>
      <w:r w:rsidR="002A6959" w:rsidRPr="00E87E42">
        <w:t xml:space="preserve"> adopts a</w:t>
      </w:r>
      <w:r w:rsidR="00146AAA" w:rsidRPr="00E87E42">
        <w:t xml:space="preserve"> highly conservative approach compared to the trends </w:t>
      </w:r>
      <w:r w:rsidR="006572CB" w:rsidRPr="00E87E42">
        <w:t>seen</w:t>
      </w:r>
      <w:r w:rsidR="00146AAA" w:rsidRPr="00E87E42">
        <w:t xml:space="preserve"> from NFIRS</w:t>
      </w:r>
      <w:r w:rsidR="006572CB" w:rsidRPr="00E87E42">
        <w:t xml:space="preserve"> data</w:t>
      </w:r>
      <w:r w:rsidR="00146AAA" w:rsidRPr="00E87E42">
        <w:t xml:space="preserve">. </w:t>
      </w:r>
      <w:r w:rsidR="002F0D9D" w:rsidRPr="00E87E42">
        <w:t xml:space="preserve">However, </w:t>
      </w:r>
      <w:r w:rsidR="00477800" w:rsidRPr="00E87E42">
        <w:t xml:space="preserve">in </w:t>
      </w:r>
      <w:r w:rsidRPr="00E87E42">
        <w:fldChar w:fldCharType="begin"/>
      </w:r>
      <w:r w:rsidRPr="00E87E42">
        <w:instrText xml:space="preserve"> REF _Ref506136056 \h </w:instrText>
      </w:r>
      <w:r w:rsidR="00E87E42">
        <w:instrText xml:space="preserve"> \* MERGEFORMAT </w:instrText>
      </w:r>
      <w:r w:rsidRPr="00E87E42">
        <w:fldChar w:fldCharType="separate"/>
      </w:r>
      <w:r w:rsidR="009F6872" w:rsidRPr="00E87E42">
        <w:t xml:space="preserve">Figure </w:t>
      </w:r>
      <w:r w:rsidR="009F6872">
        <w:rPr>
          <w:noProof/>
        </w:rPr>
        <w:t>5</w:t>
      </w:r>
      <w:r w:rsidRPr="00E87E42">
        <w:fldChar w:fldCharType="end"/>
      </w:r>
      <w:r w:rsidRPr="00E87E42">
        <w:t xml:space="preserve"> </w:t>
      </w:r>
      <w:r w:rsidR="00023335" w:rsidRPr="00E87E42">
        <w:t xml:space="preserve">(b) </w:t>
      </w:r>
      <w:r w:rsidR="00146AAA" w:rsidRPr="00E87E42">
        <w:t>the</w:t>
      </w:r>
      <w:r w:rsidR="002F0D9D" w:rsidRPr="00E87E42">
        <w:t xml:space="preserve"> positive exponent</w:t>
      </w:r>
      <w:r w:rsidR="00146AAA" w:rsidRPr="00E87E42">
        <w:t xml:space="preserve"> power law </w:t>
      </w:r>
      <w:r w:rsidR="002F0D9D" w:rsidRPr="00E87E42">
        <w:t>does describe the increasing fire</w:t>
      </w:r>
      <w:r w:rsidR="00A34A18" w:rsidRPr="00E87E42">
        <w:t xml:space="preserve"> frequency</w:t>
      </w:r>
      <w:r w:rsidR="00146AAA" w:rsidRPr="00E87E42">
        <w:t xml:space="preserve"> with increas</w:t>
      </w:r>
      <w:r w:rsidR="00A34A18" w:rsidRPr="00E87E42">
        <w:t>ing</w:t>
      </w:r>
      <w:r w:rsidR="00146AAA" w:rsidRPr="00E87E42">
        <w:t xml:space="preserve"> total </w:t>
      </w:r>
      <w:r w:rsidR="00A34A18" w:rsidRPr="00E87E42">
        <w:t xml:space="preserve">building </w:t>
      </w:r>
      <w:r w:rsidR="00146AAA" w:rsidRPr="00E87E42">
        <w:t>area</w:t>
      </w:r>
      <w:r w:rsidR="00023335" w:rsidRPr="00E87E42">
        <w:t xml:space="preserve">, even if the </w:t>
      </w:r>
      <w:r w:rsidR="00A17DB8" w:rsidRPr="00E87E42">
        <w:t xml:space="preserve">correlation </w:t>
      </w:r>
      <w:r w:rsidR="00023335" w:rsidRPr="00E87E42">
        <w:t xml:space="preserve">is </w:t>
      </w:r>
      <w:r w:rsidR="00A34A18" w:rsidRPr="00E87E42">
        <w:t>low</w:t>
      </w:r>
      <w:r w:rsidR="00D91105" w:rsidRPr="00E87E42">
        <w:t xml:space="preserve"> (R</w:t>
      </w:r>
      <w:r w:rsidR="00D91105" w:rsidRPr="00E87E42">
        <w:rPr>
          <w:vertAlign w:val="superscript"/>
        </w:rPr>
        <w:t>2</w:t>
      </w:r>
      <w:r w:rsidR="00CA3541" w:rsidRPr="00E87E42">
        <w:rPr>
          <w:vertAlign w:val="superscript"/>
        </w:rPr>
        <w:t xml:space="preserve"> </w:t>
      </w:r>
      <w:r w:rsidR="00CA3541" w:rsidRPr="00E87E42">
        <w:t xml:space="preserve">= </w:t>
      </w:r>
      <w:r w:rsidR="00D91105" w:rsidRPr="00E87E42">
        <w:t>0.405)</w:t>
      </w:r>
      <w:r w:rsidR="00146AAA" w:rsidRPr="00E87E42">
        <w:t xml:space="preserve">. </w:t>
      </w:r>
      <w:r w:rsidR="00023335" w:rsidRPr="00E87E42">
        <w:t>It is also possible to represent the trend using a cubic polynomial increasing the R</w:t>
      </w:r>
      <w:r w:rsidR="00023335" w:rsidRPr="00E87E42">
        <w:rPr>
          <w:vertAlign w:val="superscript"/>
        </w:rPr>
        <w:t>2</w:t>
      </w:r>
      <w:r w:rsidR="00023335" w:rsidRPr="00E87E42">
        <w:t xml:space="preserve"> </w:t>
      </w:r>
      <w:r w:rsidR="00A34A18" w:rsidRPr="00E87E42">
        <w:t xml:space="preserve">correlation </w:t>
      </w:r>
      <w:r w:rsidR="00023335" w:rsidRPr="00E87E42">
        <w:t xml:space="preserve">value </w:t>
      </w:r>
      <w:r w:rsidR="00A34A18" w:rsidRPr="00E87E42">
        <w:t xml:space="preserve">to </w:t>
      </w:r>
      <w:r w:rsidR="00D91105" w:rsidRPr="00E87E42">
        <w:t>0.993</w:t>
      </w:r>
      <w:r w:rsidR="00023335" w:rsidRPr="00E87E42">
        <w:t>, however</w:t>
      </w:r>
      <w:r w:rsidR="004F7527" w:rsidRPr="00E87E42">
        <w:t>,</w:t>
      </w:r>
      <w:r w:rsidR="00D91105" w:rsidRPr="00E87E42">
        <w:t xml:space="preserve"> as mentioned above</w:t>
      </w:r>
      <w:r w:rsidR="006C5B27" w:rsidRPr="00E87E42">
        <w:t xml:space="preserve"> </w:t>
      </w:r>
      <w:r w:rsidR="00D91105" w:rsidRPr="00E87E42">
        <w:t>this is hard to justify.</w:t>
      </w:r>
    </w:p>
    <w:p w14:paraId="3722FB87" w14:textId="71C17BD0" w:rsidR="00A17DB8" w:rsidRPr="00E87E42" w:rsidRDefault="00A17DB8" w:rsidP="00AB4A67">
      <w:r w:rsidRPr="00E87E42">
        <w:t xml:space="preserve">In PD </w:t>
      </w:r>
      <w:proofErr w:type="gramStart"/>
      <w:r w:rsidRPr="00E87E42">
        <w:t>7974-7</w:t>
      </w:r>
      <w:proofErr w:type="gramEnd"/>
      <w:r w:rsidRPr="00E87E42">
        <w:t xml:space="preserve"> </w:t>
      </w:r>
      <w:r w:rsidRPr="00E87E42">
        <w:rPr>
          <w:b/>
        </w:rPr>
        <w:t>Shops and Offices</w:t>
      </w:r>
      <w:r w:rsidRPr="00E87E42">
        <w:rPr>
          <w:i/>
        </w:rPr>
        <w:t xml:space="preserve"> </w:t>
      </w:r>
      <w:r w:rsidRPr="00E87E42">
        <w:t>are two separate categories and have separate</w:t>
      </w:r>
      <w:r w:rsidR="00382F39" w:rsidRPr="00E87E42">
        <w:t>d</w:t>
      </w:r>
      <w:r w:rsidRPr="00E87E42">
        <w:t xml:space="preserve"> fire frequency relationships. However, their nearest comparators, </w:t>
      </w:r>
      <w:r w:rsidRPr="00E87E42">
        <w:rPr>
          <w:i/>
        </w:rPr>
        <w:t>Mercantile</w:t>
      </w:r>
      <w:r w:rsidR="00A43875" w:rsidRPr="00E87E42">
        <w:rPr>
          <w:i/>
        </w:rPr>
        <w:t xml:space="preserve">, </w:t>
      </w:r>
      <w:r w:rsidRPr="00E87E42">
        <w:rPr>
          <w:i/>
        </w:rPr>
        <w:t>Business,</w:t>
      </w:r>
      <w:r w:rsidRPr="00E87E42">
        <w:t xml:space="preserve"> </w:t>
      </w:r>
      <w:proofErr w:type="gramStart"/>
      <w:r w:rsidRPr="00E87E42">
        <w:t>are grouped</w:t>
      </w:r>
      <w:proofErr w:type="gramEnd"/>
      <w:r w:rsidRPr="00E87E42">
        <w:t xml:space="preserve"> in a single class in the NFIRS</w:t>
      </w:r>
      <w:r w:rsidR="006572CB" w:rsidRPr="00E87E42">
        <w:t>; these groups are compared in</w:t>
      </w:r>
      <w:r w:rsidRPr="00E87E42">
        <w:t xml:space="preserve"> </w:t>
      </w:r>
      <w:r w:rsidRPr="00E87E42">
        <w:fldChar w:fldCharType="begin"/>
      </w:r>
      <w:r w:rsidRPr="00E87E42">
        <w:instrText xml:space="preserve"> REF _Ref506136301 \h </w:instrText>
      </w:r>
      <w:r w:rsidR="00E87E42">
        <w:instrText xml:space="preserve"> \* MERGEFORMAT </w:instrText>
      </w:r>
      <w:r w:rsidRPr="00E87E42">
        <w:fldChar w:fldCharType="separate"/>
      </w:r>
      <w:r w:rsidR="009F6872" w:rsidRPr="00E87E42">
        <w:t xml:space="preserve">Figure </w:t>
      </w:r>
      <w:r w:rsidR="009F6872">
        <w:rPr>
          <w:noProof/>
        </w:rPr>
        <w:t>6</w:t>
      </w:r>
      <w:r w:rsidRPr="00E87E42">
        <w:fldChar w:fldCharType="end"/>
      </w:r>
      <w:r w:rsidR="006572CB" w:rsidRPr="00E87E42">
        <w:t xml:space="preserve">. </w:t>
      </w:r>
      <w:r w:rsidR="006572CB" w:rsidRPr="00E87E42">
        <w:fldChar w:fldCharType="begin"/>
      </w:r>
      <w:r w:rsidR="006572CB" w:rsidRPr="00E87E42">
        <w:instrText xml:space="preserve"> REF _Ref506136301 \h </w:instrText>
      </w:r>
      <w:r w:rsidR="00E87E42">
        <w:instrText xml:space="preserve"> \* MERGEFORMAT </w:instrText>
      </w:r>
      <w:r w:rsidR="006572CB" w:rsidRPr="00E87E42">
        <w:fldChar w:fldCharType="separate"/>
      </w:r>
      <w:r w:rsidR="009F6872" w:rsidRPr="00E87E42">
        <w:t xml:space="preserve">Figure </w:t>
      </w:r>
      <w:r w:rsidR="009F6872">
        <w:rPr>
          <w:noProof/>
        </w:rPr>
        <w:t>6</w:t>
      </w:r>
      <w:r w:rsidR="006572CB" w:rsidRPr="00E87E42">
        <w:fldChar w:fldCharType="end"/>
      </w:r>
      <w:r w:rsidRPr="00E87E42">
        <w:t xml:space="preserve"> (a) shows that the power laws for </w:t>
      </w:r>
      <w:r w:rsidRPr="00E87E42">
        <w:rPr>
          <w:i/>
        </w:rPr>
        <w:t xml:space="preserve">Shops </w:t>
      </w:r>
      <w:r w:rsidRPr="00E87E42">
        <w:t>and</w:t>
      </w:r>
      <w:r w:rsidRPr="00E87E42">
        <w:rPr>
          <w:i/>
        </w:rPr>
        <w:t xml:space="preserve"> Offices </w:t>
      </w:r>
      <w:r w:rsidRPr="00E87E42">
        <w:t>in PD</w:t>
      </w:r>
      <w:r w:rsidR="0010534D" w:rsidRPr="00E87E42">
        <w:t xml:space="preserve"> </w:t>
      </w:r>
      <w:r w:rsidRPr="00E87E42">
        <w:t xml:space="preserve">7974-7 are considerably greater than those found in the USA fire </w:t>
      </w:r>
      <w:proofErr w:type="gramStart"/>
      <w:r w:rsidRPr="00E87E42">
        <w:t>statistics</w:t>
      </w:r>
      <w:proofErr w:type="gramEnd"/>
      <w:r w:rsidRPr="00E87E42">
        <w:t xml:space="preserve">. </w:t>
      </w:r>
      <w:r w:rsidR="004F7527" w:rsidRPr="00E87E42">
        <w:t xml:space="preserve">The </w:t>
      </w:r>
      <w:r w:rsidRPr="00E87E42">
        <w:t>PD</w:t>
      </w:r>
      <w:r w:rsidR="004F7527" w:rsidRPr="00E87E42">
        <w:t xml:space="preserve"> 7974-7</w:t>
      </w:r>
      <w:r w:rsidRPr="00E87E42">
        <w:t xml:space="preserve"> laws estimate that you will</w:t>
      </w:r>
      <w:r w:rsidRPr="00E87E42">
        <w:rPr>
          <w:b/>
        </w:rPr>
        <w:t xml:space="preserve"> </w:t>
      </w:r>
      <w:r w:rsidRPr="00E87E42">
        <w:t xml:space="preserve">have one fire per year in your </w:t>
      </w:r>
      <w:r w:rsidRPr="00E87E42">
        <w:rPr>
          <w:i/>
        </w:rPr>
        <w:t xml:space="preserve">Shop </w:t>
      </w:r>
      <w:r w:rsidRPr="00E87E42">
        <w:t>or</w:t>
      </w:r>
      <w:r w:rsidRPr="00E87E42">
        <w:rPr>
          <w:i/>
        </w:rPr>
        <w:t xml:space="preserve"> Office, </w:t>
      </w:r>
      <w:r w:rsidRPr="00E87E42">
        <w:t>if they are greater than 15</w:t>
      </w:r>
      <w:r w:rsidR="0010534D" w:rsidRPr="00E87E42">
        <w:t>,</w:t>
      </w:r>
      <w:r w:rsidRPr="00E87E42">
        <w:t>000 m</w:t>
      </w:r>
      <w:r w:rsidRPr="00E87E42">
        <w:rPr>
          <w:vertAlign w:val="superscript"/>
        </w:rPr>
        <w:t>2</w:t>
      </w:r>
      <w:r w:rsidRPr="00E87E42">
        <w:t xml:space="preserve"> and 50</w:t>
      </w:r>
      <w:r w:rsidR="0010534D" w:rsidRPr="00E87E42">
        <w:t>,</w:t>
      </w:r>
      <w:r w:rsidRPr="00E87E42">
        <w:t>000 m</w:t>
      </w:r>
      <w:r w:rsidRPr="00E87E42">
        <w:rPr>
          <w:vertAlign w:val="superscript"/>
        </w:rPr>
        <w:t>2</w:t>
      </w:r>
      <w:r w:rsidRPr="00E87E42">
        <w:t>, respectively</w:t>
      </w:r>
      <w:r w:rsidRPr="00E87E42">
        <w:rPr>
          <w:i/>
        </w:rPr>
        <w:t>.</w:t>
      </w:r>
      <w:r w:rsidRPr="00E87E42">
        <w:t xml:space="preserve"> This is very conservative when compared to the USA data analysis</w:t>
      </w:r>
      <w:r w:rsidR="00E71E18" w:rsidRPr="00E87E42">
        <w:t>.</w:t>
      </w:r>
      <w:r w:rsidR="00D91105" w:rsidRPr="00E87E42">
        <w:t xml:space="preserve"> </w:t>
      </w:r>
      <w:r w:rsidR="008E269A" w:rsidRPr="00E87E42">
        <w:t>T</w:t>
      </w:r>
      <w:r w:rsidR="00D91105" w:rsidRPr="00E87E42">
        <w:t xml:space="preserve">he fire frequency for </w:t>
      </w:r>
      <w:r w:rsidRPr="00E87E42">
        <w:rPr>
          <w:i/>
        </w:rPr>
        <w:t>Mercantil</w:t>
      </w:r>
      <w:r w:rsidR="00A43875" w:rsidRPr="00E87E42">
        <w:rPr>
          <w:i/>
        </w:rPr>
        <w:t xml:space="preserve">e, </w:t>
      </w:r>
      <w:r w:rsidRPr="00E87E42">
        <w:rPr>
          <w:i/>
        </w:rPr>
        <w:t>Business</w:t>
      </w:r>
      <w:r w:rsidR="008E269A" w:rsidRPr="00E87E42">
        <w:rPr>
          <w:i/>
        </w:rPr>
        <w:t xml:space="preserve">, </w:t>
      </w:r>
      <w:r w:rsidR="008E269A" w:rsidRPr="00E87E42">
        <w:t xml:space="preserve">as for </w:t>
      </w:r>
      <w:r w:rsidR="008E269A" w:rsidRPr="00E87E42">
        <w:rPr>
          <w:i/>
        </w:rPr>
        <w:t xml:space="preserve">Storage, </w:t>
      </w:r>
      <w:r w:rsidRPr="00E87E42">
        <w:t>increas</w:t>
      </w:r>
      <w:r w:rsidR="00D91105" w:rsidRPr="00E87E42">
        <w:t>ed</w:t>
      </w:r>
      <w:r w:rsidRPr="00E87E42">
        <w:t xml:space="preserve"> with floor area. A power law, when based on area bands, provides </w:t>
      </w:r>
      <w:r w:rsidR="004F7527" w:rsidRPr="00E87E42">
        <w:t xml:space="preserve">a </w:t>
      </w:r>
      <w:r w:rsidRPr="00E87E42">
        <w:t>very good approximation of the data, with an R</w:t>
      </w:r>
      <w:r w:rsidRPr="00E87E42">
        <w:rPr>
          <w:vertAlign w:val="superscript"/>
        </w:rPr>
        <w:t>2</w:t>
      </w:r>
      <w:r w:rsidRPr="00E87E42">
        <w:t xml:space="preserve"> value of 0.92</w:t>
      </w:r>
      <w:r w:rsidR="00E71E18" w:rsidRPr="00E87E42">
        <w:t>7</w:t>
      </w:r>
      <w:r w:rsidRPr="00E87E42">
        <w:t xml:space="preserve">. The accuracy </w:t>
      </w:r>
      <w:proofErr w:type="gramStart"/>
      <w:r w:rsidRPr="00E87E42">
        <w:t>can be further improved</w:t>
      </w:r>
      <w:proofErr w:type="gramEnd"/>
      <w:r w:rsidRPr="00E87E42">
        <w:t xml:space="preserve"> using again a cubic polynomial approximation, with an R</w:t>
      </w:r>
      <w:r w:rsidRPr="00E87E42">
        <w:rPr>
          <w:vertAlign w:val="superscript"/>
        </w:rPr>
        <w:t>2</w:t>
      </w:r>
      <w:r w:rsidRPr="00E87E42">
        <w:t xml:space="preserve"> value of 0.99</w:t>
      </w:r>
      <w:r w:rsidR="00E71E18" w:rsidRPr="00E87E42">
        <w:t>7</w:t>
      </w:r>
      <w:r w:rsidRPr="00E87E42">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050"/>
        <w:gridCol w:w="62"/>
      </w:tblGrid>
      <w:tr w:rsidR="00C26AA0" w:rsidRPr="00E87E42" w14:paraId="7C57D1CC" w14:textId="77777777" w:rsidTr="008A55B5">
        <w:tc>
          <w:tcPr>
            <w:tcW w:w="5086" w:type="dxa"/>
          </w:tcPr>
          <w:p w14:paraId="71C50FA2" w14:textId="160C4292" w:rsidR="00C26AA0" w:rsidRPr="00E87E42" w:rsidRDefault="00FB2626" w:rsidP="00C47D23">
            <w:pPr>
              <w:spacing w:line="240" w:lineRule="auto"/>
            </w:pPr>
            <w:r w:rsidRPr="00E87E42">
              <w:rPr>
                <w:noProof/>
                <w:lang w:eastAsia="en-GB"/>
              </w:rPr>
              <w:drawing>
                <wp:anchor distT="0" distB="0" distL="114300" distR="114300" simplePos="0" relativeHeight="253403136" behindDoc="0" locked="0" layoutInCell="1" allowOverlap="1" wp14:anchorId="079A76C9" wp14:editId="0D76A70A">
                  <wp:simplePos x="0" y="0"/>
                  <wp:positionH relativeFrom="column">
                    <wp:posOffset>-65405</wp:posOffset>
                  </wp:positionH>
                  <wp:positionV relativeFrom="paragraph">
                    <wp:posOffset>7620</wp:posOffset>
                  </wp:positionV>
                  <wp:extent cx="3266307" cy="3060000"/>
                  <wp:effectExtent l="0" t="0" r="0" b="7620"/>
                  <wp:wrapSquare wrapText="bothSides"/>
                  <wp:docPr id="28" name="Chart 28">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E87E42">
              <w:rPr>
                <w:noProof/>
                <w:lang w:eastAsia="en-GB"/>
              </w:rPr>
              <w:t xml:space="preserve"> </w:t>
            </w:r>
          </w:p>
        </w:tc>
        <w:tc>
          <w:tcPr>
            <w:tcW w:w="5169" w:type="dxa"/>
            <w:gridSpan w:val="2"/>
          </w:tcPr>
          <w:p w14:paraId="2FF59B69" w14:textId="03F45F17" w:rsidR="00C26AA0" w:rsidRPr="00E87E42" w:rsidRDefault="00FB2626" w:rsidP="00C47D23">
            <w:pPr>
              <w:spacing w:line="240" w:lineRule="auto"/>
            </w:pPr>
            <w:r w:rsidRPr="00E87E42">
              <w:rPr>
                <w:noProof/>
                <w:lang w:eastAsia="en-GB"/>
              </w:rPr>
              <w:drawing>
                <wp:anchor distT="0" distB="0" distL="114300" distR="114300" simplePos="0" relativeHeight="253405184" behindDoc="0" locked="0" layoutInCell="1" allowOverlap="1" wp14:anchorId="5944F4B2" wp14:editId="2AA4EF66">
                  <wp:simplePos x="0" y="0"/>
                  <wp:positionH relativeFrom="column">
                    <wp:posOffset>-48260</wp:posOffset>
                  </wp:positionH>
                  <wp:positionV relativeFrom="paragraph">
                    <wp:posOffset>0</wp:posOffset>
                  </wp:positionV>
                  <wp:extent cx="3240000" cy="3060000"/>
                  <wp:effectExtent l="0" t="0" r="0" b="7620"/>
                  <wp:wrapSquare wrapText="bothSides"/>
                  <wp:docPr id="30" name="Chart 30">
                    <a:extLst xmlns:a="http://schemas.openxmlformats.org/drawingml/2006/main">
                      <a:ext uri="{FF2B5EF4-FFF2-40B4-BE49-F238E27FC236}">
                        <a16:creationId xmlns:a16="http://schemas.microsoft.com/office/drawing/2014/main" id="{00000000-0008-0000-07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E87E42">
              <w:rPr>
                <w:noProof/>
                <w:lang w:eastAsia="en-GB"/>
              </w:rPr>
              <w:t xml:space="preserve"> </w:t>
            </w:r>
          </w:p>
        </w:tc>
      </w:tr>
      <w:tr w:rsidR="00C26AA0" w:rsidRPr="00E87E42" w14:paraId="2E33205B" w14:textId="77777777" w:rsidTr="008A55B5">
        <w:tc>
          <w:tcPr>
            <w:tcW w:w="5086" w:type="dxa"/>
          </w:tcPr>
          <w:p w14:paraId="50188A53" w14:textId="40B7E5AB" w:rsidR="00C26AA0" w:rsidRPr="00E87E42" w:rsidRDefault="00C26AA0" w:rsidP="00C47D23">
            <w:pPr>
              <w:spacing w:line="240" w:lineRule="auto"/>
              <w:jc w:val="center"/>
            </w:pPr>
            <w:r w:rsidRPr="00E87E42">
              <w:t>(a)</w:t>
            </w:r>
          </w:p>
        </w:tc>
        <w:tc>
          <w:tcPr>
            <w:tcW w:w="5169" w:type="dxa"/>
            <w:gridSpan w:val="2"/>
          </w:tcPr>
          <w:p w14:paraId="587F7EDF" w14:textId="584766EF" w:rsidR="00C26AA0" w:rsidRPr="00E87E42" w:rsidRDefault="00C26AA0" w:rsidP="00C47D23">
            <w:pPr>
              <w:spacing w:line="240" w:lineRule="auto"/>
              <w:jc w:val="center"/>
            </w:pPr>
            <w:r w:rsidRPr="00E87E42">
              <w:t>(b)</w:t>
            </w:r>
          </w:p>
        </w:tc>
      </w:tr>
      <w:tr w:rsidR="00C26AA0" w:rsidRPr="00E87E42" w14:paraId="4681BAA8" w14:textId="77777777" w:rsidTr="00F86978">
        <w:trPr>
          <w:gridAfter w:val="1"/>
          <w:wAfter w:w="58" w:type="dxa"/>
        </w:trPr>
        <w:tc>
          <w:tcPr>
            <w:tcW w:w="10197" w:type="dxa"/>
            <w:gridSpan w:val="2"/>
          </w:tcPr>
          <w:p w14:paraId="7A6D19BF" w14:textId="54353D69" w:rsidR="00C26AA0" w:rsidRPr="00E87E42" w:rsidRDefault="00C26AA0" w:rsidP="00C47D23">
            <w:pPr>
              <w:pStyle w:val="Caption"/>
              <w:spacing w:line="240" w:lineRule="auto"/>
            </w:pPr>
            <w:bookmarkStart w:id="14" w:name="_Ref506136056"/>
            <w:r w:rsidRPr="00E87E42">
              <w:t xml:space="preserve">Figure </w:t>
            </w:r>
            <w:r w:rsidR="00A446AC" w:rsidRPr="00E87E42">
              <w:rPr>
                <w:noProof/>
              </w:rPr>
              <w:fldChar w:fldCharType="begin"/>
            </w:r>
            <w:r w:rsidR="00A446AC" w:rsidRPr="00E87E42">
              <w:rPr>
                <w:noProof/>
              </w:rPr>
              <w:instrText xml:space="preserve"> SEQ Figure \* ARABIC </w:instrText>
            </w:r>
            <w:r w:rsidR="00A446AC" w:rsidRPr="00E87E42">
              <w:rPr>
                <w:noProof/>
              </w:rPr>
              <w:fldChar w:fldCharType="separate"/>
            </w:r>
            <w:r w:rsidR="009F6872">
              <w:rPr>
                <w:noProof/>
              </w:rPr>
              <w:t>5</w:t>
            </w:r>
            <w:r w:rsidR="00A446AC" w:rsidRPr="00E87E42">
              <w:rPr>
                <w:noProof/>
              </w:rPr>
              <w:fldChar w:fldCharType="end"/>
            </w:r>
            <w:bookmarkEnd w:id="14"/>
            <w:r w:rsidRPr="00E87E42">
              <w:t xml:space="preserve">: Probability of fire starting </w:t>
            </w:r>
            <w:r w:rsidR="002F0D9D" w:rsidRPr="00E87E42">
              <w:t>in Storage</w:t>
            </w:r>
            <w:r w:rsidRPr="00E87E42">
              <w:t xml:space="preserve"> (a) </w:t>
            </w:r>
            <w:r w:rsidR="002F0D9D" w:rsidRPr="00E87E42">
              <w:t>comparing PD 7974-7 and USA fire statistics</w:t>
            </w:r>
            <w:r w:rsidRPr="00E87E42">
              <w:t xml:space="preserve">; and (b) </w:t>
            </w:r>
            <w:r w:rsidR="002F0D9D" w:rsidRPr="00E87E42">
              <w:t>focussing on USA fire statistics</w:t>
            </w:r>
          </w:p>
        </w:tc>
      </w:tr>
    </w:tbl>
    <w:p w14:paraId="02AC57C4" w14:textId="77777777" w:rsidR="005235E2" w:rsidRPr="00E87E42" w:rsidRDefault="005235E2" w:rsidP="00AB4A6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6"/>
        <w:gridCol w:w="5065"/>
        <w:gridCol w:w="54"/>
      </w:tblGrid>
      <w:tr w:rsidR="00C76369" w:rsidRPr="00E87E42" w14:paraId="2218C85C" w14:textId="77777777" w:rsidTr="008A55B5">
        <w:tc>
          <w:tcPr>
            <w:tcW w:w="5267" w:type="dxa"/>
          </w:tcPr>
          <w:p w14:paraId="37CA94DF" w14:textId="1B1ABE01" w:rsidR="00C76369" w:rsidRPr="00E87E42" w:rsidRDefault="0044699A" w:rsidP="00C47D23">
            <w:pPr>
              <w:spacing w:line="240" w:lineRule="auto"/>
            </w:pPr>
            <w:r w:rsidRPr="00E87E42">
              <w:rPr>
                <w:noProof/>
                <w:lang w:eastAsia="en-GB"/>
              </w:rPr>
              <w:lastRenderedPageBreak/>
              <w:drawing>
                <wp:anchor distT="0" distB="0" distL="114300" distR="114300" simplePos="0" relativeHeight="253407232" behindDoc="0" locked="0" layoutInCell="1" allowOverlap="1" wp14:anchorId="4194ED6B" wp14:editId="003642B8">
                  <wp:simplePos x="0" y="0"/>
                  <wp:positionH relativeFrom="column">
                    <wp:posOffset>-41275</wp:posOffset>
                  </wp:positionH>
                  <wp:positionV relativeFrom="paragraph">
                    <wp:posOffset>0</wp:posOffset>
                  </wp:positionV>
                  <wp:extent cx="3249622" cy="3060000"/>
                  <wp:effectExtent l="0" t="0" r="8255" b="7620"/>
                  <wp:wrapSquare wrapText="bothSides"/>
                  <wp:docPr id="72" name="Chart 72">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tc>
        <w:tc>
          <w:tcPr>
            <w:tcW w:w="4988" w:type="dxa"/>
            <w:gridSpan w:val="2"/>
          </w:tcPr>
          <w:p w14:paraId="71BE06D3" w14:textId="066907D0" w:rsidR="00C76369" w:rsidRPr="00E87E42" w:rsidRDefault="0044699A" w:rsidP="00C47D23">
            <w:pPr>
              <w:spacing w:line="240" w:lineRule="auto"/>
            </w:pPr>
            <w:r w:rsidRPr="00E87E42">
              <w:rPr>
                <w:noProof/>
                <w:lang w:eastAsia="en-GB"/>
              </w:rPr>
              <w:drawing>
                <wp:anchor distT="0" distB="0" distL="114300" distR="114300" simplePos="0" relativeHeight="253409280" behindDoc="0" locked="0" layoutInCell="1" allowOverlap="1" wp14:anchorId="69E5B9B4" wp14:editId="79BE219B">
                  <wp:simplePos x="0" y="0"/>
                  <wp:positionH relativeFrom="column">
                    <wp:posOffset>-65405</wp:posOffset>
                  </wp:positionH>
                  <wp:positionV relativeFrom="paragraph">
                    <wp:posOffset>17145</wp:posOffset>
                  </wp:positionV>
                  <wp:extent cx="3240000" cy="3060000"/>
                  <wp:effectExtent l="0" t="0" r="0" b="7620"/>
                  <wp:wrapSquare wrapText="bothSides"/>
                  <wp:docPr id="74" name="Chart 74">
                    <a:extLst xmlns:a="http://schemas.openxmlformats.org/drawingml/2006/main">
                      <a:ext uri="{FF2B5EF4-FFF2-40B4-BE49-F238E27FC236}">
                        <a16:creationId xmlns:a16="http://schemas.microsoft.com/office/drawing/2014/main" id="{00000000-0008-0000-08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tc>
      </w:tr>
      <w:tr w:rsidR="00C76369" w:rsidRPr="00E87E42" w14:paraId="2598F19B" w14:textId="77777777" w:rsidTr="008A55B5">
        <w:tc>
          <w:tcPr>
            <w:tcW w:w="5267" w:type="dxa"/>
          </w:tcPr>
          <w:p w14:paraId="2BCB4711" w14:textId="46178B66" w:rsidR="00C76369" w:rsidRPr="00E87E42" w:rsidRDefault="00C76369" w:rsidP="00C47D23">
            <w:pPr>
              <w:spacing w:line="240" w:lineRule="auto"/>
              <w:jc w:val="center"/>
            </w:pPr>
            <w:r w:rsidRPr="00E87E42">
              <w:t>(a)</w:t>
            </w:r>
          </w:p>
        </w:tc>
        <w:tc>
          <w:tcPr>
            <w:tcW w:w="4988" w:type="dxa"/>
            <w:gridSpan w:val="2"/>
          </w:tcPr>
          <w:p w14:paraId="30722241" w14:textId="6F0B67DA" w:rsidR="00C76369" w:rsidRPr="00E87E42" w:rsidRDefault="00C76369" w:rsidP="00C47D23">
            <w:pPr>
              <w:spacing w:line="240" w:lineRule="auto"/>
              <w:jc w:val="center"/>
            </w:pPr>
            <w:r w:rsidRPr="00E87E42">
              <w:t>(b)</w:t>
            </w:r>
          </w:p>
        </w:tc>
      </w:tr>
      <w:tr w:rsidR="00C76369" w:rsidRPr="00E87E42" w14:paraId="0B4598BD" w14:textId="77777777" w:rsidTr="00F86978">
        <w:trPr>
          <w:gridAfter w:val="1"/>
          <w:wAfter w:w="48" w:type="dxa"/>
        </w:trPr>
        <w:tc>
          <w:tcPr>
            <w:tcW w:w="10207" w:type="dxa"/>
            <w:gridSpan w:val="2"/>
          </w:tcPr>
          <w:p w14:paraId="7779808D" w14:textId="72F25B57" w:rsidR="00C76369" w:rsidRPr="00E87E42" w:rsidRDefault="00C76369">
            <w:pPr>
              <w:pStyle w:val="Caption"/>
              <w:spacing w:line="240" w:lineRule="auto"/>
            </w:pPr>
            <w:bookmarkStart w:id="15" w:name="_Ref506136301"/>
            <w:r w:rsidRPr="00E87E42">
              <w:t xml:space="preserve">Figure </w:t>
            </w:r>
            <w:r w:rsidR="00A446AC" w:rsidRPr="00E87E42">
              <w:rPr>
                <w:noProof/>
              </w:rPr>
              <w:fldChar w:fldCharType="begin"/>
            </w:r>
            <w:r w:rsidR="00A446AC" w:rsidRPr="00E87E42">
              <w:rPr>
                <w:noProof/>
              </w:rPr>
              <w:instrText xml:space="preserve"> SEQ Figure \* ARABIC </w:instrText>
            </w:r>
            <w:r w:rsidR="00A446AC" w:rsidRPr="00E87E42">
              <w:rPr>
                <w:noProof/>
              </w:rPr>
              <w:fldChar w:fldCharType="separate"/>
            </w:r>
            <w:r w:rsidR="009F6872">
              <w:rPr>
                <w:noProof/>
              </w:rPr>
              <w:t>6</w:t>
            </w:r>
            <w:r w:rsidR="00A446AC" w:rsidRPr="00E87E42">
              <w:rPr>
                <w:noProof/>
              </w:rPr>
              <w:fldChar w:fldCharType="end"/>
            </w:r>
            <w:bookmarkEnd w:id="15"/>
            <w:r w:rsidRPr="00E87E42">
              <w:t>: Probability of fire starting in Shops and Offices (Mercantile</w:t>
            </w:r>
            <w:r w:rsidR="00A43875" w:rsidRPr="00E87E42">
              <w:t xml:space="preserve">, </w:t>
            </w:r>
            <w:r w:rsidRPr="00E87E42">
              <w:t>Business) (a) comparing PD 7974-7 and USA fire statistics; and (b) focussing on USA fire statistics</w:t>
            </w:r>
          </w:p>
        </w:tc>
      </w:tr>
    </w:tbl>
    <w:p w14:paraId="6DE7A156" w14:textId="77777777" w:rsidR="00FA6BE5" w:rsidRPr="00E87E42" w:rsidRDefault="00FA6BE5" w:rsidP="00AB4A67"/>
    <w:p w14:paraId="0D4CA7D8" w14:textId="3E8035D5" w:rsidR="00A17DB8" w:rsidRPr="00E87E42" w:rsidRDefault="00FD7564" w:rsidP="00A17DB8">
      <w:r w:rsidRPr="00E87E42">
        <w:t xml:space="preserve">Similar analyses </w:t>
      </w:r>
      <w:proofErr w:type="gramStart"/>
      <w:r w:rsidRPr="00E87E42">
        <w:t>were performed</w:t>
      </w:r>
      <w:proofErr w:type="gramEnd"/>
      <w:r w:rsidRPr="00E87E42">
        <w:t xml:space="preserve"> f</w:t>
      </w:r>
      <w:r w:rsidR="00BE4DAE" w:rsidRPr="00E87E42">
        <w:t xml:space="preserve">or </w:t>
      </w:r>
      <w:r w:rsidR="00BE4DAE" w:rsidRPr="00E87E42">
        <w:rPr>
          <w:i/>
        </w:rPr>
        <w:t>Hotels</w:t>
      </w:r>
      <w:r w:rsidR="004F33BD" w:rsidRPr="00E87E42">
        <w:rPr>
          <w:i/>
        </w:rPr>
        <w:t>,</w:t>
      </w:r>
      <w:r w:rsidR="004F33BD" w:rsidRPr="00E87E42">
        <w:t xml:space="preserve"> </w:t>
      </w:r>
      <w:r w:rsidRPr="00E87E42">
        <w:rPr>
          <w:i/>
        </w:rPr>
        <w:t xml:space="preserve">Schools, </w:t>
      </w:r>
      <w:r w:rsidRPr="00E87E42">
        <w:t>and</w:t>
      </w:r>
      <w:r w:rsidRPr="00E87E42">
        <w:rPr>
          <w:i/>
        </w:rPr>
        <w:t xml:space="preserve"> Hospitals</w:t>
      </w:r>
      <w:r w:rsidRPr="00E87E42">
        <w:t xml:space="preserve">, and similar trends were found. For </w:t>
      </w:r>
      <w:r w:rsidRPr="00E87E42">
        <w:rPr>
          <w:b/>
        </w:rPr>
        <w:t>Hotels</w:t>
      </w:r>
      <w:r w:rsidRPr="00E87E42">
        <w:t xml:space="preserve">, </w:t>
      </w:r>
      <w:r w:rsidR="004F33BD" w:rsidRPr="00E87E42">
        <w:t xml:space="preserve">the PD 7974-7 law gives a probability of fire equal to 100% for total </w:t>
      </w:r>
      <w:r w:rsidR="00A34A18" w:rsidRPr="00E87E42">
        <w:t xml:space="preserve">area </w:t>
      </w:r>
      <w:r w:rsidR="004F33BD" w:rsidRPr="00E87E42">
        <w:t>greater than 12</w:t>
      </w:r>
      <w:r w:rsidR="0010534D" w:rsidRPr="00E87E42">
        <w:t>,</w:t>
      </w:r>
      <w:r w:rsidR="004F33BD" w:rsidRPr="00E87E42">
        <w:t xml:space="preserve">500 </w:t>
      </w:r>
      <w:r w:rsidR="001B682D" w:rsidRPr="00E87E42">
        <w:t>m</w:t>
      </w:r>
      <w:r w:rsidR="001B682D" w:rsidRPr="00E87E42">
        <w:rPr>
          <w:vertAlign w:val="superscript"/>
        </w:rPr>
        <w:t>2</w:t>
      </w:r>
      <w:r w:rsidR="00A34A18" w:rsidRPr="00E87E42">
        <w:t>, which</w:t>
      </w:r>
      <w:r w:rsidR="004F33BD" w:rsidRPr="00E87E42">
        <w:t xml:space="preserve"> </w:t>
      </w:r>
      <w:r w:rsidR="00A34A18" w:rsidRPr="00E87E42">
        <w:t>w</w:t>
      </w:r>
      <w:r w:rsidR="004F33BD" w:rsidRPr="00E87E42">
        <w:t>hen compar</w:t>
      </w:r>
      <w:r w:rsidR="00A34A18" w:rsidRPr="00E87E42">
        <w:t>ed</w:t>
      </w:r>
      <w:r w:rsidR="004F33BD" w:rsidRPr="00E87E42">
        <w:t xml:space="preserve"> to the USA data analysis, is evident</w:t>
      </w:r>
      <w:r w:rsidR="00A34A18" w:rsidRPr="00E87E42">
        <w:t>ly</w:t>
      </w:r>
      <w:r w:rsidR="004F33BD" w:rsidRPr="00E87E42">
        <w:t xml:space="preserve"> wrong</w:t>
      </w:r>
      <w:r w:rsidR="00646072" w:rsidRPr="00E87E42">
        <w:t>, with the probability of fire starting approximately 0.6%</w:t>
      </w:r>
      <w:r w:rsidR="004F33BD" w:rsidRPr="00E87E42">
        <w:t>.</w:t>
      </w:r>
      <w:r w:rsidR="00AE6BDB" w:rsidRPr="00E87E42">
        <w:t xml:space="preserve"> </w:t>
      </w:r>
      <w:r w:rsidR="00646072" w:rsidRPr="00E87E42">
        <w:t xml:space="preserve">Again, for </w:t>
      </w:r>
      <w:r w:rsidR="00646072" w:rsidRPr="00E87E42">
        <w:rPr>
          <w:i/>
        </w:rPr>
        <w:t>Hotels</w:t>
      </w:r>
      <w:r w:rsidR="00646072" w:rsidRPr="00E87E42">
        <w:t xml:space="preserve">, </w:t>
      </w:r>
      <w:r w:rsidR="00A34A18" w:rsidRPr="00E87E42">
        <w:fldChar w:fldCharType="begin"/>
      </w:r>
      <w:r w:rsidR="00A34A18" w:rsidRPr="00E87E42">
        <w:instrText xml:space="preserve"> REF _Ref506126554 \h </w:instrText>
      </w:r>
      <w:r w:rsidR="00E87E42">
        <w:instrText xml:space="preserve"> \* MERGEFORMAT </w:instrText>
      </w:r>
      <w:r w:rsidR="00A34A18" w:rsidRPr="00E87E42">
        <w:fldChar w:fldCharType="separate"/>
      </w:r>
      <w:r w:rsidR="009F6872" w:rsidRPr="00E87E42">
        <w:t xml:space="preserve">Table </w:t>
      </w:r>
      <w:r w:rsidR="009F6872">
        <w:rPr>
          <w:noProof/>
        </w:rPr>
        <w:t>3</w:t>
      </w:r>
      <w:r w:rsidR="00A34A18" w:rsidRPr="00E87E42">
        <w:fldChar w:fldCharType="end"/>
      </w:r>
      <w:r w:rsidR="00A34A18" w:rsidRPr="00E87E42">
        <w:t xml:space="preserve"> and </w:t>
      </w:r>
      <w:r w:rsidR="00A34A18" w:rsidRPr="00E87E42">
        <w:fldChar w:fldCharType="begin"/>
      </w:r>
      <w:r w:rsidR="00A34A18" w:rsidRPr="00E87E42">
        <w:instrText xml:space="preserve"> REF _Ref506137571 \h </w:instrText>
      </w:r>
      <w:r w:rsidR="00E87E42">
        <w:instrText xml:space="preserve"> \* MERGEFORMAT </w:instrText>
      </w:r>
      <w:r w:rsidR="00A34A18" w:rsidRPr="00E87E42">
        <w:fldChar w:fldCharType="separate"/>
      </w:r>
      <w:r w:rsidR="009F6872" w:rsidRPr="00E87E42">
        <w:t xml:space="preserve">Figure </w:t>
      </w:r>
      <w:r w:rsidR="009F6872">
        <w:rPr>
          <w:noProof/>
        </w:rPr>
        <w:t>7</w:t>
      </w:r>
      <w:r w:rsidR="00A34A18" w:rsidRPr="00E87E42">
        <w:fldChar w:fldCharType="end"/>
      </w:r>
      <w:r w:rsidR="00A34A18" w:rsidRPr="00E87E42">
        <w:t xml:space="preserve"> show that </w:t>
      </w:r>
      <w:r w:rsidR="00646072" w:rsidRPr="00E87E42">
        <w:t>as the floor area increases the fire frequency increases, and a positive exponent law based on floor area (USA-Improved) provides a moderate level of accuracy</w:t>
      </w:r>
      <w:r w:rsidR="00A34A18" w:rsidRPr="00E87E42">
        <w:t xml:space="preserve"> </w:t>
      </w:r>
      <w:r w:rsidR="00E5013B" w:rsidRPr="00E87E42">
        <w:t>(R</w:t>
      </w:r>
      <w:r w:rsidR="00E5013B" w:rsidRPr="00E87E42">
        <w:rPr>
          <w:vertAlign w:val="superscript"/>
        </w:rPr>
        <w:t>2</w:t>
      </w:r>
      <w:r w:rsidR="00E5013B" w:rsidRPr="00E87E42">
        <w:t xml:space="preserve"> = 0.673)</w:t>
      </w:r>
      <w:r w:rsidR="00A34A18" w:rsidRPr="00E87E42">
        <w:t>, which can be further improved using a cubic function</w:t>
      </w:r>
      <w:r w:rsidR="00646072" w:rsidRPr="00E87E42">
        <w:t xml:space="preserve"> </w:t>
      </w:r>
      <w:r w:rsidR="00A34A18" w:rsidRPr="00E87E42">
        <w:t>(</w:t>
      </w:r>
      <w:r w:rsidR="00646072" w:rsidRPr="00E87E42">
        <w:t>R</w:t>
      </w:r>
      <w:r w:rsidR="00646072" w:rsidRPr="00E87E42">
        <w:rPr>
          <w:vertAlign w:val="superscript"/>
        </w:rPr>
        <w:t>2</w:t>
      </w:r>
      <w:r w:rsidR="00646072" w:rsidRPr="00E87E42">
        <w:t xml:space="preserve"> </w:t>
      </w:r>
      <w:r w:rsidR="00A34A18" w:rsidRPr="00E87E42">
        <w:t>=</w:t>
      </w:r>
      <w:r w:rsidR="00646072" w:rsidRPr="00E87E42">
        <w:t xml:space="preserve"> 0.991</w:t>
      </w:r>
      <w:r w:rsidR="00A34A18" w:rsidRPr="00E87E42">
        <w:t>)</w:t>
      </w:r>
      <w:r w:rsidR="00646072" w:rsidRPr="00E87E42">
        <w:t xml:space="preserve">. </w:t>
      </w:r>
      <w:r w:rsidR="00A17DB8" w:rsidRPr="00E87E42">
        <w:t xml:space="preserve">For </w:t>
      </w:r>
      <w:r w:rsidR="00A17DB8" w:rsidRPr="00E87E42">
        <w:rPr>
          <w:b/>
        </w:rPr>
        <w:t>Schools</w:t>
      </w:r>
      <w:r w:rsidR="00A17DB8" w:rsidRPr="00E87E42">
        <w:t>, PD 7974-7 is again very conservative if compared to the one obtained according to the USA fire statistics (</w:t>
      </w:r>
      <w:r w:rsidR="00A17DB8" w:rsidRPr="00E87E42">
        <w:fldChar w:fldCharType="begin"/>
      </w:r>
      <w:r w:rsidR="00A17DB8" w:rsidRPr="00E87E42">
        <w:instrText xml:space="preserve"> REF _Ref506138200 \h </w:instrText>
      </w:r>
      <w:r w:rsidR="00E87E42">
        <w:instrText xml:space="preserve"> \* MERGEFORMAT </w:instrText>
      </w:r>
      <w:r w:rsidR="00A17DB8" w:rsidRPr="00E87E42">
        <w:fldChar w:fldCharType="separate"/>
      </w:r>
      <w:r w:rsidR="009F6872" w:rsidRPr="00E87E42">
        <w:t xml:space="preserve">Figure </w:t>
      </w:r>
      <w:r w:rsidR="009F6872">
        <w:rPr>
          <w:noProof/>
        </w:rPr>
        <w:t>8</w:t>
      </w:r>
      <w:r w:rsidR="00A17DB8" w:rsidRPr="00E87E42">
        <w:fldChar w:fldCharType="end"/>
      </w:r>
      <w:r w:rsidR="00A17DB8" w:rsidRPr="00E87E42">
        <w:t>). Going deeper in details, both the power law and a cubic function for fire frequency according to building size, have an acceptable R</w:t>
      </w:r>
      <w:r w:rsidR="00E5013B" w:rsidRPr="00E87E42">
        <w:rPr>
          <w:vertAlign w:val="superscript"/>
        </w:rPr>
        <w:t>2</w:t>
      </w:r>
      <w:r w:rsidR="00A17DB8" w:rsidRPr="00E87E42">
        <w:t xml:space="preserve"> value</w:t>
      </w:r>
      <w:r w:rsidR="00E5013B" w:rsidRPr="00E87E42">
        <w:t>s</w:t>
      </w:r>
      <w:r w:rsidR="00A17DB8" w:rsidRPr="00E87E42">
        <w:t xml:space="preserve"> of 0.768 and 0.983, respectively, as </w:t>
      </w:r>
      <w:proofErr w:type="gramStart"/>
      <w:r w:rsidR="00A17DB8" w:rsidRPr="00E87E42">
        <w:t>can be seen</w:t>
      </w:r>
      <w:proofErr w:type="gramEnd"/>
      <w:r w:rsidR="00A17DB8" w:rsidRPr="00E87E42">
        <w:t xml:space="preserve"> in </w:t>
      </w:r>
      <w:r w:rsidR="00A17DB8" w:rsidRPr="00E87E42">
        <w:fldChar w:fldCharType="begin"/>
      </w:r>
      <w:r w:rsidR="00A17DB8" w:rsidRPr="00E87E42">
        <w:instrText xml:space="preserve"> REF _Ref506138200 \h </w:instrText>
      </w:r>
      <w:r w:rsidR="00E87E42">
        <w:instrText xml:space="preserve"> \* MERGEFORMAT </w:instrText>
      </w:r>
      <w:r w:rsidR="00A17DB8" w:rsidRPr="00E87E42">
        <w:fldChar w:fldCharType="separate"/>
      </w:r>
      <w:r w:rsidR="009F6872" w:rsidRPr="00E87E42">
        <w:t xml:space="preserve">Figure </w:t>
      </w:r>
      <w:r w:rsidR="009F6872">
        <w:rPr>
          <w:noProof/>
        </w:rPr>
        <w:t>8</w:t>
      </w:r>
      <w:r w:rsidR="00A17DB8" w:rsidRPr="00E87E42">
        <w:fldChar w:fldCharType="end"/>
      </w:r>
      <w:r w:rsidR="00A17DB8" w:rsidRPr="00E87E42">
        <w:t xml:space="preserve">. </w:t>
      </w:r>
    </w:p>
    <w:p w14:paraId="3D3DF77F" w14:textId="384C9A09" w:rsidR="00A17DB8" w:rsidRPr="00E87E42" w:rsidRDefault="00A17DB8" w:rsidP="00AB4A67">
      <w:proofErr w:type="gramStart"/>
      <w:r w:rsidRPr="00E87E42">
        <w:rPr>
          <w:b/>
        </w:rPr>
        <w:t>Hospitals</w:t>
      </w:r>
      <w:r w:rsidRPr="00E87E42">
        <w:t>,</w:t>
      </w:r>
      <w:proofErr w:type="gramEnd"/>
      <w:r w:rsidRPr="00E87E42">
        <w:t xml:space="preserve"> </w:t>
      </w:r>
      <w:r w:rsidR="00E5013B" w:rsidRPr="00E87E42">
        <w:t>are</w:t>
      </w:r>
      <w:r w:rsidRPr="00E87E42">
        <w:t xml:space="preserve"> compared to </w:t>
      </w:r>
      <w:r w:rsidRPr="00E87E42">
        <w:rPr>
          <w:i/>
        </w:rPr>
        <w:t>Health Care, Dete</w:t>
      </w:r>
      <w:r w:rsidR="00A43875" w:rsidRPr="00E87E42">
        <w:rPr>
          <w:i/>
        </w:rPr>
        <w:t>n</w:t>
      </w:r>
      <w:r w:rsidRPr="00E87E42">
        <w:rPr>
          <w:i/>
        </w:rPr>
        <w:t>tion and Correction</w:t>
      </w:r>
      <w:r w:rsidRPr="00E87E42">
        <w:t xml:space="preserve"> from the NFIRS as its nearest comparator</w:t>
      </w:r>
      <w:r w:rsidR="00E5013B" w:rsidRPr="00E87E42">
        <w:t>.</w:t>
      </w:r>
      <w:r w:rsidRPr="00E87E42">
        <w:t xml:space="preserve"> PD 7974-7 assumes a fire will occur every year if your hospital is greater than 16</w:t>
      </w:r>
      <w:r w:rsidR="0010534D" w:rsidRPr="00E87E42">
        <w:t>,</w:t>
      </w:r>
      <w:r w:rsidRPr="00E87E42">
        <w:t>000 m</w:t>
      </w:r>
      <w:r w:rsidRPr="00E87E42">
        <w:rPr>
          <w:vertAlign w:val="superscript"/>
        </w:rPr>
        <w:t>2</w:t>
      </w:r>
      <w:r w:rsidRPr="00E87E42">
        <w:t xml:space="preserve"> in floor area (</w:t>
      </w:r>
      <w:r w:rsidRPr="00E87E42">
        <w:fldChar w:fldCharType="begin"/>
      </w:r>
      <w:r w:rsidRPr="00E87E42">
        <w:instrText xml:space="preserve"> REF _Ref506138549 \h </w:instrText>
      </w:r>
      <w:r w:rsidR="00E87E42">
        <w:instrText xml:space="preserve"> \* MERGEFORMAT </w:instrText>
      </w:r>
      <w:r w:rsidRPr="00E87E42">
        <w:fldChar w:fldCharType="separate"/>
      </w:r>
      <w:r w:rsidR="009F6872" w:rsidRPr="00E87E42">
        <w:t xml:space="preserve">Figure </w:t>
      </w:r>
      <w:r w:rsidR="009F6872">
        <w:rPr>
          <w:noProof/>
        </w:rPr>
        <w:t>9</w:t>
      </w:r>
      <w:r w:rsidRPr="00E87E42">
        <w:fldChar w:fldCharType="end"/>
      </w:r>
      <w:r w:rsidRPr="00E87E42">
        <w:t xml:space="preserve">). </w:t>
      </w:r>
      <w:proofErr w:type="gramStart"/>
      <w:r w:rsidR="00E5013B" w:rsidRPr="00E87E42">
        <w:t>Again</w:t>
      </w:r>
      <w:proofErr w:type="gramEnd"/>
      <w:r w:rsidR="00E5013B" w:rsidRPr="00E87E42">
        <w:t xml:space="preserve"> this seems overly conservative and not supported by the data, </w:t>
      </w:r>
      <w:r w:rsidRPr="00E87E42">
        <w:t xml:space="preserve">where, for a similar area in all </w:t>
      </w:r>
      <w:r w:rsidRPr="00E87E42">
        <w:rPr>
          <w:i/>
        </w:rPr>
        <w:t>Health Care, Dete</w:t>
      </w:r>
      <w:r w:rsidR="00A43875" w:rsidRPr="00E87E42">
        <w:rPr>
          <w:i/>
        </w:rPr>
        <w:t>n</w:t>
      </w:r>
      <w:r w:rsidRPr="00E87E42">
        <w:rPr>
          <w:i/>
        </w:rPr>
        <w:t>tion and Correction</w:t>
      </w:r>
      <w:r w:rsidRPr="00E87E42">
        <w:t xml:space="preserve">, the fire frequency is approximately 2%. Plotting the </w:t>
      </w:r>
      <w:r w:rsidRPr="00E87E42">
        <w:rPr>
          <w:i/>
        </w:rPr>
        <w:t>USA-Improved</w:t>
      </w:r>
      <w:r w:rsidRPr="00E87E42">
        <w:t xml:space="preserve"> functions is not easy since there is a great dispersion of data. This could be due to the mixed classification within NFIRS, where certain facility types have a greater fire frequency, and these facilities are generally of a specific size. However, both a power law and a second order function seem to present a good R</w:t>
      </w:r>
      <w:r w:rsidR="00E5013B" w:rsidRPr="00E87E42">
        <w:rPr>
          <w:vertAlign w:val="superscript"/>
        </w:rPr>
        <w:t>2</w:t>
      </w:r>
      <w:r w:rsidRPr="00E87E42">
        <w:t xml:space="preserve"> of 0.839 and 0.74</w:t>
      </w:r>
      <w:r w:rsidR="0065531C" w:rsidRPr="00E87E42">
        <w:t>2</w:t>
      </w:r>
      <w:r w:rsidR="00E5013B" w:rsidRPr="00E87E42">
        <w:t>, respectively</w:t>
      </w:r>
      <w:r w:rsidRPr="00E87E42">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7"/>
        <w:gridCol w:w="5058"/>
        <w:gridCol w:w="60"/>
      </w:tblGrid>
      <w:tr w:rsidR="004F33BD" w:rsidRPr="00E87E42" w14:paraId="1323DBB1" w14:textId="77777777" w:rsidTr="008A55B5">
        <w:tc>
          <w:tcPr>
            <w:tcW w:w="5106" w:type="dxa"/>
          </w:tcPr>
          <w:p w14:paraId="2C5146A6" w14:textId="0003DFEF" w:rsidR="004F33BD" w:rsidRPr="00E87E42" w:rsidRDefault="00A46F3D" w:rsidP="009A3315">
            <w:pPr>
              <w:spacing w:after="0" w:line="240" w:lineRule="auto"/>
            </w:pPr>
            <w:r w:rsidRPr="00E87E42">
              <w:rPr>
                <w:noProof/>
                <w:lang w:eastAsia="en-GB"/>
              </w:rPr>
              <w:lastRenderedPageBreak/>
              <w:drawing>
                <wp:anchor distT="0" distB="0" distL="114300" distR="114300" simplePos="0" relativeHeight="253411328" behindDoc="0" locked="0" layoutInCell="1" allowOverlap="1" wp14:anchorId="046EF24A" wp14:editId="176F4F7D">
                  <wp:simplePos x="0" y="0"/>
                  <wp:positionH relativeFrom="column">
                    <wp:posOffset>-65354</wp:posOffset>
                  </wp:positionH>
                  <wp:positionV relativeFrom="paragraph">
                    <wp:posOffset>4166</wp:posOffset>
                  </wp:positionV>
                  <wp:extent cx="3254654" cy="3060000"/>
                  <wp:effectExtent l="0" t="0" r="3175" b="7620"/>
                  <wp:wrapSquare wrapText="bothSides"/>
                  <wp:docPr id="75" name="Chart 75">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E87E42">
              <w:rPr>
                <w:noProof/>
                <w:lang w:eastAsia="en-GB"/>
              </w:rPr>
              <w:t xml:space="preserve"> </w:t>
            </w:r>
          </w:p>
        </w:tc>
        <w:tc>
          <w:tcPr>
            <w:tcW w:w="5149" w:type="dxa"/>
            <w:gridSpan w:val="2"/>
          </w:tcPr>
          <w:p w14:paraId="45100886" w14:textId="43FBC1A9" w:rsidR="004F33BD" w:rsidRPr="00E87E42" w:rsidRDefault="00B92689" w:rsidP="009A3315">
            <w:pPr>
              <w:spacing w:after="0" w:line="240" w:lineRule="auto"/>
              <w:rPr>
                <w:sz w:val="16"/>
                <w:szCs w:val="16"/>
              </w:rPr>
            </w:pPr>
            <w:r w:rsidRPr="00E87E42">
              <w:rPr>
                <w:noProof/>
                <w:lang w:eastAsia="en-GB"/>
              </w:rPr>
              <w:drawing>
                <wp:anchor distT="0" distB="0" distL="114300" distR="114300" simplePos="0" relativeHeight="253413376" behindDoc="0" locked="0" layoutInCell="1" allowOverlap="1" wp14:anchorId="55CDFEB9" wp14:editId="351EF01D">
                  <wp:simplePos x="0" y="0"/>
                  <wp:positionH relativeFrom="column">
                    <wp:posOffset>-40640</wp:posOffset>
                  </wp:positionH>
                  <wp:positionV relativeFrom="paragraph">
                    <wp:posOffset>11557</wp:posOffset>
                  </wp:positionV>
                  <wp:extent cx="3235604" cy="3060000"/>
                  <wp:effectExtent l="0" t="0" r="3175" b="7620"/>
                  <wp:wrapSquare wrapText="bothSides"/>
                  <wp:docPr id="78" name="Chart 78">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E87E42">
              <w:rPr>
                <w:noProof/>
                <w:lang w:eastAsia="en-GB"/>
              </w:rPr>
              <w:t xml:space="preserve"> </w:t>
            </w:r>
          </w:p>
        </w:tc>
      </w:tr>
      <w:tr w:rsidR="004F33BD" w:rsidRPr="00E87E42" w14:paraId="24A8F231" w14:textId="77777777" w:rsidTr="008A55B5">
        <w:tc>
          <w:tcPr>
            <w:tcW w:w="5106" w:type="dxa"/>
          </w:tcPr>
          <w:p w14:paraId="61AFD510" w14:textId="4F2ACCAB" w:rsidR="004F33BD" w:rsidRPr="00E87E42" w:rsidRDefault="004F33BD" w:rsidP="009A3315">
            <w:pPr>
              <w:spacing w:after="0" w:line="240" w:lineRule="auto"/>
              <w:jc w:val="center"/>
            </w:pPr>
            <w:r w:rsidRPr="00E87E42">
              <w:t>(a)</w:t>
            </w:r>
          </w:p>
        </w:tc>
        <w:tc>
          <w:tcPr>
            <w:tcW w:w="5149" w:type="dxa"/>
            <w:gridSpan w:val="2"/>
          </w:tcPr>
          <w:p w14:paraId="318DB6C2" w14:textId="446EA193" w:rsidR="004F33BD" w:rsidRPr="00E87E42" w:rsidRDefault="004F33BD" w:rsidP="009A3315">
            <w:pPr>
              <w:spacing w:after="0" w:line="240" w:lineRule="auto"/>
              <w:jc w:val="center"/>
            </w:pPr>
            <w:r w:rsidRPr="00E87E42">
              <w:t>(b)</w:t>
            </w:r>
          </w:p>
        </w:tc>
      </w:tr>
      <w:tr w:rsidR="004F33BD" w:rsidRPr="00E87E42" w14:paraId="7E0942AD" w14:textId="77777777" w:rsidTr="00F86978">
        <w:trPr>
          <w:gridAfter w:val="1"/>
          <w:wAfter w:w="55" w:type="dxa"/>
        </w:trPr>
        <w:tc>
          <w:tcPr>
            <w:tcW w:w="10200" w:type="dxa"/>
            <w:gridSpan w:val="2"/>
          </w:tcPr>
          <w:p w14:paraId="006000BF" w14:textId="0C505D6F" w:rsidR="004F33BD" w:rsidRPr="00E87E42" w:rsidRDefault="004F33BD" w:rsidP="009A3315">
            <w:pPr>
              <w:pStyle w:val="Caption"/>
              <w:spacing w:after="0" w:line="240" w:lineRule="auto"/>
            </w:pPr>
            <w:bookmarkStart w:id="16" w:name="_Ref506137571"/>
            <w:r w:rsidRPr="00E87E42">
              <w:t xml:space="preserve">Figure </w:t>
            </w:r>
            <w:r w:rsidR="00A446AC" w:rsidRPr="00E87E42">
              <w:rPr>
                <w:noProof/>
              </w:rPr>
              <w:fldChar w:fldCharType="begin"/>
            </w:r>
            <w:r w:rsidR="00A446AC" w:rsidRPr="00E87E42">
              <w:rPr>
                <w:noProof/>
              </w:rPr>
              <w:instrText xml:space="preserve"> SEQ Figure \* ARABIC </w:instrText>
            </w:r>
            <w:r w:rsidR="00A446AC" w:rsidRPr="00E87E42">
              <w:rPr>
                <w:noProof/>
              </w:rPr>
              <w:fldChar w:fldCharType="separate"/>
            </w:r>
            <w:r w:rsidR="009F6872">
              <w:rPr>
                <w:noProof/>
              </w:rPr>
              <w:t>7</w:t>
            </w:r>
            <w:r w:rsidR="00A446AC" w:rsidRPr="00E87E42">
              <w:rPr>
                <w:noProof/>
              </w:rPr>
              <w:fldChar w:fldCharType="end"/>
            </w:r>
            <w:bookmarkEnd w:id="16"/>
            <w:r w:rsidRPr="00E87E42">
              <w:t>: Probability of fire starting in Hotels (a) comparing PD 7974-7 and USA fire statistics; and (b) focussing on USA fire statistics</w:t>
            </w:r>
          </w:p>
        </w:tc>
      </w:tr>
    </w:tbl>
    <w:p w14:paraId="662184AF" w14:textId="77777777" w:rsidR="00E9275C" w:rsidRPr="00E87E42" w:rsidRDefault="00E9275C" w:rsidP="00F67292">
      <w:pPr>
        <w:spacing w:after="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216"/>
        <w:gridCol w:w="4793"/>
        <w:gridCol w:w="64"/>
        <w:gridCol w:w="64"/>
      </w:tblGrid>
      <w:tr w:rsidR="00267604" w:rsidRPr="00E87E42" w14:paraId="61E3B2F5" w14:textId="77777777" w:rsidTr="008A55B5">
        <w:tc>
          <w:tcPr>
            <w:tcW w:w="5210" w:type="dxa"/>
            <w:gridSpan w:val="2"/>
          </w:tcPr>
          <w:p w14:paraId="4B3AE63E" w14:textId="5F3962AF" w:rsidR="00267604" w:rsidRPr="00E87E42" w:rsidRDefault="00B92689" w:rsidP="009A3315">
            <w:pPr>
              <w:spacing w:after="0" w:line="240" w:lineRule="auto"/>
            </w:pPr>
            <w:r w:rsidRPr="00E87E42">
              <w:rPr>
                <w:noProof/>
                <w:lang w:eastAsia="en-GB"/>
              </w:rPr>
              <w:drawing>
                <wp:anchor distT="0" distB="0" distL="114300" distR="114300" simplePos="0" relativeHeight="253415424" behindDoc="0" locked="0" layoutInCell="1" allowOverlap="1" wp14:anchorId="7921A81F" wp14:editId="55EF4254">
                  <wp:simplePos x="0" y="0"/>
                  <wp:positionH relativeFrom="column">
                    <wp:posOffset>-16916</wp:posOffset>
                  </wp:positionH>
                  <wp:positionV relativeFrom="paragraph">
                    <wp:posOffset>330</wp:posOffset>
                  </wp:positionV>
                  <wp:extent cx="3240000" cy="3060000"/>
                  <wp:effectExtent l="0" t="0" r="0" b="7620"/>
                  <wp:wrapSquare wrapText="bothSides"/>
                  <wp:docPr id="79" name="Chart 79">
                    <a:extLst xmlns:a="http://schemas.openxmlformats.org/drawingml/2006/main">
                      <a:ext uri="{FF2B5EF4-FFF2-40B4-BE49-F238E27FC236}">
                        <a16:creationId xmlns:a16="http://schemas.microsoft.com/office/drawing/2014/main" id="{00000000-0008-0000-0B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E87E42">
              <w:rPr>
                <w:noProof/>
                <w:lang w:eastAsia="en-GB"/>
              </w:rPr>
              <w:t xml:space="preserve"> </w:t>
            </w:r>
          </w:p>
        </w:tc>
        <w:tc>
          <w:tcPr>
            <w:tcW w:w="5055" w:type="dxa"/>
            <w:gridSpan w:val="3"/>
          </w:tcPr>
          <w:p w14:paraId="2D9FAE05" w14:textId="07285A21" w:rsidR="00267604" w:rsidRPr="00E87E42" w:rsidRDefault="00B92689" w:rsidP="009A3315">
            <w:pPr>
              <w:spacing w:after="0" w:line="240" w:lineRule="auto"/>
              <w:rPr>
                <w:sz w:val="16"/>
                <w:szCs w:val="16"/>
              </w:rPr>
            </w:pPr>
            <w:r w:rsidRPr="00E87E42">
              <w:rPr>
                <w:noProof/>
                <w:lang w:eastAsia="en-GB"/>
              </w:rPr>
              <w:drawing>
                <wp:anchor distT="0" distB="0" distL="114300" distR="114300" simplePos="0" relativeHeight="253417472" behindDoc="0" locked="0" layoutInCell="1" allowOverlap="1" wp14:anchorId="6FAF42F3" wp14:editId="5E9ADEF0">
                  <wp:simplePos x="0" y="0"/>
                  <wp:positionH relativeFrom="column">
                    <wp:posOffset>-65405</wp:posOffset>
                  </wp:positionH>
                  <wp:positionV relativeFrom="paragraph">
                    <wp:posOffset>101</wp:posOffset>
                  </wp:positionV>
                  <wp:extent cx="3237279" cy="3060000"/>
                  <wp:effectExtent l="0" t="0" r="1270" b="7620"/>
                  <wp:wrapSquare wrapText="bothSides"/>
                  <wp:docPr id="81" name="Chart 81">
                    <a:extLst xmlns:a="http://schemas.openxmlformats.org/drawingml/2006/main">
                      <a:ext uri="{FF2B5EF4-FFF2-40B4-BE49-F238E27FC236}">
                        <a16:creationId xmlns:a16="http://schemas.microsoft.com/office/drawing/2014/main" id="{00000000-0008-0000-0B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267604" w:rsidRPr="00E87E42" w14:paraId="52278C5F" w14:textId="77777777" w:rsidTr="008A55B5">
        <w:tc>
          <w:tcPr>
            <w:tcW w:w="5210" w:type="dxa"/>
            <w:gridSpan w:val="2"/>
          </w:tcPr>
          <w:p w14:paraId="7755433B" w14:textId="1E782680" w:rsidR="00267604" w:rsidRPr="00E87E42" w:rsidRDefault="00267604" w:rsidP="009A3315">
            <w:pPr>
              <w:spacing w:after="0" w:line="240" w:lineRule="auto"/>
              <w:jc w:val="center"/>
            </w:pPr>
            <w:r w:rsidRPr="00E87E42">
              <w:t>(a)</w:t>
            </w:r>
          </w:p>
        </w:tc>
        <w:tc>
          <w:tcPr>
            <w:tcW w:w="5055" w:type="dxa"/>
            <w:gridSpan w:val="3"/>
          </w:tcPr>
          <w:p w14:paraId="1D0133A9" w14:textId="41CAEA66" w:rsidR="00267604" w:rsidRPr="00E87E42" w:rsidRDefault="00267604" w:rsidP="009A3315">
            <w:pPr>
              <w:spacing w:after="0" w:line="240" w:lineRule="auto"/>
              <w:jc w:val="center"/>
            </w:pPr>
            <w:r w:rsidRPr="00E87E42">
              <w:t>(b)</w:t>
            </w:r>
          </w:p>
        </w:tc>
      </w:tr>
      <w:tr w:rsidR="00267604" w:rsidRPr="00E87E42" w14:paraId="21814E27" w14:textId="77777777" w:rsidTr="00F86978">
        <w:trPr>
          <w:gridAfter w:val="1"/>
          <w:wAfter w:w="59" w:type="dxa"/>
        </w:trPr>
        <w:tc>
          <w:tcPr>
            <w:tcW w:w="10206" w:type="dxa"/>
            <w:gridSpan w:val="4"/>
          </w:tcPr>
          <w:p w14:paraId="5240F845" w14:textId="2B5A4C76" w:rsidR="00267604" w:rsidRPr="00E87E42" w:rsidRDefault="00267604" w:rsidP="009A3315">
            <w:pPr>
              <w:pStyle w:val="Caption"/>
              <w:spacing w:after="0" w:line="240" w:lineRule="auto"/>
            </w:pPr>
            <w:bookmarkStart w:id="17" w:name="_Ref506138200"/>
            <w:r w:rsidRPr="00E87E42">
              <w:t xml:space="preserve">Figure </w:t>
            </w:r>
            <w:r w:rsidR="00A446AC" w:rsidRPr="00E87E42">
              <w:rPr>
                <w:noProof/>
              </w:rPr>
              <w:fldChar w:fldCharType="begin"/>
            </w:r>
            <w:r w:rsidR="00A446AC" w:rsidRPr="00E87E42">
              <w:rPr>
                <w:noProof/>
              </w:rPr>
              <w:instrText xml:space="preserve"> SEQ Figure \* ARABIC </w:instrText>
            </w:r>
            <w:r w:rsidR="00A446AC" w:rsidRPr="00E87E42">
              <w:rPr>
                <w:noProof/>
              </w:rPr>
              <w:fldChar w:fldCharType="separate"/>
            </w:r>
            <w:r w:rsidR="009F6872">
              <w:rPr>
                <w:noProof/>
              </w:rPr>
              <w:t>8</w:t>
            </w:r>
            <w:r w:rsidR="00A446AC" w:rsidRPr="00E87E42">
              <w:rPr>
                <w:noProof/>
              </w:rPr>
              <w:fldChar w:fldCharType="end"/>
            </w:r>
            <w:bookmarkEnd w:id="17"/>
            <w:r w:rsidRPr="00E87E42">
              <w:t>: Probability of fire starting in Schools (a) comparing PD 7974-7 and USA fire statistics; and (b) focussing on USA fire statistics</w:t>
            </w:r>
          </w:p>
        </w:tc>
      </w:tr>
      <w:tr w:rsidR="00267604" w:rsidRPr="00E87E42" w14:paraId="607C7C39" w14:textId="77777777" w:rsidTr="008A55B5">
        <w:tc>
          <w:tcPr>
            <w:tcW w:w="5027" w:type="dxa"/>
          </w:tcPr>
          <w:p w14:paraId="7FE58A34" w14:textId="16C7A126" w:rsidR="00267604" w:rsidRPr="00E87E42" w:rsidRDefault="00855D40" w:rsidP="009A3315">
            <w:pPr>
              <w:spacing w:after="0" w:line="240" w:lineRule="auto"/>
            </w:pPr>
            <w:r w:rsidRPr="00E87E42">
              <w:rPr>
                <w:noProof/>
                <w:lang w:eastAsia="en-GB"/>
              </w:rPr>
              <w:lastRenderedPageBreak/>
              <w:drawing>
                <wp:anchor distT="0" distB="0" distL="114300" distR="114300" simplePos="0" relativeHeight="253419520" behindDoc="0" locked="0" layoutInCell="1" allowOverlap="1" wp14:anchorId="53FA63FF" wp14:editId="2CF138A8">
                  <wp:simplePos x="0" y="0"/>
                  <wp:positionH relativeFrom="column">
                    <wp:posOffset>-65405</wp:posOffset>
                  </wp:positionH>
                  <wp:positionV relativeFrom="paragraph">
                    <wp:posOffset>4166</wp:posOffset>
                  </wp:positionV>
                  <wp:extent cx="3240000" cy="3060000"/>
                  <wp:effectExtent l="0" t="0" r="0" b="7620"/>
                  <wp:wrapSquare wrapText="bothSides"/>
                  <wp:docPr id="83" name="Chart 83">
                    <a:extLst xmlns:a="http://schemas.openxmlformats.org/drawingml/2006/main">
                      <a:ext uri="{FF2B5EF4-FFF2-40B4-BE49-F238E27FC236}">
                        <a16:creationId xmlns:a16="http://schemas.microsoft.com/office/drawing/2014/main" id="{00000000-0008-0000-0A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Pr="00E87E42">
              <w:rPr>
                <w:noProof/>
                <w:lang w:eastAsia="en-GB"/>
              </w:rPr>
              <w:t xml:space="preserve"> </w:t>
            </w:r>
          </w:p>
        </w:tc>
        <w:tc>
          <w:tcPr>
            <w:tcW w:w="5238" w:type="dxa"/>
            <w:gridSpan w:val="4"/>
          </w:tcPr>
          <w:p w14:paraId="23F3F14A" w14:textId="4CB95CBD" w:rsidR="00267604" w:rsidRPr="00E87E42" w:rsidRDefault="00855D40" w:rsidP="009A3315">
            <w:pPr>
              <w:spacing w:after="0" w:line="240" w:lineRule="auto"/>
            </w:pPr>
            <w:r w:rsidRPr="00E87E42">
              <w:rPr>
                <w:noProof/>
                <w:lang w:eastAsia="en-GB"/>
              </w:rPr>
              <w:drawing>
                <wp:anchor distT="0" distB="0" distL="114300" distR="114300" simplePos="0" relativeHeight="253421568" behindDoc="0" locked="0" layoutInCell="1" allowOverlap="1" wp14:anchorId="7F4BA29C" wp14:editId="1D2C5E3C">
                  <wp:simplePos x="0" y="0"/>
                  <wp:positionH relativeFrom="column">
                    <wp:posOffset>-18034</wp:posOffset>
                  </wp:positionH>
                  <wp:positionV relativeFrom="paragraph">
                    <wp:posOffset>18796</wp:posOffset>
                  </wp:positionV>
                  <wp:extent cx="3240000" cy="3060000"/>
                  <wp:effectExtent l="0" t="0" r="0" b="7620"/>
                  <wp:wrapSquare wrapText="bothSides"/>
                  <wp:docPr id="84" name="Chart 84">
                    <a:extLst xmlns:a="http://schemas.openxmlformats.org/drawingml/2006/main">
                      <a:ext uri="{FF2B5EF4-FFF2-40B4-BE49-F238E27FC236}">
                        <a16:creationId xmlns:a16="http://schemas.microsoft.com/office/drawing/2014/main" id="{00000000-0008-0000-0A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Pr="00E87E42">
              <w:rPr>
                <w:noProof/>
                <w:lang w:eastAsia="en-GB"/>
              </w:rPr>
              <w:t xml:space="preserve"> </w:t>
            </w:r>
          </w:p>
        </w:tc>
      </w:tr>
      <w:tr w:rsidR="00267604" w:rsidRPr="00E87E42" w14:paraId="0458F429" w14:textId="77777777" w:rsidTr="008A55B5">
        <w:tc>
          <w:tcPr>
            <w:tcW w:w="5027" w:type="dxa"/>
          </w:tcPr>
          <w:p w14:paraId="22B67678" w14:textId="6DC890FE" w:rsidR="00267604" w:rsidRPr="00E87E42" w:rsidRDefault="00267604" w:rsidP="009A3315">
            <w:pPr>
              <w:spacing w:after="0" w:line="240" w:lineRule="auto"/>
              <w:jc w:val="center"/>
            </w:pPr>
            <w:r w:rsidRPr="00E87E42">
              <w:t>(a)</w:t>
            </w:r>
          </w:p>
        </w:tc>
        <w:tc>
          <w:tcPr>
            <w:tcW w:w="5238" w:type="dxa"/>
            <w:gridSpan w:val="4"/>
          </w:tcPr>
          <w:p w14:paraId="4CEB9250" w14:textId="50B5BE0C" w:rsidR="00267604" w:rsidRPr="00E87E42" w:rsidRDefault="00267604" w:rsidP="009A3315">
            <w:pPr>
              <w:spacing w:after="0" w:line="240" w:lineRule="auto"/>
              <w:jc w:val="center"/>
            </w:pPr>
            <w:r w:rsidRPr="00E87E42">
              <w:t>(b)</w:t>
            </w:r>
          </w:p>
        </w:tc>
      </w:tr>
      <w:tr w:rsidR="00267604" w:rsidRPr="00E87E42" w14:paraId="61B0FB25" w14:textId="77777777" w:rsidTr="00F86978">
        <w:trPr>
          <w:gridAfter w:val="2"/>
          <w:wAfter w:w="118" w:type="dxa"/>
        </w:trPr>
        <w:tc>
          <w:tcPr>
            <w:tcW w:w="10147" w:type="dxa"/>
            <w:gridSpan w:val="3"/>
          </w:tcPr>
          <w:p w14:paraId="639B8E5A" w14:textId="11B22391" w:rsidR="00267604" w:rsidRPr="00E87E42" w:rsidRDefault="00267604" w:rsidP="009A3315">
            <w:pPr>
              <w:pStyle w:val="Caption"/>
              <w:spacing w:after="0" w:line="240" w:lineRule="auto"/>
            </w:pPr>
            <w:bookmarkStart w:id="18" w:name="_Ref506138549"/>
            <w:r w:rsidRPr="00E87E42">
              <w:t xml:space="preserve">Figure </w:t>
            </w:r>
            <w:r w:rsidR="00A446AC" w:rsidRPr="00E87E42">
              <w:rPr>
                <w:noProof/>
              </w:rPr>
              <w:fldChar w:fldCharType="begin"/>
            </w:r>
            <w:r w:rsidR="00A446AC" w:rsidRPr="00E87E42">
              <w:rPr>
                <w:noProof/>
              </w:rPr>
              <w:instrText xml:space="preserve"> SEQ Figure \* ARABIC </w:instrText>
            </w:r>
            <w:r w:rsidR="00A446AC" w:rsidRPr="00E87E42">
              <w:rPr>
                <w:noProof/>
              </w:rPr>
              <w:fldChar w:fldCharType="separate"/>
            </w:r>
            <w:r w:rsidR="009F6872">
              <w:rPr>
                <w:noProof/>
              </w:rPr>
              <w:t>9</w:t>
            </w:r>
            <w:r w:rsidR="00A446AC" w:rsidRPr="00E87E42">
              <w:rPr>
                <w:noProof/>
              </w:rPr>
              <w:fldChar w:fldCharType="end"/>
            </w:r>
            <w:bookmarkEnd w:id="18"/>
            <w:r w:rsidRPr="00E87E42">
              <w:t xml:space="preserve">: Probability of fire starting (a) comparing PD 7974-7 </w:t>
            </w:r>
            <w:r w:rsidR="007A4ADA" w:rsidRPr="00E87E42">
              <w:t xml:space="preserve">Hospitals </w:t>
            </w:r>
            <w:r w:rsidRPr="00E87E42">
              <w:t>and USA fire statistics</w:t>
            </w:r>
            <w:r w:rsidR="007A4ADA" w:rsidRPr="00E87E42">
              <w:t xml:space="preserve"> Health Care, Dete</w:t>
            </w:r>
            <w:r w:rsidR="00A43875" w:rsidRPr="00E87E42">
              <w:t>n</w:t>
            </w:r>
            <w:r w:rsidR="007A4ADA" w:rsidRPr="00E87E42">
              <w:t>tion and Correction</w:t>
            </w:r>
            <w:r w:rsidRPr="00E87E42">
              <w:t>; and (b) focussing on USA</w:t>
            </w:r>
            <w:r w:rsidR="007A4ADA" w:rsidRPr="00E87E42">
              <w:t xml:space="preserve"> Health Care, Dete</w:t>
            </w:r>
            <w:r w:rsidR="00A43875" w:rsidRPr="00E87E42">
              <w:t>n</w:t>
            </w:r>
            <w:r w:rsidR="007A4ADA" w:rsidRPr="00E87E42">
              <w:t>tion and Correction</w:t>
            </w:r>
            <w:r w:rsidRPr="00E87E42">
              <w:t xml:space="preserve"> fire statistics</w:t>
            </w:r>
          </w:p>
        </w:tc>
      </w:tr>
    </w:tbl>
    <w:p w14:paraId="0492B075" w14:textId="6772CF40" w:rsidR="00A17DB8" w:rsidRPr="00E87E42" w:rsidRDefault="00A17DB8" w:rsidP="004856D8"/>
    <w:p w14:paraId="3C58AB30" w14:textId="7D0774D6" w:rsidR="007A4ADA" w:rsidRPr="00E87E42" w:rsidRDefault="007A4ADA" w:rsidP="004856D8">
      <w:r w:rsidRPr="00E87E42">
        <w:t xml:space="preserve">It </w:t>
      </w:r>
      <w:proofErr w:type="gramStart"/>
      <w:r w:rsidRPr="00E87E42">
        <w:t>can be seen</w:t>
      </w:r>
      <w:proofErr w:type="gramEnd"/>
      <w:r w:rsidRPr="00E87E42">
        <w:t xml:space="preserve"> from the analysis, that the relationships within PD</w:t>
      </w:r>
      <w:r w:rsidR="001A5687" w:rsidRPr="00E87E42">
        <w:t xml:space="preserve"> </w:t>
      </w:r>
      <w:r w:rsidRPr="00E87E42">
        <w:t>7974-7 are extremely conservative in all cases when compared to analysis of frequencies using data from the USA NF</w:t>
      </w:r>
      <w:r w:rsidR="00532B02" w:rsidRPr="00E87E42">
        <w:t>IR</w:t>
      </w:r>
      <w:r w:rsidRPr="00E87E42">
        <w:t>S, and C</w:t>
      </w:r>
      <w:r w:rsidR="00512196" w:rsidRPr="00E87E42">
        <w:t>BE</w:t>
      </w:r>
      <w:r w:rsidRPr="00E87E42">
        <w:t>CS and MECS databases. This could result in expensive and overly conservative designs</w:t>
      </w:r>
      <w:r w:rsidR="00A17DB8" w:rsidRPr="00E87E42">
        <w:t>.</w:t>
      </w:r>
    </w:p>
    <w:p w14:paraId="6E9463B2" w14:textId="5659AB57" w:rsidR="00BC16CC" w:rsidRPr="00E87E42" w:rsidRDefault="004F1B8B" w:rsidP="00610381">
      <w:pPr>
        <w:pStyle w:val="Heading1"/>
        <w:numPr>
          <w:ilvl w:val="0"/>
          <w:numId w:val="35"/>
        </w:numPr>
      </w:pPr>
      <w:bookmarkStart w:id="19" w:name="_Ref497742748"/>
      <w:r w:rsidRPr="00E87E42">
        <w:t>area damage and percen</w:t>
      </w:r>
      <w:r w:rsidR="00BC16CC" w:rsidRPr="00E87E42">
        <w:t>t</w:t>
      </w:r>
      <w:r w:rsidRPr="00E87E42">
        <w:t>a</w:t>
      </w:r>
      <w:r w:rsidR="00BC16CC" w:rsidRPr="00E87E42">
        <w:t>ge of fires for each catego</w:t>
      </w:r>
      <w:r w:rsidR="001A5687" w:rsidRPr="00E87E42">
        <w:t>R</w:t>
      </w:r>
      <w:r w:rsidR="00BC16CC" w:rsidRPr="00E87E42">
        <w:t>y of fire spread</w:t>
      </w:r>
      <w:bookmarkEnd w:id="19"/>
    </w:p>
    <w:p w14:paraId="7E1FBC81" w14:textId="51E74C35" w:rsidR="0083302A" w:rsidRPr="00E87E42" w:rsidRDefault="00475FED" w:rsidP="004723F2">
      <w:pPr>
        <w:spacing w:before="120"/>
      </w:pPr>
      <w:r w:rsidRPr="00E87E42">
        <w:t xml:space="preserve">The area damage in PD 7974-7 </w:t>
      </w:r>
      <w:r w:rsidR="00532B02" w:rsidRPr="00E87E42">
        <w:fldChar w:fldCharType="begin" w:fldLock="1"/>
      </w:r>
      <w:r w:rsidR="00BC5ED7" w:rsidRPr="00E87E42">
        <w:instrText>ADDIN CSL_CITATION {"citationItems":[{"id":"ITEM-1","itemData":{"author":[{"dropping-particle":"","family":"BSI","given":"","non-dropping-particle":"","parse-names":false,"suffix":""}],"id":"ITEM-1","issued":{"date-parts":[["2003"]]},"title":"PD 7974-7: Application of fire safety engineering principles to the design of buildings — Part 7 : Probabilistic risk assessment","type":"article-journal","volume":"3"},"uris":["http://www.mendeley.com/documents/?uuid=939ef726-1b50-4e5c-b39d-a90e50ef2a69"]}],"mendeley":{"formattedCitation":"[3]","plainTextFormattedCitation":"[3]","previouslyFormattedCitation":"[3]"},"properties":{"noteIndex":0},"schema":"https://github.com/citation-style-language/schema/raw/master/csl-citation.json"}</w:instrText>
      </w:r>
      <w:r w:rsidR="00532B02" w:rsidRPr="00E87E42">
        <w:fldChar w:fldCharType="separate"/>
      </w:r>
      <w:r w:rsidR="00214A6C" w:rsidRPr="00E87E42">
        <w:rPr>
          <w:noProof/>
        </w:rPr>
        <w:t>[3]</w:t>
      </w:r>
      <w:r w:rsidR="00532B02" w:rsidRPr="00E87E42">
        <w:fldChar w:fldCharType="end"/>
      </w:r>
      <w:r w:rsidR="001C6D13" w:rsidRPr="00E87E42">
        <w:t xml:space="preserve"> </w:t>
      </w:r>
      <w:r w:rsidRPr="00E87E42">
        <w:t xml:space="preserve">is expressed according to various classes of spread of fire where the correspondent </w:t>
      </w:r>
      <w:r w:rsidR="001B682D" w:rsidRPr="00E87E42">
        <w:t>m</w:t>
      </w:r>
      <w:r w:rsidR="001B682D" w:rsidRPr="00E87E42">
        <w:rPr>
          <w:vertAlign w:val="superscript"/>
        </w:rPr>
        <w:t>2</w:t>
      </w:r>
      <w:r w:rsidRPr="00E87E42">
        <w:t xml:space="preserve"> of damage and related percentage of fires is provided. A distinction is given between </w:t>
      </w:r>
      <w:proofErr w:type="spellStart"/>
      <w:r w:rsidRPr="00E87E42">
        <w:t>sprinklered</w:t>
      </w:r>
      <w:proofErr w:type="spellEnd"/>
      <w:r w:rsidRPr="00E87E42">
        <w:t xml:space="preserve"> and un</w:t>
      </w:r>
      <w:r w:rsidR="009D66B4" w:rsidRPr="00E87E42">
        <w:t>-</w:t>
      </w:r>
      <w:proofErr w:type="spellStart"/>
      <w:r w:rsidRPr="00E87E42">
        <w:t>sprinklered</w:t>
      </w:r>
      <w:proofErr w:type="spellEnd"/>
      <w:r w:rsidRPr="00E87E42">
        <w:t xml:space="preserve"> buildings</w:t>
      </w:r>
      <w:r w:rsidR="009D66B4" w:rsidRPr="00E87E42">
        <w:t xml:space="preserve"> and</w:t>
      </w:r>
      <w:r w:rsidRPr="00E87E42">
        <w:t xml:space="preserve"> </w:t>
      </w:r>
      <w:r w:rsidR="009D66B4" w:rsidRPr="00E87E42">
        <w:t>t</w:t>
      </w:r>
      <w:r w:rsidRPr="00E87E42">
        <w:t xml:space="preserve">wo different property types are analysed: in Table A.4 textile industry subdivided in Production area, Storage area and </w:t>
      </w:r>
      <w:proofErr w:type="gramStart"/>
      <w:r w:rsidRPr="00E87E42">
        <w:t>Other</w:t>
      </w:r>
      <w:proofErr w:type="gramEnd"/>
      <w:r w:rsidRPr="00E87E42">
        <w:t xml:space="preserve"> areas</w:t>
      </w:r>
      <w:r w:rsidR="004F1B8B" w:rsidRPr="00E87E42">
        <w:t xml:space="preserve"> while in</w:t>
      </w:r>
      <w:r w:rsidRPr="00E87E42">
        <w:t xml:space="preserve"> Table</w:t>
      </w:r>
      <w:r w:rsidR="00A665F2" w:rsidRPr="00E87E42">
        <w:t xml:space="preserve"> </w:t>
      </w:r>
      <w:r w:rsidRPr="00E87E42">
        <w:t xml:space="preserve">A.5 pubs, clubs, restaurants – all areas. </w:t>
      </w:r>
      <w:r w:rsidR="00C67902" w:rsidRPr="00E87E42">
        <w:t>The data of which these two classes</w:t>
      </w:r>
      <w:r w:rsidR="00910C90" w:rsidRPr="00E87E42">
        <w:t xml:space="preserve"> </w:t>
      </w:r>
      <w:r w:rsidR="00C67902" w:rsidRPr="00E87E42">
        <w:t xml:space="preserve">are composed </w:t>
      </w:r>
      <w:proofErr w:type="gramStart"/>
      <w:r w:rsidR="00C67902" w:rsidRPr="00E87E42">
        <w:t xml:space="preserve">are </w:t>
      </w:r>
      <w:r w:rsidR="00910C90" w:rsidRPr="00E87E42">
        <w:t>referred</w:t>
      </w:r>
      <w:proofErr w:type="gramEnd"/>
      <w:r w:rsidR="00C67902" w:rsidRPr="00E87E42">
        <w:t xml:space="preserve"> to the UK Fire Statistics of 1984-86.</w:t>
      </w:r>
      <w:r w:rsidR="001A5687" w:rsidRPr="00E87E42">
        <w:t xml:space="preserve"> </w:t>
      </w:r>
      <w:r w:rsidR="009D66B4" w:rsidRPr="00E87E42">
        <w:t xml:space="preserve"> </w:t>
      </w:r>
      <w:r w:rsidR="00532B02" w:rsidRPr="00E87E42">
        <w:t>T</w:t>
      </w:r>
      <w:r w:rsidR="0083302A" w:rsidRPr="00E87E42">
        <w:t>ables</w:t>
      </w:r>
      <w:r w:rsidR="001C6D13" w:rsidRPr="00E87E42">
        <w:t xml:space="preserve"> A.4 and A.5 from PD</w:t>
      </w:r>
      <w:r w:rsidR="00532B02" w:rsidRPr="00E87E42">
        <w:t xml:space="preserve"> </w:t>
      </w:r>
      <w:r w:rsidR="001C6D13" w:rsidRPr="00E87E42">
        <w:t>7974-7</w:t>
      </w:r>
      <w:r w:rsidR="009D66B4" w:rsidRPr="00E87E42">
        <w:t xml:space="preserve"> are recreated using</w:t>
      </w:r>
      <w:r w:rsidR="0083302A" w:rsidRPr="00E87E42">
        <w:t xml:space="preserve"> fire incident</w:t>
      </w:r>
      <w:r w:rsidR="001C6D13" w:rsidRPr="00E87E42">
        <w:t xml:space="preserve"> data</w:t>
      </w:r>
      <w:r w:rsidR="0083302A" w:rsidRPr="00E87E42">
        <w:t xml:space="preserve"> </w:t>
      </w:r>
      <w:r w:rsidR="001C6D13" w:rsidRPr="00E87E42">
        <w:t>from NF</w:t>
      </w:r>
      <w:r w:rsidR="00532B02" w:rsidRPr="00E87E42">
        <w:t>IR</w:t>
      </w:r>
      <w:r w:rsidR="001C6D13" w:rsidRPr="00E87E42">
        <w:t>S</w:t>
      </w:r>
      <w:r w:rsidR="00723379" w:rsidRPr="00E87E42">
        <w:t xml:space="preserve"> includ</w:t>
      </w:r>
      <w:r w:rsidR="009D66B4" w:rsidRPr="00E87E42">
        <w:t>ing</w:t>
      </w:r>
      <w:r w:rsidR="00532B02" w:rsidRPr="00E87E42">
        <w:t>:</w:t>
      </w:r>
      <w:r w:rsidR="00723379" w:rsidRPr="00E87E42">
        <w:t xml:space="preserve"> p</w:t>
      </w:r>
      <w:r w:rsidR="0083302A" w:rsidRPr="00E87E42">
        <w:t>roperty use</w:t>
      </w:r>
      <w:r w:rsidR="00D734E9" w:rsidRPr="00E87E42">
        <w:t>,</w:t>
      </w:r>
      <w:r w:rsidR="00723379" w:rsidRPr="00E87E42">
        <w:t xml:space="preserve"> </w:t>
      </w:r>
      <w:r w:rsidR="0083302A" w:rsidRPr="00E87E42">
        <w:t>fire spread</w:t>
      </w:r>
      <w:r w:rsidR="00D734E9" w:rsidRPr="00E87E42">
        <w:t>,</w:t>
      </w:r>
      <w:r w:rsidR="00723379" w:rsidRPr="00E87E42">
        <w:t xml:space="preserve"> number of floors </w:t>
      </w:r>
      <w:r w:rsidR="0083302A" w:rsidRPr="00E87E42">
        <w:t xml:space="preserve">below </w:t>
      </w:r>
      <w:r w:rsidR="00723379" w:rsidRPr="00E87E42">
        <w:t>and above ground floor</w:t>
      </w:r>
      <w:r w:rsidR="00D734E9" w:rsidRPr="00E87E42">
        <w:t>,</w:t>
      </w:r>
      <w:r w:rsidR="00723379" w:rsidRPr="00E87E42">
        <w:t xml:space="preserve"> average</w:t>
      </w:r>
      <w:r w:rsidR="00956EB1" w:rsidRPr="00E87E42">
        <w:t xml:space="preserve"> size of floor</w:t>
      </w:r>
      <w:r w:rsidR="00D734E9" w:rsidRPr="00E87E42">
        <w:t>,</w:t>
      </w:r>
      <w:r w:rsidR="00956EB1" w:rsidRPr="00E87E42">
        <w:t xml:space="preserve"> percentage of area damaged</w:t>
      </w:r>
      <w:r w:rsidR="00D734E9" w:rsidRPr="00E87E42">
        <w:t>,</w:t>
      </w:r>
      <w:r w:rsidR="00956EB1" w:rsidRPr="00E87E42">
        <w:t xml:space="preserve"> and presence of </w:t>
      </w:r>
      <w:r w:rsidR="0072130F" w:rsidRPr="00E87E42">
        <w:t>automatic extinguish systems</w:t>
      </w:r>
      <w:r w:rsidR="00956EB1" w:rsidRPr="00E87E42">
        <w:t>.</w:t>
      </w:r>
    </w:p>
    <w:p w14:paraId="6E6FD9F2" w14:textId="4B12B403" w:rsidR="0072130F" w:rsidRPr="00E87E42" w:rsidRDefault="0083302A" w:rsidP="0072130F">
      <w:r w:rsidRPr="00E87E42">
        <w:t xml:space="preserve">All classes of property use have been analysed </w:t>
      </w:r>
      <w:r w:rsidR="0072130F" w:rsidRPr="00E87E42">
        <w:t xml:space="preserve">and in the USA fire statistics database, fire spread </w:t>
      </w:r>
      <w:proofErr w:type="gramStart"/>
      <w:r w:rsidR="0072130F" w:rsidRPr="00E87E42">
        <w:t>is classified</w:t>
      </w:r>
      <w:proofErr w:type="gramEnd"/>
      <w:r w:rsidR="0072130F" w:rsidRPr="00E87E42">
        <w:t xml:space="preserve"> according to </w:t>
      </w:r>
      <w:r w:rsidR="00956EB1" w:rsidRPr="00E87E42">
        <w:t xml:space="preserve">the five </w:t>
      </w:r>
      <w:r w:rsidR="0072130F" w:rsidRPr="00E87E42">
        <w:t>different classes</w:t>
      </w:r>
      <w:r w:rsidR="00956EB1" w:rsidRPr="00E87E42">
        <w:t xml:space="preserve"> stated in </w:t>
      </w:r>
      <w:r w:rsidR="00C512F0" w:rsidRPr="00E87E42">
        <w:fldChar w:fldCharType="begin"/>
      </w:r>
      <w:r w:rsidR="00C512F0" w:rsidRPr="00E87E42">
        <w:instrText xml:space="preserve"> REF _Ref508274708 \h </w:instrText>
      </w:r>
      <w:r w:rsidR="00E87E42">
        <w:instrText xml:space="preserve"> \* MERGEFORMAT </w:instrText>
      </w:r>
      <w:r w:rsidR="00C512F0" w:rsidRPr="00E87E42">
        <w:fldChar w:fldCharType="separate"/>
      </w:r>
      <w:r w:rsidR="009F6872" w:rsidRPr="00E87E42">
        <w:t xml:space="preserve">Table </w:t>
      </w:r>
      <w:r w:rsidR="009F6872">
        <w:rPr>
          <w:noProof/>
        </w:rPr>
        <w:t>1</w:t>
      </w:r>
      <w:r w:rsidR="00C512F0" w:rsidRPr="00E87E42">
        <w:fldChar w:fldCharType="end"/>
      </w:r>
      <w:r w:rsidR="00C512F0" w:rsidRPr="00E87E42">
        <w:t xml:space="preserve"> </w:t>
      </w:r>
      <w:r w:rsidR="00956EB1" w:rsidRPr="00E87E42">
        <w:t xml:space="preserve">above. </w:t>
      </w:r>
      <w:r w:rsidR="0072130F" w:rsidRPr="00E87E42">
        <w:t>This subdivision for fire spread is similar to</w:t>
      </w:r>
      <w:r w:rsidR="004C343A" w:rsidRPr="00E87E42">
        <w:t xml:space="preserve"> PD 7974-7 </w:t>
      </w:r>
      <w:r w:rsidR="0072130F" w:rsidRPr="00E87E42">
        <w:t>with some differences</w:t>
      </w:r>
      <w:r w:rsidR="004C343A" w:rsidRPr="00E87E42">
        <w:t>.</w:t>
      </w:r>
      <w:r w:rsidR="0072130F" w:rsidRPr="00E87E42">
        <w:t xml:space="preserve"> PD 7974-7 </w:t>
      </w:r>
      <w:r w:rsidR="004C343A" w:rsidRPr="00E87E42">
        <w:t xml:space="preserve">fire </w:t>
      </w:r>
      <w:r w:rsidR="0072130F" w:rsidRPr="00E87E42">
        <w:t xml:space="preserve">spread confined to room of origin further specifies if the spread is confined to contents only or if the structure is </w:t>
      </w:r>
      <w:proofErr w:type="gramStart"/>
      <w:r w:rsidR="0072130F" w:rsidRPr="00E87E42">
        <w:t>involved</w:t>
      </w:r>
      <w:r w:rsidR="004C343A" w:rsidRPr="00E87E42">
        <w:t>;</w:t>
      </w:r>
      <w:proofErr w:type="gramEnd"/>
      <w:r w:rsidR="0072130F" w:rsidRPr="00E87E42">
        <w:t xml:space="preserve"> this is not present in the NFIRS</w:t>
      </w:r>
      <w:r w:rsidR="004C343A" w:rsidRPr="00E87E42">
        <w:t>.</w:t>
      </w:r>
      <w:r w:rsidR="0072130F" w:rsidRPr="00E87E42">
        <w:t xml:space="preserve"> In the USA </w:t>
      </w:r>
      <w:proofErr w:type="gramStart"/>
      <w:r w:rsidR="0072130F" w:rsidRPr="00E87E42">
        <w:t>fire</w:t>
      </w:r>
      <w:proofErr w:type="gramEnd"/>
      <w:r w:rsidR="0072130F" w:rsidRPr="00E87E42">
        <w:t xml:space="preserve"> statistics when fire spreads beyond the room of origin, other specific classes</w:t>
      </w:r>
      <w:r w:rsidR="0064283C" w:rsidRPr="00E87E42">
        <w:t xml:space="preserve"> than</w:t>
      </w:r>
      <w:r w:rsidR="0072130F" w:rsidRPr="00E87E42">
        <w:t xml:space="preserve"> the simple one referred to the spread beyond the room of origin, are introduced (confined to floor, confined to building </w:t>
      </w:r>
      <w:r w:rsidR="003D56DB" w:rsidRPr="00E87E42">
        <w:t xml:space="preserve">and </w:t>
      </w:r>
      <w:r w:rsidR="0072130F" w:rsidRPr="00E87E42">
        <w:t>beyond building of origin).</w:t>
      </w:r>
    </w:p>
    <w:p w14:paraId="203300AD" w14:textId="55F8A48F" w:rsidR="00126620" w:rsidRPr="00E87E42" w:rsidRDefault="00446BD9" w:rsidP="00610381">
      <w:r w:rsidRPr="00E87E42">
        <w:lastRenderedPageBreak/>
        <w:t>I</w:t>
      </w:r>
      <w:r w:rsidR="00C67902" w:rsidRPr="00E87E42">
        <w:t xml:space="preserve">n the USA fire statistics, the damage represents the number of stories damaged by flame spread. Flame damage is the area actually burned or charred and does not include areas receiving only heat, smoke, or water damage. </w:t>
      </w:r>
      <w:r w:rsidR="002C2110" w:rsidRPr="00E87E42">
        <w:t>D</w:t>
      </w:r>
      <w:r w:rsidR="0064283C" w:rsidRPr="00E87E42">
        <w:t xml:space="preserve">amage </w:t>
      </w:r>
      <w:proofErr w:type="gramStart"/>
      <w:r w:rsidR="0064283C" w:rsidRPr="00E87E42">
        <w:t>is expressed</w:t>
      </w:r>
      <w:proofErr w:type="gramEnd"/>
      <w:r w:rsidR="0064283C" w:rsidRPr="00E87E42">
        <w:t xml:space="preserve"> as </w:t>
      </w:r>
      <w:r w:rsidR="00956EB1" w:rsidRPr="00E87E42">
        <w:t xml:space="preserve">banded </w:t>
      </w:r>
      <w:r w:rsidR="0064283C" w:rsidRPr="00E87E42">
        <w:t>percentage</w:t>
      </w:r>
      <w:r w:rsidR="00956EB1" w:rsidRPr="00E87E42">
        <w:t xml:space="preserve"> ranges</w:t>
      </w:r>
      <w:r w:rsidR="0064283C" w:rsidRPr="00E87E42">
        <w:t xml:space="preserve"> of area </w:t>
      </w:r>
      <w:r w:rsidR="00C67902" w:rsidRPr="00E87E42">
        <w:t>instead of</w:t>
      </w:r>
      <w:r w:rsidR="004C343A" w:rsidRPr="00E87E42">
        <w:t xml:space="preserve"> unique</w:t>
      </w:r>
      <w:r w:rsidR="00C67902" w:rsidRPr="00E87E42">
        <w:t xml:space="preserve"> </w:t>
      </w:r>
      <w:r w:rsidR="001B682D" w:rsidRPr="00E87E42">
        <w:t>m</w:t>
      </w:r>
      <w:r w:rsidR="001B682D" w:rsidRPr="00E87E42">
        <w:rPr>
          <w:vertAlign w:val="superscript"/>
        </w:rPr>
        <w:t>2</w:t>
      </w:r>
      <w:r w:rsidR="00C67902" w:rsidRPr="00E87E42">
        <w:t xml:space="preserve"> of area damage.</w:t>
      </w:r>
      <w:r w:rsidR="00956EB1" w:rsidRPr="00E87E42">
        <w:t xml:space="preserve"> </w:t>
      </w:r>
      <w:r w:rsidR="00492203" w:rsidRPr="00E87E42">
        <w:t xml:space="preserve">Since these </w:t>
      </w:r>
      <w:r w:rsidR="00956EB1" w:rsidRPr="00E87E42">
        <w:t xml:space="preserve">percentage bands </w:t>
      </w:r>
      <w:r w:rsidR="00492203" w:rsidRPr="00E87E42">
        <w:t>present a range and not a unique value o</w:t>
      </w:r>
      <w:r w:rsidR="004C343A" w:rsidRPr="00E87E42">
        <w:t>r</w:t>
      </w:r>
      <w:r w:rsidR="00492203" w:rsidRPr="00E87E42">
        <w:t xml:space="preserve"> percentage, </w:t>
      </w:r>
      <w:r w:rsidR="00956EB1" w:rsidRPr="00E87E42">
        <w:t xml:space="preserve">the median of </w:t>
      </w:r>
      <w:r w:rsidR="00492203" w:rsidRPr="00E87E42">
        <w:t xml:space="preserve">each </w:t>
      </w:r>
      <w:r w:rsidR="00956EB1" w:rsidRPr="00E87E42">
        <w:t>band has been presented with error bars for the upper and lower bands (i.e. for Minor damage, median is 12% dama</w:t>
      </w:r>
      <w:r w:rsidR="004C6D8B" w:rsidRPr="00E87E42">
        <w:t xml:space="preserve">ged area, with lower and upper bounds of 0% and 24%, respectively). </w:t>
      </w:r>
      <w:r w:rsidR="00956EB1" w:rsidRPr="00E87E42">
        <w:t xml:space="preserve"> </w:t>
      </w:r>
    </w:p>
    <w:p w14:paraId="38677D16" w14:textId="118501B7" w:rsidR="0080748D" w:rsidRPr="00E87E42" w:rsidRDefault="004C343A" w:rsidP="004A2F07">
      <w:r w:rsidRPr="00E87E42">
        <w:t xml:space="preserve">The </w:t>
      </w:r>
      <w:r w:rsidR="00492203" w:rsidRPr="00E87E42">
        <w:t xml:space="preserve">total </w:t>
      </w:r>
      <w:r w:rsidR="00BD2763" w:rsidRPr="00E87E42">
        <w:t xml:space="preserve">weighted </w:t>
      </w:r>
      <w:r w:rsidR="00492203" w:rsidRPr="00E87E42">
        <w:t xml:space="preserve">area </w:t>
      </w:r>
      <w:r w:rsidR="00583030" w:rsidRPr="00E87E42">
        <w:t xml:space="preserve">damaged </w:t>
      </w:r>
      <w:r w:rsidRPr="00E87E42">
        <w:t>is determined from the number of stories damaged, avera</w:t>
      </w:r>
      <w:r w:rsidR="00583030" w:rsidRPr="00E87E42">
        <w:t>ge floor area, and damage class involved per building</w:t>
      </w:r>
      <w:r w:rsidR="00492203" w:rsidRPr="00E87E42">
        <w:t xml:space="preserve">. </w:t>
      </w:r>
      <w:r w:rsidR="004C6D8B" w:rsidRPr="00E87E42">
        <w:t>Damage and fire spread are also</w:t>
      </w:r>
      <w:r w:rsidRPr="00E87E42">
        <w:t xml:space="preserve"> analysed in this paper</w:t>
      </w:r>
      <w:r w:rsidR="004C6D8B" w:rsidRPr="00E87E42">
        <w:t xml:space="preserve"> related to the presence</w:t>
      </w:r>
      <w:r w:rsidRPr="00E87E42">
        <w:t xml:space="preserve"> or </w:t>
      </w:r>
      <w:r w:rsidR="00D64985" w:rsidRPr="00E87E42">
        <w:t>absence o</w:t>
      </w:r>
      <w:r w:rsidRPr="00E87E42">
        <w:t>f</w:t>
      </w:r>
      <w:r w:rsidR="00D64985" w:rsidRPr="00E87E42">
        <w:t xml:space="preserve"> automatic extinguishing systems. </w:t>
      </w:r>
      <w:r w:rsidR="003B7047" w:rsidRPr="00E87E42">
        <w:t>Finally, the</w:t>
      </w:r>
      <w:r w:rsidR="0078032C" w:rsidRPr="00E87E42">
        <w:t xml:space="preserve"> fire</w:t>
      </w:r>
      <w:r w:rsidR="003B7047" w:rsidRPr="00E87E42">
        <w:t xml:space="preserve"> frequency for each </w:t>
      </w:r>
      <w:r w:rsidR="0078032C" w:rsidRPr="00E87E42">
        <w:t xml:space="preserve">fire spread </w:t>
      </w:r>
      <w:r w:rsidR="003B7047" w:rsidRPr="00E87E42">
        <w:t>class</w:t>
      </w:r>
      <w:r w:rsidR="0078032C" w:rsidRPr="00E87E42">
        <w:t>ification</w:t>
      </w:r>
      <w:r w:rsidR="003B7047" w:rsidRPr="00E87E42">
        <w:t xml:space="preserve"> </w:t>
      </w:r>
      <w:proofErr w:type="gramStart"/>
      <w:r w:rsidR="003B7047" w:rsidRPr="00E87E42">
        <w:t>has been evaluated</w:t>
      </w:r>
      <w:proofErr w:type="gramEnd"/>
      <w:r w:rsidR="00BD2763" w:rsidRPr="00E87E42">
        <w:t xml:space="preserve"> with the distinction in fires and unclassified events</w:t>
      </w:r>
      <w:r w:rsidR="003B7047" w:rsidRPr="00E87E42">
        <w:t xml:space="preserve">. </w:t>
      </w:r>
    </w:p>
    <w:p w14:paraId="6B301641" w14:textId="00DF8658" w:rsidR="00161D88" w:rsidRPr="00E87E42" w:rsidRDefault="00657A31" w:rsidP="00C448C8">
      <w:pPr>
        <w:pStyle w:val="Heading2"/>
        <w:numPr>
          <w:ilvl w:val="1"/>
          <w:numId w:val="35"/>
        </w:numPr>
      </w:pPr>
      <w:bookmarkStart w:id="20" w:name="_Ref506571006"/>
      <w:r w:rsidRPr="00E87E42">
        <w:t xml:space="preserve">AREA DAMAGE </w:t>
      </w:r>
      <w:r w:rsidR="00864780" w:rsidRPr="00E87E42">
        <w:t xml:space="preserve">and percentage of fires </w:t>
      </w:r>
      <w:r w:rsidRPr="00E87E42">
        <w:t xml:space="preserve">IN THE PROPERTY USES OF </w:t>
      </w:r>
      <w:r w:rsidR="00130C28" w:rsidRPr="00E87E42">
        <w:t>THE USA FIRE STATISTICS</w:t>
      </w:r>
      <w:bookmarkEnd w:id="20"/>
    </w:p>
    <w:p w14:paraId="53E1640A" w14:textId="75EEA016" w:rsidR="00F45B3C" w:rsidRPr="00E87E42" w:rsidRDefault="003D2709" w:rsidP="00BD1869">
      <w:r w:rsidRPr="00E87E42">
        <w:t>In general, the influence of sprinklers not only reduces the fire spread</w:t>
      </w:r>
      <w:r w:rsidR="000F2FED" w:rsidRPr="00E87E42">
        <w:t xml:space="preserve"> with fires 10-3</w:t>
      </w:r>
      <w:r w:rsidRPr="00E87E42">
        <w:t xml:space="preserve">0% more likely to be confined to object or room of origin, but </w:t>
      </w:r>
      <w:r w:rsidR="003D56DB" w:rsidRPr="00E87E42">
        <w:t xml:space="preserve">sprinklers </w:t>
      </w:r>
      <w:r w:rsidRPr="00E87E42">
        <w:t>also limits the damage from a fire</w:t>
      </w:r>
      <w:r w:rsidR="004D169F" w:rsidRPr="00E87E42">
        <w:t xml:space="preserve">, with higher percentages seen in the </w:t>
      </w:r>
      <w:r w:rsidR="00A07AC2" w:rsidRPr="00E87E42">
        <w:t>Minor and Significant</w:t>
      </w:r>
      <w:r w:rsidR="001B6E1C" w:rsidRPr="00E87E42">
        <w:t>ly</w:t>
      </w:r>
      <w:r w:rsidR="00A07AC2" w:rsidRPr="00E87E42">
        <w:t xml:space="preserve"> damage bands, rather than the Heavy and Extreme</w:t>
      </w:r>
      <w:r w:rsidRPr="00E87E42">
        <w:t>. It should be noted however that there are several fires within the NF</w:t>
      </w:r>
      <w:r w:rsidR="00407E2D" w:rsidRPr="00E87E42">
        <w:t>IR</w:t>
      </w:r>
      <w:r w:rsidRPr="00E87E42">
        <w:t xml:space="preserve">S databases that have an assigned level of fire </w:t>
      </w:r>
      <w:proofErr w:type="gramStart"/>
      <w:r w:rsidRPr="00E87E42">
        <w:t>spread,</w:t>
      </w:r>
      <w:proofErr w:type="gramEnd"/>
      <w:r w:rsidRPr="00E87E42">
        <w:t xml:space="preserve"> however, they have no assigned damage class. These </w:t>
      </w:r>
      <w:proofErr w:type="gramStart"/>
      <w:r w:rsidRPr="00E87E42">
        <w:t>have been represented</w:t>
      </w:r>
      <w:proofErr w:type="gramEnd"/>
      <w:r w:rsidRPr="00E87E42">
        <w:t xml:space="preserve"> as unclassified (U) in </w:t>
      </w:r>
      <w:r w:rsidR="00231A11" w:rsidRPr="00E87E42">
        <w:fldChar w:fldCharType="begin"/>
      </w:r>
      <w:r w:rsidR="00231A11" w:rsidRPr="00E87E42">
        <w:instrText xml:space="preserve"> REF _Ref508968793 \h  \* MERGEFORMAT </w:instrText>
      </w:r>
      <w:r w:rsidR="00231A11" w:rsidRPr="00E87E42">
        <w:fldChar w:fldCharType="separate"/>
      </w:r>
      <w:r w:rsidR="009F6872" w:rsidRPr="00E87E42">
        <w:t xml:space="preserve">Table </w:t>
      </w:r>
      <w:r w:rsidR="009F6872">
        <w:rPr>
          <w:noProof/>
        </w:rPr>
        <w:t>5</w:t>
      </w:r>
      <w:r w:rsidR="00231A11" w:rsidRPr="00E87E42">
        <w:fldChar w:fldCharType="end"/>
      </w:r>
      <w:r w:rsidR="00231A11" w:rsidRPr="00E87E42">
        <w:t xml:space="preserve"> to </w:t>
      </w:r>
      <w:r w:rsidR="00231A11" w:rsidRPr="00E87E42">
        <w:fldChar w:fldCharType="begin"/>
      </w:r>
      <w:r w:rsidR="00231A11" w:rsidRPr="00E87E42">
        <w:instrText xml:space="preserve"> REF _Ref508362578 \h  \* MERGEFORMAT </w:instrText>
      </w:r>
      <w:r w:rsidR="00231A11" w:rsidRPr="00E87E42">
        <w:fldChar w:fldCharType="separate"/>
      </w:r>
      <w:r w:rsidR="009F6872" w:rsidRPr="00E87E42">
        <w:rPr>
          <w:noProof/>
        </w:rPr>
        <w:t>Table</w:t>
      </w:r>
      <w:r w:rsidR="009F6872" w:rsidRPr="00E87E42">
        <w:t xml:space="preserve"> </w:t>
      </w:r>
      <w:r w:rsidR="009F6872">
        <w:rPr>
          <w:noProof/>
        </w:rPr>
        <w:t>7</w:t>
      </w:r>
      <w:r w:rsidR="00231A11" w:rsidRPr="00E87E42">
        <w:fldChar w:fldCharType="end"/>
      </w:r>
      <w:r w:rsidR="00231A11" w:rsidRPr="00E87E42">
        <w:t xml:space="preserve"> and </w:t>
      </w:r>
      <w:r w:rsidR="00231A11" w:rsidRPr="00E87E42">
        <w:fldChar w:fldCharType="begin"/>
      </w:r>
      <w:r w:rsidR="00231A11" w:rsidRPr="00E87E42">
        <w:instrText xml:space="preserve"> REF _Ref518120297 \h  \* MERGEFORMAT </w:instrText>
      </w:r>
      <w:r w:rsidR="00231A11" w:rsidRPr="00E87E42">
        <w:fldChar w:fldCharType="separate"/>
      </w:r>
      <w:r w:rsidR="009F6872" w:rsidRPr="00E87E42">
        <w:t xml:space="preserve">Table </w:t>
      </w:r>
      <w:r w:rsidR="009F6872">
        <w:rPr>
          <w:noProof/>
        </w:rPr>
        <w:t>I</w:t>
      </w:r>
      <w:r w:rsidR="00231A11" w:rsidRPr="00E87E42">
        <w:fldChar w:fldCharType="end"/>
      </w:r>
      <w:r w:rsidR="00231A11" w:rsidRPr="00E87E42">
        <w:t xml:space="preserve"> to </w:t>
      </w:r>
      <w:r w:rsidR="00231A11" w:rsidRPr="00E87E42">
        <w:fldChar w:fldCharType="begin"/>
      </w:r>
      <w:r w:rsidR="00231A11" w:rsidRPr="00E87E42">
        <w:instrText xml:space="preserve"> REF _Ref518121374 \h  \* MERGEFORMAT </w:instrText>
      </w:r>
      <w:r w:rsidR="00231A11" w:rsidRPr="00E87E42">
        <w:fldChar w:fldCharType="separate"/>
      </w:r>
      <w:r w:rsidR="009F6872" w:rsidRPr="00E87E42">
        <w:rPr>
          <w:noProof/>
        </w:rPr>
        <w:t>Table</w:t>
      </w:r>
      <w:r w:rsidR="009F6872" w:rsidRPr="00E87E42">
        <w:t xml:space="preserve"> </w:t>
      </w:r>
      <w:r w:rsidR="009F6872">
        <w:rPr>
          <w:noProof/>
        </w:rPr>
        <w:t>V</w:t>
      </w:r>
      <w:r w:rsidR="00231A11" w:rsidRPr="00E87E42">
        <w:fldChar w:fldCharType="end"/>
      </w:r>
      <w:r w:rsidR="00231A11" w:rsidRPr="00E87E42">
        <w:t xml:space="preserve"> in Appendix (legend present in </w:t>
      </w:r>
      <w:r w:rsidR="00231A11" w:rsidRPr="00E87E42">
        <w:fldChar w:fldCharType="begin"/>
      </w:r>
      <w:r w:rsidR="00231A11" w:rsidRPr="00E87E42">
        <w:instrText xml:space="preserve"> REF _Ref518121828 \h </w:instrText>
      </w:r>
      <w:r w:rsidR="003A1A50" w:rsidRPr="00E87E42">
        <w:instrText xml:space="preserve"> \* MERGEFORMAT </w:instrText>
      </w:r>
      <w:r w:rsidR="00231A11" w:rsidRPr="00E87E42">
        <w:fldChar w:fldCharType="separate"/>
      </w:r>
      <w:r w:rsidR="009F6872" w:rsidRPr="00E87E42">
        <w:rPr>
          <w:szCs w:val="16"/>
        </w:rPr>
        <w:t xml:space="preserve">Table </w:t>
      </w:r>
      <w:r w:rsidR="009F6872">
        <w:rPr>
          <w:noProof/>
          <w:szCs w:val="16"/>
        </w:rPr>
        <w:t>4</w:t>
      </w:r>
      <w:r w:rsidR="00231A11" w:rsidRPr="00E87E42">
        <w:fldChar w:fldCharType="end"/>
      </w:r>
      <w:r w:rsidR="00231A11" w:rsidRPr="00E87E42">
        <w:t>)</w:t>
      </w:r>
      <w:r w:rsidRPr="00E87E42">
        <w:t xml:space="preserve">. </w:t>
      </w:r>
      <w:r w:rsidR="00231A11" w:rsidRPr="00E87E42">
        <w:t xml:space="preserve">The aforementioned </w:t>
      </w:r>
      <w:r w:rsidR="003D56DB" w:rsidRPr="00E87E42">
        <w:t>t</w:t>
      </w:r>
      <w:r w:rsidR="00231A11" w:rsidRPr="00E87E42">
        <w:t>ables</w:t>
      </w:r>
      <w:r w:rsidR="00583030" w:rsidRPr="00E87E42">
        <w:t xml:space="preserve"> also show the number of fires for each fire spread level for each damage class, percentages of fire spread per damage class (%F-S</w:t>
      </w:r>
      <w:r w:rsidR="00F45B3C" w:rsidRPr="00E87E42">
        <w:t>, percentages sum horizontally for the specific spread class</w:t>
      </w:r>
      <w:r w:rsidR="00583030" w:rsidRPr="00E87E42">
        <w:t>) and percentages of damage per spread class (%F-D</w:t>
      </w:r>
      <w:r w:rsidR="00F45B3C" w:rsidRPr="00E87E42">
        <w:t>, percentages sum vertically for the specific damage class</w:t>
      </w:r>
      <w:r w:rsidR="00583030" w:rsidRPr="00E87E42">
        <w:t>).</w:t>
      </w:r>
      <w:r w:rsidR="00A022DF" w:rsidRPr="00E87E42">
        <w:t xml:space="preserve"> The direction to follow to evaluate the two percentages </w:t>
      </w:r>
      <w:proofErr w:type="gramStart"/>
      <w:r w:rsidR="00A022DF" w:rsidRPr="00E87E42">
        <w:t>are specified</w:t>
      </w:r>
      <w:proofErr w:type="gramEnd"/>
      <w:r w:rsidR="00A022DF" w:rsidRPr="00E87E42">
        <w:t xml:space="preserve"> by the arrows</w:t>
      </w:r>
      <w:r w:rsidR="00A056AD" w:rsidRPr="00E87E42">
        <w:t xml:space="preserve"> in the aforementioned </w:t>
      </w:r>
      <w:r w:rsidR="003D56DB" w:rsidRPr="00E87E42">
        <w:t>t</w:t>
      </w:r>
      <w:r w:rsidR="00A056AD" w:rsidRPr="00E87E42">
        <w:t>ables</w:t>
      </w:r>
      <w:r w:rsidR="00A022DF" w:rsidRPr="00E87E42">
        <w:t>.</w:t>
      </w:r>
      <w:r w:rsidR="00583030" w:rsidRPr="00E87E42">
        <w:t xml:space="preserve"> </w:t>
      </w:r>
    </w:p>
    <w:p w14:paraId="0766CB00" w14:textId="3CE8D808" w:rsidR="005D0885" w:rsidRPr="00E87E42" w:rsidRDefault="00CA729C" w:rsidP="00B61F61">
      <w:r w:rsidRPr="00E87E42">
        <w:t xml:space="preserve">The property types for which sprinklers are effective and </w:t>
      </w:r>
      <w:r w:rsidR="005D0885" w:rsidRPr="00E87E42">
        <w:t xml:space="preserve">their action </w:t>
      </w:r>
      <w:r w:rsidRPr="00E87E42">
        <w:t>limit</w:t>
      </w:r>
      <w:r w:rsidR="005D0885" w:rsidRPr="00E87E42">
        <w:t>s</w:t>
      </w:r>
      <w:r w:rsidRPr="00E87E42">
        <w:t xml:space="preserve"> fire and spread</w:t>
      </w:r>
      <w:r w:rsidR="005D0885" w:rsidRPr="00E87E42">
        <w:t>,</w:t>
      </w:r>
      <w:r w:rsidRPr="00E87E42">
        <w:t xml:space="preserve"> are </w:t>
      </w:r>
      <w:r w:rsidRPr="00E87E42">
        <w:rPr>
          <w:i/>
        </w:rPr>
        <w:t>Educational;</w:t>
      </w:r>
      <w:r w:rsidR="00A43875" w:rsidRPr="00E87E42">
        <w:rPr>
          <w:i/>
        </w:rPr>
        <w:t xml:space="preserve"> Health care, Detention and C</w:t>
      </w:r>
      <w:r w:rsidR="005D0885" w:rsidRPr="00E87E42">
        <w:rPr>
          <w:i/>
        </w:rPr>
        <w:t>orrecti</w:t>
      </w:r>
      <w:r w:rsidR="00A43875" w:rsidRPr="00E87E42">
        <w:rPr>
          <w:i/>
        </w:rPr>
        <w:t>on; Industrial, Utility, Defence, Agricultural, M</w:t>
      </w:r>
      <w:r w:rsidR="005D0885" w:rsidRPr="00E87E42">
        <w:rPr>
          <w:i/>
        </w:rPr>
        <w:t>ining</w:t>
      </w:r>
      <w:r w:rsidR="003D56DB" w:rsidRPr="00E87E42">
        <w:rPr>
          <w:i/>
        </w:rPr>
        <w:t>;</w:t>
      </w:r>
      <w:r w:rsidR="005D0885" w:rsidRPr="00E87E42">
        <w:rPr>
          <w:i/>
        </w:rPr>
        <w:t xml:space="preserve"> </w:t>
      </w:r>
      <w:r w:rsidR="005D0885" w:rsidRPr="00E87E42">
        <w:t>and</w:t>
      </w:r>
      <w:r w:rsidR="005D0885" w:rsidRPr="00E87E42">
        <w:rPr>
          <w:i/>
        </w:rPr>
        <w:t xml:space="preserve"> Storage.</w:t>
      </w:r>
      <w:r w:rsidR="00B61F61" w:rsidRPr="00E87E42">
        <w:t xml:space="preserve"> </w:t>
      </w:r>
      <w:r w:rsidR="00F45B3C" w:rsidRPr="00E87E42">
        <w:fldChar w:fldCharType="begin"/>
      </w:r>
      <w:r w:rsidR="00F45B3C" w:rsidRPr="00E87E42">
        <w:instrText xml:space="preserve"> REF _Ref508968793 \h </w:instrText>
      </w:r>
      <w:r w:rsidR="005D0885" w:rsidRPr="00E87E42">
        <w:instrText xml:space="preserve"> \* MERGEFORMAT </w:instrText>
      </w:r>
      <w:r w:rsidR="00F45B3C" w:rsidRPr="00E87E42">
        <w:fldChar w:fldCharType="separate"/>
      </w:r>
      <w:r w:rsidR="009F6872" w:rsidRPr="00E87E42">
        <w:t xml:space="preserve">Table </w:t>
      </w:r>
      <w:r w:rsidR="009F6872">
        <w:rPr>
          <w:noProof/>
        </w:rPr>
        <w:t>5</w:t>
      </w:r>
      <w:r w:rsidR="00F45B3C" w:rsidRPr="00E87E42">
        <w:fldChar w:fldCharType="end"/>
      </w:r>
      <w:r w:rsidR="00F45B3C" w:rsidRPr="00E87E42">
        <w:t xml:space="preserve"> and </w:t>
      </w:r>
      <w:r w:rsidR="005839EF" w:rsidRPr="00E87E42">
        <w:fldChar w:fldCharType="begin"/>
      </w:r>
      <w:r w:rsidR="005839EF" w:rsidRPr="00E87E42">
        <w:instrText xml:space="preserve"> REF _Ref518119569 \h </w:instrText>
      </w:r>
      <w:r w:rsidR="00E87E42">
        <w:instrText xml:space="preserve"> \* MERGEFORMAT </w:instrText>
      </w:r>
      <w:r w:rsidR="005839EF" w:rsidRPr="00E87E42">
        <w:fldChar w:fldCharType="separate"/>
      </w:r>
      <w:r w:rsidR="009F6872" w:rsidRPr="00E87E42">
        <w:t xml:space="preserve">Figure </w:t>
      </w:r>
      <w:r w:rsidR="009F6872">
        <w:rPr>
          <w:noProof/>
        </w:rPr>
        <w:t>10</w:t>
      </w:r>
      <w:r w:rsidR="005839EF" w:rsidRPr="00E87E42">
        <w:fldChar w:fldCharType="end"/>
      </w:r>
      <w:r w:rsidR="005839EF" w:rsidRPr="00E87E42">
        <w:t xml:space="preserve"> </w:t>
      </w:r>
      <w:r w:rsidR="00F45B3C" w:rsidRPr="00E87E42">
        <w:t>show</w:t>
      </w:r>
      <w:r w:rsidR="003D56DB" w:rsidRPr="00E87E42">
        <w:t>,</w:t>
      </w:r>
      <w:r w:rsidR="00F45B3C" w:rsidRPr="00E87E42">
        <w:t xml:space="preserve"> for </w:t>
      </w:r>
      <w:r w:rsidR="00F45B3C" w:rsidRPr="00E87E42">
        <w:rPr>
          <w:b/>
        </w:rPr>
        <w:t xml:space="preserve">Educational </w:t>
      </w:r>
      <w:r w:rsidR="00F45B3C" w:rsidRPr="00E87E42">
        <w:t>buildings, that the presence of sprinkler systems have significant impact on the spread of fire and the amount of damage these fires cause, with approximately 85% of these fires being confined to the room of origin, with a predominantly class of minor damage</w:t>
      </w:r>
      <w:r w:rsidR="008A667A" w:rsidRPr="00E87E42">
        <w:t xml:space="preserve">. </w:t>
      </w:r>
      <w:r w:rsidR="00F45B3C" w:rsidRPr="00E87E42">
        <w:t xml:space="preserve">When no sprinklers are </w:t>
      </w:r>
      <w:proofErr w:type="gramStart"/>
      <w:r w:rsidR="00F45B3C" w:rsidRPr="00E87E42">
        <w:t>present</w:t>
      </w:r>
      <w:proofErr w:type="gramEnd"/>
      <w:r w:rsidR="00F45B3C" w:rsidRPr="00E87E42">
        <w:t xml:space="preserve"> the fire has a more than 30% chance of spreading beyond the room of origin. No fires </w:t>
      </w:r>
      <w:proofErr w:type="gramStart"/>
      <w:r w:rsidR="00F45B3C" w:rsidRPr="00E87E42">
        <w:t>were reported</w:t>
      </w:r>
      <w:proofErr w:type="gramEnd"/>
      <w:r w:rsidR="00F45B3C" w:rsidRPr="00E87E42">
        <w:t xml:space="preserve">, in the NFIRS data, to fire spread beyond the building of origin in </w:t>
      </w:r>
      <w:proofErr w:type="spellStart"/>
      <w:r w:rsidR="00F45B3C" w:rsidRPr="00E87E42">
        <w:t>sprinklered</w:t>
      </w:r>
      <w:proofErr w:type="spellEnd"/>
      <w:r w:rsidR="00F45B3C" w:rsidRPr="00E87E42">
        <w:t xml:space="preserve"> buildings, whereas this occurred in 3% o</w:t>
      </w:r>
      <w:r w:rsidR="003A1A50" w:rsidRPr="00E87E42">
        <w:t>f the fires for un-</w:t>
      </w:r>
      <w:proofErr w:type="spellStart"/>
      <w:r w:rsidR="003A1A50" w:rsidRPr="00E87E42">
        <w:t>sprinklered</w:t>
      </w:r>
      <w:proofErr w:type="spellEnd"/>
      <w:r w:rsidR="003A1A50" w:rsidRPr="00E87E42">
        <w:t xml:space="preserve"> e</w:t>
      </w:r>
      <w:r w:rsidR="00F45B3C" w:rsidRPr="00E87E42">
        <w:t xml:space="preserve">ducational buildings. The average area damaged for </w:t>
      </w:r>
      <w:proofErr w:type="spellStart"/>
      <w:r w:rsidR="00F45B3C" w:rsidRPr="00E87E42">
        <w:t>sprinklered</w:t>
      </w:r>
      <w:proofErr w:type="spellEnd"/>
      <w:r w:rsidR="00F45B3C" w:rsidRPr="00E87E42">
        <w:t xml:space="preserve"> buildings across all the four fire spread classifications is of almost 87 m</w:t>
      </w:r>
      <w:r w:rsidR="00F45B3C" w:rsidRPr="00E87E42">
        <w:rPr>
          <w:vertAlign w:val="superscript"/>
        </w:rPr>
        <w:t>2</w:t>
      </w:r>
      <w:r w:rsidR="00F45B3C" w:rsidRPr="00E87E42">
        <w:t>, compared to approximately 390 m</w:t>
      </w:r>
      <w:r w:rsidR="00F45B3C" w:rsidRPr="00E87E42">
        <w:rPr>
          <w:vertAlign w:val="superscript"/>
        </w:rPr>
        <w:t>2</w:t>
      </w:r>
      <w:r w:rsidR="00F45B3C" w:rsidRPr="00E87E42">
        <w:t xml:space="preserve"> across five class of spread whe</w:t>
      </w:r>
      <w:r w:rsidR="00C31076" w:rsidRPr="00E87E42">
        <w:t>n no sprinklers are present. Un</w:t>
      </w:r>
      <w:r w:rsidR="00F45B3C" w:rsidRPr="00E87E42">
        <w:t>-</w:t>
      </w:r>
      <w:proofErr w:type="spellStart"/>
      <w:r w:rsidR="00F45B3C" w:rsidRPr="00E87E42">
        <w:t>sprinklered</w:t>
      </w:r>
      <w:proofErr w:type="spellEnd"/>
      <w:r w:rsidR="00F45B3C" w:rsidRPr="00E87E42">
        <w:t xml:space="preserve"> educational buildings are also more likely to experience extreme damage compared to </w:t>
      </w:r>
      <w:proofErr w:type="spellStart"/>
      <w:r w:rsidR="00F45B3C" w:rsidRPr="00E87E42">
        <w:t>sprinklered</w:t>
      </w:r>
      <w:proofErr w:type="spellEnd"/>
      <w:r w:rsidR="00F45B3C" w:rsidRPr="00E87E42">
        <w:t xml:space="preserve"> buildings with 2,660 m</w:t>
      </w:r>
      <w:r w:rsidR="00F45B3C" w:rsidRPr="00E87E42">
        <w:rPr>
          <w:vertAlign w:val="superscript"/>
        </w:rPr>
        <w:t>2</w:t>
      </w:r>
      <w:r w:rsidR="00F45B3C" w:rsidRPr="00E87E42">
        <w:t xml:space="preserve"> of damage confined to building. </w:t>
      </w:r>
    </w:p>
    <w:p w14:paraId="308F1EC6" w14:textId="22371FF1" w:rsidR="009A7910" w:rsidRPr="00E87E42" w:rsidRDefault="003D56DB" w:rsidP="00B61F61">
      <w:r w:rsidRPr="00E87E42">
        <w:t xml:space="preserve">Similar considerations as found for Educational buildings </w:t>
      </w:r>
      <w:proofErr w:type="gramStart"/>
      <w:r w:rsidRPr="00E87E42">
        <w:t>can be applied</w:t>
      </w:r>
      <w:proofErr w:type="gramEnd"/>
      <w:r w:rsidRPr="00E87E42">
        <w:t xml:space="preserve"> to </w:t>
      </w:r>
      <w:r w:rsidR="00A43875" w:rsidRPr="00E87E42">
        <w:rPr>
          <w:b/>
        </w:rPr>
        <w:t>Health Care, Deten</w:t>
      </w:r>
      <w:r w:rsidR="00F45B3C" w:rsidRPr="00E87E42">
        <w:rPr>
          <w:b/>
        </w:rPr>
        <w:t>tion and Correction</w:t>
      </w:r>
      <w:r w:rsidR="007B1193" w:rsidRPr="00E10B75">
        <w:t xml:space="preserve">. </w:t>
      </w:r>
      <w:proofErr w:type="gramStart"/>
      <w:r w:rsidR="007B1193">
        <w:t>Sprinklers,</w:t>
      </w:r>
      <w:proofErr w:type="gramEnd"/>
      <w:r w:rsidR="007B1193">
        <w:t xml:space="preserve"> again </w:t>
      </w:r>
      <w:r w:rsidR="00F45B3C" w:rsidRPr="00E87E42">
        <w:t>re</w:t>
      </w:r>
      <w:r w:rsidR="007B1193">
        <w:t>duce</w:t>
      </w:r>
      <w:r w:rsidR="00F45B3C" w:rsidRPr="00E87E42">
        <w:t xml:space="preserve"> the area damaged with average damage being 70.70 m</w:t>
      </w:r>
      <w:r w:rsidR="00F45B3C" w:rsidRPr="00E87E42">
        <w:rPr>
          <w:vertAlign w:val="superscript"/>
        </w:rPr>
        <w:t>2</w:t>
      </w:r>
      <w:r w:rsidR="00F45B3C" w:rsidRPr="00E87E42">
        <w:t xml:space="preserve"> and 94.51 m</w:t>
      </w:r>
      <w:r w:rsidR="00F45B3C" w:rsidRPr="00E87E42">
        <w:rPr>
          <w:vertAlign w:val="superscript"/>
        </w:rPr>
        <w:t>2</w:t>
      </w:r>
      <w:r w:rsidR="00F45B3C" w:rsidRPr="00E87E42">
        <w:t xml:space="preserve"> for </w:t>
      </w:r>
      <w:proofErr w:type="spellStart"/>
      <w:r w:rsidR="00F45B3C" w:rsidRPr="00E87E42">
        <w:t>sprinklered</w:t>
      </w:r>
      <w:proofErr w:type="spellEnd"/>
      <w:r w:rsidR="00F45B3C" w:rsidRPr="00E87E42">
        <w:t xml:space="preserve"> and un-</w:t>
      </w:r>
      <w:proofErr w:type="spellStart"/>
      <w:r w:rsidR="00F45B3C" w:rsidRPr="00E87E42">
        <w:lastRenderedPageBreak/>
        <w:t>sprinklered</w:t>
      </w:r>
      <w:proofErr w:type="spellEnd"/>
      <w:r w:rsidR="00F45B3C" w:rsidRPr="00E87E42">
        <w:t xml:space="preserve"> buildings, respectively</w:t>
      </w:r>
      <w:r w:rsidR="00365618" w:rsidRPr="00E87E42">
        <w:t xml:space="preserve"> (</w:t>
      </w:r>
      <w:r w:rsidR="00365618" w:rsidRPr="00E87E42">
        <w:fldChar w:fldCharType="begin"/>
      </w:r>
      <w:r w:rsidR="00365618" w:rsidRPr="00E87E42">
        <w:instrText xml:space="preserve"> REF _Ref518120289 \h </w:instrText>
      </w:r>
      <w:r w:rsidR="00E87E42">
        <w:instrText xml:space="preserve"> \* MERGEFORMAT </w:instrText>
      </w:r>
      <w:r w:rsidR="00365618" w:rsidRPr="00E87E42">
        <w:fldChar w:fldCharType="separate"/>
      </w:r>
      <w:r w:rsidR="009F6872" w:rsidRPr="00E87E42">
        <w:t xml:space="preserve">Figure </w:t>
      </w:r>
      <w:r w:rsidR="009F6872">
        <w:rPr>
          <w:noProof/>
        </w:rPr>
        <w:t>I</w:t>
      </w:r>
      <w:r w:rsidR="00365618" w:rsidRPr="00E87E42">
        <w:fldChar w:fldCharType="end"/>
      </w:r>
      <w:r w:rsidR="00365618" w:rsidRPr="00E87E42">
        <w:t xml:space="preserve"> and </w:t>
      </w:r>
      <w:r w:rsidR="00365618" w:rsidRPr="00E87E42">
        <w:fldChar w:fldCharType="begin"/>
      </w:r>
      <w:r w:rsidR="00365618" w:rsidRPr="00E87E42">
        <w:instrText xml:space="preserve"> REF _Ref518120297 \h </w:instrText>
      </w:r>
      <w:r w:rsidR="00E87E42">
        <w:instrText xml:space="preserve"> \* MERGEFORMAT </w:instrText>
      </w:r>
      <w:r w:rsidR="00365618" w:rsidRPr="00E87E42">
        <w:fldChar w:fldCharType="separate"/>
      </w:r>
      <w:r w:rsidR="009F6872" w:rsidRPr="00E87E42">
        <w:t xml:space="preserve">Table </w:t>
      </w:r>
      <w:r w:rsidR="009F6872">
        <w:rPr>
          <w:noProof/>
        </w:rPr>
        <w:t>I</w:t>
      </w:r>
      <w:r w:rsidR="00365618" w:rsidRPr="00E87E42">
        <w:fldChar w:fldCharType="end"/>
      </w:r>
      <w:r w:rsidR="00064106" w:rsidRPr="00E87E42">
        <w:t xml:space="preserve"> in </w:t>
      </w:r>
      <w:r w:rsidR="00365618" w:rsidRPr="00E87E42">
        <w:t>Appendix)</w:t>
      </w:r>
      <w:r w:rsidR="00F45B3C" w:rsidRPr="00E87E42">
        <w:t xml:space="preserve">. </w:t>
      </w:r>
      <w:r w:rsidR="00F30AE6" w:rsidRPr="00E87E42">
        <w:t xml:space="preserve">[NB: one fire incident </w:t>
      </w:r>
      <w:proofErr w:type="gramStart"/>
      <w:r w:rsidR="00F30AE6" w:rsidRPr="00E87E42">
        <w:t>has not been considered</w:t>
      </w:r>
      <w:proofErr w:type="gramEnd"/>
      <w:r w:rsidR="00F30AE6" w:rsidRPr="00E87E42">
        <w:t xml:space="preserve"> where the fire spread was confined to object first ignited however</w:t>
      </w:r>
      <w:r w:rsidR="004E7E20" w:rsidRPr="00E87E42">
        <w:t>,</w:t>
      </w:r>
      <w:r w:rsidR="00F30AE6" w:rsidRPr="00E87E42">
        <w:t xml:space="preserve"> it had a median area damaged of 89,186 m</w:t>
      </w:r>
      <w:r w:rsidR="00F30AE6" w:rsidRPr="00E87E42">
        <w:rPr>
          <w:vertAlign w:val="superscript"/>
        </w:rPr>
        <w:t>2</w:t>
      </w:r>
      <w:r w:rsidR="00F30AE6" w:rsidRPr="00E87E42">
        <w:t>].</w:t>
      </w:r>
    </w:p>
    <w:p w14:paraId="09F5843C" w14:textId="40CE42E6" w:rsidR="007B2810" w:rsidRPr="00E87E42" w:rsidRDefault="009A7910" w:rsidP="00B61F61">
      <w:r w:rsidRPr="00E87E42">
        <w:rPr>
          <w:b/>
        </w:rPr>
        <w:t>Industrial, Utility, Defence, Agricultural, Mining</w:t>
      </w:r>
      <w:r w:rsidR="00DE0D3D" w:rsidRPr="00E87E42">
        <w:t xml:space="preserve"> as well as </w:t>
      </w:r>
      <w:r w:rsidRPr="00E87E42">
        <w:rPr>
          <w:b/>
        </w:rPr>
        <w:t>Storage</w:t>
      </w:r>
      <w:r w:rsidRPr="00E87E42">
        <w:rPr>
          <w:i/>
        </w:rPr>
        <w:t xml:space="preserve"> </w:t>
      </w:r>
      <w:r w:rsidRPr="00E87E42">
        <w:t xml:space="preserve">buildings have limited data for sprinkler systems so </w:t>
      </w:r>
      <w:r w:rsidR="00DE0D3D" w:rsidRPr="00E87E42">
        <w:t xml:space="preserve">a rigorous analysis </w:t>
      </w:r>
      <w:r w:rsidRPr="00E87E42">
        <w:t xml:space="preserve">is not possible but similar comments </w:t>
      </w:r>
      <w:r w:rsidR="007B2810" w:rsidRPr="00E87E42">
        <w:t>can be deduced</w:t>
      </w:r>
      <w:r w:rsidRPr="00E87E42">
        <w:t xml:space="preserve"> </w:t>
      </w:r>
      <w:r w:rsidR="00E62C19" w:rsidRPr="00E87E42">
        <w:t>for both property types</w:t>
      </w:r>
      <w:r w:rsidR="007B2810" w:rsidRPr="00E87E42">
        <w:t xml:space="preserve"> where f</w:t>
      </w:r>
      <w:r w:rsidRPr="00E87E42">
        <w:t>or un-</w:t>
      </w:r>
      <w:proofErr w:type="spellStart"/>
      <w:r w:rsidRPr="00E87E42">
        <w:t>sprinklered</w:t>
      </w:r>
      <w:proofErr w:type="spellEnd"/>
      <w:r w:rsidRPr="00E87E42">
        <w:t xml:space="preserve"> buildings, </w:t>
      </w:r>
      <w:r w:rsidR="00DE0D3D" w:rsidRPr="00E87E42">
        <w:t xml:space="preserve">in </w:t>
      </w:r>
      <w:r w:rsidRPr="00E87E42">
        <w:t xml:space="preserve">more than 50% of cases </w:t>
      </w:r>
      <w:r w:rsidR="00DE0D3D" w:rsidRPr="00E87E42">
        <w:t>th</w:t>
      </w:r>
      <w:r w:rsidRPr="00E87E42">
        <w:t>e fire affects the whole buildings</w:t>
      </w:r>
      <w:r w:rsidR="00DE0D3D" w:rsidRPr="00E87E42">
        <w:t xml:space="preserve"> (</w:t>
      </w:r>
      <w:r w:rsidR="00A056AD" w:rsidRPr="00E87E42">
        <w:t xml:space="preserve">Figure II-III </w:t>
      </w:r>
      <w:r w:rsidR="00DE0D3D" w:rsidRPr="00E87E42">
        <w:t xml:space="preserve">and </w:t>
      </w:r>
      <w:r w:rsidR="00A056AD" w:rsidRPr="00E87E42">
        <w:t xml:space="preserve">Table II-III </w:t>
      </w:r>
      <w:r w:rsidR="00E62C19" w:rsidRPr="00E87E42">
        <w:t xml:space="preserve">in </w:t>
      </w:r>
      <w:r w:rsidR="00DE0D3D" w:rsidRPr="00E87E42">
        <w:t>Appendix)</w:t>
      </w:r>
      <w:r w:rsidR="007B2810" w:rsidRPr="00E87E4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7B2810" w:rsidRPr="00E87E42" w14:paraId="53401A4B" w14:textId="77777777" w:rsidTr="00FC3903">
        <w:tc>
          <w:tcPr>
            <w:tcW w:w="10250" w:type="dxa"/>
          </w:tcPr>
          <w:p w14:paraId="7BE675BF" w14:textId="65438A5C" w:rsidR="007B2810" w:rsidRPr="00E87E42" w:rsidRDefault="007B2810" w:rsidP="00FC3903">
            <w:pPr>
              <w:spacing w:line="240" w:lineRule="auto"/>
            </w:pPr>
            <w:r w:rsidRPr="00E87E42">
              <w:rPr>
                <w:noProof/>
                <w:lang w:eastAsia="en-GB"/>
              </w:rPr>
              <w:drawing>
                <wp:anchor distT="0" distB="0" distL="114300" distR="114300" simplePos="0" relativeHeight="253381632" behindDoc="0" locked="0" layoutInCell="1" allowOverlap="1" wp14:anchorId="1FCEBF7D" wp14:editId="67F658ED">
                  <wp:simplePos x="0" y="0"/>
                  <wp:positionH relativeFrom="column">
                    <wp:posOffset>-65405</wp:posOffset>
                  </wp:positionH>
                  <wp:positionV relativeFrom="paragraph">
                    <wp:posOffset>22653</wp:posOffset>
                  </wp:positionV>
                  <wp:extent cx="6515100" cy="2160000"/>
                  <wp:effectExtent l="0" t="0" r="0" b="0"/>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bl>
    <w:p w14:paraId="5D3D9D77" w14:textId="61DB5DE0" w:rsidR="007B2810" w:rsidRPr="00E87E42" w:rsidRDefault="007B2810" w:rsidP="007B2810">
      <w:pPr>
        <w:pStyle w:val="Caption"/>
        <w:spacing w:line="240" w:lineRule="auto"/>
      </w:pPr>
      <w:bookmarkStart w:id="21" w:name="_Ref518119569"/>
      <w:r w:rsidRPr="00E87E42">
        <w:t xml:space="preserve">Figure </w:t>
      </w:r>
      <w:r w:rsidR="00BC5ED7" w:rsidRPr="00E87E42">
        <w:rPr>
          <w:noProof/>
        </w:rPr>
        <w:fldChar w:fldCharType="begin"/>
      </w:r>
      <w:r w:rsidR="00BC5ED7" w:rsidRPr="00E87E42">
        <w:rPr>
          <w:noProof/>
        </w:rPr>
        <w:instrText xml:space="preserve"> SEQ Figure \* ARABIC </w:instrText>
      </w:r>
      <w:r w:rsidR="00BC5ED7" w:rsidRPr="00E87E42">
        <w:rPr>
          <w:noProof/>
        </w:rPr>
        <w:fldChar w:fldCharType="separate"/>
      </w:r>
      <w:r w:rsidR="009F6872">
        <w:rPr>
          <w:noProof/>
        </w:rPr>
        <w:t>10</w:t>
      </w:r>
      <w:r w:rsidR="00BC5ED7" w:rsidRPr="00E87E42">
        <w:rPr>
          <w:noProof/>
        </w:rPr>
        <w:fldChar w:fldCharType="end"/>
      </w:r>
      <w:bookmarkEnd w:id="21"/>
      <w:r w:rsidRPr="00E87E42">
        <w:t>: Area damage in Educational for different spread of fire and damage classes, including weighted average area damage</w:t>
      </w:r>
    </w:p>
    <w:p w14:paraId="78A05952" w14:textId="48DB52FE" w:rsidR="0078032C" w:rsidRPr="00E87E42" w:rsidRDefault="00BD1869" w:rsidP="004A2F07">
      <w:r w:rsidRPr="00E87E42">
        <w:t xml:space="preserve">Sprinklers limit the damage but not the spread in </w:t>
      </w:r>
      <w:r w:rsidRPr="00E87E42">
        <w:rPr>
          <w:i/>
        </w:rPr>
        <w:t>Assembly; Residential</w:t>
      </w:r>
      <w:r w:rsidR="00F30AE6" w:rsidRPr="00E87E42">
        <w:rPr>
          <w:i/>
        </w:rPr>
        <w:t>;</w:t>
      </w:r>
      <w:r w:rsidRPr="00E87E42">
        <w:rPr>
          <w:i/>
        </w:rPr>
        <w:t xml:space="preserve"> </w:t>
      </w:r>
      <w:r w:rsidRPr="00E87E42">
        <w:t>and</w:t>
      </w:r>
      <w:r w:rsidRPr="00E87E42">
        <w:rPr>
          <w:i/>
        </w:rPr>
        <w:t xml:space="preserve"> Mercantile, Business</w:t>
      </w:r>
      <w:r w:rsidRPr="00E87E42">
        <w:t xml:space="preserve"> showing similar trends. </w:t>
      </w:r>
      <w:r w:rsidR="00745B71" w:rsidRPr="00E87E42">
        <w:t xml:space="preserve">Starting with </w:t>
      </w:r>
      <w:r w:rsidR="00745B71" w:rsidRPr="00E87E42">
        <w:rPr>
          <w:b/>
        </w:rPr>
        <w:t>A</w:t>
      </w:r>
      <w:r w:rsidR="00161D88" w:rsidRPr="00E87E42">
        <w:rPr>
          <w:b/>
        </w:rPr>
        <w:t>ssembly</w:t>
      </w:r>
      <w:r w:rsidR="00161D88" w:rsidRPr="00E87E42">
        <w:t xml:space="preserve">, </w:t>
      </w:r>
      <w:r w:rsidR="0078032C" w:rsidRPr="00E87E42">
        <w:t>a single fire (no sprinklers, confined to floor, significant damage) has been removed from the analysis as the area damaged (in the range of 145,161 to 284,516</w:t>
      </w:r>
      <w:r w:rsidR="00C31076" w:rsidRPr="00E87E42">
        <w:t xml:space="preserve"> m</w:t>
      </w:r>
      <w:r w:rsidR="00C31076" w:rsidRPr="00E87E42">
        <w:rPr>
          <w:vertAlign w:val="superscript"/>
        </w:rPr>
        <w:t>2</w:t>
      </w:r>
      <w:r w:rsidR="0078032C" w:rsidRPr="00E87E42">
        <w:t>; 25%-49% respectively) is significantly higher than others in the same class, and thus skews the data to unrepresentative values</w:t>
      </w:r>
      <w:r w:rsidR="00471A9D" w:rsidRPr="00E87E42">
        <w:t xml:space="preserve">. </w:t>
      </w:r>
    </w:p>
    <w:p w14:paraId="7B3142C2" w14:textId="5435B702" w:rsidR="00796639" w:rsidRPr="00E87E42" w:rsidRDefault="00DE0D3D" w:rsidP="008A55B5">
      <w:r w:rsidRPr="00E87E42">
        <w:fldChar w:fldCharType="begin"/>
      </w:r>
      <w:r w:rsidRPr="00E87E42">
        <w:instrText xml:space="preserve"> REF _Ref518120822 \h </w:instrText>
      </w:r>
      <w:r w:rsidR="00E87E42">
        <w:instrText xml:space="preserve"> \* MERGEFORMAT </w:instrText>
      </w:r>
      <w:r w:rsidRPr="00E87E42">
        <w:fldChar w:fldCharType="separate"/>
      </w:r>
      <w:r w:rsidR="009F6872" w:rsidRPr="00E87E42">
        <w:t xml:space="preserve">Table </w:t>
      </w:r>
      <w:r w:rsidR="009F6872">
        <w:rPr>
          <w:noProof/>
        </w:rPr>
        <w:t>6</w:t>
      </w:r>
      <w:r w:rsidRPr="00E87E42">
        <w:fldChar w:fldCharType="end"/>
      </w:r>
      <w:r w:rsidRPr="00E87E42">
        <w:t xml:space="preserve"> </w:t>
      </w:r>
      <w:r w:rsidR="00D15173" w:rsidRPr="00E87E42">
        <w:t>and</w:t>
      </w:r>
      <w:r w:rsidR="00D6472E" w:rsidRPr="00E87E42">
        <w:t xml:space="preserve"> </w:t>
      </w:r>
      <w:r w:rsidR="004448B9" w:rsidRPr="00E87E42">
        <w:fldChar w:fldCharType="begin"/>
      </w:r>
      <w:r w:rsidR="004448B9" w:rsidRPr="00E87E42">
        <w:instrText xml:space="preserve"> REF _Ref506455393 \h </w:instrText>
      </w:r>
      <w:r w:rsidR="00E87E42">
        <w:instrText xml:space="preserve"> \* MERGEFORMAT </w:instrText>
      </w:r>
      <w:r w:rsidR="004448B9" w:rsidRPr="00E87E42">
        <w:fldChar w:fldCharType="separate"/>
      </w:r>
      <w:r w:rsidR="009F6872" w:rsidRPr="00E87E42">
        <w:t xml:space="preserve">Figure </w:t>
      </w:r>
      <w:r w:rsidR="009F6872">
        <w:rPr>
          <w:i/>
          <w:iCs/>
          <w:noProof/>
        </w:rPr>
        <w:t>11</w:t>
      </w:r>
      <w:r w:rsidR="004448B9" w:rsidRPr="00E87E42">
        <w:fldChar w:fldCharType="end"/>
      </w:r>
      <w:r w:rsidR="0086062C" w:rsidRPr="00E87E42">
        <w:t xml:space="preserve"> </w:t>
      </w:r>
      <w:r w:rsidR="00D15173" w:rsidRPr="00E87E42">
        <w:t>show that</w:t>
      </w:r>
      <w:r w:rsidR="004448B9" w:rsidRPr="00E87E42">
        <w:t xml:space="preserve">, </w:t>
      </w:r>
      <w:r w:rsidR="00D15173" w:rsidRPr="00E87E42">
        <w:t xml:space="preserve">when sprinklers are present in </w:t>
      </w:r>
      <w:r w:rsidR="00673600" w:rsidRPr="00E87E42">
        <w:rPr>
          <w:i/>
        </w:rPr>
        <w:t>Assembly</w:t>
      </w:r>
      <w:r w:rsidR="00673600" w:rsidRPr="00E87E42">
        <w:t xml:space="preserve"> </w:t>
      </w:r>
      <w:r w:rsidR="00D15173" w:rsidRPr="00E87E42">
        <w:t xml:space="preserve">in the US, damage is predominantly </w:t>
      </w:r>
      <w:r w:rsidR="00D15173" w:rsidRPr="00E87E42">
        <w:rPr>
          <w:i/>
        </w:rPr>
        <w:t>Minor Damage</w:t>
      </w:r>
      <w:r w:rsidR="00D15173" w:rsidRPr="00E87E42">
        <w:t xml:space="preserve">, whereas </w:t>
      </w:r>
      <w:r w:rsidR="00D6472E" w:rsidRPr="00E87E42">
        <w:t>in un</w:t>
      </w:r>
      <w:r w:rsidR="000E5CAF" w:rsidRPr="00E87E42">
        <w:t>-</w:t>
      </w:r>
      <w:proofErr w:type="spellStart"/>
      <w:r w:rsidR="00D6472E" w:rsidRPr="00E87E42">
        <w:t>sprinklered</w:t>
      </w:r>
      <w:proofErr w:type="spellEnd"/>
      <w:r w:rsidR="00D6472E" w:rsidRPr="00E87E42">
        <w:t xml:space="preserve"> buildings </w:t>
      </w:r>
      <w:r w:rsidR="00D15173" w:rsidRPr="00E87E42">
        <w:t>damage is predominantly</w:t>
      </w:r>
      <w:r w:rsidR="00D6472E" w:rsidRPr="00E87E42">
        <w:t xml:space="preserve"> </w:t>
      </w:r>
      <w:r w:rsidR="00D6472E" w:rsidRPr="00E87E42">
        <w:rPr>
          <w:i/>
        </w:rPr>
        <w:t>extreme damage</w:t>
      </w:r>
      <w:r w:rsidR="00D6472E" w:rsidRPr="00E87E42">
        <w:t>. This consideration supports the idea that automatic ex</w:t>
      </w:r>
      <w:r w:rsidR="00ED39E5" w:rsidRPr="00E87E42">
        <w:t xml:space="preserve">tinguish systems can reduce </w:t>
      </w:r>
      <w:r w:rsidR="00D6472E" w:rsidRPr="00E87E42">
        <w:t>fire spread</w:t>
      </w:r>
      <w:r w:rsidR="00BD1869" w:rsidRPr="00E87E42">
        <w:t xml:space="preserve"> and can </w:t>
      </w:r>
      <w:r w:rsidRPr="00E87E42">
        <w:t>be demonstrated</w:t>
      </w:r>
      <w:r w:rsidR="00BD1869" w:rsidRPr="00E87E42">
        <w:t xml:space="preserve"> by the values of </w:t>
      </w:r>
      <w:proofErr w:type="gramStart"/>
      <w:r w:rsidR="00BD1869" w:rsidRPr="00E87E42">
        <w:t>%F</w:t>
      </w:r>
      <w:proofErr w:type="gramEnd"/>
      <w:r w:rsidR="00BD1869" w:rsidRPr="00E87E42">
        <w:t>-S</w:t>
      </w:r>
      <w:r w:rsidR="00D6472E" w:rsidRPr="00E87E42">
        <w:t xml:space="preserve">. </w:t>
      </w:r>
      <w:r w:rsidR="007F6F07" w:rsidRPr="00E87E42">
        <w:t>W</w:t>
      </w:r>
      <w:r w:rsidR="007B1628" w:rsidRPr="00E87E42">
        <w:t>hen the fire spreads beyond the room of origin, un-</w:t>
      </w:r>
      <w:proofErr w:type="spellStart"/>
      <w:r w:rsidR="007B1628" w:rsidRPr="00E87E42">
        <w:t>sprinklered</w:t>
      </w:r>
      <w:proofErr w:type="spellEnd"/>
      <w:r w:rsidR="007B1628" w:rsidRPr="00E87E42">
        <w:t xml:space="preserve"> structures experience much higher damage and the frequency of fire spread beyond room of origin in un-</w:t>
      </w:r>
      <w:proofErr w:type="spellStart"/>
      <w:r w:rsidR="007B1628" w:rsidRPr="00E87E42">
        <w:t>sprinklered</w:t>
      </w:r>
      <w:proofErr w:type="spellEnd"/>
      <w:r w:rsidR="007B1628" w:rsidRPr="00E87E42">
        <w:t xml:space="preserve"> buildings is </w:t>
      </w:r>
      <w:r w:rsidR="00746E1B" w:rsidRPr="00E87E42">
        <w:t>more</w:t>
      </w:r>
      <w:r w:rsidR="007B1628" w:rsidRPr="00E87E42">
        <w:t xml:space="preserve"> </w:t>
      </w:r>
      <w:r w:rsidR="007F6F07" w:rsidRPr="00E87E42">
        <w:t>than</w:t>
      </w:r>
      <w:r w:rsidR="007B1628" w:rsidRPr="00E87E42">
        <w:t xml:space="preserve"> 5</w:t>
      </w:r>
      <w:r w:rsidR="007F6F07" w:rsidRPr="00E87E42">
        <w:t>0</w:t>
      </w:r>
      <w:r w:rsidR="007B1628" w:rsidRPr="00E87E42">
        <w:t>% of fires, compared to</w:t>
      </w:r>
      <w:r w:rsidR="007F6F07" w:rsidRPr="00E87E42">
        <w:t xml:space="preserve"> more than</w:t>
      </w:r>
      <w:r w:rsidR="007B1628" w:rsidRPr="00E87E42">
        <w:t xml:space="preserve"> 2</w:t>
      </w:r>
      <w:r w:rsidR="007F6F07" w:rsidRPr="00E87E42">
        <w:t>5</w:t>
      </w:r>
      <w:r w:rsidR="007B1628" w:rsidRPr="00E87E42">
        <w:t xml:space="preserve">% in the </w:t>
      </w:r>
      <w:proofErr w:type="spellStart"/>
      <w:r w:rsidR="007B1628" w:rsidRPr="00E87E42">
        <w:t>sprinklered</w:t>
      </w:r>
      <w:proofErr w:type="spellEnd"/>
      <w:r w:rsidR="007B1628" w:rsidRPr="00E87E42">
        <w:t xml:space="preserve"> case</w:t>
      </w:r>
      <w:r w:rsidR="00064106" w:rsidRPr="00E87E42">
        <w:t xml:space="preserve">. </w:t>
      </w:r>
      <w:r w:rsidR="007B1628" w:rsidRPr="00E87E42">
        <w:t>On average</w:t>
      </w:r>
      <w:r w:rsidR="00F00791" w:rsidRPr="00E87E42">
        <w:t>,</w:t>
      </w:r>
      <w:r w:rsidR="007B1628" w:rsidRPr="00E87E42">
        <w:t xml:space="preserve"> a </w:t>
      </w:r>
      <w:proofErr w:type="spellStart"/>
      <w:r w:rsidR="007B1628" w:rsidRPr="00E87E42">
        <w:t>sprinklered</w:t>
      </w:r>
      <w:proofErr w:type="spellEnd"/>
      <w:r w:rsidR="007B1628" w:rsidRPr="00E87E42">
        <w:t xml:space="preserve"> and un-</w:t>
      </w:r>
      <w:proofErr w:type="spellStart"/>
      <w:r w:rsidR="007B1628" w:rsidRPr="00E87E42">
        <w:t>sprinklered</w:t>
      </w:r>
      <w:proofErr w:type="spellEnd"/>
      <w:r w:rsidR="007B1628" w:rsidRPr="00E87E42">
        <w:t xml:space="preserve"> </w:t>
      </w:r>
      <w:r w:rsidR="007B1628" w:rsidRPr="00E87E42">
        <w:rPr>
          <w:i/>
        </w:rPr>
        <w:t>Assembly</w:t>
      </w:r>
      <w:r w:rsidR="007B1628" w:rsidRPr="00E87E42">
        <w:t xml:space="preserve"> building will experience </w:t>
      </w:r>
      <w:r w:rsidR="003F17F0" w:rsidRPr="00E87E42">
        <w:t>25.96</w:t>
      </w:r>
      <w:r w:rsidR="007B1628" w:rsidRPr="00E87E42">
        <w:t xml:space="preserve"> m</w:t>
      </w:r>
      <w:r w:rsidR="007B1628" w:rsidRPr="00E87E42">
        <w:rPr>
          <w:vertAlign w:val="superscript"/>
        </w:rPr>
        <w:t>2</w:t>
      </w:r>
      <w:r w:rsidR="007B1628" w:rsidRPr="00E87E42">
        <w:t xml:space="preserve"> and </w:t>
      </w:r>
      <w:r w:rsidR="003F17F0" w:rsidRPr="00E87E42">
        <w:t>59.50</w:t>
      </w:r>
      <w:r w:rsidR="007B1628" w:rsidRPr="00E87E42">
        <w:t xml:space="preserve"> m</w:t>
      </w:r>
      <w:r w:rsidR="007B1628" w:rsidRPr="00E87E42">
        <w:rPr>
          <w:vertAlign w:val="superscript"/>
        </w:rPr>
        <w:t>2</w:t>
      </w:r>
      <w:r w:rsidR="007B1628" w:rsidRPr="00E87E42">
        <w:t xml:space="preserve"> of damage, respectively.</w:t>
      </w:r>
      <w:r w:rsidR="00064106" w:rsidRPr="00E87E42">
        <w:t xml:space="preserve"> </w:t>
      </w:r>
      <w:r w:rsidR="00320382" w:rsidRPr="00E87E42">
        <w:t>Fire</w:t>
      </w:r>
      <w:r w:rsidR="00173831" w:rsidRPr="00E87E42">
        <w:t xml:space="preserve">s </w:t>
      </w:r>
      <w:proofErr w:type="gramStart"/>
      <w:r w:rsidR="00173831" w:rsidRPr="00E87E42">
        <w:t>are frequently confined</w:t>
      </w:r>
      <w:proofErr w:type="gramEnd"/>
      <w:r w:rsidR="00173831" w:rsidRPr="00E87E42">
        <w:t xml:space="preserve"> </w:t>
      </w:r>
      <w:r w:rsidR="00FC2AB9" w:rsidRPr="00E87E42">
        <w:t xml:space="preserve">within </w:t>
      </w:r>
      <w:r w:rsidR="00173831" w:rsidRPr="00E87E42">
        <w:t xml:space="preserve">the room of origin </w:t>
      </w:r>
      <w:r w:rsidR="007F6F07" w:rsidRPr="00E87E42">
        <w:t xml:space="preserve">for around </w:t>
      </w:r>
      <w:r w:rsidR="00FC2AB9" w:rsidRPr="00E87E42">
        <w:t>7</w:t>
      </w:r>
      <w:r w:rsidR="007F6F07" w:rsidRPr="00E87E42">
        <w:t>0</w:t>
      </w:r>
      <w:r w:rsidR="00173831" w:rsidRPr="00E87E42">
        <w:t>%</w:t>
      </w:r>
      <w:r w:rsidR="004448B9" w:rsidRPr="00E87E42">
        <w:t xml:space="preserve"> </w:t>
      </w:r>
      <w:r w:rsidR="004559B5">
        <w:t xml:space="preserve">in </w:t>
      </w:r>
      <w:proofErr w:type="spellStart"/>
      <w:r w:rsidR="004559B5">
        <w:t>sprinklered</w:t>
      </w:r>
      <w:proofErr w:type="spellEnd"/>
      <w:r w:rsidR="004559B5">
        <w:t xml:space="preserve"> and 5</w:t>
      </w:r>
      <w:r w:rsidR="00064106" w:rsidRPr="00E87E42">
        <w:t>0% in un-</w:t>
      </w:r>
      <w:proofErr w:type="spellStart"/>
      <w:r w:rsidR="00064106" w:rsidRPr="00E87E42">
        <w:t>sprinklered</w:t>
      </w:r>
      <w:proofErr w:type="spellEnd"/>
      <w:r w:rsidR="00064106" w:rsidRPr="00E87E42">
        <w:t xml:space="preserve"> buildings</w:t>
      </w:r>
      <w:r w:rsidR="007F6F07" w:rsidRPr="00E87E42">
        <w:t xml:space="preserve">. </w:t>
      </w:r>
      <w:proofErr w:type="gramStart"/>
      <w:r w:rsidR="0052662F" w:rsidRPr="00E87E42">
        <w:t xml:space="preserve">The data also indicates that if the fire does go beyond the room of origin, then it is likely to spread to the whole building, rather than being confined to the floor of origin, with </w:t>
      </w:r>
      <w:proofErr w:type="spellStart"/>
      <w:r w:rsidR="0052662F" w:rsidRPr="00E87E42">
        <w:t>sprinklered</w:t>
      </w:r>
      <w:proofErr w:type="spellEnd"/>
      <w:r w:rsidR="004448B9" w:rsidRPr="00E87E42">
        <w:t xml:space="preserve"> </w:t>
      </w:r>
      <w:r w:rsidR="00D15173" w:rsidRPr="00E87E42">
        <w:t xml:space="preserve">and no automatic extinguishing systems, </w:t>
      </w:r>
      <w:r w:rsidR="0052662F" w:rsidRPr="00E87E42">
        <w:t xml:space="preserve">having </w:t>
      </w:r>
      <w:r w:rsidR="00457222" w:rsidRPr="00E87E42">
        <w:t>24.61</w:t>
      </w:r>
      <w:r w:rsidR="0052662F" w:rsidRPr="00E87E42">
        <w:t>%</w:t>
      </w:r>
      <w:r w:rsidR="00457222" w:rsidRPr="00E87E42">
        <w:t xml:space="preserve"> and 43.85</w:t>
      </w:r>
      <w:r w:rsidR="009D06F5" w:rsidRPr="00E87E42">
        <w:t>%</w:t>
      </w:r>
      <w:r w:rsidR="00D15173" w:rsidRPr="00E87E42">
        <w:t xml:space="preserve"> of their fire spread, respectively,</w:t>
      </w:r>
      <w:r w:rsidR="009D06F5" w:rsidRPr="00E87E42">
        <w:t xml:space="preserve"> </w:t>
      </w:r>
      <w:r w:rsidR="0052662F" w:rsidRPr="00E87E42">
        <w:t>sp</w:t>
      </w:r>
      <w:r w:rsidR="00C448C8" w:rsidRPr="00E87E42">
        <w:t>r</w:t>
      </w:r>
      <w:r w:rsidR="0052662F" w:rsidRPr="00E87E42">
        <w:t>eading past the floor of origin</w:t>
      </w:r>
      <w:r w:rsidR="00DF69F2" w:rsidRPr="00E87E42">
        <w:t xml:space="preserve"> (</w:t>
      </w:r>
      <w:r w:rsidR="00064106" w:rsidRPr="00E87E42">
        <w:fldChar w:fldCharType="begin"/>
      </w:r>
      <w:r w:rsidR="00064106" w:rsidRPr="00E87E42">
        <w:instrText xml:space="preserve"> REF _Ref518120822 \h </w:instrText>
      </w:r>
      <w:r w:rsidR="00E87E42">
        <w:instrText xml:space="preserve"> \* MERGEFORMAT </w:instrText>
      </w:r>
      <w:r w:rsidR="00064106" w:rsidRPr="00E87E42">
        <w:fldChar w:fldCharType="separate"/>
      </w:r>
      <w:r w:rsidR="009F6872" w:rsidRPr="00E87E42">
        <w:t xml:space="preserve">Table </w:t>
      </w:r>
      <w:r w:rsidR="009F6872">
        <w:rPr>
          <w:noProof/>
        </w:rPr>
        <w:t>6</w:t>
      </w:r>
      <w:r w:rsidR="00064106" w:rsidRPr="00E87E42">
        <w:fldChar w:fldCharType="end"/>
      </w:r>
      <w:r w:rsidR="00064106" w:rsidRPr="00E87E42">
        <w:t xml:space="preserve"> and </w:t>
      </w:r>
      <w:r w:rsidR="00064106" w:rsidRPr="00E87E42">
        <w:fldChar w:fldCharType="begin"/>
      </w:r>
      <w:r w:rsidR="00064106" w:rsidRPr="00E87E42">
        <w:instrText xml:space="preserve"> REF _Ref506455393 \h </w:instrText>
      </w:r>
      <w:r w:rsidR="00E87E42">
        <w:instrText xml:space="preserve"> \* MERGEFORMAT </w:instrText>
      </w:r>
      <w:r w:rsidR="00064106" w:rsidRPr="00E87E42">
        <w:fldChar w:fldCharType="separate"/>
      </w:r>
      <w:r w:rsidR="009F6872" w:rsidRPr="00E87E42">
        <w:t xml:space="preserve">Figure </w:t>
      </w:r>
      <w:r w:rsidR="009F6872">
        <w:rPr>
          <w:i/>
          <w:iCs/>
          <w:noProof/>
        </w:rPr>
        <w:t>11</w:t>
      </w:r>
      <w:r w:rsidR="00064106" w:rsidRPr="00E87E42">
        <w:fldChar w:fldCharType="end"/>
      </w:r>
      <w:r w:rsidR="001126BB" w:rsidRPr="00E87E42">
        <w:t>)</w:t>
      </w:r>
      <w:r w:rsidR="009D06F5" w:rsidRPr="00E87E42">
        <w:t>.</w:t>
      </w:r>
      <w:proofErr w:type="gramEnd"/>
      <w:r w:rsidR="0044290E" w:rsidRPr="00E87E42">
        <w:t xml:space="preserve"> </w:t>
      </w:r>
    </w:p>
    <w:p w14:paraId="404E4790" w14:textId="533896C7" w:rsidR="007F6F07" w:rsidRPr="00E87E42" w:rsidRDefault="007F6F07" w:rsidP="008A55B5">
      <w:r w:rsidRPr="00E87E42">
        <w:t>Similar</w:t>
      </w:r>
      <w:r w:rsidR="00064106" w:rsidRPr="00E87E42">
        <w:t xml:space="preserve"> comments can describe </w:t>
      </w:r>
      <w:r w:rsidR="00064106" w:rsidRPr="00E87E42">
        <w:rPr>
          <w:b/>
        </w:rPr>
        <w:t>Residential</w:t>
      </w:r>
      <w:r w:rsidR="00064106" w:rsidRPr="00E87E42">
        <w:t xml:space="preserve"> and </w:t>
      </w:r>
      <w:r w:rsidR="00064106" w:rsidRPr="00E87E42">
        <w:rPr>
          <w:b/>
        </w:rPr>
        <w:t>Mercantile, Business</w:t>
      </w:r>
      <w:r w:rsidR="00064106" w:rsidRPr="00E87E42">
        <w:t xml:space="preserve"> </w:t>
      </w:r>
      <w:r w:rsidRPr="00E87E42">
        <w:t>with average damage being 4.92-48.58 m</w:t>
      </w:r>
      <w:r w:rsidRPr="00E87E42">
        <w:rPr>
          <w:vertAlign w:val="superscript"/>
        </w:rPr>
        <w:t>2</w:t>
      </w:r>
      <w:r w:rsidRPr="00E87E42">
        <w:t xml:space="preserve"> </w:t>
      </w:r>
      <w:r w:rsidR="00C31076" w:rsidRPr="00E87E42">
        <w:t xml:space="preserve">for </w:t>
      </w:r>
      <w:proofErr w:type="spellStart"/>
      <w:r w:rsidR="00C31076" w:rsidRPr="00E87E42">
        <w:t>sprinklered</w:t>
      </w:r>
      <w:proofErr w:type="spellEnd"/>
      <w:r w:rsidR="00C31076" w:rsidRPr="00E87E42">
        <w:t xml:space="preserve"> </w:t>
      </w:r>
      <w:r w:rsidRPr="00E87E42">
        <w:t>compared to 35.69-</w:t>
      </w:r>
      <w:r w:rsidR="00FC3903" w:rsidRPr="00E87E42">
        <w:t>97.34</w:t>
      </w:r>
      <w:r w:rsidRPr="00E87E42">
        <w:t xml:space="preserve"> m</w:t>
      </w:r>
      <w:r w:rsidRPr="00E87E42">
        <w:rPr>
          <w:vertAlign w:val="superscript"/>
        </w:rPr>
        <w:t>2</w:t>
      </w:r>
      <w:r w:rsidR="00C31076" w:rsidRPr="00E87E42">
        <w:t xml:space="preserve"> for un-</w:t>
      </w:r>
      <w:proofErr w:type="spellStart"/>
      <w:r w:rsidR="00C31076" w:rsidRPr="00E87E42">
        <w:t>sprinklered</w:t>
      </w:r>
      <w:proofErr w:type="spellEnd"/>
      <w:r w:rsidR="00064106" w:rsidRPr="00E87E42">
        <w:t>, respectively (</w:t>
      </w:r>
      <w:r w:rsidR="00A056AD" w:rsidRPr="00E87E42">
        <w:t xml:space="preserve">Figure IV-V </w:t>
      </w:r>
      <w:r w:rsidR="00473F32" w:rsidRPr="00E87E42">
        <w:t xml:space="preserve">and </w:t>
      </w:r>
      <w:r w:rsidR="00A056AD" w:rsidRPr="00E87E42">
        <w:t xml:space="preserve">Table IV-V </w:t>
      </w:r>
      <w:r w:rsidR="00064106" w:rsidRPr="00E87E42">
        <w:t>in Appendix).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2D34F4" w:rsidRPr="00E87E42" w14:paraId="18AF6CAC" w14:textId="77777777" w:rsidTr="00C043FE">
        <w:tc>
          <w:tcPr>
            <w:tcW w:w="10250" w:type="dxa"/>
          </w:tcPr>
          <w:p w14:paraId="480F940C" w14:textId="75BAB928" w:rsidR="002D34F4" w:rsidRPr="00E87E42" w:rsidRDefault="00A21522" w:rsidP="00A60BA3">
            <w:pPr>
              <w:spacing w:line="240" w:lineRule="auto"/>
            </w:pPr>
            <w:r w:rsidRPr="00E87E42">
              <w:rPr>
                <w:noProof/>
                <w:lang w:eastAsia="en-GB"/>
              </w:rPr>
              <w:lastRenderedPageBreak/>
              <w:drawing>
                <wp:anchor distT="0" distB="0" distL="114300" distR="114300" simplePos="0" relativeHeight="253352960" behindDoc="0" locked="0" layoutInCell="1" allowOverlap="1" wp14:anchorId="567979F6" wp14:editId="1969CB2D">
                  <wp:simplePos x="0" y="0"/>
                  <wp:positionH relativeFrom="column">
                    <wp:posOffset>-65405</wp:posOffset>
                  </wp:positionH>
                  <wp:positionV relativeFrom="paragraph">
                    <wp:posOffset>22654</wp:posOffset>
                  </wp:positionV>
                  <wp:extent cx="6515100" cy="2160000"/>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r>
    </w:tbl>
    <w:p w14:paraId="7D27D5F2" w14:textId="12098663" w:rsidR="004314A6" w:rsidRPr="00E87E42" w:rsidRDefault="002D34F4" w:rsidP="005E093E">
      <w:pPr>
        <w:pStyle w:val="Caption"/>
      </w:pPr>
      <w:bookmarkStart w:id="22" w:name="_Ref506455393"/>
      <w:bookmarkStart w:id="23" w:name="_Ref506455377"/>
      <w:r w:rsidRPr="00E87E42">
        <w:t xml:space="preserve">Figure </w:t>
      </w:r>
      <w:r w:rsidR="00E9438B" w:rsidRPr="00E87E42">
        <w:rPr>
          <w:i w:val="0"/>
          <w:iCs w:val="0"/>
        </w:rPr>
        <w:fldChar w:fldCharType="begin"/>
      </w:r>
      <w:r w:rsidR="00E9438B" w:rsidRPr="00E87E42">
        <w:rPr>
          <w:i w:val="0"/>
          <w:iCs w:val="0"/>
        </w:rPr>
        <w:instrText xml:space="preserve"> SEQ Figure \* ARABIC </w:instrText>
      </w:r>
      <w:r w:rsidR="00E9438B" w:rsidRPr="00E87E42">
        <w:rPr>
          <w:i w:val="0"/>
          <w:iCs w:val="0"/>
        </w:rPr>
        <w:fldChar w:fldCharType="separate"/>
      </w:r>
      <w:r w:rsidR="009F6872">
        <w:rPr>
          <w:i w:val="0"/>
          <w:iCs w:val="0"/>
          <w:noProof/>
        </w:rPr>
        <w:t>11</w:t>
      </w:r>
      <w:r w:rsidR="00E9438B" w:rsidRPr="00E87E42">
        <w:rPr>
          <w:i w:val="0"/>
          <w:iCs w:val="0"/>
          <w:noProof/>
        </w:rPr>
        <w:fldChar w:fldCharType="end"/>
      </w:r>
      <w:bookmarkEnd w:id="22"/>
      <w:r w:rsidRPr="00E87E42">
        <w:t xml:space="preserve">: Area damage in </w:t>
      </w:r>
      <w:r w:rsidR="005E093E" w:rsidRPr="00E87E42">
        <w:t>A</w:t>
      </w:r>
      <w:r w:rsidRPr="00E87E42">
        <w:t>ssembly for different spread of fire and damage classes</w:t>
      </w:r>
      <w:r w:rsidR="005E093E" w:rsidRPr="00E87E42">
        <w:t>, including</w:t>
      </w:r>
      <w:r w:rsidRPr="00E87E42">
        <w:t xml:space="preserve"> weighted average area damage </w:t>
      </w:r>
      <w:bookmarkEnd w:id="23"/>
    </w:p>
    <w:p w14:paraId="51DE70DA" w14:textId="24162CB2" w:rsidR="00CE7D06" w:rsidRPr="00E87E42" w:rsidRDefault="00CE7D06" w:rsidP="00F30E9E">
      <w:r w:rsidRPr="00E87E42">
        <w:t>In</w:t>
      </w:r>
      <w:r w:rsidRPr="00E87E42">
        <w:rPr>
          <w:i/>
        </w:rPr>
        <w:t xml:space="preserve"> </w:t>
      </w:r>
      <w:r w:rsidRPr="00E87E42">
        <w:rPr>
          <w:b/>
        </w:rPr>
        <w:t>Manufacturing, Processing</w:t>
      </w:r>
      <w:r w:rsidRPr="00E87E42">
        <w:t>,</w:t>
      </w:r>
      <w:r w:rsidR="00FC3903" w:rsidRPr="00E87E42">
        <w:t xml:space="preserve"> sprinklers seem to limit the spread but not the fire</w:t>
      </w:r>
      <w:r w:rsidR="00064106" w:rsidRPr="00E87E42">
        <w:t xml:space="preserve"> damage</w:t>
      </w:r>
      <w:r w:rsidR="00FC3903" w:rsidRPr="00E87E42">
        <w:t>. Indeed,</w:t>
      </w:r>
      <w:r w:rsidRPr="00E87E42">
        <w:t xml:space="preserve"> </w:t>
      </w:r>
      <w:r w:rsidR="004E6E9D" w:rsidRPr="00E87E42">
        <w:t>69</w:t>
      </w:r>
      <w:r w:rsidRPr="00E87E42">
        <w:t xml:space="preserve">% of fires </w:t>
      </w:r>
      <w:proofErr w:type="gramStart"/>
      <w:r w:rsidRPr="00E87E42">
        <w:t>are confined</w:t>
      </w:r>
      <w:proofErr w:type="gramEnd"/>
      <w:r w:rsidRPr="00E87E42">
        <w:t xml:space="preserve"> in the room of origin when sprinklers are present and </w:t>
      </w:r>
      <w:r w:rsidR="004E6E9D" w:rsidRPr="00E87E42">
        <w:t>37</w:t>
      </w:r>
      <w:r w:rsidRPr="00E87E42">
        <w:t>% for un-</w:t>
      </w:r>
      <w:proofErr w:type="spellStart"/>
      <w:r w:rsidRPr="00E87E42">
        <w:t>sprinklered</w:t>
      </w:r>
      <w:proofErr w:type="spellEnd"/>
      <w:r w:rsidRPr="00E87E42">
        <w:t xml:space="preserve"> buildings (</w:t>
      </w:r>
      <w:r w:rsidRPr="00E87E42">
        <w:fldChar w:fldCharType="begin"/>
      </w:r>
      <w:r w:rsidRPr="00E87E42">
        <w:instrText xml:space="preserve"> REF _Ref508362578 \h </w:instrText>
      </w:r>
      <w:r w:rsidR="00E87E42">
        <w:instrText xml:space="preserve"> \* MERGEFORMAT </w:instrText>
      </w:r>
      <w:r w:rsidRPr="00E87E42">
        <w:fldChar w:fldCharType="separate"/>
      </w:r>
      <w:r w:rsidR="009F6872" w:rsidRPr="00E87E42">
        <w:t xml:space="preserve">Table </w:t>
      </w:r>
      <w:r w:rsidR="009F6872">
        <w:rPr>
          <w:noProof/>
        </w:rPr>
        <w:t>7</w:t>
      </w:r>
      <w:r w:rsidRPr="00E87E42">
        <w:fldChar w:fldCharType="end"/>
      </w:r>
      <w:r w:rsidRPr="00E87E42">
        <w:t xml:space="preserve"> and </w:t>
      </w:r>
      <w:r w:rsidRPr="00E87E42">
        <w:fldChar w:fldCharType="begin"/>
      </w:r>
      <w:r w:rsidRPr="00E87E42">
        <w:instrText xml:space="preserve"> REF _Ref506466828 \h </w:instrText>
      </w:r>
      <w:r w:rsidR="00E87E42">
        <w:instrText xml:space="preserve"> \* MERGEFORMAT </w:instrText>
      </w:r>
      <w:r w:rsidRPr="00E87E42">
        <w:fldChar w:fldCharType="separate"/>
      </w:r>
      <w:r w:rsidR="009F6872" w:rsidRPr="00E87E42">
        <w:t xml:space="preserve">Figure </w:t>
      </w:r>
      <w:r w:rsidR="009F6872">
        <w:rPr>
          <w:noProof/>
        </w:rPr>
        <w:t>12</w:t>
      </w:r>
      <w:r w:rsidRPr="00E87E42">
        <w:fldChar w:fldCharType="end"/>
      </w:r>
      <w:r w:rsidRPr="00E87E42">
        <w:t xml:space="preserve">). </w:t>
      </w:r>
      <w:r w:rsidR="004E6E9D" w:rsidRPr="00E87E42">
        <w:t xml:space="preserve">For both </w:t>
      </w:r>
      <w:proofErr w:type="spellStart"/>
      <w:r w:rsidR="004E6E9D" w:rsidRPr="00E87E42">
        <w:t>sprinklered</w:t>
      </w:r>
      <w:proofErr w:type="spellEnd"/>
      <w:r w:rsidR="004E6E9D" w:rsidRPr="00E87E42">
        <w:t xml:space="preserve"> and un-</w:t>
      </w:r>
      <w:proofErr w:type="spellStart"/>
      <w:r w:rsidR="004E6E9D" w:rsidRPr="00E87E42">
        <w:t>sprinklered</w:t>
      </w:r>
      <w:proofErr w:type="spellEnd"/>
      <w:r w:rsidR="004E6E9D" w:rsidRPr="00E87E42">
        <w:t xml:space="preserve"> buildings the damage class is usually minor, however peaks are seen for both with </w:t>
      </w:r>
      <w:r w:rsidR="00064106" w:rsidRPr="00E87E42">
        <w:t>significantly</w:t>
      </w:r>
      <w:r w:rsidR="004E6E9D" w:rsidRPr="00E87E42">
        <w:t xml:space="preserve"> damage of 2</w:t>
      </w:r>
      <w:r w:rsidR="007F3EFC" w:rsidRPr="00E87E42">
        <w:t>,</w:t>
      </w:r>
      <w:r w:rsidR="004E6E9D" w:rsidRPr="00E87E42">
        <w:t>856.61 m</w:t>
      </w:r>
      <w:r w:rsidR="004E6E9D" w:rsidRPr="00E87E42">
        <w:rPr>
          <w:vertAlign w:val="superscript"/>
        </w:rPr>
        <w:t>2</w:t>
      </w:r>
      <w:r w:rsidR="004E6E9D" w:rsidRPr="00E87E42">
        <w:t xml:space="preserve"> of area damage confined to building for sprinklers, and 2</w:t>
      </w:r>
      <w:r w:rsidR="007F3EFC" w:rsidRPr="00E87E42">
        <w:t>,</w:t>
      </w:r>
      <w:r w:rsidR="004E6E9D" w:rsidRPr="00E87E42">
        <w:t>007.78 m</w:t>
      </w:r>
      <w:r w:rsidR="004E6E9D" w:rsidRPr="00E87E42">
        <w:rPr>
          <w:vertAlign w:val="superscript"/>
        </w:rPr>
        <w:t>2</w:t>
      </w:r>
      <w:r w:rsidR="004E6E9D" w:rsidRPr="00E87E42">
        <w:t xml:space="preserve"> confined to</w:t>
      </w:r>
      <w:r w:rsidR="00170D75">
        <w:t xml:space="preserve"> building for extreme damage in</w:t>
      </w:r>
      <w:r w:rsidR="004E6E9D" w:rsidRPr="00E87E42">
        <w:t xml:space="preserve"> un-</w:t>
      </w:r>
      <w:proofErr w:type="spellStart"/>
      <w:r w:rsidR="004E6E9D" w:rsidRPr="00E87E42">
        <w:t>sprinklered</w:t>
      </w:r>
      <w:proofErr w:type="spellEnd"/>
      <w:r w:rsidR="004E6E9D" w:rsidRPr="00E87E42">
        <w:t xml:space="preserve"> buildings. </w:t>
      </w:r>
      <w:r w:rsidR="004E6E9D" w:rsidRPr="00E87E42">
        <w:fldChar w:fldCharType="begin"/>
      </w:r>
      <w:r w:rsidR="004E6E9D" w:rsidRPr="00E87E42">
        <w:instrText xml:space="preserve"> REF _Ref508362578 \h </w:instrText>
      </w:r>
      <w:r w:rsidR="00E87E42">
        <w:instrText xml:space="preserve"> \* MERGEFORMAT </w:instrText>
      </w:r>
      <w:r w:rsidR="004E6E9D" w:rsidRPr="00E87E42">
        <w:fldChar w:fldCharType="separate"/>
      </w:r>
      <w:r w:rsidR="009F6872" w:rsidRPr="00E87E42">
        <w:t xml:space="preserve">Table </w:t>
      </w:r>
      <w:r w:rsidR="009F6872">
        <w:rPr>
          <w:noProof/>
        </w:rPr>
        <w:t>7</w:t>
      </w:r>
      <w:r w:rsidR="004E6E9D" w:rsidRPr="00E87E42">
        <w:fldChar w:fldCharType="end"/>
      </w:r>
      <w:r w:rsidR="004E6E9D" w:rsidRPr="00E87E42">
        <w:t xml:space="preserve"> and </w:t>
      </w:r>
      <w:r w:rsidR="004E6E9D" w:rsidRPr="00E87E42">
        <w:fldChar w:fldCharType="begin"/>
      </w:r>
      <w:r w:rsidR="004E6E9D" w:rsidRPr="00E87E42">
        <w:instrText xml:space="preserve"> REF _Ref506466828 \h </w:instrText>
      </w:r>
      <w:r w:rsidR="00E87E42">
        <w:instrText xml:space="preserve"> \* MERGEFORMAT </w:instrText>
      </w:r>
      <w:r w:rsidR="004E6E9D" w:rsidRPr="00E87E42">
        <w:fldChar w:fldCharType="separate"/>
      </w:r>
      <w:r w:rsidR="009F6872" w:rsidRPr="00E87E42">
        <w:t xml:space="preserve">Figure </w:t>
      </w:r>
      <w:r w:rsidR="009F6872">
        <w:rPr>
          <w:noProof/>
        </w:rPr>
        <w:t>12</w:t>
      </w:r>
      <w:r w:rsidR="004E6E9D" w:rsidRPr="00E87E42">
        <w:fldChar w:fldCharType="end"/>
      </w:r>
      <w:r w:rsidR="004E6E9D" w:rsidRPr="00E87E42">
        <w:t xml:space="preserve"> also show that </w:t>
      </w:r>
      <w:r w:rsidRPr="00E87E42">
        <w:t xml:space="preserve">for </w:t>
      </w:r>
      <w:r w:rsidR="004E6E9D" w:rsidRPr="00E87E42">
        <w:t xml:space="preserve">both </w:t>
      </w:r>
      <w:proofErr w:type="spellStart"/>
      <w:r w:rsidR="004E6E9D" w:rsidRPr="00E87E42">
        <w:t>sprinklered</w:t>
      </w:r>
      <w:proofErr w:type="spellEnd"/>
      <w:r w:rsidR="004E6E9D" w:rsidRPr="00E87E42">
        <w:t xml:space="preserve"> and un-</w:t>
      </w:r>
      <w:proofErr w:type="spellStart"/>
      <w:r w:rsidR="004E6E9D" w:rsidRPr="00E87E42">
        <w:t>sprinklered</w:t>
      </w:r>
      <w:proofErr w:type="spellEnd"/>
      <w:r w:rsidR="004E6E9D" w:rsidRPr="00E87E42">
        <w:t xml:space="preserve"> buildings</w:t>
      </w:r>
      <w:r w:rsidRPr="00E87E42">
        <w:t xml:space="preserve"> the highest </w:t>
      </w:r>
      <w:r w:rsidR="004E6E9D" w:rsidRPr="00E87E42">
        <w:t xml:space="preserve">average area damage </w:t>
      </w:r>
      <w:proofErr w:type="gramStart"/>
      <w:r w:rsidRPr="00E87E42">
        <w:t>is reached</w:t>
      </w:r>
      <w:proofErr w:type="gramEnd"/>
      <w:r w:rsidRPr="00E87E42">
        <w:t xml:space="preserve"> for sp</w:t>
      </w:r>
      <w:r w:rsidR="004E6E9D" w:rsidRPr="00E87E42">
        <w:t xml:space="preserve">read confined to building with </w:t>
      </w:r>
      <w:r w:rsidRPr="00E87E42">
        <w:t>843.41</w:t>
      </w:r>
      <w:r w:rsidR="004E6E9D" w:rsidRPr="00E87E42">
        <w:t xml:space="preserve"> m</w:t>
      </w:r>
      <w:r w:rsidR="004E6E9D" w:rsidRPr="00E87E42">
        <w:rPr>
          <w:vertAlign w:val="superscript"/>
        </w:rPr>
        <w:t>2</w:t>
      </w:r>
      <w:r w:rsidRPr="00E87E42">
        <w:t xml:space="preserve"> and 839.56 m</w:t>
      </w:r>
      <w:r w:rsidRPr="00E87E42">
        <w:rPr>
          <w:vertAlign w:val="superscript"/>
        </w:rPr>
        <w:t>2</w:t>
      </w:r>
      <w:r w:rsidR="004E6E9D" w:rsidRPr="00E87E42">
        <w:t>, respectively</w:t>
      </w:r>
      <w:r w:rsidRPr="00E87E4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AE1411" w:rsidRPr="00E87E42" w14:paraId="418A572E" w14:textId="73E8518A" w:rsidTr="008A55B5">
        <w:tc>
          <w:tcPr>
            <w:tcW w:w="10028" w:type="dxa"/>
          </w:tcPr>
          <w:p w14:paraId="6116C4D7" w14:textId="0516F2B2" w:rsidR="00AE1411" w:rsidRPr="00E87E42" w:rsidRDefault="00AE1411" w:rsidP="00284D16">
            <w:pPr>
              <w:rPr>
                <w:sz w:val="16"/>
              </w:rPr>
            </w:pPr>
            <w:r w:rsidRPr="00E87E42">
              <w:rPr>
                <w:noProof/>
                <w:lang w:eastAsia="en-GB"/>
              </w:rPr>
              <w:drawing>
                <wp:anchor distT="0" distB="0" distL="114300" distR="114300" simplePos="0" relativeHeight="253391872" behindDoc="0" locked="0" layoutInCell="1" allowOverlap="1" wp14:anchorId="20568D71" wp14:editId="2FDA85E7">
                  <wp:simplePos x="0" y="0"/>
                  <wp:positionH relativeFrom="column">
                    <wp:posOffset>-65405</wp:posOffset>
                  </wp:positionH>
                  <wp:positionV relativeFrom="paragraph">
                    <wp:posOffset>362</wp:posOffset>
                  </wp:positionV>
                  <wp:extent cx="6515100" cy="2160000"/>
                  <wp:effectExtent l="0" t="0" r="0" b="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r>
    </w:tbl>
    <w:p w14:paraId="20202603" w14:textId="1DA571A0" w:rsidR="00E23A83" w:rsidRPr="00E87E42" w:rsidRDefault="00E23A83" w:rsidP="00E23A83">
      <w:pPr>
        <w:pStyle w:val="Caption"/>
      </w:pPr>
      <w:bookmarkStart w:id="24" w:name="_Ref506466828"/>
      <w:bookmarkStart w:id="25" w:name="_Ref506466786"/>
      <w:r w:rsidRPr="00E87E42">
        <w:t xml:space="preserve">Figure </w:t>
      </w:r>
      <w:r w:rsidR="00A446AC" w:rsidRPr="00E87E42">
        <w:rPr>
          <w:noProof/>
        </w:rPr>
        <w:fldChar w:fldCharType="begin"/>
      </w:r>
      <w:r w:rsidR="00A446AC" w:rsidRPr="00E87E42">
        <w:rPr>
          <w:noProof/>
        </w:rPr>
        <w:instrText xml:space="preserve"> SEQ Figure \* ARABIC </w:instrText>
      </w:r>
      <w:r w:rsidR="00A446AC" w:rsidRPr="00E87E42">
        <w:rPr>
          <w:noProof/>
        </w:rPr>
        <w:fldChar w:fldCharType="separate"/>
      </w:r>
      <w:r w:rsidR="009F6872">
        <w:rPr>
          <w:noProof/>
        </w:rPr>
        <w:t>12</w:t>
      </w:r>
      <w:r w:rsidR="00A446AC" w:rsidRPr="00E87E42">
        <w:rPr>
          <w:noProof/>
        </w:rPr>
        <w:fldChar w:fldCharType="end"/>
      </w:r>
      <w:bookmarkEnd w:id="24"/>
      <w:r w:rsidRPr="00E87E42">
        <w:t xml:space="preserve">: Area damage in Manufacturing, </w:t>
      </w:r>
      <w:r w:rsidR="00AC3FEB" w:rsidRPr="00E87E42">
        <w:t>P</w:t>
      </w:r>
      <w:r w:rsidRPr="00E87E42">
        <w:t xml:space="preserve">rocessing for different spread of fire and damage classes, </w:t>
      </w:r>
      <w:r w:rsidR="00AC3FEB" w:rsidRPr="00E87E42">
        <w:t>including</w:t>
      </w:r>
      <w:r w:rsidRPr="00E87E42">
        <w:t xml:space="preserve"> weighted average area damage </w:t>
      </w:r>
      <w:bookmarkEnd w:id="25"/>
    </w:p>
    <w:p w14:paraId="77F03F0B" w14:textId="3511B783" w:rsidR="008C3AB0" w:rsidRPr="00E87E42" w:rsidRDefault="00F00791">
      <w:pPr>
        <w:spacing w:after="0"/>
        <w:jc w:val="left"/>
      </w:pPr>
      <w:bookmarkStart w:id="26" w:name="_Ref506479607"/>
      <w:r w:rsidRPr="00E87E42">
        <w:t xml:space="preserve">It is evident from the analysis of these data that sprinklers can significantly reduce both the spread of fire and the associated damage of the fire. </w:t>
      </w:r>
      <w:r w:rsidR="00296620" w:rsidRPr="00E87E42">
        <w:t>However, the NF</w:t>
      </w:r>
      <w:r w:rsidR="00407E2D" w:rsidRPr="00E87E42">
        <w:t>IR</w:t>
      </w:r>
      <w:r w:rsidR="00296620" w:rsidRPr="00E87E42">
        <w:t xml:space="preserve">S database presented the damage by flame only, and there is no indication within the data about the damage that may or </w:t>
      </w:r>
      <w:proofErr w:type="gramStart"/>
      <w:r w:rsidR="00296620" w:rsidRPr="00E87E42">
        <w:t>may not be caused</w:t>
      </w:r>
      <w:proofErr w:type="gramEnd"/>
      <w:r w:rsidR="00296620" w:rsidRPr="00E87E42">
        <w:t xml:space="preserve"> by the sprinkler systems, or by smoke.</w:t>
      </w:r>
      <w:bookmarkEnd w:id="26"/>
    </w:p>
    <w:p w14:paraId="2A9FB641" w14:textId="77777777" w:rsidR="008C3AB0" w:rsidRPr="00E87E42" w:rsidRDefault="008C3AB0">
      <w:pPr>
        <w:spacing w:after="0"/>
        <w:jc w:val="left"/>
        <w:sectPr w:rsidR="008C3AB0" w:rsidRPr="00E87E42" w:rsidSect="00B02E89">
          <w:headerReference w:type="default" r:id="rId29"/>
          <w:footerReference w:type="default" r:id="rId30"/>
          <w:type w:val="continuous"/>
          <w:pgSz w:w="11907" w:h="16840" w:code="9"/>
          <w:pgMar w:top="1079" w:right="616" w:bottom="1418" w:left="747" w:header="567" w:footer="567" w:gutter="284"/>
          <w:cols w:space="454"/>
          <w:docGrid w:linePitch="360"/>
        </w:sectPr>
      </w:pPr>
    </w:p>
    <w:p w14:paraId="4271FA9F" w14:textId="4440FB31" w:rsidR="00A35504" w:rsidRPr="00E87E42" w:rsidRDefault="00A35504" w:rsidP="00A35504">
      <w:pPr>
        <w:pStyle w:val="Caption"/>
        <w:spacing w:line="240" w:lineRule="auto"/>
        <w:rPr>
          <w:szCs w:val="16"/>
        </w:rPr>
      </w:pPr>
      <w:bookmarkStart w:id="27" w:name="_Ref518121828"/>
      <w:r w:rsidRPr="00E87E42">
        <w:rPr>
          <w:szCs w:val="16"/>
        </w:rPr>
        <w:lastRenderedPageBreak/>
        <w:t xml:space="preserve">Table </w:t>
      </w:r>
      <w:r w:rsidRPr="00E87E42">
        <w:rPr>
          <w:szCs w:val="16"/>
        </w:rPr>
        <w:fldChar w:fldCharType="begin"/>
      </w:r>
      <w:r w:rsidRPr="00E87E42">
        <w:rPr>
          <w:szCs w:val="16"/>
        </w:rPr>
        <w:instrText xml:space="preserve"> SEQ Table \* ARABIC </w:instrText>
      </w:r>
      <w:r w:rsidRPr="00E87E42">
        <w:rPr>
          <w:szCs w:val="16"/>
        </w:rPr>
        <w:fldChar w:fldCharType="separate"/>
      </w:r>
      <w:r w:rsidR="009F6872">
        <w:rPr>
          <w:noProof/>
          <w:szCs w:val="16"/>
        </w:rPr>
        <w:t>4</w:t>
      </w:r>
      <w:r w:rsidRPr="00E87E42">
        <w:rPr>
          <w:szCs w:val="16"/>
        </w:rPr>
        <w:fldChar w:fldCharType="end"/>
      </w:r>
      <w:bookmarkEnd w:id="27"/>
      <w:r w:rsidRPr="00E87E42">
        <w:rPr>
          <w:szCs w:val="16"/>
        </w:rPr>
        <w:t xml:space="preserve">: Legend to </w:t>
      </w:r>
      <w:proofErr w:type="gramStart"/>
      <w:r w:rsidRPr="00E87E42">
        <w:rPr>
          <w:szCs w:val="16"/>
        </w:rPr>
        <w:t>be referred</w:t>
      </w:r>
      <w:proofErr w:type="gramEnd"/>
      <w:r w:rsidRPr="00E87E42">
        <w:rPr>
          <w:szCs w:val="16"/>
        </w:rPr>
        <w:t xml:space="preserve"> from Table </w:t>
      </w:r>
      <w:r w:rsidR="00231A11" w:rsidRPr="00E87E42">
        <w:rPr>
          <w:szCs w:val="16"/>
        </w:rPr>
        <w:t>5</w:t>
      </w:r>
      <w:r w:rsidRPr="00E87E42">
        <w:rPr>
          <w:szCs w:val="16"/>
        </w:rPr>
        <w:t xml:space="preserve"> to </w:t>
      </w:r>
      <w:r w:rsidR="00231A11" w:rsidRPr="00E87E42">
        <w:rPr>
          <w:szCs w:val="16"/>
        </w:rPr>
        <w:t xml:space="preserve">7 and Table </w:t>
      </w:r>
      <w:r w:rsidR="005005C1" w:rsidRPr="00E87E42">
        <w:rPr>
          <w:szCs w:val="16"/>
        </w:rPr>
        <w:t xml:space="preserve">I to </w:t>
      </w:r>
      <w:r w:rsidR="00231A11" w:rsidRPr="00E87E42">
        <w:rPr>
          <w:szCs w:val="16"/>
        </w:rPr>
        <w:t>V in Appendix.</w:t>
      </w:r>
    </w:p>
    <w:tbl>
      <w:tblPr>
        <w:tblStyle w:val="TableGrid"/>
        <w:tblW w:w="0" w:type="auto"/>
        <w:tblLook w:val="04A0" w:firstRow="1" w:lastRow="0" w:firstColumn="1" w:lastColumn="0" w:noHBand="0" w:noVBand="1"/>
      </w:tblPr>
      <w:tblGrid>
        <w:gridCol w:w="1838"/>
        <w:gridCol w:w="2732"/>
      </w:tblGrid>
      <w:tr w:rsidR="00A35504" w:rsidRPr="00E87E42" w14:paraId="40A70372" w14:textId="77777777" w:rsidTr="005839EF">
        <w:trPr>
          <w:trHeight w:val="227"/>
        </w:trPr>
        <w:tc>
          <w:tcPr>
            <w:tcW w:w="0" w:type="auto"/>
            <w:gridSpan w:val="2"/>
          </w:tcPr>
          <w:p w14:paraId="29A88299" w14:textId="77777777" w:rsidR="00A35504" w:rsidRPr="00E87E42" w:rsidRDefault="00A35504" w:rsidP="005839EF">
            <w:pPr>
              <w:spacing w:after="0" w:line="240" w:lineRule="auto"/>
              <w:jc w:val="center"/>
              <w:rPr>
                <w:b/>
                <w:sz w:val="16"/>
                <w:szCs w:val="16"/>
                <w:u w:val="single"/>
              </w:rPr>
            </w:pPr>
            <w:r w:rsidRPr="00E87E42">
              <w:rPr>
                <w:b/>
                <w:sz w:val="16"/>
                <w:szCs w:val="16"/>
                <w:u w:val="single"/>
              </w:rPr>
              <w:t>Legend</w:t>
            </w:r>
          </w:p>
        </w:tc>
      </w:tr>
      <w:tr w:rsidR="00A35504" w:rsidRPr="00E87E42" w14:paraId="279D1830" w14:textId="77777777" w:rsidTr="005839EF">
        <w:trPr>
          <w:trHeight w:val="227"/>
        </w:trPr>
        <w:tc>
          <w:tcPr>
            <w:tcW w:w="0" w:type="auto"/>
          </w:tcPr>
          <w:p w14:paraId="623BFA6A" w14:textId="77777777" w:rsidR="00A35504" w:rsidRPr="00E87E42" w:rsidRDefault="00A35504" w:rsidP="005839EF">
            <w:pPr>
              <w:spacing w:after="0" w:line="240" w:lineRule="auto"/>
              <w:jc w:val="left"/>
              <w:rPr>
                <w:sz w:val="16"/>
                <w:szCs w:val="16"/>
              </w:rPr>
            </w:pPr>
            <w:r w:rsidRPr="00E87E42">
              <w:rPr>
                <w:sz w:val="16"/>
                <w:szCs w:val="16"/>
              </w:rPr>
              <w:t>U: unclassified fires</w:t>
            </w:r>
          </w:p>
        </w:tc>
        <w:tc>
          <w:tcPr>
            <w:tcW w:w="0" w:type="auto"/>
          </w:tcPr>
          <w:p w14:paraId="320291B8" w14:textId="77777777" w:rsidR="00A35504" w:rsidRPr="00E87E42" w:rsidRDefault="00A35504" w:rsidP="005839EF">
            <w:pPr>
              <w:spacing w:after="0" w:line="240" w:lineRule="auto"/>
              <w:jc w:val="left"/>
              <w:rPr>
                <w:sz w:val="16"/>
                <w:szCs w:val="16"/>
              </w:rPr>
            </w:pPr>
            <w:r w:rsidRPr="00E87E42">
              <w:rPr>
                <w:sz w:val="16"/>
                <w:szCs w:val="16"/>
              </w:rPr>
              <w:t>1: spread confined to object of origin</w:t>
            </w:r>
          </w:p>
        </w:tc>
      </w:tr>
      <w:tr w:rsidR="00A35504" w:rsidRPr="00E87E42" w14:paraId="75962FF6" w14:textId="77777777" w:rsidTr="005839EF">
        <w:trPr>
          <w:trHeight w:val="227"/>
        </w:trPr>
        <w:tc>
          <w:tcPr>
            <w:tcW w:w="0" w:type="auto"/>
          </w:tcPr>
          <w:p w14:paraId="50B5A2D5" w14:textId="77777777" w:rsidR="00A35504" w:rsidRPr="00E87E42" w:rsidRDefault="00A35504" w:rsidP="005839EF">
            <w:pPr>
              <w:spacing w:after="0" w:line="240" w:lineRule="auto"/>
              <w:jc w:val="left"/>
              <w:rPr>
                <w:sz w:val="16"/>
                <w:szCs w:val="16"/>
              </w:rPr>
            </w:pPr>
            <w:r w:rsidRPr="00E87E42">
              <w:rPr>
                <w:sz w:val="16"/>
                <w:szCs w:val="16"/>
              </w:rPr>
              <w:t>F: fires</w:t>
            </w:r>
          </w:p>
        </w:tc>
        <w:tc>
          <w:tcPr>
            <w:tcW w:w="0" w:type="auto"/>
          </w:tcPr>
          <w:p w14:paraId="6334A476" w14:textId="77777777" w:rsidR="00A35504" w:rsidRPr="00E87E42" w:rsidRDefault="00A35504" w:rsidP="005839EF">
            <w:pPr>
              <w:spacing w:after="0" w:line="240" w:lineRule="auto"/>
              <w:jc w:val="left"/>
              <w:rPr>
                <w:sz w:val="16"/>
                <w:szCs w:val="16"/>
              </w:rPr>
            </w:pPr>
            <w:r w:rsidRPr="00E87E42">
              <w:rPr>
                <w:sz w:val="16"/>
                <w:szCs w:val="16"/>
              </w:rPr>
              <w:t>2: spread confined to room of origin</w:t>
            </w:r>
          </w:p>
        </w:tc>
      </w:tr>
      <w:tr w:rsidR="00A35504" w:rsidRPr="00E87E42" w14:paraId="5D57971E" w14:textId="77777777" w:rsidTr="005839EF">
        <w:trPr>
          <w:trHeight w:val="227"/>
        </w:trPr>
        <w:tc>
          <w:tcPr>
            <w:tcW w:w="0" w:type="auto"/>
          </w:tcPr>
          <w:p w14:paraId="1DBADC31" w14:textId="77777777" w:rsidR="00A35504" w:rsidRPr="00E87E42" w:rsidRDefault="00A35504" w:rsidP="005839EF">
            <w:pPr>
              <w:spacing w:after="0" w:line="240" w:lineRule="auto"/>
              <w:jc w:val="left"/>
              <w:rPr>
                <w:sz w:val="16"/>
                <w:szCs w:val="16"/>
              </w:rPr>
            </w:pPr>
            <w:r w:rsidRPr="00E87E42">
              <w:rPr>
                <w:sz w:val="16"/>
                <w:szCs w:val="16"/>
              </w:rPr>
              <w:t>S: spread</w:t>
            </w:r>
          </w:p>
        </w:tc>
        <w:tc>
          <w:tcPr>
            <w:tcW w:w="0" w:type="auto"/>
          </w:tcPr>
          <w:p w14:paraId="249E05F7" w14:textId="77777777" w:rsidR="00A35504" w:rsidRPr="00E87E42" w:rsidRDefault="00A35504" w:rsidP="005839EF">
            <w:pPr>
              <w:spacing w:after="0" w:line="240" w:lineRule="auto"/>
              <w:jc w:val="left"/>
              <w:rPr>
                <w:sz w:val="16"/>
                <w:szCs w:val="16"/>
              </w:rPr>
            </w:pPr>
            <w:r w:rsidRPr="00E87E42">
              <w:rPr>
                <w:sz w:val="16"/>
                <w:szCs w:val="16"/>
              </w:rPr>
              <w:t xml:space="preserve">3: spread confined to floor of origin </w:t>
            </w:r>
          </w:p>
        </w:tc>
      </w:tr>
      <w:tr w:rsidR="00A35504" w:rsidRPr="00E87E42" w14:paraId="5B4DA4FC" w14:textId="77777777" w:rsidTr="005839EF">
        <w:trPr>
          <w:trHeight w:val="227"/>
        </w:trPr>
        <w:tc>
          <w:tcPr>
            <w:tcW w:w="0" w:type="auto"/>
          </w:tcPr>
          <w:p w14:paraId="044D3132" w14:textId="77777777" w:rsidR="00A35504" w:rsidRPr="00E87E42" w:rsidRDefault="00A35504" w:rsidP="005839EF">
            <w:pPr>
              <w:spacing w:after="0" w:line="240" w:lineRule="auto"/>
              <w:jc w:val="left"/>
              <w:rPr>
                <w:sz w:val="16"/>
                <w:szCs w:val="16"/>
              </w:rPr>
            </w:pPr>
            <w:r w:rsidRPr="00E87E42">
              <w:rPr>
                <w:sz w:val="16"/>
                <w:szCs w:val="16"/>
              </w:rPr>
              <w:t>D: damage</w:t>
            </w:r>
          </w:p>
        </w:tc>
        <w:tc>
          <w:tcPr>
            <w:tcW w:w="0" w:type="auto"/>
          </w:tcPr>
          <w:p w14:paraId="2064EFBB" w14:textId="77777777" w:rsidR="00A35504" w:rsidRPr="00E87E42" w:rsidRDefault="00A35504" w:rsidP="005839EF">
            <w:pPr>
              <w:spacing w:after="0" w:line="240" w:lineRule="auto"/>
              <w:jc w:val="left"/>
              <w:rPr>
                <w:sz w:val="16"/>
                <w:szCs w:val="16"/>
              </w:rPr>
            </w:pPr>
            <w:r w:rsidRPr="00E87E42">
              <w:rPr>
                <w:sz w:val="16"/>
                <w:szCs w:val="16"/>
              </w:rPr>
              <w:t>4: spread confined to building of origin</w:t>
            </w:r>
          </w:p>
        </w:tc>
      </w:tr>
      <w:tr w:rsidR="00A35504" w:rsidRPr="00E87E42" w14:paraId="14B4C429" w14:textId="77777777" w:rsidTr="005839EF">
        <w:trPr>
          <w:trHeight w:val="227"/>
        </w:trPr>
        <w:tc>
          <w:tcPr>
            <w:tcW w:w="0" w:type="auto"/>
          </w:tcPr>
          <w:p w14:paraId="4CBF3F66" w14:textId="77777777" w:rsidR="00A35504" w:rsidRPr="00E87E42" w:rsidRDefault="00A35504" w:rsidP="005839EF">
            <w:pPr>
              <w:spacing w:after="0" w:line="240" w:lineRule="auto"/>
              <w:jc w:val="left"/>
              <w:rPr>
                <w:sz w:val="16"/>
                <w:szCs w:val="16"/>
              </w:rPr>
            </w:pPr>
            <w:r w:rsidRPr="00E87E42">
              <w:rPr>
                <w:sz w:val="16"/>
                <w:szCs w:val="16"/>
              </w:rPr>
              <w:t>Av: average area damage</w:t>
            </w:r>
          </w:p>
        </w:tc>
        <w:tc>
          <w:tcPr>
            <w:tcW w:w="0" w:type="auto"/>
          </w:tcPr>
          <w:p w14:paraId="5FEFFC73" w14:textId="77777777" w:rsidR="00A35504" w:rsidRPr="00E87E42" w:rsidRDefault="00A35504" w:rsidP="005839EF">
            <w:pPr>
              <w:spacing w:after="0" w:line="240" w:lineRule="auto"/>
              <w:jc w:val="left"/>
              <w:rPr>
                <w:sz w:val="16"/>
                <w:szCs w:val="16"/>
              </w:rPr>
            </w:pPr>
            <w:r w:rsidRPr="00E87E42">
              <w:rPr>
                <w:sz w:val="16"/>
                <w:szCs w:val="16"/>
              </w:rPr>
              <w:t xml:space="preserve">5: spread beyond building of origin </w:t>
            </w:r>
          </w:p>
        </w:tc>
      </w:tr>
      <w:tr w:rsidR="00A35504" w:rsidRPr="00E87E42" w14:paraId="699E414F" w14:textId="77777777" w:rsidTr="005839EF">
        <w:trPr>
          <w:trHeight w:val="227"/>
        </w:trPr>
        <w:tc>
          <w:tcPr>
            <w:tcW w:w="0" w:type="auto"/>
          </w:tcPr>
          <w:p w14:paraId="75D62073" w14:textId="77777777" w:rsidR="00A35504" w:rsidRPr="00E87E42" w:rsidRDefault="00A35504" w:rsidP="005839EF">
            <w:pPr>
              <w:spacing w:after="0" w:line="240" w:lineRule="auto"/>
              <w:jc w:val="left"/>
              <w:rPr>
                <w:sz w:val="16"/>
                <w:szCs w:val="16"/>
              </w:rPr>
            </w:pPr>
            <w:r w:rsidRPr="00E87E42">
              <w:rPr>
                <w:sz w:val="16"/>
                <w:szCs w:val="16"/>
              </w:rPr>
              <w:t>±: standard deviation</w:t>
            </w:r>
          </w:p>
        </w:tc>
        <w:tc>
          <w:tcPr>
            <w:tcW w:w="0" w:type="auto"/>
          </w:tcPr>
          <w:p w14:paraId="32A7C786" w14:textId="77777777" w:rsidR="00A35504" w:rsidRPr="00E87E42" w:rsidRDefault="00A35504" w:rsidP="005839EF">
            <w:pPr>
              <w:spacing w:after="0" w:line="240" w:lineRule="auto"/>
              <w:jc w:val="left"/>
              <w:rPr>
                <w:sz w:val="16"/>
                <w:szCs w:val="16"/>
              </w:rPr>
            </w:pPr>
          </w:p>
        </w:tc>
      </w:tr>
    </w:tbl>
    <w:p w14:paraId="2C9AC03D" w14:textId="4CD9C3B7" w:rsidR="00A35504" w:rsidRPr="00E87E42" w:rsidRDefault="00A35504" w:rsidP="00580EB0">
      <w:pPr>
        <w:spacing w:line="240" w:lineRule="auto"/>
      </w:pPr>
    </w:p>
    <w:p w14:paraId="7322B276" w14:textId="23393610" w:rsidR="00BF5E03" w:rsidRPr="00E87E42" w:rsidRDefault="00BF5E03">
      <w:pPr>
        <w:spacing w:after="0" w:line="240" w:lineRule="auto"/>
        <w:jc w:val="left"/>
        <w:rPr>
          <w:i/>
          <w:iCs/>
          <w:sz w:val="20"/>
          <w:szCs w:val="18"/>
        </w:rPr>
      </w:pPr>
      <w:bookmarkStart w:id="28" w:name="_Ref506457356"/>
      <w:bookmarkStart w:id="29" w:name="_Ref506544657"/>
    </w:p>
    <w:p w14:paraId="3043563D" w14:textId="0E809CFB" w:rsidR="004314A6" w:rsidRPr="00E87E42" w:rsidRDefault="004314A6" w:rsidP="00332F42">
      <w:pPr>
        <w:pStyle w:val="Caption"/>
        <w:spacing w:line="240" w:lineRule="auto"/>
      </w:pPr>
      <w:bookmarkStart w:id="30" w:name="_Ref508968793"/>
      <w:r w:rsidRPr="00E87E42">
        <w:t xml:space="preserve">Table </w:t>
      </w:r>
      <w:r w:rsidR="00A446AC" w:rsidRPr="00E87E42">
        <w:rPr>
          <w:noProof/>
        </w:rPr>
        <w:fldChar w:fldCharType="begin"/>
      </w:r>
      <w:r w:rsidR="00A446AC" w:rsidRPr="00E87E42">
        <w:rPr>
          <w:noProof/>
        </w:rPr>
        <w:instrText xml:space="preserve"> SEQ Table \* ARABIC </w:instrText>
      </w:r>
      <w:r w:rsidR="00A446AC" w:rsidRPr="00E87E42">
        <w:rPr>
          <w:noProof/>
        </w:rPr>
        <w:fldChar w:fldCharType="separate"/>
      </w:r>
      <w:r w:rsidR="009F6872">
        <w:rPr>
          <w:noProof/>
        </w:rPr>
        <w:t>5</w:t>
      </w:r>
      <w:r w:rsidR="00A446AC" w:rsidRPr="00E87E42">
        <w:rPr>
          <w:noProof/>
        </w:rPr>
        <w:fldChar w:fldCharType="end"/>
      </w:r>
      <w:bookmarkEnd w:id="28"/>
      <w:bookmarkEnd w:id="29"/>
      <w:bookmarkEnd w:id="30"/>
      <w:r w:rsidRPr="00E87E42">
        <w:t xml:space="preserve">: </w:t>
      </w:r>
      <w:r w:rsidR="00673600" w:rsidRPr="00E87E42">
        <w:t>Educational</w:t>
      </w:r>
      <w:r w:rsidR="00BF5E03" w:rsidRPr="00E87E42">
        <w:t>:</w:t>
      </w:r>
      <w:r w:rsidR="00673600" w:rsidRPr="00E87E42">
        <w:t xml:space="preserve"> </w:t>
      </w:r>
      <w:r w:rsidR="00BF5E03" w:rsidRPr="00E87E42">
        <w:t>area damage and fire spread according to damage class; and fire frequency with respect to fire spread in presence and absence of automatic extinguishing systems in USA fire statistics, with weighted are damage, and frequency for fires and unclassified damage fires in the USA fire statistics.</w:t>
      </w:r>
    </w:p>
    <w:tbl>
      <w:tblPr>
        <w:tblW w:w="5000" w:type="pct"/>
        <w:tblCellMar>
          <w:top w:w="28" w:type="dxa"/>
          <w:left w:w="45" w:type="dxa"/>
          <w:bottom w:w="28" w:type="dxa"/>
          <w:right w:w="45" w:type="dxa"/>
        </w:tblCellMar>
        <w:tblLook w:val="04A0" w:firstRow="1" w:lastRow="0" w:firstColumn="1" w:lastColumn="0" w:noHBand="0" w:noVBand="1"/>
      </w:tblPr>
      <w:tblGrid>
        <w:gridCol w:w="170"/>
        <w:gridCol w:w="250"/>
        <w:gridCol w:w="250"/>
        <w:gridCol w:w="682"/>
        <w:gridCol w:w="598"/>
        <w:gridCol w:w="542"/>
        <w:gridCol w:w="548"/>
        <w:gridCol w:w="179"/>
        <w:gridCol w:w="599"/>
        <w:gridCol w:w="599"/>
        <w:gridCol w:w="542"/>
        <w:gridCol w:w="456"/>
        <w:gridCol w:w="179"/>
        <w:gridCol w:w="599"/>
        <w:gridCol w:w="599"/>
        <w:gridCol w:w="628"/>
        <w:gridCol w:w="545"/>
        <w:gridCol w:w="179"/>
        <w:gridCol w:w="685"/>
        <w:gridCol w:w="685"/>
        <w:gridCol w:w="628"/>
        <w:gridCol w:w="548"/>
        <w:gridCol w:w="1076"/>
        <w:gridCol w:w="599"/>
        <w:gridCol w:w="685"/>
        <w:gridCol w:w="599"/>
        <w:gridCol w:w="691"/>
      </w:tblGrid>
      <w:tr w:rsidR="00002D2B" w:rsidRPr="00E87E42" w14:paraId="6EAB71D8" w14:textId="77777777" w:rsidTr="00332F42">
        <w:trPr>
          <w:trHeight w:val="227"/>
        </w:trPr>
        <w:tc>
          <w:tcPr>
            <w:tcW w:w="59" w:type="pct"/>
            <w:tcBorders>
              <w:top w:val="nil"/>
              <w:left w:val="nil"/>
              <w:bottom w:val="nil"/>
              <w:right w:val="single" w:sz="4" w:space="0" w:color="auto"/>
            </w:tcBorders>
            <w:shd w:val="clear" w:color="auto" w:fill="auto"/>
            <w:noWrap/>
            <w:vAlign w:val="bottom"/>
            <w:hideMark/>
          </w:tcPr>
          <w:p w14:paraId="2D55F764" w14:textId="77777777" w:rsidR="00002D2B" w:rsidRPr="00E87E42" w:rsidRDefault="00002D2B" w:rsidP="00332F42">
            <w:pPr>
              <w:spacing w:after="0" w:line="240" w:lineRule="auto"/>
              <w:jc w:val="left"/>
              <w:rPr>
                <w:rFonts w:eastAsia="Times New Roman"/>
                <w:sz w:val="16"/>
                <w:szCs w:val="16"/>
                <w:lang w:eastAsia="en-GB"/>
              </w:rPr>
            </w:pPr>
          </w:p>
        </w:tc>
        <w:tc>
          <w:tcPr>
            <w:tcW w:w="4941" w:type="pct"/>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09044" w14:textId="31D5502E" w:rsidR="00002D2B" w:rsidRPr="00E87E42" w:rsidRDefault="00002D2B" w:rsidP="00332F42">
            <w:pPr>
              <w:spacing w:after="0" w:line="240" w:lineRule="auto"/>
              <w:jc w:val="center"/>
              <w:rPr>
                <w:rFonts w:eastAsia="Times New Roman"/>
                <w:b/>
                <w:color w:val="000000"/>
                <w:sz w:val="16"/>
                <w:szCs w:val="16"/>
                <w:u w:val="single"/>
                <w:lang w:eastAsia="en-GB"/>
              </w:rPr>
            </w:pPr>
            <w:r w:rsidRPr="00E87E42">
              <w:rPr>
                <w:rFonts w:eastAsia="Times New Roman"/>
                <w:b/>
                <w:color w:val="000000"/>
                <w:sz w:val="16"/>
                <w:szCs w:val="16"/>
                <w:u w:val="single"/>
                <w:lang w:eastAsia="en-GB"/>
              </w:rPr>
              <w:t xml:space="preserve">Sprinklers - Area damage </w:t>
            </w:r>
            <w:r w:rsidR="001B682D" w:rsidRPr="00E87E42">
              <w:rPr>
                <w:rFonts w:eastAsia="Times New Roman"/>
                <w:b/>
                <w:color w:val="000000"/>
                <w:sz w:val="16"/>
                <w:szCs w:val="16"/>
                <w:u w:val="single"/>
                <w:lang w:eastAsia="en-GB"/>
              </w:rPr>
              <w:t>m</w:t>
            </w:r>
            <w:r w:rsidR="001B682D" w:rsidRPr="00E87E42">
              <w:rPr>
                <w:rFonts w:eastAsia="Times New Roman"/>
                <w:b/>
                <w:color w:val="000000"/>
                <w:sz w:val="16"/>
                <w:szCs w:val="16"/>
                <w:u w:val="single"/>
                <w:vertAlign w:val="superscript"/>
                <w:lang w:eastAsia="en-GB"/>
              </w:rPr>
              <w:t>2</w:t>
            </w:r>
          </w:p>
        </w:tc>
      </w:tr>
      <w:tr w:rsidR="00323448" w:rsidRPr="00E87E42" w14:paraId="426FB5D6" w14:textId="77777777" w:rsidTr="00332F42">
        <w:trPr>
          <w:trHeight w:val="227"/>
        </w:trPr>
        <w:tc>
          <w:tcPr>
            <w:tcW w:w="59" w:type="pct"/>
            <w:tcBorders>
              <w:top w:val="nil"/>
              <w:left w:val="nil"/>
              <w:bottom w:val="nil"/>
              <w:right w:val="nil"/>
            </w:tcBorders>
            <w:shd w:val="clear" w:color="auto" w:fill="auto"/>
            <w:noWrap/>
            <w:vAlign w:val="bottom"/>
            <w:hideMark/>
          </w:tcPr>
          <w:p w14:paraId="423B4FF3" w14:textId="77777777" w:rsidR="00002D2B" w:rsidRPr="00E87E42" w:rsidRDefault="00002D2B" w:rsidP="00332F42">
            <w:pPr>
              <w:spacing w:after="0" w:line="240" w:lineRule="auto"/>
              <w:jc w:val="center"/>
              <w:rPr>
                <w:rFonts w:eastAsia="Times New Roman"/>
                <w:color w:val="000000"/>
                <w:sz w:val="16"/>
                <w:szCs w:val="16"/>
                <w:lang w:eastAsia="en-GB"/>
              </w:rPr>
            </w:pPr>
          </w:p>
        </w:tc>
        <w:tc>
          <w:tcPr>
            <w:tcW w:w="87"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7876E714"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w:t>
            </w:r>
          </w:p>
        </w:tc>
        <w:tc>
          <w:tcPr>
            <w:tcW w:w="914"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048BE740" w14:textId="77777777" w:rsidR="00002D2B" w:rsidRPr="00E87E42" w:rsidRDefault="00002D2B" w:rsidP="00332F4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Minor</w:t>
            </w:r>
          </w:p>
        </w:tc>
        <w:tc>
          <w:tcPr>
            <w:tcW w:w="828"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063334D5" w14:textId="77777777" w:rsidR="00002D2B" w:rsidRPr="00E87E42" w:rsidRDefault="00002D2B" w:rsidP="00332F4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Significantly</w:t>
            </w:r>
          </w:p>
        </w:tc>
        <w:tc>
          <w:tcPr>
            <w:tcW w:w="889"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757E73CB" w14:textId="77777777" w:rsidR="00002D2B" w:rsidRPr="00E87E42" w:rsidRDefault="00002D2B" w:rsidP="00332F4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Heavy</w:t>
            </w:r>
          </w:p>
        </w:tc>
        <w:tc>
          <w:tcPr>
            <w:tcW w:w="950"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0F2D173A" w14:textId="77777777" w:rsidR="00002D2B" w:rsidRPr="00E87E42" w:rsidRDefault="00002D2B" w:rsidP="00332F4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Extreme</w:t>
            </w:r>
          </w:p>
        </w:tc>
        <w:tc>
          <w:tcPr>
            <w:tcW w:w="375"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65AD73A8" w14:textId="77777777" w:rsidR="003D2709" w:rsidRPr="00E87E42" w:rsidRDefault="00002D2B" w:rsidP="00332F4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 xml:space="preserve">Weighted area </w:t>
            </w:r>
          </w:p>
          <w:p w14:paraId="13ED3ED4" w14:textId="1D1FBD4A" w:rsidR="00002D2B" w:rsidRPr="00E87E42" w:rsidRDefault="00002D2B" w:rsidP="00332F4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damage</w:t>
            </w:r>
          </w:p>
          <w:p w14:paraId="4FE0D5E0" w14:textId="0F8FFB7F"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448"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7F79C8FD"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0"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209136" w14:textId="02F9D2DD" w:rsidR="00002D2B" w:rsidRPr="00E87E42" w:rsidRDefault="00991A65"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r w:rsidR="00002D2B" w:rsidRPr="00E87E42">
              <w:rPr>
                <w:rFonts w:eastAsia="Times New Roman"/>
                <w:color w:val="000000"/>
                <w:sz w:val="16"/>
                <w:szCs w:val="16"/>
                <w:lang w:eastAsia="en-GB"/>
              </w:rPr>
              <w:t>U</w:t>
            </w:r>
          </w:p>
        </w:tc>
      </w:tr>
      <w:tr w:rsidR="003F668C" w:rsidRPr="00E87E42" w14:paraId="34CE9F5E" w14:textId="77777777" w:rsidTr="001D7A14">
        <w:trPr>
          <w:trHeight w:val="227"/>
        </w:trPr>
        <w:tc>
          <w:tcPr>
            <w:tcW w:w="59" w:type="pct"/>
            <w:tcBorders>
              <w:top w:val="nil"/>
              <w:left w:val="nil"/>
              <w:bottom w:val="nil"/>
              <w:right w:val="nil"/>
            </w:tcBorders>
            <w:shd w:val="clear" w:color="auto" w:fill="auto"/>
            <w:noWrap/>
            <w:vAlign w:val="bottom"/>
            <w:hideMark/>
          </w:tcPr>
          <w:p w14:paraId="529F97E6" w14:textId="77777777" w:rsidR="00002D2B" w:rsidRPr="00E87E42" w:rsidRDefault="00002D2B" w:rsidP="00332F42">
            <w:pPr>
              <w:spacing w:after="0" w:line="240" w:lineRule="auto"/>
              <w:jc w:val="center"/>
              <w:rPr>
                <w:rFonts w:eastAsia="Times New Roman"/>
                <w:color w:val="000000"/>
                <w:sz w:val="16"/>
                <w:szCs w:val="16"/>
                <w:lang w:eastAsia="en-GB"/>
              </w:rPr>
            </w:pPr>
          </w:p>
        </w:tc>
        <w:tc>
          <w:tcPr>
            <w:tcW w:w="87" w:type="pct"/>
            <w:vMerge/>
            <w:tcBorders>
              <w:top w:val="nil"/>
              <w:left w:val="single" w:sz="4" w:space="0" w:color="auto"/>
              <w:bottom w:val="nil"/>
              <w:right w:val="single" w:sz="4" w:space="0" w:color="auto"/>
            </w:tcBorders>
            <w:vAlign w:val="center"/>
            <w:hideMark/>
          </w:tcPr>
          <w:p w14:paraId="4F93457E" w14:textId="77777777" w:rsidR="00002D2B" w:rsidRPr="00E87E42" w:rsidRDefault="00002D2B" w:rsidP="00332F42">
            <w:pPr>
              <w:spacing w:after="0" w:line="240" w:lineRule="auto"/>
              <w:jc w:val="left"/>
              <w:rPr>
                <w:rFonts w:eastAsia="Times New Roman"/>
                <w:color w:val="000000"/>
                <w:sz w:val="16"/>
                <w:szCs w:val="16"/>
                <w:lang w:eastAsia="en-GB"/>
              </w:rPr>
            </w:pPr>
          </w:p>
        </w:tc>
        <w:tc>
          <w:tcPr>
            <w:tcW w:w="87" w:type="pct"/>
            <w:vMerge w:val="restart"/>
            <w:tcBorders>
              <w:top w:val="nil"/>
              <w:left w:val="single" w:sz="4" w:space="0" w:color="auto"/>
              <w:bottom w:val="nil"/>
              <w:right w:val="nil"/>
            </w:tcBorders>
            <w:shd w:val="clear" w:color="auto" w:fill="auto"/>
            <w:noWrap/>
            <w:vAlign w:val="center"/>
            <w:hideMark/>
          </w:tcPr>
          <w:p w14:paraId="5FDDE50A"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4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A88A8C"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89" w:type="pct"/>
            <w:vMerge w:val="restart"/>
            <w:tcBorders>
              <w:top w:val="nil"/>
              <w:left w:val="single" w:sz="4" w:space="0" w:color="auto"/>
              <w:bottom w:val="nil"/>
              <w:right w:val="single" w:sz="4" w:space="0" w:color="auto"/>
            </w:tcBorders>
            <w:shd w:val="clear" w:color="auto" w:fill="auto"/>
            <w:noWrap/>
            <w:vAlign w:val="center"/>
            <w:hideMark/>
          </w:tcPr>
          <w:p w14:paraId="46271861"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02D7F581" w14:textId="29AF539B"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91" w:type="pct"/>
            <w:vMerge w:val="restart"/>
            <w:tcBorders>
              <w:top w:val="nil"/>
              <w:left w:val="single" w:sz="4" w:space="0" w:color="auto"/>
              <w:bottom w:val="nil"/>
              <w:right w:val="single" w:sz="4" w:space="0" w:color="auto"/>
            </w:tcBorders>
            <w:shd w:val="clear" w:color="auto" w:fill="auto"/>
            <w:noWrap/>
            <w:vAlign w:val="center"/>
            <w:hideMark/>
          </w:tcPr>
          <w:p w14:paraId="639C0457" w14:textId="7986E873"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31F204C5" w14:textId="3E3A74B4"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62" w:type="pct"/>
            <w:vMerge w:val="restart"/>
            <w:tcBorders>
              <w:top w:val="nil"/>
              <w:left w:val="single" w:sz="4" w:space="0" w:color="auto"/>
              <w:bottom w:val="nil"/>
              <w:right w:val="single" w:sz="4" w:space="0" w:color="auto"/>
            </w:tcBorders>
            <w:shd w:val="clear" w:color="auto" w:fill="auto"/>
            <w:noWrap/>
            <w:vAlign w:val="center"/>
            <w:hideMark/>
          </w:tcPr>
          <w:p w14:paraId="2CADC82C"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1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1E4F8DB"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89" w:type="pct"/>
            <w:vMerge w:val="restart"/>
            <w:tcBorders>
              <w:top w:val="nil"/>
              <w:left w:val="single" w:sz="4" w:space="0" w:color="auto"/>
              <w:bottom w:val="nil"/>
              <w:right w:val="single" w:sz="4" w:space="0" w:color="auto"/>
            </w:tcBorders>
            <w:shd w:val="clear" w:color="auto" w:fill="auto"/>
            <w:noWrap/>
            <w:vAlign w:val="center"/>
            <w:hideMark/>
          </w:tcPr>
          <w:p w14:paraId="55BFBDF1"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Av.</w:t>
            </w:r>
          </w:p>
          <w:p w14:paraId="682BBE3A" w14:textId="349BBD73"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59" w:type="pct"/>
            <w:vMerge w:val="restart"/>
            <w:tcBorders>
              <w:top w:val="nil"/>
              <w:left w:val="single" w:sz="4" w:space="0" w:color="auto"/>
              <w:bottom w:val="nil"/>
              <w:right w:val="single" w:sz="4" w:space="0" w:color="auto"/>
            </w:tcBorders>
            <w:shd w:val="clear" w:color="auto" w:fill="auto"/>
            <w:noWrap/>
            <w:vAlign w:val="center"/>
            <w:hideMark/>
          </w:tcPr>
          <w:p w14:paraId="048CA52D"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712D9AA6" w14:textId="7AD6266A"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62" w:type="pct"/>
            <w:vMerge w:val="restart"/>
            <w:tcBorders>
              <w:top w:val="nil"/>
              <w:left w:val="single" w:sz="4" w:space="0" w:color="auto"/>
              <w:bottom w:val="nil"/>
              <w:right w:val="single" w:sz="4" w:space="0" w:color="auto"/>
            </w:tcBorders>
            <w:shd w:val="clear" w:color="auto" w:fill="auto"/>
            <w:noWrap/>
            <w:vAlign w:val="center"/>
            <w:hideMark/>
          </w:tcPr>
          <w:p w14:paraId="7D92BB80"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1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1301E9B"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219" w:type="pct"/>
            <w:vMerge w:val="restart"/>
            <w:tcBorders>
              <w:top w:val="nil"/>
              <w:left w:val="single" w:sz="4" w:space="0" w:color="auto"/>
              <w:bottom w:val="nil"/>
              <w:right w:val="single" w:sz="4" w:space="0" w:color="auto"/>
            </w:tcBorders>
            <w:shd w:val="clear" w:color="auto" w:fill="auto"/>
            <w:noWrap/>
            <w:vAlign w:val="center"/>
            <w:hideMark/>
          </w:tcPr>
          <w:p w14:paraId="66355492"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Av.</w:t>
            </w:r>
          </w:p>
          <w:p w14:paraId="2E12D296" w14:textId="155E858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90" w:type="pct"/>
            <w:vMerge w:val="restart"/>
            <w:tcBorders>
              <w:top w:val="nil"/>
              <w:left w:val="single" w:sz="4" w:space="0" w:color="auto"/>
              <w:bottom w:val="nil"/>
              <w:right w:val="single" w:sz="4" w:space="0" w:color="auto"/>
            </w:tcBorders>
            <w:shd w:val="clear" w:color="auto" w:fill="auto"/>
            <w:noWrap/>
            <w:vAlign w:val="center"/>
            <w:hideMark/>
          </w:tcPr>
          <w:p w14:paraId="553C3FCD"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232599C4" w14:textId="6174B478"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62" w:type="pct"/>
            <w:vMerge w:val="restart"/>
            <w:tcBorders>
              <w:top w:val="nil"/>
              <w:left w:val="single" w:sz="4" w:space="0" w:color="auto"/>
              <w:bottom w:val="nil"/>
              <w:right w:val="single" w:sz="4" w:space="0" w:color="auto"/>
            </w:tcBorders>
            <w:shd w:val="clear" w:color="auto" w:fill="auto"/>
            <w:noWrap/>
            <w:vAlign w:val="center"/>
            <w:hideMark/>
          </w:tcPr>
          <w:p w14:paraId="7488A7F0"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78" w:type="pct"/>
            <w:gridSpan w:val="2"/>
            <w:tcBorders>
              <w:top w:val="single" w:sz="4" w:space="0" w:color="auto"/>
              <w:left w:val="nil"/>
              <w:bottom w:val="nil"/>
              <w:right w:val="single" w:sz="4" w:space="0" w:color="000000"/>
            </w:tcBorders>
            <w:shd w:val="clear" w:color="auto" w:fill="auto"/>
            <w:noWrap/>
            <w:vAlign w:val="bottom"/>
            <w:hideMark/>
          </w:tcPr>
          <w:p w14:paraId="399F9F6E"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219" w:type="pct"/>
            <w:vMerge w:val="restart"/>
            <w:tcBorders>
              <w:top w:val="nil"/>
              <w:left w:val="single" w:sz="4" w:space="0" w:color="auto"/>
              <w:bottom w:val="nil"/>
              <w:right w:val="single" w:sz="4" w:space="0" w:color="auto"/>
            </w:tcBorders>
            <w:shd w:val="clear" w:color="auto" w:fill="auto"/>
            <w:noWrap/>
            <w:vAlign w:val="center"/>
            <w:hideMark/>
          </w:tcPr>
          <w:p w14:paraId="2FFEA280"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Av.</w:t>
            </w:r>
          </w:p>
          <w:p w14:paraId="3BB41D25" w14:textId="45D5A3ED"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91" w:type="pct"/>
            <w:vMerge w:val="restart"/>
            <w:tcBorders>
              <w:top w:val="nil"/>
              <w:left w:val="single" w:sz="4" w:space="0" w:color="auto"/>
              <w:bottom w:val="nil"/>
              <w:right w:val="single" w:sz="4" w:space="0" w:color="auto"/>
            </w:tcBorders>
            <w:shd w:val="clear" w:color="auto" w:fill="auto"/>
            <w:noWrap/>
            <w:vAlign w:val="center"/>
            <w:hideMark/>
          </w:tcPr>
          <w:p w14:paraId="70F73DE3"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07CEFAA6" w14:textId="4C018279"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375" w:type="pct"/>
            <w:vMerge/>
            <w:tcBorders>
              <w:top w:val="nil"/>
              <w:left w:val="single" w:sz="4" w:space="0" w:color="auto"/>
              <w:bottom w:val="nil"/>
              <w:right w:val="single" w:sz="4" w:space="0" w:color="auto"/>
            </w:tcBorders>
            <w:vAlign w:val="center"/>
            <w:hideMark/>
          </w:tcPr>
          <w:p w14:paraId="2A725C7E" w14:textId="77777777" w:rsidR="00002D2B" w:rsidRPr="00E87E42" w:rsidRDefault="00002D2B" w:rsidP="00332F42">
            <w:pPr>
              <w:spacing w:after="0" w:line="240" w:lineRule="auto"/>
              <w:jc w:val="left"/>
              <w:rPr>
                <w:rFonts w:eastAsia="Times New Roman"/>
                <w:color w:val="000000"/>
                <w:sz w:val="16"/>
                <w:szCs w:val="16"/>
                <w:lang w:eastAsia="en-GB"/>
              </w:rPr>
            </w:pPr>
          </w:p>
        </w:tc>
        <w:tc>
          <w:tcPr>
            <w:tcW w:w="448" w:type="pct"/>
            <w:gridSpan w:val="2"/>
            <w:vMerge/>
            <w:tcBorders>
              <w:top w:val="single" w:sz="4" w:space="0" w:color="auto"/>
              <w:left w:val="single" w:sz="4" w:space="0" w:color="auto"/>
              <w:bottom w:val="single" w:sz="4" w:space="0" w:color="000000"/>
              <w:right w:val="nil"/>
            </w:tcBorders>
            <w:vAlign w:val="center"/>
            <w:hideMark/>
          </w:tcPr>
          <w:p w14:paraId="00530B5E" w14:textId="77777777" w:rsidR="00002D2B" w:rsidRPr="00E87E42" w:rsidRDefault="00002D2B" w:rsidP="00332F42">
            <w:pPr>
              <w:spacing w:after="0" w:line="240" w:lineRule="auto"/>
              <w:jc w:val="left"/>
              <w:rPr>
                <w:rFonts w:eastAsia="Times New Roman"/>
                <w:color w:val="000000"/>
                <w:sz w:val="16"/>
                <w:szCs w:val="16"/>
                <w:lang w:eastAsia="en-GB"/>
              </w:rPr>
            </w:pPr>
          </w:p>
        </w:tc>
        <w:tc>
          <w:tcPr>
            <w:tcW w:w="450" w:type="pct"/>
            <w:gridSpan w:val="2"/>
            <w:vMerge/>
            <w:tcBorders>
              <w:top w:val="single" w:sz="4" w:space="0" w:color="auto"/>
              <w:left w:val="single" w:sz="4" w:space="0" w:color="auto"/>
              <w:bottom w:val="single" w:sz="4" w:space="0" w:color="000000"/>
              <w:right w:val="single" w:sz="4" w:space="0" w:color="000000"/>
            </w:tcBorders>
            <w:vAlign w:val="center"/>
            <w:hideMark/>
          </w:tcPr>
          <w:p w14:paraId="0CE7D477" w14:textId="77777777" w:rsidR="00002D2B" w:rsidRPr="00E87E42" w:rsidRDefault="00002D2B" w:rsidP="00332F42">
            <w:pPr>
              <w:spacing w:after="0" w:line="240" w:lineRule="auto"/>
              <w:jc w:val="left"/>
              <w:rPr>
                <w:rFonts w:eastAsia="Times New Roman"/>
                <w:color w:val="000000"/>
                <w:sz w:val="16"/>
                <w:szCs w:val="16"/>
                <w:lang w:eastAsia="en-GB"/>
              </w:rPr>
            </w:pPr>
          </w:p>
        </w:tc>
      </w:tr>
      <w:tr w:rsidR="00B508F9" w:rsidRPr="00E87E42" w14:paraId="22774144" w14:textId="77777777" w:rsidTr="001D7A14">
        <w:trPr>
          <w:trHeight w:val="227"/>
        </w:trPr>
        <w:tc>
          <w:tcPr>
            <w:tcW w:w="59" w:type="pct"/>
            <w:tcBorders>
              <w:top w:val="nil"/>
              <w:left w:val="nil"/>
              <w:bottom w:val="single" w:sz="4" w:space="0" w:color="auto"/>
              <w:right w:val="nil"/>
            </w:tcBorders>
            <w:shd w:val="clear" w:color="auto" w:fill="auto"/>
            <w:noWrap/>
            <w:vAlign w:val="bottom"/>
            <w:hideMark/>
          </w:tcPr>
          <w:p w14:paraId="75C49B9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w:t>
            </w:r>
          </w:p>
        </w:tc>
        <w:tc>
          <w:tcPr>
            <w:tcW w:w="87" w:type="pct"/>
            <w:vMerge/>
            <w:tcBorders>
              <w:top w:val="nil"/>
              <w:left w:val="single" w:sz="4" w:space="0" w:color="auto"/>
              <w:bottom w:val="nil"/>
              <w:right w:val="single" w:sz="4" w:space="0" w:color="auto"/>
            </w:tcBorders>
            <w:vAlign w:val="center"/>
            <w:hideMark/>
          </w:tcPr>
          <w:p w14:paraId="129231F6"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87" w:type="pct"/>
            <w:vMerge/>
            <w:tcBorders>
              <w:top w:val="nil"/>
              <w:left w:val="single" w:sz="4" w:space="0" w:color="auto"/>
              <w:bottom w:val="nil"/>
              <w:right w:val="nil"/>
            </w:tcBorders>
            <w:vAlign w:val="center"/>
            <w:hideMark/>
          </w:tcPr>
          <w:p w14:paraId="0D935F7F"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238" w:type="pct"/>
            <w:tcBorders>
              <w:top w:val="nil"/>
              <w:left w:val="single" w:sz="4" w:space="0" w:color="auto"/>
              <w:bottom w:val="nil"/>
              <w:right w:val="single" w:sz="4" w:space="0" w:color="auto"/>
            </w:tcBorders>
            <w:shd w:val="clear" w:color="auto" w:fill="auto"/>
            <w:noWrap/>
            <w:vAlign w:val="bottom"/>
            <w:hideMark/>
          </w:tcPr>
          <w:p w14:paraId="69C3364B" w14:textId="2F2EEDDB"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09" w:type="pct"/>
            <w:tcBorders>
              <w:top w:val="nil"/>
              <w:left w:val="nil"/>
              <w:bottom w:val="nil"/>
              <w:right w:val="single" w:sz="4" w:space="0" w:color="auto"/>
            </w:tcBorders>
            <w:shd w:val="clear" w:color="auto" w:fill="auto"/>
            <w:noWrap/>
            <w:vAlign w:val="bottom"/>
            <w:hideMark/>
          </w:tcPr>
          <w:p w14:paraId="0106CD11" w14:textId="6441B399"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89" w:type="pct"/>
            <w:vMerge/>
            <w:tcBorders>
              <w:top w:val="nil"/>
              <w:left w:val="single" w:sz="4" w:space="0" w:color="auto"/>
              <w:bottom w:val="nil"/>
              <w:right w:val="single" w:sz="4" w:space="0" w:color="auto"/>
            </w:tcBorders>
            <w:vAlign w:val="center"/>
            <w:hideMark/>
          </w:tcPr>
          <w:p w14:paraId="7CF5B547"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191" w:type="pct"/>
            <w:vMerge/>
            <w:tcBorders>
              <w:top w:val="nil"/>
              <w:left w:val="single" w:sz="4" w:space="0" w:color="auto"/>
              <w:bottom w:val="nil"/>
              <w:right w:val="single" w:sz="4" w:space="0" w:color="auto"/>
            </w:tcBorders>
            <w:vAlign w:val="center"/>
            <w:hideMark/>
          </w:tcPr>
          <w:p w14:paraId="79385628"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62" w:type="pct"/>
            <w:vMerge/>
            <w:tcBorders>
              <w:top w:val="nil"/>
              <w:left w:val="single" w:sz="4" w:space="0" w:color="auto"/>
              <w:bottom w:val="nil"/>
              <w:right w:val="single" w:sz="4" w:space="0" w:color="auto"/>
            </w:tcBorders>
            <w:vAlign w:val="center"/>
            <w:hideMark/>
          </w:tcPr>
          <w:p w14:paraId="014E4188"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209" w:type="pct"/>
            <w:tcBorders>
              <w:top w:val="nil"/>
              <w:left w:val="nil"/>
              <w:bottom w:val="nil"/>
              <w:right w:val="single" w:sz="4" w:space="0" w:color="auto"/>
            </w:tcBorders>
            <w:shd w:val="clear" w:color="auto" w:fill="auto"/>
            <w:noWrap/>
            <w:vAlign w:val="bottom"/>
            <w:hideMark/>
          </w:tcPr>
          <w:p w14:paraId="3234C1C5" w14:textId="5F71D3CB"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09" w:type="pct"/>
            <w:tcBorders>
              <w:top w:val="nil"/>
              <w:left w:val="nil"/>
              <w:bottom w:val="nil"/>
              <w:right w:val="single" w:sz="4" w:space="0" w:color="auto"/>
            </w:tcBorders>
            <w:shd w:val="clear" w:color="auto" w:fill="auto"/>
            <w:noWrap/>
            <w:vAlign w:val="bottom"/>
            <w:hideMark/>
          </w:tcPr>
          <w:p w14:paraId="2CFA615C" w14:textId="2CD6FFD8"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89" w:type="pct"/>
            <w:vMerge/>
            <w:tcBorders>
              <w:top w:val="nil"/>
              <w:left w:val="single" w:sz="4" w:space="0" w:color="auto"/>
              <w:bottom w:val="nil"/>
              <w:right w:val="single" w:sz="4" w:space="0" w:color="auto"/>
            </w:tcBorders>
            <w:vAlign w:val="center"/>
            <w:hideMark/>
          </w:tcPr>
          <w:p w14:paraId="1C75CDA5"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159" w:type="pct"/>
            <w:vMerge/>
            <w:tcBorders>
              <w:top w:val="nil"/>
              <w:left w:val="single" w:sz="4" w:space="0" w:color="auto"/>
              <w:bottom w:val="nil"/>
              <w:right w:val="single" w:sz="4" w:space="0" w:color="auto"/>
            </w:tcBorders>
            <w:vAlign w:val="center"/>
            <w:hideMark/>
          </w:tcPr>
          <w:p w14:paraId="6E5EEC26"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62" w:type="pct"/>
            <w:vMerge/>
            <w:tcBorders>
              <w:top w:val="nil"/>
              <w:left w:val="single" w:sz="4" w:space="0" w:color="auto"/>
              <w:bottom w:val="nil"/>
              <w:right w:val="single" w:sz="4" w:space="0" w:color="auto"/>
            </w:tcBorders>
            <w:vAlign w:val="center"/>
            <w:hideMark/>
          </w:tcPr>
          <w:p w14:paraId="4A964EA6"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209" w:type="pct"/>
            <w:tcBorders>
              <w:top w:val="nil"/>
              <w:left w:val="nil"/>
              <w:bottom w:val="nil"/>
              <w:right w:val="single" w:sz="4" w:space="0" w:color="auto"/>
            </w:tcBorders>
            <w:shd w:val="clear" w:color="auto" w:fill="auto"/>
            <w:noWrap/>
            <w:vAlign w:val="bottom"/>
            <w:hideMark/>
          </w:tcPr>
          <w:p w14:paraId="03541AA3" w14:textId="4F21C6ED"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09" w:type="pct"/>
            <w:tcBorders>
              <w:top w:val="nil"/>
              <w:left w:val="nil"/>
              <w:bottom w:val="nil"/>
              <w:right w:val="single" w:sz="4" w:space="0" w:color="auto"/>
            </w:tcBorders>
            <w:shd w:val="clear" w:color="auto" w:fill="auto"/>
            <w:noWrap/>
            <w:vAlign w:val="bottom"/>
            <w:hideMark/>
          </w:tcPr>
          <w:p w14:paraId="4C8E9B02" w14:textId="5DD95A8C"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219" w:type="pct"/>
            <w:vMerge/>
            <w:tcBorders>
              <w:top w:val="nil"/>
              <w:left w:val="single" w:sz="4" w:space="0" w:color="auto"/>
              <w:bottom w:val="nil"/>
              <w:right w:val="single" w:sz="4" w:space="0" w:color="auto"/>
            </w:tcBorders>
            <w:vAlign w:val="center"/>
            <w:hideMark/>
          </w:tcPr>
          <w:p w14:paraId="15DD739F"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190" w:type="pct"/>
            <w:vMerge/>
            <w:tcBorders>
              <w:top w:val="nil"/>
              <w:left w:val="single" w:sz="4" w:space="0" w:color="auto"/>
              <w:bottom w:val="nil"/>
              <w:right w:val="single" w:sz="4" w:space="0" w:color="auto"/>
            </w:tcBorders>
            <w:vAlign w:val="center"/>
            <w:hideMark/>
          </w:tcPr>
          <w:p w14:paraId="6BA967B6"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62" w:type="pct"/>
            <w:vMerge/>
            <w:tcBorders>
              <w:top w:val="nil"/>
              <w:left w:val="single" w:sz="4" w:space="0" w:color="auto"/>
              <w:bottom w:val="nil"/>
              <w:right w:val="single" w:sz="4" w:space="0" w:color="auto"/>
            </w:tcBorders>
            <w:vAlign w:val="center"/>
            <w:hideMark/>
          </w:tcPr>
          <w:p w14:paraId="5CFC9FDC"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239" w:type="pct"/>
            <w:tcBorders>
              <w:top w:val="single" w:sz="4" w:space="0" w:color="auto"/>
              <w:left w:val="nil"/>
              <w:bottom w:val="nil"/>
              <w:right w:val="single" w:sz="4" w:space="0" w:color="auto"/>
            </w:tcBorders>
            <w:shd w:val="clear" w:color="auto" w:fill="auto"/>
            <w:noWrap/>
            <w:vAlign w:val="bottom"/>
            <w:hideMark/>
          </w:tcPr>
          <w:p w14:paraId="628DA6BE" w14:textId="76738EA3"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39" w:type="pct"/>
            <w:tcBorders>
              <w:top w:val="single" w:sz="4" w:space="0" w:color="auto"/>
              <w:left w:val="nil"/>
              <w:bottom w:val="nil"/>
              <w:right w:val="single" w:sz="4" w:space="0" w:color="auto"/>
            </w:tcBorders>
            <w:shd w:val="clear" w:color="auto" w:fill="auto"/>
            <w:noWrap/>
            <w:vAlign w:val="bottom"/>
            <w:hideMark/>
          </w:tcPr>
          <w:p w14:paraId="6F42AF79" w14:textId="4A3404FE"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219" w:type="pct"/>
            <w:vMerge/>
            <w:tcBorders>
              <w:top w:val="nil"/>
              <w:left w:val="single" w:sz="4" w:space="0" w:color="auto"/>
              <w:bottom w:val="nil"/>
              <w:right w:val="single" w:sz="4" w:space="0" w:color="auto"/>
            </w:tcBorders>
            <w:vAlign w:val="center"/>
            <w:hideMark/>
          </w:tcPr>
          <w:p w14:paraId="6C5296BC"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191" w:type="pct"/>
            <w:vMerge/>
            <w:tcBorders>
              <w:top w:val="nil"/>
              <w:left w:val="single" w:sz="4" w:space="0" w:color="auto"/>
              <w:bottom w:val="nil"/>
              <w:right w:val="single" w:sz="4" w:space="0" w:color="auto"/>
            </w:tcBorders>
            <w:vAlign w:val="center"/>
            <w:hideMark/>
          </w:tcPr>
          <w:p w14:paraId="376DAC26"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375" w:type="pct"/>
            <w:vMerge/>
            <w:tcBorders>
              <w:top w:val="nil"/>
              <w:left w:val="single" w:sz="4" w:space="0" w:color="auto"/>
              <w:bottom w:val="nil"/>
              <w:right w:val="single" w:sz="4" w:space="0" w:color="auto"/>
            </w:tcBorders>
            <w:vAlign w:val="center"/>
            <w:hideMark/>
          </w:tcPr>
          <w:p w14:paraId="0571FF68"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209" w:type="pct"/>
            <w:tcBorders>
              <w:top w:val="nil"/>
              <w:left w:val="nil"/>
              <w:bottom w:val="nil"/>
              <w:right w:val="nil"/>
            </w:tcBorders>
            <w:shd w:val="clear" w:color="auto" w:fill="auto"/>
            <w:noWrap/>
            <w:vAlign w:val="bottom"/>
            <w:hideMark/>
          </w:tcPr>
          <w:p w14:paraId="015FE4D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39" w:type="pct"/>
            <w:tcBorders>
              <w:top w:val="nil"/>
              <w:left w:val="single" w:sz="4" w:space="0" w:color="auto"/>
              <w:bottom w:val="nil"/>
              <w:right w:val="single" w:sz="4" w:space="0" w:color="auto"/>
            </w:tcBorders>
            <w:shd w:val="clear" w:color="auto" w:fill="auto"/>
            <w:noWrap/>
            <w:vAlign w:val="bottom"/>
            <w:hideMark/>
          </w:tcPr>
          <w:p w14:paraId="56DADE7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c>
          <w:tcPr>
            <w:tcW w:w="209" w:type="pct"/>
            <w:tcBorders>
              <w:top w:val="nil"/>
              <w:left w:val="nil"/>
              <w:bottom w:val="nil"/>
              <w:right w:val="nil"/>
            </w:tcBorders>
            <w:shd w:val="clear" w:color="auto" w:fill="auto"/>
            <w:noWrap/>
            <w:vAlign w:val="bottom"/>
            <w:hideMark/>
          </w:tcPr>
          <w:p w14:paraId="2594D386"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1" w:type="pct"/>
            <w:tcBorders>
              <w:top w:val="nil"/>
              <w:left w:val="single" w:sz="4" w:space="0" w:color="auto"/>
              <w:bottom w:val="nil"/>
              <w:right w:val="single" w:sz="4" w:space="0" w:color="auto"/>
            </w:tcBorders>
            <w:shd w:val="clear" w:color="auto" w:fill="auto"/>
            <w:noWrap/>
            <w:vAlign w:val="bottom"/>
            <w:hideMark/>
          </w:tcPr>
          <w:p w14:paraId="5983704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r>
      <w:tr w:rsidR="003F668C" w:rsidRPr="00E87E42" w14:paraId="7C50F7B5" w14:textId="77777777" w:rsidTr="001D7A14">
        <w:trPr>
          <w:trHeight w:val="227"/>
        </w:trPr>
        <w:tc>
          <w:tcPr>
            <w:tcW w:w="59" w:type="pct"/>
            <w:tcBorders>
              <w:top w:val="nil"/>
              <w:left w:val="single" w:sz="4" w:space="0" w:color="auto"/>
              <w:bottom w:val="single" w:sz="4" w:space="0" w:color="auto"/>
              <w:right w:val="nil"/>
            </w:tcBorders>
            <w:shd w:val="clear" w:color="auto" w:fill="auto"/>
            <w:noWrap/>
            <w:vAlign w:val="bottom"/>
            <w:hideMark/>
          </w:tcPr>
          <w:p w14:paraId="540F8FA4"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87" w:type="pct"/>
            <w:tcBorders>
              <w:top w:val="single" w:sz="4" w:space="0" w:color="auto"/>
              <w:left w:val="single" w:sz="4" w:space="0" w:color="auto"/>
              <w:bottom w:val="single" w:sz="4" w:space="0" w:color="808080"/>
              <w:right w:val="single" w:sz="4" w:space="0" w:color="auto"/>
            </w:tcBorders>
            <w:shd w:val="clear" w:color="auto" w:fill="auto"/>
            <w:noWrap/>
            <w:vAlign w:val="bottom"/>
            <w:hideMark/>
          </w:tcPr>
          <w:p w14:paraId="74065A6C"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w:t>
            </w:r>
          </w:p>
        </w:tc>
        <w:tc>
          <w:tcPr>
            <w:tcW w:w="87" w:type="pct"/>
            <w:tcBorders>
              <w:top w:val="single" w:sz="4" w:space="0" w:color="auto"/>
              <w:left w:val="nil"/>
              <w:bottom w:val="single" w:sz="4" w:space="0" w:color="808080"/>
              <w:right w:val="single" w:sz="4" w:space="0" w:color="808080"/>
            </w:tcBorders>
            <w:shd w:val="clear" w:color="auto" w:fill="auto"/>
            <w:noWrap/>
            <w:vAlign w:val="bottom"/>
            <w:hideMark/>
          </w:tcPr>
          <w:p w14:paraId="32C7C4E4"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w:t>
            </w:r>
          </w:p>
        </w:tc>
        <w:tc>
          <w:tcPr>
            <w:tcW w:w="238" w:type="pct"/>
            <w:tcBorders>
              <w:top w:val="single" w:sz="4" w:space="0" w:color="auto"/>
              <w:left w:val="nil"/>
              <w:bottom w:val="single" w:sz="4" w:space="0" w:color="808080"/>
              <w:right w:val="single" w:sz="4" w:space="0" w:color="808080"/>
            </w:tcBorders>
            <w:shd w:val="clear" w:color="auto" w:fill="auto"/>
            <w:noWrap/>
            <w:vAlign w:val="bottom"/>
            <w:hideMark/>
          </w:tcPr>
          <w:p w14:paraId="34D928C9"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09FE6537"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31.15%</w:t>
            </w:r>
          </w:p>
        </w:tc>
        <w:tc>
          <w:tcPr>
            <w:tcW w:w="189" w:type="pct"/>
            <w:tcBorders>
              <w:top w:val="single" w:sz="4" w:space="0" w:color="auto"/>
              <w:left w:val="nil"/>
              <w:bottom w:val="single" w:sz="4" w:space="0" w:color="808080"/>
              <w:right w:val="single" w:sz="4" w:space="0" w:color="808080"/>
            </w:tcBorders>
            <w:shd w:val="clear" w:color="auto" w:fill="auto"/>
            <w:noWrap/>
            <w:vAlign w:val="bottom"/>
            <w:hideMark/>
          </w:tcPr>
          <w:p w14:paraId="7F7D9950"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31.10</w:t>
            </w:r>
          </w:p>
        </w:tc>
        <w:tc>
          <w:tcPr>
            <w:tcW w:w="191" w:type="pct"/>
            <w:tcBorders>
              <w:top w:val="single" w:sz="4" w:space="0" w:color="auto"/>
              <w:left w:val="nil"/>
              <w:bottom w:val="single" w:sz="4" w:space="0" w:color="808080"/>
              <w:right w:val="single" w:sz="4" w:space="0" w:color="auto"/>
            </w:tcBorders>
            <w:shd w:val="clear" w:color="auto" w:fill="auto"/>
            <w:noWrap/>
            <w:vAlign w:val="bottom"/>
            <w:hideMark/>
          </w:tcPr>
          <w:p w14:paraId="106F83F5"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31.10</w:t>
            </w:r>
          </w:p>
        </w:tc>
        <w:tc>
          <w:tcPr>
            <w:tcW w:w="62" w:type="pct"/>
            <w:tcBorders>
              <w:top w:val="single" w:sz="4" w:space="0" w:color="auto"/>
              <w:left w:val="nil"/>
              <w:bottom w:val="single" w:sz="4" w:space="0" w:color="808080"/>
              <w:right w:val="single" w:sz="4" w:space="0" w:color="808080"/>
            </w:tcBorders>
            <w:shd w:val="clear" w:color="auto" w:fill="auto"/>
            <w:noWrap/>
            <w:vAlign w:val="bottom"/>
            <w:hideMark/>
          </w:tcPr>
          <w:p w14:paraId="21260514"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4A9D9726"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1ABC6034"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89" w:type="pct"/>
            <w:tcBorders>
              <w:top w:val="single" w:sz="4" w:space="0" w:color="auto"/>
              <w:left w:val="nil"/>
              <w:bottom w:val="single" w:sz="4" w:space="0" w:color="808080"/>
              <w:right w:val="single" w:sz="4" w:space="0" w:color="808080"/>
            </w:tcBorders>
            <w:shd w:val="clear" w:color="auto" w:fill="auto"/>
            <w:noWrap/>
            <w:vAlign w:val="bottom"/>
            <w:hideMark/>
          </w:tcPr>
          <w:p w14:paraId="47C364BC"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59" w:type="pct"/>
            <w:tcBorders>
              <w:top w:val="single" w:sz="4" w:space="0" w:color="auto"/>
              <w:left w:val="nil"/>
              <w:bottom w:val="single" w:sz="4" w:space="0" w:color="808080"/>
              <w:right w:val="single" w:sz="4" w:space="0" w:color="auto"/>
            </w:tcBorders>
            <w:shd w:val="clear" w:color="auto" w:fill="auto"/>
            <w:noWrap/>
            <w:vAlign w:val="bottom"/>
            <w:hideMark/>
          </w:tcPr>
          <w:p w14:paraId="2DFC62D4"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2" w:type="pct"/>
            <w:tcBorders>
              <w:top w:val="single" w:sz="4" w:space="0" w:color="auto"/>
              <w:left w:val="nil"/>
              <w:bottom w:val="single" w:sz="4" w:space="0" w:color="808080"/>
              <w:right w:val="single" w:sz="4" w:space="0" w:color="808080"/>
            </w:tcBorders>
            <w:shd w:val="clear" w:color="auto" w:fill="auto"/>
            <w:noWrap/>
            <w:vAlign w:val="bottom"/>
            <w:hideMark/>
          </w:tcPr>
          <w:p w14:paraId="46683363"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268824AC"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4FF3ADCE"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9" w:type="pct"/>
            <w:tcBorders>
              <w:top w:val="single" w:sz="4" w:space="0" w:color="auto"/>
              <w:left w:val="nil"/>
              <w:bottom w:val="single" w:sz="4" w:space="0" w:color="808080"/>
              <w:right w:val="single" w:sz="4" w:space="0" w:color="808080"/>
            </w:tcBorders>
            <w:shd w:val="clear" w:color="auto" w:fill="auto"/>
            <w:noWrap/>
            <w:vAlign w:val="bottom"/>
            <w:hideMark/>
          </w:tcPr>
          <w:p w14:paraId="525F9113"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0" w:type="pct"/>
            <w:tcBorders>
              <w:top w:val="single" w:sz="4" w:space="0" w:color="auto"/>
              <w:left w:val="nil"/>
              <w:bottom w:val="single" w:sz="4" w:space="0" w:color="808080"/>
              <w:right w:val="single" w:sz="4" w:space="0" w:color="auto"/>
            </w:tcBorders>
            <w:shd w:val="clear" w:color="auto" w:fill="auto"/>
            <w:noWrap/>
            <w:vAlign w:val="bottom"/>
            <w:hideMark/>
          </w:tcPr>
          <w:p w14:paraId="374D6C8E"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2" w:type="pct"/>
            <w:tcBorders>
              <w:top w:val="single" w:sz="4" w:space="0" w:color="auto"/>
              <w:left w:val="nil"/>
              <w:bottom w:val="single" w:sz="4" w:space="0" w:color="808080"/>
              <w:right w:val="single" w:sz="4" w:space="0" w:color="808080"/>
            </w:tcBorders>
            <w:shd w:val="clear" w:color="auto" w:fill="auto"/>
            <w:noWrap/>
            <w:vAlign w:val="bottom"/>
            <w:hideMark/>
          </w:tcPr>
          <w:p w14:paraId="304A5795"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39" w:type="pct"/>
            <w:tcBorders>
              <w:top w:val="single" w:sz="4" w:space="0" w:color="auto"/>
              <w:left w:val="nil"/>
              <w:bottom w:val="single" w:sz="4" w:space="0" w:color="808080"/>
              <w:right w:val="single" w:sz="4" w:space="0" w:color="808080"/>
            </w:tcBorders>
            <w:shd w:val="clear" w:color="auto" w:fill="auto"/>
            <w:noWrap/>
            <w:vAlign w:val="bottom"/>
            <w:hideMark/>
          </w:tcPr>
          <w:p w14:paraId="2F0EBA5C"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39" w:type="pct"/>
            <w:tcBorders>
              <w:top w:val="single" w:sz="4" w:space="0" w:color="auto"/>
              <w:left w:val="nil"/>
              <w:bottom w:val="single" w:sz="4" w:space="0" w:color="808080"/>
              <w:right w:val="single" w:sz="4" w:space="0" w:color="808080"/>
            </w:tcBorders>
            <w:shd w:val="clear" w:color="auto" w:fill="auto"/>
            <w:noWrap/>
            <w:vAlign w:val="bottom"/>
            <w:hideMark/>
          </w:tcPr>
          <w:p w14:paraId="63101CFB"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9" w:type="pct"/>
            <w:tcBorders>
              <w:top w:val="single" w:sz="4" w:space="0" w:color="auto"/>
              <w:left w:val="nil"/>
              <w:bottom w:val="single" w:sz="4" w:space="0" w:color="808080"/>
              <w:right w:val="single" w:sz="4" w:space="0" w:color="808080"/>
            </w:tcBorders>
            <w:shd w:val="clear" w:color="auto" w:fill="auto"/>
            <w:noWrap/>
            <w:vAlign w:val="bottom"/>
            <w:hideMark/>
          </w:tcPr>
          <w:p w14:paraId="7C34C6E9"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1" w:type="pct"/>
            <w:tcBorders>
              <w:top w:val="single" w:sz="4" w:space="0" w:color="auto"/>
              <w:left w:val="nil"/>
              <w:bottom w:val="single" w:sz="4" w:space="0" w:color="808080"/>
              <w:right w:val="nil"/>
            </w:tcBorders>
            <w:shd w:val="clear" w:color="auto" w:fill="auto"/>
            <w:noWrap/>
            <w:vAlign w:val="bottom"/>
            <w:hideMark/>
          </w:tcPr>
          <w:p w14:paraId="0FBFD0E8"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5" w:type="pct"/>
            <w:tcBorders>
              <w:top w:val="single" w:sz="4" w:space="0" w:color="auto"/>
              <w:left w:val="single" w:sz="4" w:space="0" w:color="auto"/>
              <w:bottom w:val="single" w:sz="4" w:space="0" w:color="808080"/>
              <w:right w:val="single" w:sz="4" w:space="0" w:color="auto"/>
            </w:tcBorders>
            <w:shd w:val="clear" w:color="auto" w:fill="auto"/>
            <w:noWrap/>
            <w:vAlign w:val="bottom"/>
            <w:hideMark/>
          </w:tcPr>
          <w:p w14:paraId="4CBE1C49"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31.10</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34500BB7"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29.23%</w:t>
            </w:r>
          </w:p>
        </w:tc>
        <w:tc>
          <w:tcPr>
            <w:tcW w:w="239" w:type="pct"/>
            <w:tcBorders>
              <w:top w:val="single" w:sz="4" w:space="0" w:color="auto"/>
              <w:left w:val="nil"/>
              <w:bottom w:val="single" w:sz="4" w:space="0" w:color="808080"/>
              <w:right w:val="single" w:sz="4" w:space="0" w:color="808080"/>
            </w:tcBorders>
            <w:shd w:val="clear" w:color="auto" w:fill="auto"/>
            <w:noWrap/>
            <w:vAlign w:val="bottom"/>
            <w:hideMark/>
          </w:tcPr>
          <w:p w14:paraId="7DDE343B"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29.23%</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5086C9F2"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32.00%</w:t>
            </w:r>
          </w:p>
        </w:tc>
        <w:tc>
          <w:tcPr>
            <w:tcW w:w="241" w:type="pct"/>
            <w:tcBorders>
              <w:top w:val="single" w:sz="4" w:space="0" w:color="auto"/>
              <w:left w:val="nil"/>
              <w:bottom w:val="single" w:sz="4" w:space="0" w:color="808080"/>
              <w:right w:val="single" w:sz="4" w:space="0" w:color="auto"/>
            </w:tcBorders>
            <w:shd w:val="clear" w:color="auto" w:fill="auto"/>
            <w:noWrap/>
            <w:vAlign w:val="bottom"/>
            <w:hideMark/>
          </w:tcPr>
          <w:p w14:paraId="5DFE3555"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32.00%</w:t>
            </w:r>
          </w:p>
        </w:tc>
      </w:tr>
      <w:tr w:rsidR="003F668C" w:rsidRPr="00E87E42" w14:paraId="00D9F2DD" w14:textId="77777777" w:rsidTr="001D7A14">
        <w:trPr>
          <w:trHeight w:val="227"/>
        </w:trPr>
        <w:tc>
          <w:tcPr>
            <w:tcW w:w="59" w:type="pct"/>
            <w:tcBorders>
              <w:top w:val="nil"/>
              <w:left w:val="single" w:sz="4" w:space="0" w:color="auto"/>
              <w:bottom w:val="single" w:sz="4" w:space="0" w:color="auto"/>
              <w:right w:val="nil"/>
            </w:tcBorders>
            <w:shd w:val="clear" w:color="auto" w:fill="auto"/>
            <w:noWrap/>
            <w:vAlign w:val="bottom"/>
            <w:hideMark/>
          </w:tcPr>
          <w:p w14:paraId="493BE84B"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87" w:type="pct"/>
            <w:tcBorders>
              <w:top w:val="nil"/>
              <w:left w:val="single" w:sz="4" w:space="0" w:color="auto"/>
              <w:bottom w:val="single" w:sz="4" w:space="0" w:color="808080"/>
              <w:right w:val="single" w:sz="4" w:space="0" w:color="auto"/>
            </w:tcBorders>
            <w:shd w:val="clear" w:color="auto" w:fill="auto"/>
            <w:noWrap/>
            <w:vAlign w:val="bottom"/>
            <w:hideMark/>
          </w:tcPr>
          <w:p w14:paraId="1A4B63BC"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73</w:t>
            </w:r>
          </w:p>
        </w:tc>
        <w:tc>
          <w:tcPr>
            <w:tcW w:w="87" w:type="pct"/>
            <w:tcBorders>
              <w:top w:val="nil"/>
              <w:left w:val="nil"/>
              <w:bottom w:val="single" w:sz="4" w:space="0" w:color="808080"/>
              <w:right w:val="single" w:sz="4" w:space="0" w:color="808080"/>
            </w:tcBorders>
            <w:shd w:val="clear" w:color="auto" w:fill="auto"/>
            <w:noWrap/>
            <w:vAlign w:val="bottom"/>
            <w:hideMark/>
          </w:tcPr>
          <w:p w14:paraId="593DD8A5"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35</w:t>
            </w:r>
          </w:p>
        </w:tc>
        <w:tc>
          <w:tcPr>
            <w:tcW w:w="238" w:type="pct"/>
            <w:tcBorders>
              <w:top w:val="nil"/>
              <w:left w:val="nil"/>
              <w:bottom w:val="single" w:sz="4" w:space="0" w:color="808080"/>
              <w:right w:val="single" w:sz="4" w:space="0" w:color="808080"/>
            </w:tcBorders>
            <w:shd w:val="clear" w:color="auto" w:fill="auto"/>
            <w:noWrap/>
            <w:vAlign w:val="bottom"/>
            <w:hideMark/>
          </w:tcPr>
          <w:p w14:paraId="34AD185F"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97.22%</w:t>
            </w:r>
          </w:p>
        </w:tc>
        <w:tc>
          <w:tcPr>
            <w:tcW w:w="209" w:type="pct"/>
            <w:tcBorders>
              <w:top w:val="nil"/>
              <w:left w:val="nil"/>
              <w:bottom w:val="single" w:sz="4" w:space="0" w:color="808080"/>
              <w:right w:val="single" w:sz="4" w:space="0" w:color="808080"/>
            </w:tcBorders>
            <w:shd w:val="clear" w:color="auto" w:fill="auto"/>
            <w:noWrap/>
            <w:vAlign w:val="bottom"/>
            <w:hideMark/>
          </w:tcPr>
          <w:p w14:paraId="6F8CB399"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57.38%</w:t>
            </w:r>
          </w:p>
        </w:tc>
        <w:tc>
          <w:tcPr>
            <w:tcW w:w="189" w:type="pct"/>
            <w:tcBorders>
              <w:top w:val="nil"/>
              <w:left w:val="nil"/>
              <w:bottom w:val="single" w:sz="4" w:space="0" w:color="808080"/>
              <w:right w:val="single" w:sz="4" w:space="0" w:color="808080"/>
            </w:tcBorders>
            <w:shd w:val="clear" w:color="auto" w:fill="auto"/>
            <w:noWrap/>
            <w:vAlign w:val="bottom"/>
            <w:hideMark/>
          </w:tcPr>
          <w:p w14:paraId="03D2F28A"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133.90</w:t>
            </w:r>
          </w:p>
        </w:tc>
        <w:tc>
          <w:tcPr>
            <w:tcW w:w="191" w:type="pct"/>
            <w:tcBorders>
              <w:top w:val="nil"/>
              <w:left w:val="nil"/>
              <w:bottom w:val="single" w:sz="4" w:space="0" w:color="808080"/>
              <w:right w:val="single" w:sz="4" w:space="0" w:color="auto"/>
            </w:tcBorders>
            <w:shd w:val="clear" w:color="auto" w:fill="auto"/>
            <w:noWrap/>
            <w:vAlign w:val="bottom"/>
            <w:hideMark/>
          </w:tcPr>
          <w:p w14:paraId="4EAF58A5"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133.90</w:t>
            </w:r>
          </w:p>
        </w:tc>
        <w:tc>
          <w:tcPr>
            <w:tcW w:w="62" w:type="pct"/>
            <w:tcBorders>
              <w:top w:val="nil"/>
              <w:left w:val="nil"/>
              <w:bottom w:val="single" w:sz="4" w:space="0" w:color="808080"/>
              <w:right w:val="single" w:sz="4" w:space="0" w:color="808080"/>
            </w:tcBorders>
            <w:shd w:val="clear" w:color="auto" w:fill="auto"/>
            <w:noWrap/>
            <w:vAlign w:val="bottom"/>
            <w:hideMark/>
          </w:tcPr>
          <w:p w14:paraId="37E89AD8"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09" w:type="pct"/>
            <w:tcBorders>
              <w:top w:val="nil"/>
              <w:left w:val="nil"/>
              <w:bottom w:val="single" w:sz="4" w:space="0" w:color="808080"/>
              <w:right w:val="single" w:sz="4" w:space="0" w:color="808080"/>
            </w:tcBorders>
            <w:shd w:val="clear" w:color="auto" w:fill="auto"/>
            <w:noWrap/>
            <w:vAlign w:val="bottom"/>
            <w:hideMark/>
          </w:tcPr>
          <w:p w14:paraId="71890F55"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2.78%</w:t>
            </w:r>
          </w:p>
        </w:tc>
        <w:tc>
          <w:tcPr>
            <w:tcW w:w="209" w:type="pct"/>
            <w:tcBorders>
              <w:top w:val="nil"/>
              <w:left w:val="nil"/>
              <w:bottom w:val="single" w:sz="4" w:space="0" w:color="808080"/>
              <w:right w:val="single" w:sz="4" w:space="0" w:color="808080"/>
            </w:tcBorders>
            <w:shd w:val="clear" w:color="auto" w:fill="auto"/>
            <w:noWrap/>
            <w:vAlign w:val="bottom"/>
            <w:hideMark/>
          </w:tcPr>
          <w:p w14:paraId="321E18EE"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50.00%</w:t>
            </w:r>
          </w:p>
        </w:tc>
        <w:tc>
          <w:tcPr>
            <w:tcW w:w="189" w:type="pct"/>
            <w:tcBorders>
              <w:top w:val="nil"/>
              <w:left w:val="nil"/>
              <w:bottom w:val="single" w:sz="4" w:space="0" w:color="808080"/>
              <w:right w:val="single" w:sz="4" w:space="0" w:color="808080"/>
            </w:tcBorders>
            <w:shd w:val="clear" w:color="auto" w:fill="auto"/>
            <w:noWrap/>
            <w:vAlign w:val="bottom"/>
            <w:hideMark/>
          </w:tcPr>
          <w:p w14:paraId="47AF2F6A"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6.92</w:t>
            </w:r>
          </w:p>
        </w:tc>
        <w:tc>
          <w:tcPr>
            <w:tcW w:w="159" w:type="pct"/>
            <w:tcBorders>
              <w:top w:val="nil"/>
              <w:left w:val="nil"/>
              <w:bottom w:val="single" w:sz="4" w:space="0" w:color="808080"/>
              <w:right w:val="single" w:sz="4" w:space="0" w:color="auto"/>
            </w:tcBorders>
            <w:shd w:val="clear" w:color="auto" w:fill="auto"/>
            <w:noWrap/>
            <w:vAlign w:val="bottom"/>
            <w:hideMark/>
          </w:tcPr>
          <w:p w14:paraId="26BABDE4"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2.24</w:t>
            </w:r>
          </w:p>
        </w:tc>
        <w:tc>
          <w:tcPr>
            <w:tcW w:w="62" w:type="pct"/>
            <w:tcBorders>
              <w:top w:val="nil"/>
              <w:left w:val="nil"/>
              <w:bottom w:val="single" w:sz="4" w:space="0" w:color="808080"/>
              <w:right w:val="single" w:sz="4" w:space="0" w:color="808080"/>
            </w:tcBorders>
            <w:shd w:val="clear" w:color="auto" w:fill="auto"/>
            <w:noWrap/>
            <w:vAlign w:val="bottom"/>
            <w:hideMark/>
          </w:tcPr>
          <w:p w14:paraId="65139923"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09" w:type="pct"/>
            <w:tcBorders>
              <w:top w:val="nil"/>
              <w:left w:val="nil"/>
              <w:bottom w:val="single" w:sz="4" w:space="0" w:color="808080"/>
              <w:right w:val="single" w:sz="4" w:space="0" w:color="808080"/>
            </w:tcBorders>
            <w:shd w:val="clear" w:color="auto" w:fill="auto"/>
            <w:noWrap/>
            <w:vAlign w:val="bottom"/>
            <w:hideMark/>
          </w:tcPr>
          <w:p w14:paraId="3BE6AE3B"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09" w:type="pct"/>
            <w:tcBorders>
              <w:top w:val="nil"/>
              <w:left w:val="nil"/>
              <w:bottom w:val="single" w:sz="4" w:space="0" w:color="808080"/>
              <w:right w:val="single" w:sz="4" w:space="0" w:color="808080"/>
            </w:tcBorders>
            <w:shd w:val="clear" w:color="auto" w:fill="auto"/>
            <w:noWrap/>
            <w:vAlign w:val="bottom"/>
            <w:hideMark/>
          </w:tcPr>
          <w:p w14:paraId="1BB6D119"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9" w:type="pct"/>
            <w:tcBorders>
              <w:top w:val="nil"/>
              <w:left w:val="nil"/>
              <w:bottom w:val="single" w:sz="4" w:space="0" w:color="808080"/>
              <w:right w:val="single" w:sz="4" w:space="0" w:color="808080"/>
            </w:tcBorders>
            <w:shd w:val="clear" w:color="auto" w:fill="auto"/>
            <w:noWrap/>
            <w:vAlign w:val="bottom"/>
            <w:hideMark/>
          </w:tcPr>
          <w:p w14:paraId="4F806062"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0" w:type="pct"/>
            <w:tcBorders>
              <w:top w:val="nil"/>
              <w:left w:val="nil"/>
              <w:bottom w:val="single" w:sz="4" w:space="0" w:color="808080"/>
              <w:right w:val="single" w:sz="4" w:space="0" w:color="auto"/>
            </w:tcBorders>
            <w:shd w:val="clear" w:color="auto" w:fill="auto"/>
            <w:noWrap/>
            <w:vAlign w:val="bottom"/>
            <w:hideMark/>
          </w:tcPr>
          <w:p w14:paraId="0AFE6134"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2" w:type="pct"/>
            <w:tcBorders>
              <w:top w:val="nil"/>
              <w:left w:val="nil"/>
              <w:bottom w:val="single" w:sz="4" w:space="0" w:color="808080"/>
              <w:right w:val="single" w:sz="4" w:space="0" w:color="808080"/>
            </w:tcBorders>
            <w:shd w:val="clear" w:color="auto" w:fill="auto"/>
            <w:noWrap/>
            <w:vAlign w:val="bottom"/>
            <w:hideMark/>
          </w:tcPr>
          <w:p w14:paraId="5BE3B3F2"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39" w:type="pct"/>
            <w:tcBorders>
              <w:top w:val="nil"/>
              <w:left w:val="nil"/>
              <w:bottom w:val="single" w:sz="4" w:space="0" w:color="808080"/>
              <w:right w:val="single" w:sz="4" w:space="0" w:color="808080"/>
            </w:tcBorders>
            <w:shd w:val="clear" w:color="auto" w:fill="auto"/>
            <w:noWrap/>
            <w:vAlign w:val="bottom"/>
            <w:hideMark/>
          </w:tcPr>
          <w:p w14:paraId="497B43A0"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39" w:type="pct"/>
            <w:tcBorders>
              <w:top w:val="nil"/>
              <w:left w:val="nil"/>
              <w:bottom w:val="single" w:sz="4" w:space="0" w:color="808080"/>
              <w:right w:val="single" w:sz="4" w:space="0" w:color="808080"/>
            </w:tcBorders>
            <w:shd w:val="clear" w:color="auto" w:fill="auto"/>
            <w:noWrap/>
            <w:vAlign w:val="bottom"/>
            <w:hideMark/>
          </w:tcPr>
          <w:p w14:paraId="18DE1C81"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9" w:type="pct"/>
            <w:tcBorders>
              <w:top w:val="nil"/>
              <w:left w:val="nil"/>
              <w:bottom w:val="single" w:sz="4" w:space="0" w:color="808080"/>
              <w:right w:val="single" w:sz="4" w:space="0" w:color="808080"/>
            </w:tcBorders>
            <w:shd w:val="clear" w:color="auto" w:fill="auto"/>
            <w:noWrap/>
            <w:vAlign w:val="bottom"/>
            <w:hideMark/>
          </w:tcPr>
          <w:p w14:paraId="1BF8505D"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1" w:type="pct"/>
            <w:tcBorders>
              <w:top w:val="nil"/>
              <w:left w:val="nil"/>
              <w:bottom w:val="single" w:sz="4" w:space="0" w:color="808080"/>
              <w:right w:val="nil"/>
            </w:tcBorders>
            <w:shd w:val="clear" w:color="auto" w:fill="auto"/>
            <w:noWrap/>
            <w:vAlign w:val="bottom"/>
            <w:hideMark/>
          </w:tcPr>
          <w:p w14:paraId="202FCEE9"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5" w:type="pct"/>
            <w:tcBorders>
              <w:top w:val="nil"/>
              <w:left w:val="single" w:sz="4" w:space="0" w:color="auto"/>
              <w:bottom w:val="single" w:sz="4" w:space="0" w:color="808080"/>
              <w:right w:val="single" w:sz="4" w:space="0" w:color="auto"/>
            </w:tcBorders>
            <w:shd w:val="clear" w:color="auto" w:fill="auto"/>
            <w:noWrap/>
            <w:vAlign w:val="bottom"/>
            <w:hideMark/>
          </w:tcPr>
          <w:p w14:paraId="6521934A"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130.38</w:t>
            </w:r>
          </w:p>
        </w:tc>
        <w:tc>
          <w:tcPr>
            <w:tcW w:w="209" w:type="pct"/>
            <w:tcBorders>
              <w:top w:val="nil"/>
              <w:left w:val="nil"/>
              <w:bottom w:val="single" w:sz="4" w:space="0" w:color="808080"/>
              <w:right w:val="single" w:sz="4" w:space="0" w:color="808080"/>
            </w:tcBorders>
            <w:shd w:val="clear" w:color="auto" w:fill="auto"/>
            <w:noWrap/>
            <w:vAlign w:val="bottom"/>
            <w:hideMark/>
          </w:tcPr>
          <w:p w14:paraId="541C6522"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55.38%</w:t>
            </w:r>
          </w:p>
        </w:tc>
        <w:tc>
          <w:tcPr>
            <w:tcW w:w="239" w:type="pct"/>
            <w:tcBorders>
              <w:top w:val="nil"/>
              <w:left w:val="nil"/>
              <w:bottom w:val="single" w:sz="4" w:space="0" w:color="808080"/>
              <w:right w:val="single" w:sz="4" w:space="0" w:color="808080"/>
            </w:tcBorders>
            <w:shd w:val="clear" w:color="auto" w:fill="auto"/>
            <w:noWrap/>
            <w:vAlign w:val="bottom"/>
            <w:hideMark/>
          </w:tcPr>
          <w:p w14:paraId="6060AEBA"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84.62%</w:t>
            </w:r>
          </w:p>
        </w:tc>
        <w:tc>
          <w:tcPr>
            <w:tcW w:w="209" w:type="pct"/>
            <w:tcBorders>
              <w:top w:val="nil"/>
              <w:left w:val="nil"/>
              <w:bottom w:val="single" w:sz="4" w:space="0" w:color="808080"/>
              <w:right w:val="single" w:sz="4" w:space="0" w:color="808080"/>
            </w:tcBorders>
            <w:shd w:val="clear" w:color="auto" w:fill="auto"/>
            <w:noWrap/>
            <w:vAlign w:val="bottom"/>
            <w:hideMark/>
          </w:tcPr>
          <w:p w14:paraId="781C0C8E"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58.40%</w:t>
            </w:r>
          </w:p>
        </w:tc>
        <w:tc>
          <w:tcPr>
            <w:tcW w:w="241" w:type="pct"/>
            <w:tcBorders>
              <w:top w:val="nil"/>
              <w:left w:val="nil"/>
              <w:bottom w:val="single" w:sz="4" w:space="0" w:color="808080"/>
              <w:right w:val="single" w:sz="4" w:space="0" w:color="auto"/>
            </w:tcBorders>
            <w:shd w:val="clear" w:color="auto" w:fill="auto"/>
            <w:noWrap/>
            <w:vAlign w:val="bottom"/>
            <w:hideMark/>
          </w:tcPr>
          <w:p w14:paraId="671A8E82"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90.40%</w:t>
            </w:r>
          </w:p>
        </w:tc>
      </w:tr>
      <w:tr w:rsidR="003F668C" w:rsidRPr="00E87E42" w14:paraId="1303B316" w14:textId="77777777" w:rsidTr="001D7A14">
        <w:trPr>
          <w:trHeight w:val="227"/>
        </w:trPr>
        <w:tc>
          <w:tcPr>
            <w:tcW w:w="59" w:type="pct"/>
            <w:tcBorders>
              <w:top w:val="nil"/>
              <w:left w:val="single" w:sz="4" w:space="0" w:color="auto"/>
              <w:bottom w:val="single" w:sz="4" w:space="0" w:color="auto"/>
              <w:right w:val="nil"/>
            </w:tcBorders>
            <w:shd w:val="clear" w:color="auto" w:fill="auto"/>
            <w:noWrap/>
            <w:vAlign w:val="bottom"/>
            <w:hideMark/>
          </w:tcPr>
          <w:p w14:paraId="4446AF66"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87" w:type="pct"/>
            <w:tcBorders>
              <w:top w:val="nil"/>
              <w:left w:val="single" w:sz="4" w:space="0" w:color="auto"/>
              <w:bottom w:val="single" w:sz="4" w:space="0" w:color="808080"/>
              <w:right w:val="single" w:sz="4" w:space="0" w:color="auto"/>
            </w:tcBorders>
            <w:shd w:val="clear" w:color="auto" w:fill="auto"/>
            <w:noWrap/>
            <w:vAlign w:val="bottom"/>
            <w:hideMark/>
          </w:tcPr>
          <w:p w14:paraId="66C3AED9"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87" w:type="pct"/>
            <w:tcBorders>
              <w:top w:val="nil"/>
              <w:left w:val="nil"/>
              <w:bottom w:val="single" w:sz="4" w:space="0" w:color="808080"/>
              <w:right w:val="single" w:sz="4" w:space="0" w:color="808080"/>
            </w:tcBorders>
            <w:shd w:val="clear" w:color="auto" w:fill="auto"/>
            <w:noWrap/>
            <w:vAlign w:val="bottom"/>
            <w:hideMark/>
          </w:tcPr>
          <w:p w14:paraId="7C17BB7B"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238" w:type="pct"/>
            <w:tcBorders>
              <w:top w:val="nil"/>
              <w:left w:val="nil"/>
              <w:bottom w:val="single" w:sz="4" w:space="0" w:color="808080"/>
              <w:right w:val="single" w:sz="4" w:space="0" w:color="808080"/>
            </w:tcBorders>
            <w:shd w:val="clear" w:color="auto" w:fill="auto"/>
            <w:noWrap/>
            <w:vAlign w:val="bottom"/>
            <w:hideMark/>
          </w:tcPr>
          <w:p w14:paraId="3580592B"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09" w:type="pct"/>
            <w:tcBorders>
              <w:top w:val="nil"/>
              <w:left w:val="nil"/>
              <w:bottom w:val="single" w:sz="4" w:space="0" w:color="808080"/>
              <w:right w:val="single" w:sz="4" w:space="0" w:color="808080"/>
            </w:tcBorders>
            <w:shd w:val="clear" w:color="auto" w:fill="auto"/>
            <w:noWrap/>
            <w:vAlign w:val="bottom"/>
            <w:hideMark/>
          </w:tcPr>
          <w:p w14:paraId="17E98749"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6.56%</w:t>
            </w:r>
          </w:p>
        </w:tc>
        <w:tc>
          <w:tcPr>
            <w:tcW w:w="189" w:type="pct"/>
            <w:tcBorders>
              <w:top w:val="nil"/>
              <w:left w:val="nil"/>
              <w:bottom w:val="single" w:sz="4" w:space="0" w:color="808080"/>
              <w:right w:val="single" w:sz="4" w:space="0" w:color="808080"/>
            </w:tcBorders>
            <w:shd w:val="clear" w:color="auto" w:fill="auto"/>
            <w:noWrap/>
            <w:vAlign w:val="bottom"/>
            <w:hideMark/>
          </w:tcPr>
          <w:p w14:paraId="74F7CBFD"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13.53</w:t>
            </w:r>
          </w:p>
        </w:tc>
        <w:tc>
          <w:tcPr>
            <w:tcW w:w="191" w:type="pct"/>
            <w:tcBorders>
              <w:top w:val="nil"/>
              <w:left w:val="nil"/>
              <w:bottom w:val="single" w:sz="4" w:space="0" w:color="808080"/>
              <w:right w:val="single" w:sz="4" w:space="0" w:color="auto"/>
            </w:tcBorders>
            <w:shd w:val="clear" w:color="auto" w:fill="auto"/>
            <w:noWrap/>
            <w:vAlign w:val="bottom"/>
            <w:hideMark/>
          </w:tcPr>
          <w:p w14:paraId="6159AC42"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13.53</w:t>
            </w:r>
          </w:p>
        </w:tc>
        <w:tc>
          <w:tcPr>
            <w:tcW w:w="62" w:type="pct"/>
            <w:tcBorders>
              <w:top w:val="nil"/>
              <w:left w:val="nil"/>
              <w:bottom w:val="single" w:sz="4" w:space="0" w:color="808080"/>
              <w:right w:val="single" w:sz="4" w:space="0" w:color="808080"/>
            </w:tcBorders>
            <w:shd w:val="clear" w:color="auto" w:fill="auto"/>
            <w:noWrap/>
            <w:vAlign w:val="bottom"/>
            <w:hideMark/>
          </w:tcPr>
          <w:p w14:paraId="483249DA"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09" w:type="pct"/>
            <w:tcBorders>
              <w:top w:val="nil"/>
              <w:left w:val="nil"/>
              <w:bottom w:val="single" w:sz="4" w:space="0" w:color="808080"/>
              <w:right w:val="single" w:sz="4" w:space="0" w:color="808080"/>
            </w:tcBorders>
            <w:shd w:val="clear" w:color="auto" w:fill="auto"/>
            <w:noWrap/>
            <w:vAlign w:val="bottom"/>
            <w:hideMark/>
          </w:tcPr>
          <w:p w14:paraId="4C47FCEC"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09" w:type="pct"/>
            <w:tcBorders>
              <w:top w:val="nil"/>
              <w:left w:val="nil"/>
              <w:bottom w:val="single" w:sz="4" w:space="0" w:color="808080"/>
              <w:right w:val="single" w:sz="4" w:space="0" w:color="808080"/>
            </w:tcBorders>
            <w:shd w:val="clear" w:color="auto" w:fill="auto"/>
            <w:noWrap/>
            <w:vAlign w:val="bottom"/>
            <w:hideMark/>
          </w:tcPr>
          <w:p w14:paraId="00BEC394"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89" w:type="pct"/>
            <w:tcBorders>
              <w:top w:val="nil"/>
              <w:left w:val="nil"/>
              <w:bottom w:val="single" w:sz="4" w:space="0" w:color="808080"/>
              <w:right w:val="single" w:sz="4" w:space="0" w:color="808080"/>
            </w:tcBorders>
            <w:shd w:val="clear" w:color="auto" w:fill="auto"/>
            <w:noWrap/>
            <w:vAlign w:val="bottom"/>
            <w:hideMark/>
          </w:tcPr>
          <w:p w14:paraId="3161B013"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59" w:type="pct"/>
            <w:tcBorders>
              <w:top w:val="nil"/>
              <w:left w:val="nil"/>
              <w:bottom w:val="single" w:sz="4" w:space="0" w:color="808080"/>
              <w:right w:val="single" w:sz="4" w:space="0" w:color="auto"/>
            </w:tcBorders>
            <w:shd w:val="clear" w:color="auto" w:fill="auto"/>
            <w:noWrap/>
            <w:vAlign w:val="bottom"/>
            <w:hideMark/>
          </w:tcPr>
          <w:p w14:paraId="0BACA24C"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2" w:type="pct"/>
            <w:tcBorders>
              <w:top w:val="nil"/>
              <w:left w:val="nil"/>
              <w:bottom w:val="single" w:sz="4" w:space="0" w:color="808080"/>
              <w:right w:val="single" w:sz="4" w:space="0" w:color="808080"/>
            </w:tcBorders>
            <w:shd w:val="clear" w:color="auto" w:fill="auto"/>
            <w:noWrap/>
            <w:vAlign w:val="bottom"/>
            <w:hideMark/>
          </w:tcPr>
          <w:p w14:paraId="78DAF0F8"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09" w:type="pct"/>
            <w:tcBorders>
              <w:top w:val="nil"/>
              <w:left w:val="nil"/>
              <w:bottom w:val="single" w:sz="4" w:space="0" w:color="808080"/>
              <w:right w:val="single" w:sz="4" w:space="0" w:color="808080"/>
            </w:tcBorders>
            <w:shd w:val="clear" w:color="auto" w:fill="auto"/>
            <w:noWrap/>
            <w:vAlign w:val="bottom"/>
            <w:hideMark/>
          </w:tcPr>
          <w:p w14:paraId="025B5ADD"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09" w:type="pct"/>
            <w:tcBorders>
              <w:top w:val="nil"/>
              <w:left w:val="nil"/>
              <w:bottom w:val="single" w:sz="4" w:space="0" w:color="808080"/>
              <w:right w:val="single" w:sz="4" w:space="0" w:color="808080"/>
            </w:tcBorders>
            <w:shd w:val="clear" w:color="auto" w:fill="auto"/>
            <w:noWrap/>
            <w:vAlign w:val="bottom"/>
            <w:hideMark/>
          </w:tcPr>
          <w:p w14:paraId="05B9766D"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9" w:type="pct"/>
            <w:tcBorders>
              <w:top w:val="nil"/>
              <w:left w:val="nil"/>
              <w:bottom w:val="single" w:sz="4" w:space="0" w:color="808080"/>
              <w:right w:val="single" w:sz="4" w:space="0" w:color="808080"/>
            </w:tcBorders>
            <w:shd w:val="clear" w:color="auto" w:fill="auto"/>
            <w:noWrap/>
            <w:vAlign w:val="bottom"/>
            <w:hideMark/>
          </w:tcPr>
          <w:p w14:paraId="3700F889"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0" w:type="pct"/>
            <w:tcBorders>
              <w:top w:val="nil"/>
              <w:left w:val="nil"/>
              <w:bottom w:val="single" w:sz="4" w:space="0" w:color="808080"/>
              <w:right w:val="single" w:sz="4" w:space="0" w:color="auto"/>
            </w:tcBorders>
            <w:shd w:val="clear" w:color="auto" w:fill="auto"/>
            <w:noWrap/>
            <w:vAlign w:val="bottom"/>
            <w:hideMark/>
          </w:tcPr>
          <w:p w14:paraId="3B4B6E6F"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2" w:type="pct"/>
            <w:tcBorders>
              <w:top w:val="nil"/>
              <w:left w:val="nil"/>
              <w:bottom w:val="single" w:sz="4" w:space="0" w:color="808080"/>
              <w:right w:val="single" w:sz="4" w:space="0" w:color="808080"/>
            </w:tcBorders>
            <w:shd w:val="clear" w:color="auto" w:fill="auto"/>
            <w:noWrap/>
            <w:vAlign w:val="bottom"/>
            <w:hideMark/>
          </w:tcPr>
          <w:p w14:paraId="57D87E9A"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39" w:type="pct"/>
            <w:tcBorders>
              <w:top w:val="nil"/>
              <w:left w:val="nil"/>
              <w:bottom w:val="single" w:sz="4" w:space="0" w:color="808080"/>
              <w:right w:val="single" w:sz="4" w:space="0" w:color="808080"/>
            </w:tcBorders>
            <w:shd w:val="clear" w:color="auto" w:fill="auto"/>
            <w:noWrap/>
            <w:vAlign w:val="bottom"/>
            <w:hideMark/>
          </w:tcPr>
          <w:p w14:paraId="277DB177"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39" w:type="pct"/>
            <w:tcBorders>
              <w:top w:val="nil"/>
              <w:left w:val="nil"/>
              <w:bottom w:val="single" w:sz="4" w:space="0" w:color="808080"/>
              <w:right w:val="single" w:sz="4" w:space="0" w:color="808080"/>
            </w:tcBorders>
            <w:shd w:val="clear" w:color="auto" w:fill="auto"/>
            <w:noWrap/>
            <w:vAlign w:val="bottom"/>
            <w:hideMark/>
          </w:tcPr>
          <w:p w14:paraId="1C0DDBB4"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9" w:type="pct"/>
            <w:tcBorders>
              <w:top w:val="nil"/>
              <w:left w:val="nil"/>
              <w:bottom w:val="single" w:sz="4" w:space="0" w:color="808080"/>
              <w:right w:val="single" w:sz="4" w:space="0" w:color="808080"/>
            </w:tcBorders>
            <w:shd w:val="clear" w:color="auto" w:fill="auto"/>
            <w:noWrap/>
            <w:vAlign w:val="bottom"/>
            <w:hideMark/>
          </w:tcPr>
          <w:p w14:paraId="5AB24814"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1" w:type="pct"/>
            <w:tcBorders>
              <w:top w:val="nil"/>
              <w:left w:val="nil"/>
              <w:bottom w:val="single" w:sz="4" w:space="0" w:color="808080"/>
              <w:right w:val="nil"/>
            </w:tcBorders>
            <w:shd w:val="clear" w:color="auto" w:fill="auto"/>
            <w:noWrap/>
            <w:vAlign w:val="bottom"/>
            <w:hideMark/>
          </w:tcPr>
          <w:p w14:paraId="0484103E"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5" w:type="pct"/>
            <w:tcBorders>
              <w:top w:val="nil"/>
              <w:left w:val="single" w:sz="4" w:space="0" w:color="auto"/>
              <w:bottom w:val="single" w:sz="4" w:space="0" w:color="808080"/>
              <w:right w:val="single" w:sz="4" w:space="0" w:color="auto"/>
            </w:tcBorders>
            <w:shd w:val="clear" w:color="auto" w:fill="auto"/>
            <w:noWrap/>
            <w:vAlign w:val="bottom"/>
            <w:hideMark/>
          </w:tcPr>
          <w:p w14:paraId="596FE05B"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13.53</w:t>
            </w:r>
          </w:p>
        </w:tc>
        <w:tc>
          <w:tcPr>
            <w:tcW w:w="209" w:type="pct"/>
            <w:tcBorders>
              <w:top w:val="nil"/>
              <w:left w:val="nil"/>
              <w:bottom w:val="single" w:sz="4" w:space="0" w:color="808080"/>
              <w:right w:val="single" w:sz="4" w:space="0" w:color="808080"/>
            </w:tcBorders>
            <w:shd w:val="clear" w:color="auto" w:fill="auto"/>
            <w:noWrap/>
            <w:vAlign w:val="bottom"/>
            <w:hideMark/>
          </w:tcPr>
          <w:p w14:paraId="33FEE7FD"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6.15%</w:t>
            </w:r>
          </w:p>
        </w:tc>
        <w:tc>
          <w:tcPr>
            <w:tcW w:w="239" w:type="pct"/>
            <w:tcBorders>
              <w:top w:val="nil"/>
              <w:left w:val="nil"/>
              <w:bottom w:val="single" w:sz="4" w:space="0" w:color="808080"/>
              <w:right w:val="single" w:sz="4" w:space="0" w:color="808080"/>
            </w:tcBorders>
            <w:shd w:val="clear" w:color="auto" w:fill="auto"/>
            <w:noWrap/>
            <w:vAlign w:val="bottom"/>
            <w:hideMark/>
          </w:tcPr>
          <w:p w14:paraId="5516A216"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90.77%</w:t>
            </w:r>
          </w:p>
        </w:tc>
        <w:tc>
          <w:tcPr>
            <w:tcW w:w="209" w:type="pct"/>
            <w:tcBorders>
              <w:top w:val="nil"/>
              <w:left w:val="nil"/>
              <w:bottom w:val="single" w:sz="4" w:space="0" w:color="808080"/>
              <w:right w:val="single" w:sz="4" w:space="0" w:color="808080"/>
            </w:tcBorders>
            <w:shd w:val="clear" w:color="auto" w:fill="auto"/>
            <w:noWrap/>
            <w:vAlign w:val="bottom"/>
            <w:hideMark/>
          </w:tcPr>
          <w:p w14:paraId="60550347"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3.20%</w:t>
            </w:r>
          </w:p>
        </w:tc>
        <w:tc>
          <w:tcPr>
            <w:tcW w:w="241" w:type="pct"/>
            <w:tcBorders>
              <w:top w:val="nil"/>
              <w:left w:val="nil"/>
              <w:bottom w:val="single" w:sz="4" w:space="0" w:color="808080"/>
              <w:right w:val="single" w:sz="4" w:space="0" w:color="auto"/>
            </w:tcBorders>
            <w:shd w:val="clear" w:color="auto" w:fill="auto"/>
            <w:noWrap/>
            <w:vAlign w:val="bottom"/>
            <w:hideMark/>
          </w:tcPr>
          <w:p w14:paraId="386B9A1A"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93.60%</w:t>
            </w:r>
          </w:p>
        </w:tc>
      </w:tr>
      <w:tr w:rsidR="003F668C" w:rsidRPr="00E87E42" w14:paraId="753123FB" w14:textId="77777777" w:rsidTr="001D7A14">
        <w:trPr>
          <w:trHeight w:val="227"/>
        </w:trPr>
        <w:tc>
          <w:tcPr>
            <w:tcW w:w="59" w:type="pct"/>
            <w:tcBorders>
              <w:top w:val="nil"/>
              <w:left w:val="single" w:sz="4" w:space="0" w:color="auto"/>
              <w:bottom w:val="single" w:sz="4" w:space="0" w:color="auto"/>
              <w:right w:val="nil"/>
            </w:tcBorders>
            <w:shd w:val="clear" w:color="auto" w:fill="auto"/>
            <w:noWrap/>
            <w:vAlign w:val="bottom"/>
            <w:hideMark/>
          </w:tcPr>
          <w:p w14:paraId="0FFA0C17"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87" w:type="pct"/>
            <w:tcBorders>
              <w:top w:val="nil"/>
              <w:left w:val="single" w:sz="4" w:space="0" w:color="auto"/>
              <w:bottom w:val="single" w:sz="4" w:space="0" w:color="808080"/>
              <w:right w:val="single" w:sz="4" w:space="0" w:color="auto"/>
            </w:tcBorders>
            <w:shd w:val="clear" w:color="auto" w:fill="auto"/>
            <w:noWrap/>
            <w:vAlign w:val="bottom"/>
            <w:hideMark/>
          </w:tcPr>
          <w:p w14:paraId="06AE9192"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w:t>
            </w:r>
          </w:p>
        </w:tc>
        <w:tc>
          <w:tcPr>
            <w:tcW w:w="87" w:type="pct"/>
            <w:tcBorders>
              <w:top w:val="nil"/>
              <w:left w:val="nil"/>
              <w:bottom w:val="single" w:sz="4" w:space="0" w:color="808080"/>
              <w:right w:val="single" w:sz="4" w:space="0" w:color="808080"/>
            </w:tcBorders>
            <w:shd w:val="clear" w:color="auto" w:fill="auto"/>
            <w:noWrap/>
            <w:vAlign w:val="bottom"/>
            <w:hideMark/>
          </w:tcPr>
          <w:p w14:paraId="72133EE4"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238" w:type="pct"/>
            <w:tcBorders>
              <w:top w:val="nil"/>
              <w:left w:val="nil"/>
              <w:bottom w:val="single" w:sz="4" w:space="0" w:color="808080"/>
              <w:right w:val="single" w:sz="4" w:space="0" w:color="808080"/>
            </w:tcBorders>
            <w:shd w:val="clear" w:color="auto" w:fill="auto"/>
            <w:noWrap/>
            <w:vAlign w:val="bottom"/>
            <w:hideMark/>
          </w:tcPr>
          <w:p w14:paraId="67609B26"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50.00%</w:t>
            </w:r>
          </w:p>
        </w:tc>
        <w:tc>
          <w:tcPr>
            <w:tcW w:w="209" w:type="pct"/>
            <w:tcBorders>
              <w:top w:val="nil"/>
              <w:left w:val="nil"/>
              <w:bottom w:val="single" w:sz="4" w:space="0" w:color="808080"/>
              <w:right w:val="single" w:sz="4" w:space="0" w:color="808080"/>
            </w:tcBorders>
            <w:shd w:val="clear" w:color="auto" w:fill="auto"/>
            <w:noWrap/>
            <w:vAlign w:val="bottom"/>
            <w:hideMark/>
          </w:tcPr>
          <w:p w14:paraId="002CF76C"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4.92%</w:t>
            </w:r>
          </w:p>
        </w:tc>
        <w:tc>
          <w:tcPr>
            <w:tcW w:w="189" w:type="pct"/>
            <w:tcBorders>
              <w:top w:val="nil"/>
              <w:left w:val="nil"/>
              <w:bottom w:val="single" w:sz="4" w:space="0" w:color="808080"/>
              <w:right w:val="single" w:sz="4" w:space="0" w:color="808080"/>
            </w:tcBorders>
            <w:shd w:val="clear" w:color="auto" w:fill="auto"/>
            <w:noWrap/>
            <w:vAlign w:val="bottom"/>
            <w:hideMark/>
          </w:tcPr>
          <w:p w14:paraId="581C8BF3"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6.45</w:t>
            </w:r>
          </w:p>
        </w:tc>
        <w:tc>
          <w:tcPr>
            <w:tcW w:w="191" w:type="pct"/>
            <w:tcBorders>
              <w:top w:val="nil"/>
              <w:left w:val="nil"/>
              <w:bottom w:val="single" w:sz="4" w:space="0" w:color="808080"/>
              <w:right w:val="single" w:sz="4" w:space="0" w:color="auto"/>
            </w:tcBorders>
            <w:shd w:val="clear" w:color="auto" w:fill="auto"/>
            <w:noWrap/>
            <w:vAlign w:val="bottom"/>
            <w:hideMark/>
          </w:tcPr>
          <w:p w14:paraId="5A31DF70"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6.45</w:t>
            </w:r>
          </w:p>
        </w:tc>
        <w:tc>
          <w:tcPr>
            <w:tcW w:w="62" w:type="pct"/>
            <w:tcBorders>
              <w:top w:val="nil"/>
              <w:left w:val="nil"/>
              <w:bottom w:val="single" w:sz="4" w:space="0" w:color="808080"/>
              <w:right w:val="single" w:sz="4" w:space="0" w:color="808080"/>
            </w:tcBorders>
            <w:shd w:val="clear" w:color="auto" w:fill="auto"/>
            <w:noWrap/>
            <w:vAlign w:val="bottom"/>
            <w:hideMark/>
          </w:tcPr>
          <w:p w14:paraId="4655C512"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09" w:type="pct"/>
            <w:tcBorders>
              <w:top w:val="nil"/>
              <w:left w:val="nil"/>
              <w:bottom w:val="single" w:sz="4" w:space="0" w:color="808080"/>
              <w:right w:val="single" w:sz="4" w:space="0" w:color="808080"/>
            </w:tcBorders>
            <w:shd w:val="clear" w:color="auto" w:fill="auto"/>
            <w:noWrap/>
            <w:vAlign w:val="bottom"/>
            <w:hideMark/>
          </w:tcPr>
          <w:p w14:paraId="63762744"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16.67%</w:t>
            </w:r>
          </w:p>
        </w:tc>
        <w:tc>
          <w:tcPr>
            <w:tcW w:w="209" w:type="pct"/>
            <w:tcBorders>
              <w:top w:val="nil"/>
              <w:left w:val="nil"/>
              <w:bottom w:val="single" w:sz="4" w:space="0" w:color="808080"/>
              <w:right w:val="single" w:sz="4" w:space="0" w:color="808080"/>
            </w:tcBorders>
            <w:shd w:val="clear" w:color="auto" w:fill="auto"/>
            <w:noWrap/>
            <w:vAlign w:val="bottom"/>
            <w:hideMark/>
          </w:tcPr>
          <w:p w14:paraId="46CD52D7"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50.00%</w:t>
            </w:r>
          </w:p>
        </w:tc>
        <w:tc>
          <w:tcPr>
            <w:tcW w:w="189" w:type="pct"/>
            <w:tcBorders>
              <w:top w:val="nil"/>
              <w:left w:val="nil"/>
              <w:bottom w:val="single" w:sz="4" w:space="0" w:color="808080"/>
              <w:right w:val="single" w:sz="4" w:space="0" w:color="808080"/>
            </w:tcBorders>
            <w:shd w:val="clear" w:color="auto" w:fill="auto"/>
            <w:noWrap/>
            <w:vAlign w:val="bottom"/>
            <w:hideMark/>
          </w:tcPr>
          <w:p w14:paraId="4DEFD49A"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0.65</w:t>
            </w:r>
          </w:p>
        </w:tc>
        <w:tc>
          <w:tcPr>
            <w:tcW w:w="159" w:type="pct"/>
            <w:tcBorders>
              <w:top w:val="nil"/>
              <w:left w:val="nil"/>
              <w:bottom w:val="single" w:sz="4" w:space="0" w:color="808080"/>
              <w:right w:val="single" w:sz="4" w:space="0" w:color="auto"/>
            </w:tcBorders>
            <w:shd w:val="clear" w:color="auto" w:fill="auto"/>
            <w:noWrap/>
            <w:vAlign w:val="bottom"/>
            <w:hideMark/>
          </w:tcPr>
          <w:p w14:paraId="04BBF144"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0.21</w:t>
            </w:r>
          </w:p>
        </w:tc>
        <w:tc>
          <w:tcPr>
            <w:tcW w:w="62" w:type="pct"/>
            <w:tcBorders>
              <w:top w:val="nil"/>
              <w:left w:val="nil"/>
              <w:bottom w:val="single" w:sz="4" w:space="0" w:color="808080"/>
              <w:right w:val="single" w:sz="4" w:space="0" w:color="808080"/>
            </w:tcBorders>
            <w:shd w:val="clear" w:color="auto" w:fill="auto"/>
            <w:noWrap/>
            <w:vAlign w:val="bottom"/>
            <w:hideMark/>
          </w:tcPr>
          <w:p w14:paraId="39235E99"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09" w:type="pct"/>
            <w:tcBorders>
              <w:top w:val="nil"/>
              <w:left w:val="nil"/>
              <w:bottom w:val="single" w:sz="4" w:space="0" w:color="808080"/>
              <w:right w:val="single" w:sz="4" w:space="0" w:color="808080"/>
            </w:tcBorders>
            <w:shd w:val="clear" w:color="auto" w:fill="auto"/>
            <w:noWrap/>
            <w:vAlign w:val="bottom"/>
            <w:hideMark/>
          </w:tcPr>
          <w:p w14:paraId="1CF0E375"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09" w:type="pct"/>
            <w:tcBorders>
              <w:top w:val="nil"/>
              <w:left w:val="nil"/>
              <w:bottom w:val="single" w:sz="4" w:space="0" w:color="808080"/>
              <w:right w:val="single" w:sz="4" w:space="0" w:color="808080"/>
            </w:tcBorders>
            <w:shd w:val="clear" w:color="auto" w:fill="auto"/>
            <w:noWrap/>
            <w:vAlign w:val="bottom"/>
            <w:hideMark/>
          </w:tcPr>
          <w:p w14:paraId="6052CB1B"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9" w:type="pct"/>
            <w:tcBorders>
              <w:top w:val="nil"/>
              <w:left w:val="nil"/>
              <w:bottom w:val="single" w:sz="4" w:space="0" w:color="808080"/>
              <w:right w:val="single" w:sz="4" w:space="0" w:color="808080"/>
            </w:tcBorders>
            <w:shd w:val="clear" w:color="auto" w:fill="auto"/>
            <w:noWrap/>
            <w:vAlign w:val="bottom"/>
            <w:hideMark/>
          </w:tcPr>
          <w:p w14:paraId="6346AF36"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0" w:type="pct"/>
            <w:tcBorders>
              <w:top w:val="nil"/>
              <w:left w:val="nil"/>
              <w:bottom w:val="single" w:sz="4" w:space="0" w:color="808080"/>
              <w:right w:val="single" w:sz="4" w:space="0" w:color="auto"/>
            </w:tcBorders>
            <w:shd w:val="clear" w:color="auto" w:fill="auto"/>
            <w:noWrap/>
            <w:vAlign w:val="bottom"/>
            <w:hideMark/>
          </w:tcPr>
          <w:p w14:paraId="29BC93BE"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2" w:type="pct"/>
            <w:tcBorders>
              <w:top w:val="nil"/>
              <w:left w:val="nil"/>
              <w:bottom w:val="single" w:sz="4" w:space="0" w:color="808080"/>
              <w:right w:val="single" w:sz="4" w:space="0" w:color="808080"/>
            </w:tcBorders>
            <w:shd w:val="clear" w:color="auto" w:fill="auto"/>
            <w:noWrap/>
            <w:vAlign w:val="bottom"/>
            <w:hideMark/>
          </w:tcPr>
          <w:p w14:paraId="427CB3CB"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39" w:type="pct"/>
            <w:tcBorders>
              <w:top w:val="nil"/>
              <w:left w:val="nil"/>
              <w:bottom w:val="single" w:sz="4" w:space="0" w:color="808080"/>
              <w:right w:val="single" w:sz="4" w:space="0" w:color="808080"/>
            </w:tcBorders>
            <w:shd w:val="clear" w:color="auto" w:fill="auto"/>
            <w:noWrap/>
            <w:vAlign w:val="bottom"/>
            <w:hideMark/>
          </w:tcPr>
          <w:p w14:paraId="450A4F6F"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33.33%</w:t>
            </w:r>
          </w:p>
        </w:tc>
        <w:tc>
          <w:tcPr>
            <w:tcW w:w="239" w:type="pct"/>
            <w:tcBorders>
              <w:top w:val="nil"/>
              <w:left w:val="nil"/>
              <w:bottom w:val="single" w:sz="4" w:space="0" w:color="808080"/>
              <w:right w:val="single" w:sz="4" w:space="0" w:color="808080"/>
            </w:tcBorders>
            <w:shd w:val="clear" w:color="auto" w:fill="auto"/>
            <w:noWrap/>
            <w:vAlign w:val="bottom"/>
            <w:hideMark/>
          </w:tcPr>
          <w:p w14:paraId="37962340"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19" w:type="pct"/>
            <w:tcBorders>
              <w:top w:val="nil"/>
              <w:left w:val="nil"/>
              <w:bottom w:val="single" w:sz="4" w:space="0" w:color="808080"/>
              <w:right w:val="single" w:sz="4" w:space="0" w:color="808080"/>
            </w:tcBorders>
            <w:shd w:val="clear" w:color="auto" w:fill="auto"/>
            <w:noWrap/>
            <w:vAlign w:val="bottom"/>
            <w:hideMark/>
          </w:tcPr>
          <w:p w14:paraId="15D3247F"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148.43</w:t>
            </w:r>
          </w:p>
        </w:tc>
        <w:tc>
          <w:tcPr>
            <w:tcW w:w="191" w:type="pct"/>
            <w:tcBorders>
              <w:top w:val="nil"/>
              <w:left w:val="nil"/>
              <w:bottom w:val="single" w:sz="4" w:space="0" w:color="808080"/>
              <w:right w:val="nil"/>
            </w:tcBorders>
            <w:shd w:val="clear" w:color="auto" w:fill="auto"/>
            <w:noWrap/>
            <w:vAlign w:val="bottom"/>
            <w:hideMark/>
          </w:tcPr>
          <w:p w14:paraId="602BD23C"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20.24</w:t>
            </w:r>
          </w:p>
        </w:tc>
        <w:tc>
          <w:tcPr>
            <w:tcW w:w="375" w:type="pct"/>
            <w:tcBorders>
              <w:top w:val="nil"/>
              <w:left w:val="single" w:sz="4" w:space="0" w:color="auto"/>
              <w:bottom w:val="single" w:sz="4" w:space="0" w:color="808080"/>
              <w:right w:val="single" w:sz="4" w:space="0" w:color="auto"/>
            </w:tcBorders>
            <w:shd w:val="clear" w:color="auto" w:fill="auto"/>
            <w:noWrap/>
            <w:vAlign w:val="bottom"/>
            <w:hideMark/>
          </w:tcPr>
          <w:p w14:paraId="0C2D272F"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52.81</w:t>
            </w:r>
          </w:p>
        </w:tc>
        <w:tc>
          <w:tcPr>
            <w:tcW w:w="209" w:type="pct"/>
            <w:tcBorders>
              <w:top w:val="nil"/>
              <w:left w:val="nil"/>
              <w:bottom w:val="single" w:sz="4" w:space="0" w:color="808080"/>
              <w:right w:val="single" w:sz="4" w:space="0" w:color="808080"/>
            </w:tcBorders>
            <w:shd w:val="clear" w:color="auto" w:fill="auto"/>
            <w:noWrap/>
            <w:vAlign w:val="bottom"/>
            <w:hideMark/>
          </w:tcPr>
          <w:p w14:paraId="3B44F251"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9.23%</w:t>
            </w:r>
          </w:p>
        </w:tc>
        <w:tc>
          <w:tcPr>
            <w:tcW w:w="239" w:type="pct"/>
            <w:tcBorders>
              <w:top w:val="nil"/>
              <w:left w:val="nil"/>
              <w:bottom w:val="single" w:sz="4" w:space="0" w:color="808080"/>
              <w:right w:val="single" w:sz="4" w:space="0" w:color="808080"/>
            </w:tcBorders>
            <w:shd w:val="clear" w:color="auto" w:fill="auto"/>
            <w:noWrap/>
            <w:vAlign w:val="bottom"/>
            <w:hideMark/>
          </w:tcPr>
          <w:p w14:paraId="5F10E8C3"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09" w:type="pct"/>
            <w:tcBorders>
              <w:top w:val="nil"/>
              <w:left w:val="nil"/>
              <w:bottom w:val="single" w:sz="4" w:space="0" w:color="808080"/>
              <w:right w:val="single" w:sz="4" w:space="0" w:color="808080"/>
            </w:tcBorders>
            <w:shd w:val="clear" w:color="auto" w:fill="auto"/>
            <w:noWrap/>
            <w:vAlign w:val="bottom"/>
            <w:hideMark/>
          </w:tcPr>
          <w:p w14:paraId="26BE6ACA"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6.40%</w:t>
            </w:r>
          </w:p>
        </w:tc>
        <w:tc>
          <w:tcPr>
            <w:tcW w:w="241" w:type="pct"/>
            <w:tcBorders>
              <w:top w:val="nil"/>
              <w:left w:val="nil"/>
              <w:bottom w:val="single" w:sz="4" w:space="0" w:color="808080"/>
              <w:right w:val="single" w:sz="4" w:space="0" w:color="auto"/>
            </w:tcBorders>
            <w:shd w:val="clear" w:color="auto" w:fill="auto"/>
            <w:noWrap/>
            <w:vAlign w:val="bottom"/>
            <w:hideMark/>
          </w:tcPr>
          <w:p w14:paraId="72139B13"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r>
      <w:tr w:rsidR="003F668C" w:rsidRPr="00E87E42" w14:paraId="4CAB86C3" w14:textId="77777777" w:rsidTr="001D7A14">
        <w:trPr>
          <w:trHeight w:val="227"/>
        </w:trPr>
        <w:tc>
          <w:tcPr>
            <w:tcW w:w="59" w:type="pct"/>
            <w:tcBorders>
              <w:top w:val="nil"/>
              <w:left w:val="single" w:sz="4" w:space="0" w:color="auto"/>
              <w:bottom w:val="single" w:sz="4" w:space="0" w:color="auto"/>
              <w:right w:val="nil"/>
            </w:tcBorders>
            <w:shd w:val="clear" w:color="auto" w:fill="auto"/>
            <w:noWrap/>
            <w:vAlign w:val="bottom"/>
            <w:hideMark/>
          </w:tcPr>
          <w:p w14:paraId="793E4C97"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87" w:type="pct"/>
            <w:tcBorders>
              <w:top w:val="nil"/>
              <w:left w:val="single" w:sz="4" w:space="0" w:color="auto"/>
              <w:bottom w:val="single" w:sz="4" w:space="0" w:color="auto"/>
              <w:right w:val="single" w:sz="4" w:space="0" w:color="auto"/>
            </w:tcBorders>
            <w:shd w:val="clear" w:color="auto" w:fill="auto"/>
            <w:noWrap/>
            <w:vAlign w:val="bottom"/>
            <w:hideMark/>
          </w:tcPr>
          <w:p w14:paraId="660D3929"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87" w:type="pct"/>
            <w:tcBorders>
              <w:top w:val="nil"/>
              <w:left w:val="nil"/>
              <w:bottom w:val="single" w:sz="4" w:space="0" w:color="auto"/>
              <w:right w:val="single" w:sz="4" w:space="0" w:color="808080"/>
            </w:tcBorders>
            <w:shd w:val="clear" w:color="auto" w:fill="auto"/>
            <w:noWrap/>
            <w:vAlign w:val="bottom"/>
            <w:hideMark/>
          </w:tcPr>
          <w:p w14:paraId="2456C0EC"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38" w:type="pct"/>
            <w:tcBorders>
              <w:top w:val="nil"/>
              <w:left w:val="nil"/>
              <w:bottom w:val="single" w:sz="4" w:space="0" w:color="auto"/>
              <w:right w:val="single" w:sz="4" w:space="0" w:color="808080"/>
            </w:tcBorders>
            <w:shd w:val="clear" w:color="auto" w:fill="auto"/>
            <w:noWrap/>
            <w:vAlign w:val="bottom"/>
            <w:hideMark/>
          </w:tcPr>
          <w:p w14:paraId="2F33EE35"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09" w:type="pct"/>
            <w:tcBorders>
              <w:top w:val="nil"/>
              <w:left w:val="nil"/>
              <w:bottom w:val="single" w:sz="4" w:space="0" w:color="auto"/>
              <w:right w:val="single" w:sz="4" w:space="0" w:color="808080"/>
            </w:tcBorders>
            <w:shd w:val="clear" w:color="auto" w:fill="auto"/>
            <w:noWrap/>
            <w:vAlign w:val="bottom"/>
            <w:hideMark/>
          </w:tcPr>
          <w:p w14:paraId="7646443D"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189" w:type="pct"/>
            <w:tcBorders>
              <w:top w:val="nil"/>
              <w:left w:val="nil"/>
              <w:bottom w:val="single" w:sz="4" w:space="0" w:color="auto"/>
              <w:right w:val="single" w:sz="4" w:space="0" w:color="808080"/>
            </w:tcBorders>
            <w:shd w:val="clear" w:color="auto" w:fill="auto"/>
            <w:noWrap/>
            <w:vAlign w:val="bottom"/>
            <w:hideMark/>
          </w:tcPr>
          <w:p w14:paraId="00B4C1F7"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191" w:type="pct"/>
            <w:tcBorders>
              <w:top w:val="nil"/>
              <w:left w:val="nil"/>
              <w:bottom w:val="single" w:sz="4" w:space="0" w:color="auto"/>
              <w:right w:val="single" w:sz="4" w:space="0" w:color="auto"/>
            </w:tcBorders>
            <w:shd w:val="clear" w:color="auto" w:fill="auto"/>
            <w:noWrap/>
            <w:vAlign w:val="bottom"/>
            <w:hideMark/>
          </w:tcPr>
          <w:p w14:paraId="3181C020"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62" w:type="pct"/>
            <w:tcBorders>
              <w:top w:val="nil"/>
              <w:left w:val="nil"/>
              <w:bottom w:val="single" w:sz="4" w:space="0" w:color="auto"/>
              <w:right w:val="single" w:sz="4" w:space="0" w:color="808080"/>
            </w:tcBorders>
            <w:shd w:val="clear" w:color="auto" w:fill="auto"/>
            <w:noWrap/>
            <w:vAlign w:val="bottom"/>
            <w:hideMark/>
          </w:tcPr>
          <w:p w14:paraId="59B46996"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09" w:type="pct"/>
            <w:tcBorders>
              <w:top w:val="nil"/>
              <w:left w:val="nil"/>
              <w:bottom w:val="single" w:sz="4" w:space="0" w:color="auto"/>
              <w:right w:val="single" w:sz="4" w:space="0" w:color="808080"/>
            </w:tcBorders>
            <w:shd w:val="clear" w:color="auto" w:fill="auto"/>
            <w:noWrap/>
            <w:vAlign w:val="bottom"/>
            <w:hideMark/>
          </w:tcPr>
          <w:p w14:paraId="79437C4A"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09" w:type="pct"/>
            <w:tcBorders>
              <w:top w:val="nil"/>
              <w:left w:val="nil"/>
              <w:bottom w:val="single" w:sz="4" w:space="0" w:color="auto"/>
              <w:right w:val="single" w:sz="4" w:space="0" w:color="808080"/>
            </w:tcBorders>
            <w:shd w:val="clear" w:color="auto" w:fill="auto"/>
            <w:noWrap/>
            <w:vAlign w:val="bottom"/>
            <w:hideMark/>
          </w:tcPr>
          <w:p w14:paraId="2D040E7B"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189" w:type="pct"/>
            <w:tcBorders>
              <w:top w:val="nil"/>
              <w:left w:val="nil"/>
              <w:bottom w:val="single" w:sz="4" w:space="0" w:color="auto"/>
              <w:right w:val="single" w:sz="4" w:space="0" w:color="808080"/>
            </w:tcBorders>
            <w:shd w:val="clear" w:color="auto" w:fill="auto"/>
            <w:noWrap/>
            <w:vAlign w:val="bottom"/>
            <w:hideMark/>
          </w:tcPr>
          <w:p w14:paraId="0FAC583B"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159" w:type="pct"/>
            <w:tcBorders>
              <w:top w:val="nil"/>
              <w:left w:val="nil"/>
              <w:bottom w:val="single" w:sz="4" w:space="0" w:color="auto"/>
              <w:right w:val="single" w:sz="4" w:space="0" w:color="auto"/>
            </w:tcBorders>
            <w:shd w:val="clear" w:color="auto" w:fill="auto"/>
            <w:noWrap/>
            <w:vAlign w:val="bottom"/>
            <w:hideMark/>
          </w:tcPr>
          <w:p w14:paraId="61C19737"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62" w:type="pct"/>
            <w:tcBorders>
              <w:top w:val="nil"/>
              <w:left w:val="nil"/>
              <w:bottom w:val="single" w:sz="4" w:space="0" w:color="auto"/>
              <w:right w:val="single" w:sz="4" w:space="0" w:color="808080"/>
            </w:tcBorders>
            <w:shd w:val="clear" w:color="auto" w:fill="auto"/>
            <w:noWrap/>
            <w:vAlign w:val="bottom"/>
            <w:hideMark/>
          </w:tcPr>
          <w:p w14:paraId="5AD2F345"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09" w:type="pct"/>
            <w:tcBorders>
              <w:top w:val="nil"/>
              <w:left w:val="nil"/>
              <w:bottom w:val="single" w:sz="4" w:space="0" w:color="auto"/>
              <w:right w:val="single" w:sz="4" w:space="0" w:color="808080"/>
            </w:tcBorders>
            <w:shd w:val="clear" w:color="auto" w:fill="auto"/>
            <w:noWrap/>
            <w:vAlign w:val="bottom"/>
            <w:hideMark/>
          </w:tcPr>
          <w:p w14:paraId="69CB732F"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09" w:type="pct"/>
            <w:tcBorders>
              <w:top w:val="nil"/>
              <w:left w:val="nil"/>
              <w:bottom w:val="single" w:sz="4" w:space="0" w:color="auto"/>
              <w:right w:val="single" w:sz="4" w:space="0" w:color="808080"/>
            </w:tcBorders>
            <w:shd w:val="clear" w:color="auto" w:fill="auto"/>
            <w:noWrap/>
            <w:vAlign w:val="bottom"/>
            <w:hideMark/>
          </w:tcPr>
          <w:p w14:paraId="3D0EB91A"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19" w:type="pct"/>
            <w:tcBorders>
              <w:top w:val="nil"/>
              <w:left w:val="nil"/>
              <w:bottom w:val="single" w:sz="4" w:space="0" w:color="auto"/>
              <w:right w:val="single" w:sz="4" w:space="0" w:color="808080"/>
            </w:tcBorders>
            <w:shd w:val="clear" w:color="auto" w:fill="auto"/>
            <w:noWrap/>
            <w:vAlign w:val="bottom"/>
            <w:hideMark/>
          </w:tcPr>
          <w:p w14:paraId="78DFEAEA"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190" w:type="pct"/>
            <w:tcBorders>
              <w:top w:val="nil"/>
              <w:left w:val="nil"/>
              <w:bottom w:val="single" w:sz="4" w:space="0" w:color="auto"/>
              <w:right w:val="single" w:sz="4" w:space="0" w:color="auto"/>
            </w:tcBorders>
            <w:shd w:val="clear" w:color="auto" w:fill="auto"/>
            <w:noWrap/>
            <w:vAlign w:val="bottom"/>
            <w:hideMark/>
          </w:tcPr>
          <w:p w14:paraId="4144165B"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62" w:type="pct"/>
            <w:tcBorders>
              <w:top w:val="nil"/>
              <w:left w:val="nil"/>
              <w:bottom w:val="single" w:sz="4" w:space="0" w:color="auto"/>
              <w:right w:val="single" w:sz="4" w:space="0" w:color="808080"/>
            </w:tcBorders>
            <w:shd w:val="clear" w:color="auto" w:fill="auto"/>
            <w:noWrap/>
            <w:vAlign w:val="bottom"/>
            <w:hideMark/>
          </w:tcPr>
          <w:p w14:paraId="6C1A8AEE"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39" w:type="pct"/>
            <w:tcBorders>
              <w:top w:val="nil"/>
              <w:left w:val="nil"/>
              <w:bottom w:val="single" w:sz="4" w:space="0" w:color="auto"/>
              <w:right w:val="single" w:sz="4" w:space="0" w:color="808080"/>
            </w:tcBorders>
            <w:shd w:val="clear" w:color="auto" w:fill="auto"/>
            <w:noWrap/>
            <w:vAlign w:val="bottom"/>
            <w:hideMark/>
          </w:tcPr>
          <w:p w14:paraId="5150BF8D"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39" w:type="pct"/>
            <w:tcBorders>
              <w:top w:val="nil"/>
              <w:left w:val="nil"/>
              <w:bottom w:val="single" w:sz="4" w:space="0" w:color="auto"/>
              <w:right w:val="single" w:sz="4" w:space="0" w:color="808080"/>
            </w:tcBorders>
            <w:shd w:val="clear" w:color="auto" w:fill="auto"/>
            <w:noWrap/>
            <w:vAlign w:val="bottom"/>
            <w:hideMark/>
          </w:tcPr>
          <w:p w14:paraId="21D15E10"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19" w:type="pct"/>
            <w:tcBorders>
              <w:top w:val="nil"/>
              <w:left w:val="nil"/>
              <w:bottom w:val="single" w:sz="4" w:space="0" w:color="auto"/>
              <w:right w:val="single" w:sz="4" w:space="0" w:color="808080"/>
            </w:tcBorders>
            <w:shd w:val="clear" w:color="auto" w:fill="auto"/>
            <w:noWrap/>
            <w:vAlign w:val="bottom"/>
            <w:hideMark/>
          </w:tcPr>
          <w:p w14:paraId="78125D7B"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191" w:type="pct"/>
            <w:tcBorders>
              <w:top w:val="nil"/>
              <w:left w:val="nil"/>
              <w:bottom w:val="single" w:sz="4" w:space="0" w:color="auto"/>
              <w:right w:val="nil"/>
            </w:tcBorders>
            <w:shd w:val="clear" w:color="auto" w:fill="auto"/>
            <w:noWrap/>
            <w:vAlign w:val="bottom"/>
            <w:hideMark/>
          </w:tcPr>
          <w:p w14:paraId="7399376F"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57F091FD"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09" w:type="pct"/>
            <w:tcBorders>
              <w:top w:val="nil"/>
              <w:left w:val="nil"/>
              <w:bottom w:val="single" w:sz="4" w:space="0" w:color="auto"/>
              <w:right w:val="single" w:sz="4" w:space="0" w:color="808080"/>
            </w:tcBorders>
            <w:shd w:val="clear" w:color="auto" w:fill="auto"/>
            <w:noWrap/>
            <w:vAlign w:val="bottom"/>
            <w:hideMark/>
          </w:tcPr>
          <w:p w14:paraId="431D69B5"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39" w:type="pct"/>
            <w:tcBorders>
              <w:top w:val="nil"/>
              <w:left w:val="nil"/>
              <w:bottom w:val="single" w:sz="4" w:space="0" w:color="auto"/>
              <w:right w:val="single" w:sz="4" w:space="0" w:color="808080"/>
            </w:tcBorders>
            <w:shd w:val="clear" w:color="auto" w:fill="auto"/>
            <w:noWrap/>
            <w:vAlign w:val="bottom"/>
            <w:hideMark/>
          </w:tcPr>
          <w:p w14:paraId="5A6D1394"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09" w:type="pct"/>
            <w:tcBorders>
              <w:top w:val="nil"/>
              <w:left w:val="nil"/>
              <w:bottom w:val="single" w:sz="4" w:space="0" w:color="auto"/>
              <w:right w:val="single" w:sz="4" w:space="0" w:color="808080"/>
            </w:tcBorders>
            <w:shd w:val="clear" w:color="auto" w:fill="auto"/>
            <w:noWrap/>
            <w:vAlign w:val="bottom"/>
            <w:hideMark/>
          </w:tcPr>
          <w:p w14:paraId="2594F1E7"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1" w:type="pct"/>
            <w:tcBorders>
              <w:top w:val="nil"/>
              <w:left w:val="nil"/>
              <w:bottom w:val="single" w:sz="4" w:space="0" w:color="auto"/>
              <w:right w:val="single" w:sz="4" w:space="0" w:color="auto"/>
            </w:tcBorders>
            <w:shd w:val="clear" w:color="auto" w:fill="auto"/>
            <w:noWrap/>
            <w:vAlign w:val="bottom"/>
            <w:hideMark/>
          </w:tcPr>
          <w:p w14:paraId="5E10FC4A"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r>
      <w:tr w:rsidR="001D7A14" w:rsidRPr="00E87E42" w14:paraId="731E0AFF" w14:textId="77777777" w:rsidTr="001D7A14">
        <w:trPr>
          <w:trHeight w:val="227"/>
        </w:trPr>
        <w:tc>
          <w:tcPr>
            <w:tcW w:w="3727" w:type="pct"/>
            <w:gridSpan w:val="22"/>
            <w:tcBorders>
              <w:top w:val="nil"/>
              <w:left w:val="single" w:sz="4" w:space="0" w:color="auto"/>
              <w:bottom w:val="single" w:sz="4" w:space="0" w:color="auto"/>
              <w:right w:val="nil"/>
            </w:tcBorders>
            <w:shd w:val="clear" w:color="auto" w:fill="auto"/>
            <w:noWrap/>
            <w:vAlign w:val="bottom"/>
          </w:tcPr>
          <w:p w14:paraId="41370B55" w14:textId="6BDDF0A5" w:rsidR="001D7A14" w:rsidRPr="00E87E42" w:rsidRDefault="001D7A14" w:rsidP="00332F42">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Total weighted area damage</w:t>
            </w:r>
          </w:p>
        </w:tc>
        <w:tc>
          <w:tcPr>
            <w:tcW w:w="375" w:type="pct"/>
            <w:tcBorders>
              <w:top w:val="nil"/>
              <w:left w:val="single" w:sz="4" w:space="0" w:color="auto"/>
              <w:bottom w:val="single" w:sz="4" w:space="0" w:color="auto"/>
              <w:right w:val="single" w:sz="4" w:space="0" w:color="auto"/>
            </w:tcBorders>
            <w:shd w:val="clear" w:color="auto" w:fill="auto"/>
            <w:noWrap/>
            <w:vAlign w:val="bottom"/>
          </w:tcPr>
          <w:p w14:paraId="77BA93EB" w14:textId="5E30DAD2" w:rsidR="001D7A14" w:rsidRPr="00E87E42" w:rsidRDefault="001D7A1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87.01</w:t>
            </w:r>
          </w:p>
        </w:tc>
        <w:tc>
          <w:tcPr>
            <w:tcW w:w="897" w:type="pct"/>
            <w:gridSpan w:val="4"/>
            <w:tcBorders>
              <w:top w:val="nil"/>
              <w:left w:val="nil"/>
              <w:bottom w:val="single" w:sz="4" w:space="0" w:color="auto"/>
              <w:right w:val="single" w:sz="4" w:space="0" w:color="auto"/>
            </w:tcBorders>
            <w:shd w:val="clear" w:color="auto" w:fill="auto"/>
            <w:noWrap/>
            <w:vAlign w:val="bottom"/>
          </w:tcPr>
          <w:p w14:paraId="025E34D9" w14:textId="77777777" w:rsidR="001D7A14" w:rsidRPr="00E87E42" w:rsidRDefault="001D7A14">
            <w:pPr>
              <w:spacing w:after="0" w:line="240" w:lineRule="auto"/>
              <w:jc w:val="center"/>
              <w:rPr>
                <w:rFonts w:eastAsia="Times New Roman"/>
                <w:color w:val="000000"/>
                <w:sz w:val="16"/>
                <w:szCs w:val="16"/>
                <w:lang w:eastAsia="en-GB"/>
              </w:rPr>
            </w:pPr>
          </w:p>
        </w:tc>
      </w:tr>
      <w:tr w:rsidR="00002D2B" w:rsidRPr="00E87E42" w14:paraId="01642E77" w14:textId="77777777" w:rsidTr="00332F42">
        <w:trPr>
          <w:trHeight w:val="227"/>
        </w:trPr>
        <w:tc>
          <w:tcPr>
            <w:tcW w:w="59" w:type="pct"/>
            <w:tcBorders>
              <w:top w:val="nil"/>
              <w:left w:val="nil"/>
              <w:bottom w:val="nil"/>
              <w:right w:val="single" w:sz="4" w:space="0" w:color="auto"/>
            </w:tcBorders>
            <w:shd w:val="clear" w:color="auto" w:fill="auto"/>
            <w:noWrap/>
            <w:vAlign w:val="bottom"/>
            <w:hideMark/>
          </w:tcPr>
          <w:p w14:paraId="6B5DC58C" w14:textId="77777777" w:rsidR="00002D2B" w:rsidRPr="00E87E42" w:rsidRDefault="00002D2B" w:rsidP="00332F42">
            <w:pPr>
              <w:spacing w:after="0" w:line="240" w:lineRule="auto"/>
              <w:jc w:val="center"/>
              <w:rPr>
                <w:rFonts w:eastAsia="Times New Roman"/>
                <w:color w:val="000000"/>
                <w:sz w:val="16"/>
                <w:szCs w:val="16"/>
                <w:lang w:eastAsia="en-GB"/>
              </w:rPr>
            </w:pPr>
          </w:p>
        </w:tc>
        <w:tc>
          <w:tcPr>
            <w:tcW w:w="4941" w:type="pct"/>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7C7B" w14:textId="48B04ED4" w:rsidR="00002D2B" w:rsidRPr="00E87E42" w:rsidRDefault="00002D2B" w:rsidP="00332F42">
            <w:pPr>
              <w:spacing w:after="0" w:line="240" w:lineRule="auto"/>
              <w:jc w:val="center"/>
              <w:rPr>
                <w:rFonts w:eastAsia="Times New Roman"/>
                <w:b/>
                <w:color w:val="000000"/>
                <w:sz w:val="16"/>
                <w:szCs w:val="16"/>
                <w:u w:val="single"/>
                <w:lang w:eastAsia="en-GB"/>
              </w:rPr>
            </w:pPr>
            <w:r w:rsidRPr="00E87E42">
              <w:rPr>
                <w:rFonts w:eastAsia="Times New Roman"/>
                <w:b/>
                <w:color w:val="000000"/>
                <w:sz w:val="16"/>
                <w:szCs w:val="16"/>
                <w:u w:val="single"/>
                <w:lang w:eastAsia="en-GB"/>
              </w:rPr>
              <w:t xml:space="preserve">No Sprinklers - Area damage </w:t>
            </w:r>
            <w:r w:rsidR="001B682D" w:rsidRPr="00E87E42">
              <w:rPr>
                <w:rFonts w:eastAsia="Times New Roman"/>
                <w:b/>
                <w:color w:val="000000"/>
                <w:sz w:val="16"/>
                <w:szCs w:val="16"/>
                <w:u w:val="single"/>
                <w:lang w:eastAsia="en-GB"/>
              </w:rPr>
              <w:t>m</w:t>
            </w:r>
            <w:r w:rsidR="001B682D" w:rsidRPr="00E87E42">
              <w:rPr>
                <w:rFonts w:eastAsia="Times New Roman"/>
                <w:b/>
                <w:color w:val="000000"/>
                <w:sz w:val="16"/>
                <w:szCs w:val="16"/>
                <w:u w:val="single"/>
                <w:vertAlign w:val="superscript"/>
                <w:lang w:eastAsia="en-GB"/>
              </w:rPr>
              <w:t>2</w:t>
            </w:r>
          </w:p>
        </w:tc>
      </w:tr>
      <w:tr w:rsidR="00323448" w:rsidRPr="00E87E42" w14:paraId="4D2E3BC2" w14:textId="77777777" w:rsidTr="00332F42">
        <w:trPr>
          <w:trHeight w:val="227"/>
        </w:trPr>
        <w:tc>
          <w:tcPr>
            <w:tcW w:w="59" w:type="pct"/>
            <w:tcBorders>
              <w:top w:val="nil"/>
              <w:left w:val="nil"/>
              <w:bottom w:val="nil"/>
              <w:right w:val="nil"/>
            </w:tcBorders>
            <w:shd w:val="clear" w:color="auto" w:fill="auto"/>
            <w:noWrap/>
            <w:vAlign w:val="bottom"/>
            <w:hideMark/>
          </w:tcPr>
          <w:p w14:paraId="7B572C0C" w14:textId="77777777" w:rsidR="00002D2B" w:rsidRPr="00E87E42" w:rsidRDefault="00002D2B" w:rsidP="00332F42">
            <w:pPr>
              <w:spacing w:after="0" w:line="240" w:lineRule="auto"/>
              <w:jc w:val="center"/>
              <w:rPr>
                <w:rFonts w:eastAsia="Times New Roman"/>
                <w:color w:val="000000"/>
                <w:sz w:val="16"/>
                <w:szCs w:val="16"/>
                <w:lang w:eastAsia="en-GB"/>
              </w:rPr>
            </w:pPr>
          </w:p>
        </w:tc>
        <w:tc>
          <w:tcPr>
            <w:tcW w:w="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1B7A1" w14:textId="018B95D5"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w:t>
            </w:r>
          </w:p>
        </w:tc>
        <w:tc>
          <w:tcPr>
            <w:tcW w:w="914"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262E76D4" w14:textId="059E86B2" w:rsidR="00002D2B" w:rsidRPr="00E87E42" w:rsidRDefault="00002D2B" w:rsidP="00332F4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Minor</w:t>
            </w:r>
          </w:p>
        </w:tc>
        <w:tc>
          <w:tcPr>
            <w:tcW w:w="828"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5F916699" w14:textId="3E753C32" w:rsidR="00002D2B" w:rsidRPr="00E87E42" w:rsidRDefault="00002D2B" w:rsidP="00332F4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Significantly</w:t>
            </w:r>
          </w:p>
        </w:tc>
        <w:tc>
          <w:tcPr>
            <w:tcW w:w="889"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6819F5A3" w14:textId="5337BC42" w:rsidR="00002D2B" w:rsidRPr="00E87E42" w:rsidRDefault="00002D2B" w:rsidP="00332F4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Heavy</w:t>
            </w:r>
          </w:p>
        </w:tc>
        <w:tc>
          <w:tcPr>
            <w:tcW w:w="950" w:type="pct"/>
            <w:gridSpan w:val="5"/>
            <w:tcBorders>
              <w:top w:val="single" w:sz="4" w:space="0" w:color="auto"/>
              <w:left w:val="nil"/>
              <w:bottom w:val="single" w:sz="4" w:space="0" w:color="auto"/>
              <w:right w:val="single" w:sz="4" w:space="0" w:color="auto"/>
            </w:tcBorders>
            <w:shd w:val="clear" w:color="auto" w:fill="auto"/>
            <w:noWrap/>
            <w:vAlign w:val="bottom"/>
            <w:hideMark/>
          </w:tcPr>
          <w:p w14:paraId="46F16A4C" w14:textId="125EF05C" w:rsidR="00002D2B" w:rsidRPr="00E87E42" w:rsidRDefault="00002D2B" w:rsidP="00332F4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Extreme</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CB3AC" w14:textId="77777777" w:rsidR="003D2709" w:rsidRPr="00E87E42" w:rsidRDefault="00002D2B" w:rsidP="00332F4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 xml:space="preserve">Weighted area </w:t>
            </w:r>
          </w:p>
          <w:p w14:paraId="2296A443" w14:textId="4A3AE193" w:rsidR="00002D2B" w:rsidRPr="00E87E42" w:rsidRDefault="00002D2B" w:rsidP="00332F4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damage</w:t>
            </w:r>
          </w:p>
          <w:p w14:paraId="3687B7A8" w14:textId="08285D0F"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448"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0F9D7DE7" w14:textId="3F152292"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0"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F3C08A" w14:textId="242E5C2D" w:rsidR="00002D2B" w:rsidRPr="00E87E42" w:rsidRDefault="00991A65"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r w:rsidR="00002D2B" w:rsidRPr="00E87E42">
              <w:rPr>
                <w:rFonts w:eastAsia="Times New Roman"/>
                <w:color w:val="000000"/>
                <w:sz w:val="16"/>
                <w:szCs w:val="16"/>
                <w:lang w:eastAsia="en-GB"/>
              </w:rPr>
              <w:t>U</w:t>
            </w:r>
          </w:p>
        </w:tc>
      </w:tr>
      <w:tr w:rsidR="003F668C" w:rsidRPr="00E87E42" w14:paraId="3E0A9CC2" w14:textId="77777777" w:rsidTr="001D7A14">
        <w:trPr>
          <w:trHeight w:val="227"/>
        </w:trPr>
        <w:tc>
          <w:tcPr>
            <w:tcW w:w="59" w:type="pct"/>
            <w:tcBorders>
              <w:top w:val="nil"/>
              <w:left w:val="nil"/>
              <w:bottom w:val="nil"/>
              <w:right w:val="nil"/>
            </w:tcBorders>
            <w:shd w:val="clear" w:color="auto" w:fill="auto"/>
            <w:noWrap/>
            <w:vAlign w:val="bottom"/>
            <w:hideMark/>
          </w:tcPr>
          <w:p w14:paraId="01B76237" w14:textId="77777777" w:rsidR="00002D2B" w:rsidRPr="00E87E42" w:rsidRDefault="00002D2B" w:rsidP="00332F42">
            <w:pPr>
              <w:spacing w:after="0" w:line="240" w:lineRule="auto"/>
              <w:jc w:val="center"/>
              <w:rPr>
                <w:rFonts w:eastAsia="Times New Roman"/>
                <w:color w:val="000000"/>
                <w:sz w:val="16"/>
                <w:szCs w:val="16"/>
                <w:lang w:eastAsia="en-GB"/>
              </w:rPr>
            </w:pPr>
          </w:p>
        </w:tc>
        <w:tc>
          <w:tcPr>
            <w:tcW w:w="87" w:type="pct"/>
            <w:vMerge/>
            <w:tcBorders>
              <w:top w:val="nil"/>
              <w:left w:val="single" w:sz="4" w:space="0" w:color="auto"/>
              <w:bottom w:val="single" w:sz="4" w:space="0" w:color="auto"/>
              <w:right w:val="single" w:sz="4" w:space="0" w:color="auto"/>
            </w:tcBorders>
            <w:vAlign w:val="center"/>
            <w:hideMark/>
          </w:tcPr>
          <w:p w14:paraId="733F7832" w14:textId="77777777" w:rsidR="00002D2B" w:rsidRPr="00E87E42" w:rsidRDefault="00002D2B" w:rsidP="00332F42">
            <w:pPr>
              <w:spacing w:after="0" w:line="240" w:lineRule="auto"/>
              <w:jc w:val="left"/>
              <w:rPr>
                <w:rFonts w:eastAsia="Times New Roman"/>
                <w:color w:val="000000"/>
                <w:sz w:val="16"/>
                <w:szCs w:val="16"/>
                <w:lang w:eastAsia="en-GB"/>
              </w:rPr>
            </w:pPr>
          </w:p>
        </w:tc>
        <w:tc>
          <w:tcPr>
            <w:tcW w:w="87" w:type="pct"/>
            <w:vMerge w:val="restart"/>
            <w:tcBorders>
              <w:top w:val="nil"/>
              <w:left w:val="single" w:sz="4" w:space="0" w:color="auto"/>
              <w:bottom w:val="nil"/>
              <w:right w:val="nil"/>
            </w:tcBorders>
            <w:shd w:val="clear" w:color="auto" w:fill="auto"/>
            <w:noWrap/>
            <w:vAlign w:val="center"/>
            <w:hideMark/>
          </w:tcPr>
          <w:p w14:paraId="64F31A6A" w14:textId="65FA6CD3"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4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4935D7" w14:textId="1B86368B"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89" w:type="pct"/>
            <w:vMerge w:val="restart"/>
            <w:tcBorders>
              <w:top w:val="nil"/>
              <w:left w:val="single" w:sz="4" w:space="0" w:color="auto"/>
              <w:bottom w:val="nil"/>
              <w:right w:val="single" w:sz="4" w:space="0" w:color="auto"/>
            </w:tcBorders>
            <w:shd w:val="clear" w:color="auto" w:fill="auto"/>
            <w:noWrap/>
            <w:vAlign w:val="center"/>
            <w:hideMark/>
          </w:tcPr>
          <w:p w14:paraId="6E04637A"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5CA35112" w14:textId="39693F26"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91" w:type="pct"/>
            <w:vMerge w:val="restart"/>
            <w:tcBorders>
              <w:top w:val="nil"/>
              <w:left w:val="single" w:sz="4" w:space="0" w:color="auto"/>
              <w:bottom w:val="nil"/>
              <w:right w:val="single" w:sz="4" w:space="0" w:color="auto"/>
            </w:tcBorders>
            <w:shd w:val="clear" w:color="auto" w:fill="auto"/>
            <w:noWrap/>
            <w:vAlign w:val="center"/>
            <w:hideMark/>
          </w:tcPr>
          <w:p w14:paraId="78FD095F"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006A02D3" w14:textId="1E5D6BFD"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62" w:type="pct"/>
            <w:vMerge w:val="restart"/>
            <w:tcBorders>
              <w:top w:val="nil"/>
              <w:left w:val="single" w:sz="4" w:space="0" w:color="auto"/>
              <w:bottom w:val="nil"/>
              <w:right w:val="single" w:sz="4" w:space="0" w:color="auto"/>
            </w:tcBorders>
            <w:shd w:val="clear" w:color="auto" w:fill="auto"/>
            <w:noWrap/>
            <w:vAlign w:val="center"/>
            <w:hideMark/>
          </w:tcPr>
          <w:p w14:paraId="7DFAFF9D" w14:textId="24CB6C23"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1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12D1543" w14:textId="455438CC"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89" w:type="pct"/>
            <w:vMerge w:val="restart"/>
            <w:tcBorders>
              <w:top w:val="nil"/>
              <w:left w:val="single" w:sz="4" w:space="0" w:color="auto"/>
              <w:bottom w:val="nil"/>
              <w:right w:val="single" w:sz="4" w:space="0" w:color="auto"/>
            </w:tcBorders>
            <w:shd w:val="clear" w:color="auto" w:fill="auto"/>
            <w:noWrap/>
            <w:vAlign w:val="center"/>
            <w:hideMark/>
          </w:tcPr>
          <w:p w14:paraId="4E89777C"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Av.</w:t>
            </w:r>
          </w:p>
          <w:p w14:paraId="59956A81" w14:textId="0AB9ADF0"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59" w:type="pct"/>
            <w:vMerge w:val="restart"/>
            <w:tcBorders>
              <w:top w:val="nil"/>
              <w:left w:val="single" w:sz="4" w:space="0" w:color="auto"/>
              <w:bottom w:val="nil"/>
              <w:right w:val="single" w:sz="4" w:space="0" w:color="auto"/>
            </w:tcBorders>
            <w:shd w:val="clear" w:color="auto" w:fill="auto"/>
            <w:noWrap/>
            <w:vAlign w:val="center"/>
            <w:hideMark/>
          </w:tcPr>
          <w:p w14:paraId="463EDD33"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5423B56C" w14:textId="74B8CFFB"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62" w:type="pct"/>
            <w:vMerge w:val="restart"/>
            <w:tcBorders>
              <w:top w:val="nil"/>
              <w:left w:val="single" w:sz="4" w:space="0" w:color="auto"/>
              <w:bottom w:val="nil"/>
              <w:right w:val="single" w:sz="4" w:space="0" w:color="auto"/>
            </w:tcBorders>
            <w:shd w:val="clear" w:color="auto" w:fill="auto"/>
            <w:noWrap/>
            <w:vAlign w:val="center"/>
            <w:hideMark/>
          </w:tcPr>
          <w:p w14:paraId="78F3D2E9" w14:textId="04DD0D2F"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1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CEF3D50" w14:textId="16AFEDA4"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219" w:type="pct"/>
            <w:vMerge w:val="restart"/>
            <w:tcBorders>
              <w:top w:val="nil"/>
              <w:left w:val="single" w:sz="4" w:space="0" w:color="auto"/>
              <w:bottom w:val="nil"/>
              <w:right w:val="single" w:sz="4" w:space="0" w:color="auto"/>
            </w:tcBorders>
            <w:shd w:val="clear" w:color="auto" w:fill="auto"/>
            <w:noWrap/>
            <w:vAlign w:val="center"/>
            <w:hideMark/>
          </w:tcPr>
          <w:p w14:paraId="03F059C3"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Av.</w:t>
            </w:r>
          </w:p>
          <w:p w14:paraId="41100BE4" w14:textId="36B052B3"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90" w:type="pct"/>
            <w:vMerge w:val="restart"/>
            <w:tcBorders>
              <w:top w:val="nil"/>
              <w:left w:val="single" w:sz="4" w:space="0" w:color="auto"/>
              <w:bottom w:val="nil"/>
              <w:right w:val="single" w:sz="4" w:space="0" w:color="auto"/>
            </w:tcBorders>
            <w:shd w:val="clear" w:color="auto" w:fill="auto"/>
            <w:noWrap/>
            <w:vAlign w:val="center"/>
            <w:hideMark/>
          </w:tcPr>
          <w:p w14:paraId="26AF991B"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1FA4FDE6" w14:textId="3991793A"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62" w:type="pct"/>
            <w:vMerge w:val="restart"/>
            <w:tcBorders>
              <w:top w:val="nil"/>
              <w:left w:val="single" w:sz="4" w:space="0" w:color="auto"/>
              <w:bottom w:val="nil"/>
              <w:right w:val="single" w:sz="4" w:space="0" w:color="auto"/>
            </w:tcBorders>
            <w:shd w:val="clear" w:color="auto" w:fill="auto"/>
            <w:noWrap/>
            <w:vAlign w:val="center"/>
            <w:hideMark/>
          </w:tcPr>
          <w:p w14:paraId="17AD32C1" w14:textId="013A8B4B"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78" w:type="pct"/>
            <w:gridSpan w:val="2"/>
            <w:tcBorders>
              <w:top w:val="single" w:sz="4" w:space="0" w:color="auto"/>
              <w:left w:val="nil"/>
              <w:bottom w:val="nil"/>
              <w:right w:val="single" w:sz="4" w:space="0" w:color="000000"/>
            </w:tcBorders>
            <w:shd w:val="clear" w:color="auto" w:fill="auto"/>
            <w:noWrap/>
            <w:vAlign w:val="bottom"/>
            <w:hideMark/>
          </w:tcPr>
          <w:p w14:paraId="6A80D38D" w14:textId="62423E36"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219" w:type="pct"/>
            <w:vMerge w:val="restart"/>
            <w:tcBorders>
              <w:top w:val="nil"/>
              <w:left w:val="single" w:sz="4" w:space="0" w:color="auto"/>
              <w:bottom w:val="nil"/>
              <w:right w:val="single" w:sz="4" w:space="0" w:color="auto"/>
            </w:tcBorders>
            <w:shd w:val="clear" w:color="auto" w:fill="auto"/>
            <w:noWrap/>
            <w:vAlign w:val="center"/>
            <w:hideMark/>
          </w:tcPr>
          <w:p w14:paraId="5E1A6BBC"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Av.</w:t>
            </w:r>
          </w:p>
          <w:p w14:paraId="6B40C653" w14:textId="36A3EAC2"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91" w:type="pct"/>
            <w:vMerge w:val="restart"/>
            <w:tcBorders>
              <w:top w:val="nil"/>
              <w:left w:val="single" w:sz="4" w:space="0" w:color="auto"/>
              <w:bottom w:val="nil"/>
              <w:right w:val="single" w:sz="4" w:space="0" w:color="auto"/>
            </w:tcBorders>
            <w:shd w:val="clear" w:color="auto" w:fill="auto"/>
            <w:noWrap/>
            <w:vAlign w:val="center"/>
            <w:hideMark/>
          </w:tcPr>
          <w:p w14:paraId="2F6C5228" w14:textId="77777777"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2F0552E4" w14:textId="69988C7D" w:rsidR="00002D2B" w:rsidRPr="00E87E42" w:rsidRDefault="00002D2B"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375" w:type="pct"/>
            <w:vMerge/>
            <w:tcBorders>
              <w:top w:val="nil"/>
              <w:left w:val="single" w:sz="4" w:space="0" w:color="auto"/>
              <w:bottom w:val="single" w:sz="4" w:space="0" w:color="auto"/>
              <w:right w:val="single" w:sz="4" w:space="0" w:color="auto"/>
            </w:tcBorders>
            <w:vAlign w:val="center"/>
            <w:hideMark/>
          </w:tcPr>
          <w:p w14:paraId="7A49CEAA" w14:textId="77777777" w:rsidR="00002D2B" w:rsidRPr="00E87E42" w:rsidRDefault="00002D2B" w:rsidP="00332F42">
            <w:pPr>
              <w:spacing w:after="0" w:line="240" w:lineRule="auto"/>
              <w:jc w:val="left"/>
              <w:rPr>
                <w:rFonts w:eastAsia="Times New Roman"/>
                <w:color w:val="000000"/>
                <w:sz w:val="16"/>
                <w:szCs w:val="16"/>
                <w:lang w:eastAsia="en-GB"/>
              </w:rPr>
            </w:pPr>
          </w:p>
        </w:tc>
        <w:tc>
          <w:tcPr>
            <w:tcW w:w="448" w:type="pct"/>
            <w:gridSpan w:val="2"/>
            <w:vMerge/>
            <w:tcBorders>
              <w:top w:val="single" w:sz="4" w:space="0" w:color="auto"/>
              <w:left w:val="single" w:sz="4" w:space="0" w:color="auto"/>
              <w:bottom w:val="single" w:sz="4" w:space="0" w:color="000000"/>
              <w:right w:val="nil"/>
            </w:tcBorders>
            <w:vAlign w:val="center"/>
            <w:hideMark/>
          </w:tcPr>
          <w:p w14:paraId="7C8A47CA" w14:textId="77777777" w:rsidR="00002D2B" w:rsidRPr="00E87E42" w:rsidRDefault="00002D2B" w:rsidP="00332F42">
            <w:pPr>
              <w:spacing w:after="0" w:line="240" w:lineRule="auto"/>
              <w:jc w:val="left"/>
              <w:rPr>
                <w:rFonts w:eastAsia="Times New Roman"/>
                <w:color w:val="000000"/>
                <w:sz w:val="16"/>
                <w:szCs w:val="16"/>
                <w:lang w:eastAsia="en-GB"/>
              </w:rPr>
            </w:pPr>
          </w:p>
        </w:tc>
        <w:tc>
          <w:tcPr>
            <w:tcW w:w="450" w:type="pct"/>
            <w:gridSpan w:val="2"/>
            <w:vMerge/>
            <w:tcBorders>
              <w:top w:val="single" w:sz="4" w:space="0" w:color="auto"/>
              <w:left w:val="single" w:sz="4" w:space="0" w:color="auto"/>
              <w:bottom w:val="single" w:sz="4" w:space="0" w:color="000000"/>
              <w:right w:val="single" w:sz="4" w:space="0" w:color="000000"/>
            </w:tcBorders>
            <w:vAlign w:val="center"/>
            <w:hideMark/>
          </w:tcPr>
          <w:p w14:paraId="5FF11049" w14:textId="77777777" w:rsidR="00002D2B" w:rsidRPr="00E87E42" w:rsidRDefault="00002D2B" w:rsidP="00332F42">
            <w:pPr>
              <w:spacing w:after="0" w:line="240" w:lineRule="auto"/>
              <w:jc w:val="left"/>
              <w:rPr>
                <w:rFonts w:eastAsia="Times New Roman"/>
                <w:color w:val="000000"/>
                <w:sz w:val="16"/>
                <w:szCs w:val="16"/>
                <w:lang w:eastAsia="en-GB"/>
              </w:rPr>
            </w:pPr>
          </w:p>
        </w:tc>
      </w:tr>
      <w:tr w:rsidR="00B508F9" w:rsidRPr="00E87E42" w14:paraId="68A98F5A" w14:textId="77777777" w:rsidTr="001D7A14">
        <w:trPr>
          <w:trHeight w:val="227"/>
        </w:trPr>
        <w:tc>
          <w:tcPr>
            <w:tcW w:w="59" w:type="pct"/>
            <w:tcBorders>
              <w:top w:val="nil"/>
              <w:left w:val="nil"/>
              <w:bottom w:val="single" w:sz="4" w:space="0" w:color="auto"/>
              <w:right w:val="single" w:sz="4" w:space="0" w:color="auto"/>
            </w:tcBorders>
            <w:shd w:val="clear" w:color="auto" w:fill="auto"/>
            <w:noWrap/>
            <w:vAlign w:val="bottom"/>
            <w:hideMark/>
          </w:tcPr>
          <w:p w14:paraId="382C88F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w:t>
            </w:r>
          </w:p>
        </w:tc>
        <w:tc>
          <w:tcPr>
            <w:tcW w:w="87" w:type="pct"/>
            <w:vMerge/>
            <w:tcBorders>
              <w:top w:val="nil"/>
              <w:left w:val="single" w:sz="4" w:space="0" w:color="auto"/>
              <w:bottom w:val="single" w:sz="4" w:space="0" w:color="auto"/>
              <w:right w:val="single" w:sz="4" w:space="0" w:color="auto"/>
            </w:tcBorders>
            <w:vAlign w:val="center"/>
            <w:hideMark/>
          </w:tcPr>
          <w:p w14:paraId="1F8EE79D"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87" w:type="pct"/>
            <w:vMerge/>
            <w:tcBorders>
              <w:top w:val="nil"/>
              <w:left w:val="single" w:sz="4" w:space="0" w:color="auto"/>
              <w:bottom w:val="single" w:sz="4" w:space="0" w:color="auto"/>
              <w:right w:val="nil"/>
            </w:tcBorders>
            <w:vAlign w:val="center"/>
            <w:hideMark/>
          </w:tcPr>
          <w:p w14:paraId="485825E3"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8B2439D" w14:textId="2ECCEA9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09" w:type="pct"/>
            <w:tcBorders>
              <w:top w:val="nil"/>
              <w:left w:val="nil"/>
              <w:bottom w:val="single" w:sz="4" w:space="0" w:color="auto"/>
              <w:right w:val="single" w:sz="4" w:space="0" w:color="auto"/>
            </w:tcBorders>
            <w:shd w:val="clear" w:color="auto" w:fill="auto"/>
            <w:noWrap/>
            <w:vAlign w:val="bottom"/>
            <w:hideMark/>
          </w:tcPr>
          <w:p w14:paraId="69D8C92E" w14:textId="065078F4"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89" w:type="pct"/>
            <w:vMerge/>
            <w:tcBorders>
              <w:top w:val="nil"/>
              <w:left w:val="single" w:sz="4" w:space="0" w:color="auto"/>
              <w:bottom w:val="single" w:sz="4" w:space="0" w:color="auto"/>
              <w:right w:val="single" w:sz="4" w:space="0" w:color="auto"/>
            </w:tcBorders>
            <w:vAlign w:val="center"/>
            <w:hideMark/>
          </w:tcPr>
          <w:p w14:paraId="3CAAE053"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191" w:type="pct"/>
            <w:vMerge/>
            <w:tcBorders>
              <w:top w:val="nil"/>
              <w:left w:val="single" w:sz="4" w:space="0" w:color="auto"/>
              <w:bottom w:val="single" w:sz="4" w:space="0" w:color="auto"/>
              <w:right w:val="single" w:sz="4" w:space="0" w:color="auto"/>
            </w:tcBorders>
            <w:vAlign w:val="center"/>
            <w:hideMark/>
          </w:tcPr>
          <w:p w14:paraId="026C983D"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62" w:type="pct"/>
            <w:vMerge/>
            <w:tcBorders>
              <w:top w:val="nil"/>
              <w:left w:val="single" w:sz="4" w:space="0" w:color="auto"/>
              <w:bottom w:val="single" w:sz="4" w:space="0" w:color="auto"/>
              <w:right w:val="single" w:sz="4" w:space="0" w:color="auto"/>
            </w:tcBorders>
            <w:vAlign w:val="center"/>
            <w:hideMark/>
          </w:tcPr>
          <w:p w14:paraId="1B190599"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209" w:type="pct"/>
            <w:tcBorders>
              <w:top w:val="nil"/>
              <w:left w:val="nil"/>
              <w:bottom w:val="single" w:sz="4" w:space="0" w:color="auto"/>
              <w:right w:val="single" w:sz="4" w:space="0" w:color="auto"/>
            </w:tcBorders>
            <w:shd w:val="clear" w:color="auto" w:fill="auto"/>
            <w:noWrap/>
            <w:vAlign w:val="bottom"/>
            <w:hideMark/>
          </w:tcPr>
          <w:p w14:paraId="29F88338" w14:textId="583CD0CD"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09" w:type="pct"/>
            <w:tcBorders>
              <w:top w:val="nil"/>
              <w:left w:val="nil"/>
              <w:bottom w:val="single" w:sz="4" w:space="0" w:color="auto"/>
              <w:right w:val="single" w:sz="4" w:space="0" w:color="auto"/>
            </w:tcBorders>
            <w:shd w:val="clear" w:color="auto" w:fill="auto"/>
            <w:noWrap/>
            <w:vAlign w:val="bottom"/>
            <w:hideMark/>
          </w:tcPr>
          <w:p w14:paraId="3DCED482" w14:textId="3023301A"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89" w:type="pct"/>
            <w:vMerge/>
            <w:tcBorders>
              <w:top w:val="nil"/>
              <w:left w:val="single" w:sz="4" w:space="0" w:color="auto"/>
              <w:bottom w:val="single" w:sz="4" w:space="0" w:color="auto"/>
              <w:right w:val="single" w:sz="4" w:space="0" w:color="auto"/>
            </w:tcBorders>
            <w:vAlign w:val="center"/>
            <w:hideMark/>
          </w:tcPr>
          <w:p w14:paraId="42BB5EE9"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159" w:type="pct"/>
            <w:vMerge/>
            <w:tcBorders>
              <w:top w:val="nil"/>
              <w:left w:val="single" w:sz="4" w:space="0" w:color="auto"/>
              <w:bottom w:val="single" w:sz="4" w:space="0" w:color="auto"/>
              <w:right w:val="single" w:sz="4" w:space="0" w:color="auto"/>
            </w:tcBorders>
            <w:vAlign w:val="center"/>
            <w:hideMark/>
          </w:tcPr>
          <w:p w14:paraId="2934E8C3"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62" w:type="pct"/>
            <w:vMerge/>
            <w:tcBorders>
              <w:top w:val="nil"/>
              <w:left w:val="single" w:sz="4" w:space="0" w:color="auto"/>
              <w:bottom w:val="single" w:sz="4" w:space="0" w:color="auto"/>
              <w:right w:val="single" w:sz="4" w:space="0" w:color="auto"/>
            </w:tcBorders>
            <w:vAlign w:val="center"/>
            <w:hideMark/>
          </w:tcPr>
          <w:p w14:paraId="6DD24BB1"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209" w:type="pct"/>
            <w:tcBorders>
              <w:top w:val="nil"/>
              <w:left w:val="nil"/>
              <w:bottom w:val="single" w:sz="4" w:space="0" w:color="auto"/>
              <w:right w:val="single" w:sz="4" w:space="0" w:color="auto"/>
            </w:tcBorders>
            <w:shd w:val="clear" w:color="auto" w:fill="auto"/>
            <w:noWrap/>
            <w:vAlign w:val="bottom"/>
            <w:hideMark/>
          </w:tcPr>
          <w:p w14:paraId="37AEB0C0" w14:textId="50F910F0"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09" w:type="pct"/>
            <w:tcBorders>
              <w:top w:val="nil"/>
              <w:left w:val="nil"/>
              <w:bottom w:val="single" w:sz="4" w:space="0" w:color="auto"/>
              <w:right w:val="single" w:sz="4" w:space="0" w:color="auto"/>
            </w:tcBorders>
            <w:shd w:val="clear" w:color="auto" w:fill="auto"/>
            <w:noWrap/>
            <w:vAlign w:val="bottom"/>
            <w:hideMark/>
          </w:tcPr>
          <w:p w14:paraId="43BF7B82" w14:textId="7E0BA991"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219" w:type="pct"/>
            <w:vMerge/>
            <w:tcBorders>
              <w:top w:val="nil"/>
              <w:left w:val="single" w:sz="4" w:space="0" w:color="auto"/>
              <w:bottom w:val="single" w:sz="4" w:space="0" w:color="auto"/>
              <w:right w:val="single" w:sz="4" w:space="0" w:color="auto"/>
            </w:tcBorders>
            <w:vAlign w:val="center"/>
            <w:hideMark/>
          </w:tcPr>
          <w:p w14:paraId="23F20830"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190" w:type="pct"/>
            <w:vMerge/>
            <w:tcBorders>
              <w:top w:val="nil"/>
              <w:left w:val="single" w:sz="4" w:space="0" w:color="auto"/>
              <w:bottom w:val="single" w:sz="4" w:space="0" w:color="auto"/>
              <w:right w:val="single" w:sz="4" w:space="0" w:color="auto"/>
            </w:tcBorders>
            <w:vAlign w:val="center"/>
            <w:hideMark/>
          </w:tcPr>
          <w:p w14:paraId="1730EABD"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62" w:type="pct"/>
            <w:vMerge/>
            <w:tcBorders>
              <w:top w:val="nil"/>
              <w:left w:val="single" w:sz="4" w:space="0" w:color="auto"/>
              <w:bottom w:val="single" w:sz="4" w:space="0" w:color="auto"/>
              <w:right w:val="single" w:sz="4" w:space="0" w:color="auto"/>
            </w:tcBorders>
            <w:vAlign w:val="center"/>
            <w:hideMark/>
          </w:tcPr>
          <w:p w14:paraId="4AAA0B35"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14:paraId="787CD315" w14:textId="20750C79"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39" w:type="pct"/>
            <w:tcBorders>
              <w:top w:val="single" w:sz="4" w:space="0" w:color="auto"/>
              <w:left w:val="nil"/>
              <w:bottom w:val="single" w:sz="4" w:space="0" w:color="auto"/>
              <w:right w:val="single" w:sz="4" w:space="0" w:color="auto"/>
            </w:tcBorders>
            <w:shd w:val="clear" w:color="auto" w:fill="auto"/>
            <w:noWrap/>
            <w:vAlign w:val="bottom"/>
            <w:hideMark/>
          </w:tcPr>
          <w:p w14:paraId="67BABCDF" w14:textId="456C4DE8"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219" w:type="pct"/>
            <w:vMerge/>
            <w:tcBorders>
              <w:top w:val="nil"/>
              <w:left w:val="single" w:sz="4" w:space="0" w:color="auto"/>
              <w:bottom w:val="single" w:sz="4" w:space="0" w:color="auto"/>
              <w:right w:val="single" w:sz="4" w:space="0" w:color="auto"/>
            </w:tcBorders>
            <w:vAlign w:val="center"/>
            <w:hideMark/>
          </w:tcPr>
          <w:p w14:paraId="01EC94C0"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191" w:type="pct"/>
            <w:vMerge/>
            <w:tcBorders>
              <w:top w:val="nil"/>
              <w:left w:val="single" w:sz="4" w:space="0" w:color="auto"/>
              <w:bottom w:val="single" w:sz="4" w:space="0" w:color="auto"/>
              <w:right w:val="single" w:sz="4" w:space="0" w:color="auto"/>
            </w:tcBorders>
            <w:vAlign w:val="center"/>
            <w:hideMark/>
          </w:tcPr>
          <w:p w14:paraId="6C134624"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375" w:type="pct"/>
            <w:vMerge/>
            <w:tcBorders>
              <w:top w:val="nil"/>
              <w:left w:val="single" w:sz="4" w:space="0" w:color="auto"/>
              <w:bottom w:val="single" w:sz="4" w:space="0" w:color="auto"/>
              <w:right w:val="single" w:sz="4" w:space="0" w:color="auto"/>
            </w:tcBorders>
            <w:vAlign w:val="center"/>
            <w:hideMark/>
          </w:tcPr>
          <w:p w14:paraId="3A76BC5B"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209" w:type="pct"/>
            <w:tcBorders>
              <w:top w:val="nil"/>
              <w:left w:val="nil"/>
              <w:bottom w:val="single" w:sz="4" w:space="0" w:color="auto"/>
              <w:right w:val="nil"/>
            </w:tcBorders>
            <w:shd w:val="clear" w:color="auto" w:fill="auto"/>
            <w:noWrap/>
            <w:vAlign w:val="bottom"/>
            <w:hideMark/>
          </w:tcPr>
          <w:p w14:paraId="7824C167" w14:textId="09466462"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39" w:type="pct"/>
            <w:tcBorders>
              <w:top w:val="nil"/>
              <w:left w:val="single" w:sz="4" w:space="0" w:color="auto"/>
              <w:bottom w:val="single" w:sz="4" w:space="0" w:color="auto"/>
              <w:right w:val="single" w:sz="4" w:space="0" w:color="auto"/>
            </w:tcBorders>
            <w:shd w:val="clear" w:color="auto" w:fill="auto"/>
            <w:noWrap/>
            <w:vAlign w:val="bottom"/>
            <w:hideMark/>
          </w:tcPr>
          <w:p w14:paraId="351C7E29" w14:textId="5F603C5C"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c>
          <w:tcPr>
            <w:tcW w:w="209" w:type="pct"/>
            <w:tcBorders>
              <w:top w:val="nil"/>
              <w:left w:val="nil"/>
              <w:bottom w:val="single" w:sz="4" w:space="0" w:color="auto"/>
              <w:right w:val="nil"/>
            </w:tcBorders>
            <w:shd w:val="clear" w:color="auto" w:fill="auto"/>
            <w:noWrap/>
            <w:vAlign w:val="bottom"/>
            <w:hideMark/>
          </w:tcPr>
          <w:p w14:paraId="2120BA8C" w14:textId="1E74851D"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1" w:type="pct"/>
            <w:tcBorders>
              <w:top w:val="nil"/>
              <w:left w:val="single" w:sz="4" w:space="0" w:color="auto"/>
              <w:bottom w:val="single" w:sz="4" w:space="0" w:color="auto"/>
              <w:right w:val="single" w:sz="4" w:space="0" w:color="auto"/>
            </w:tcBorders>
            <w:shd w:val="clear" w:color="auto" w:fill="auto"/>
            <w:noWrap/>
            <w:vAlign w:val="bottom"/>
            <w:hideMark/>
          </w:tcPr>
          <w:p w14:paraId="7FA1438E" w14:textId="23C2419B"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r>
      <w:tr w:rsidR="00B508F9" w:rsidRPr="00E87E42" w14:paraId="5A8A6570" w14:textId="77777777" w:rsidTr="001D7A14">
        <w:trPr>
          <w:trHeight w:val="227"/>
        </w:trPr>
        <w:tc>
          <w:tcPr>
            <w:tcW w:w="59" w:type="pct"/>
            <w:tcBorders>
              <w:top w:val="single" w:sz="4" w:space="0" w:color="auto"/>
              <w:left w:val="single" w:sz="4" w:space="0" w:color="auto"/>
              <w:bottom w:val="single" w:sz="4" w:space="0" w:color="auto"/>
              <w:right w:val="nil"/>
            </w:tcBorders>
            <w:shd w:val="clear" w:color="auto" w:fill="auto"/>
            <w:noWrap/>
            <w:vAlign w:val="bottom"/>
            <w:hideMark/>
          </w:tcPr>
          <w:p w14:paraId="4BED57C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87" w:type="pct"/>
            <w:tcBorders>
              <w:top w:val="single" w:sz="4" w:space="0" w:color="auto"/>
              <w:left w:val="single" w:sz="4" w:space="0" w:color="auto"/>
              <w:bottom w:val="single" w:sz="4" w:space="0" w:color="808080"/>
              <w:right w:val="single" w:sz="4" w:space="0" w:color="auto"/>
            </w:tcBorders>
            <w:shd w:val="clear" w:color="auto" w:fill="auto"/>
            <w:noWrap/>
            <w:vAlign w:val="bottom"/>
            <w:hideMark/>
          </w:tcPr>
          <w:p w14:paraId="6B4D05D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47</w:t>
            </w:r>
          </w:p>
        </w:tc>
        <w:tc>
          <w:tcPr>
            <w:tcW w:w="87" w:type="pct"/>
            <w:tcBorders>
              <w:top w:val="single" w:sz="4" w:space="0" w:color="auto"/>
              <w:left w:val="nil"/>
              <w:bottom w:val="single" w:sz="4" w:space="0" w:color="808080"/>
              <w:right w:val="single" w:sz="4" w:space="0" w:color="808080"/>
            </w:tcBorders>
            <w:shd w:val="clear" w:color="auto" w:fill="auto"/>
            <w:noWrap/>
            <w:vAlign w:val="bottom"/>
            <w:hideMark/>
          </w:tcPr>
          <w:p w14:paraId="04E705A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w:t>
            </w:r>
          </w:p>
        </w:tc>
        <w:tc>
          <w:tcPr>
            <w:tcW w:w="238" w:type="pct"/>
            <w:tcBorders>
              <w:top w:val="single" w:sz="4" w:space="0" w:color="auto"/>
              <w:left w:val="nil"/>
              <w:bottom w:val="single" w:sz="4" w:space="0" w:color="808080"/>
              <w:right w:val="single" w:sz="4" w:space="0" w:color="808080"/>
            </w:tcBorders>
            <w:shd w:val="clear" w:color="auto" w:fill="auto"/>
            <w:noWrap/>
            <w:vAlign w:val="bottom"/>
            <w:hideMark/>
          </w:tcPr>
          <w:p w14:paraId="2DD139E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88.89%</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4EA62E86"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31.07%</w:t>
            </w:r>
          </w:p>
        </w:tc>
        <w:tc>
          <w:tcPr>
            <w:tcW w:w="189" w:type="pct"/>
            <w:tcBorders>
              <w:top w:val="single" w:sz="4" w:space="0" w:color="auto"/>
              <w:left w:val="nil"/>
              <w:bottom w:val="single" w:sz="4" w:space="0" w:color="808080"/>
              <w:right w:val="single" w:sz="4" w:space="0" w:color="808080"/>
            </w:tcBorders>
            <w:shd w:val="clear" w:color="auto" w:fill="auto"/>
            <w:noWrap/>
            <w:vAlign w:val="bottom"/>
            <w:hideMark/>
          </w:tcPr>
          <w:p w14:paraId="5853B6F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105.44</w:t>
            </w:r>
          </w:p>
        </w:tc>
        <w:tc>
          <w:tcPr>
            <w:tcW w:w="191" w:type="pct"/>
            <w:tcBorders>
              <w:top w:val="single" w:sz="4" w:space="0" w:color="auto"/>
              <w:left w:val="nil"/>
              <w:bottom w:val="single" w:sz="4" w:space="0" w:color="808080"/>
              <w:right w:val="single" w:sz="4" w:space="0" w:color="auto"/>
            </w:tcBorders>
            <w:shd w:val="clear" w:color="auto" w:fill="auto"/>
            <w:noWrap/>
            <w:vAlign w:val="bottom"/>
            <w:hideMark/>
          </w:tcPr>
          <w:p w14:paraId="1E9E742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105.44</w:t>
            </w:r>
          </w:p>
        </w:tc>
        <w:tc>
          <w:tcPr>
            <w:tcW w:w="62" w:type="pct"/>
            <w:tcBorders>
              <w:top w:val="single" w:sz="4" w:space="0" w:color="auto"/>
              <w:left w:val="nil"/>
              <w:bottom w:val="single" w:sz="4" w:space="0" w:color="808080"/>
              <w:right w:val="single" w:sz="4" w:space="0" w:color="808080"/>
            </w:tcBorders>
            <w:shd w:val="clear" w:color="auto" w:fill="auto"/>
            <w:noWrap/>
            <w:vAlign w:val="bottom"/>
            <w:hideMark/>
          </w:tcPr>
          <w:p w14:paraId="3FDBAB6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694B6C1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2.78%</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0D7E170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6.25%</w:t>
            </w:r>
          </w:p>
        </w:tc>
        <w:tc>
          <w:tcPr>
            <w:tcW w:w="189" w:type="pct"/>
            <w:tcBorders>
              <w:top w:val="single" w:sz="4" w:space="0" w:color="auto"/>
              <w:left w:val="nil"/>
              <w:bottom w:val="single" w:sz="4" w:space="0" w:color="808080"/>
              <w:right w:val="single" w:sz="4" w:space="0" w:color="808080"/>
            </w:tcBorders>
            <w:shd w:val="clear" w:color="auto" w:fill="auto"/>
            <w:noWrap/>
            <w:vAlign w:val="bottom"/>
            <w:hideMark/>
          </w:tcPr>
          <w:p w14:paraId="39473B1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0.98</w:t>
            </w:r>
          </w:p>
        </w:tc>
        <w:tc>
          <w:tcPr>
            <w:tcW w:w="159" w:type="pct"/>
            <w:tcBorders>
              <w:top w:val="single" w:sz="4" w:space="0" w:color="auto"/>
              <w:left w:val="nil"/>
              <w:bottom w:val="single" w:sz="4" w:space="0" w:color="808080"/>
              <w:right w:val="single" w:sz="4" w:space="0" w:color="auto"/>
            </w:tcBorders>
            <w:shd w:val="clear" w:color="auto" w:fill="auto"/>
            <w:noWrap/>
            <w:vAlign w:val="bottom"/>
            <w:hideMark/>
          </w:tcPr>
          <w:p w14:paraId="7CB3CF3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0.32</w:t>
            </w:r>
          </w:p>
        </w:tc>
        <w:tc>
          <w:tcPr>
            <w:tcW w:w="62" w:type="pct"/>
            <w:tcBorders>
              <w:top w:val="single" w:sz="4" w:space="0" w:color="auto"/>
              <w:left w:val="nil"/>
              <w:bottom w:val="single" w:sz="4" w:space="0" w:color="808080"/>
              <w:right w:val="single" w:sz="4" w:space="0" w:color="808080"/>
            </w:tcBorders>
            <w:shd w:val="clear" w:color="auto" w:fill="auto"/>
            <w:noWrap/>
            <w:vAlign w:val="bottom"/>
            <w:hideMark/>
          </w:tcPr>
          <w:p w14:paraId="1921E26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43F7467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0057DE5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9" w:type="pct"/>
            <w:tcBorders>
              <w:top w:val="single" w:sz="4" w:space="0" w:color="auto"/>
              <w:left w:val="nil"/>
              <w:bottom w:val="single" w:sz="4" w:space="0" w:color="808080"/>
              <w:right w:val="single" w:sz="4" w:space="0" w:color="808080"/>
            </w:tcBorders>
            <w:shd w:val="clear" w:color="auto" w:fill="auto"/>
            <w:noWrap/>
            <w:vAlign w:val="bottom"/>
            <w:hideMark/>
          </w:tcPr>
          <w:p w14:paraId="45F85FA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0" w:type="pct"/>
            <w:tcBorders>
              <w:top w:val="single" w:sz="4" w:space="0" w:color="auto"/>
              <w:left w:val="nil"/>
              <w:bottom w:val="single" w:sz="4" w:space="0" w:color="808080"/>
              <w:right w:val="single" w:sz="4" w:space="0" w:color="auto"/>
            </w:tcBorders>
            <w:shd w:val="clear" w:color="auto" w:fill="auto"/>
            <w:noWrap/>
            <w:vAlign w:val="bottom"/>
            <w:hideMark/>
          </w:tcPr>
          <w:p w14:paraId="647B6E0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2" w:type="pct"/>
            <w:tcBorders>
              <w:top w:val="single" w:sz="4" w:space="0" w:color="auto"/>
              <w:left w:val="nil"/>
              <w:bottom w:val="single" w:sz="4" w:space="0" w:color="808080"/>
              <w:right w:val="single" w:sz="4" w:space="0" w:color="808080"/>
            </w:tcBorders>
            <w:shd w:val="clear" w:color="auto" w:fill="auto"/>
            <w:noWrap/>
            <w:vAlign w:val="bottom"/>
            <w:hideMark/>
          </w:tcPr>
          <w:p w14:paraId="6E38E64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239" w:type="pct"/>
            <w:tcBorders>
              <w:top w:val="single" w:sz="4" w:space="0" w:color="auto"/>
              <w:left w:val="nil"/>
              <w:bottom w:val="single" w:sz="4" w:space="0" w:color="808080"/>
              <w:right w:val="single" w:sz="4" w:space="0" w:color="808080"/>
            </w:tcBorders>
            <w:shd w:val="clear" w:color="auto" w:fill="auto"/>
            <w:noWrap/>
            <w:vAlign w:val="bottom"/>
            <w:hideMark/>
          </w:tcPr>
          <w:p w14:paraId="17E6DC3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8.33%</w:t>
            </w:r>
          </w:p>
        </w:tc>
        <w:tc>
          <w:tcPr>
            <w:tcW w:w="239" w:type="pct"/>
            <w:tcBorders>
              <w:top w:val="single" w:sz="4" w:space="0" w:color="auto"/>
              <w:left w:val="nil"/>
              <w:bottom w:val="single" w:sz="4" w:space="0" w:color="808080"/>
              <w:right w:val="single" w:sz="4" w:space="0" w:color="808080"/>
            </w:tcBorders>
            <w:shd w:val="clear" w:color="auto" w:fill="auto"/>
            <w:noWrap/>
            <w:vAlign w:val="bottom"/>
            <w:hideMark/>
          </w:tcPr>
          <w:p w14:paraId="0E9A898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18.75%</w:t>
            </w:r>
          </w:p>
        </w:tc>
        <w:tc>
          <w:tcPr>
            <w:tcW w:w="219" w:type="pct"/>
            <w:tcBorders>
              <w:top w:val="single" w:sz="4" w:space="0" w:color="auto"/>
              <w:left w:val="nil"/>
              <w:bottom w:val="single" w:sz="4" w:space="0" w:color="808080"/>
              <w:right w:val="single" w:sz="4" w:space="0" w:color="808080"/>
            </w:tcBorders>
            <w:shd w:val="clear" w:color="auto" w:fill="auto"/>
            <w:noWrap/>
            <w:vAlign w:val="bottom"/>
            <w:hideMark/>
          </w:tcPr>
          <w:p w14:paraId="599B340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600.90</w:t>
            </w:r>
          </w:p>
        </w:tc>
        <w:tc>
          <w:tcPr>
            <w:tcW w:w="191" w:type="pct"/>
            <w:tcBorders>
              <w:top w:val="single" w:sz="4" w:space="0" w:color="auto"/>
              <w:left w:val="nil"/>
              <w:bottom w:val="single" w:sz="4" w:space="0" w:color="808080"/>
              <w:right w:val="nil"/>
            </w:tcBorders>
            <w:shd w:val="clear" w:color="auto" w:fill="auto"/>
            <w:noWrap/>
            <w:vAlign w:val="bottom"/>
            <w:hideMark/>
          </w:tcPr>
          <w:p w14:paraId="3227893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81.94</w:t>
            </w:r>
          </w:p>
        </w:tc>
        <w:tc>
          <w:tcPr>
            <w:tcW w:w="375" w:type="pct"/>
            <w:tcBorders>
              <w:top w:val="single" w:sz="4" w:space="0" w:color="auto"/>
              <w:left w:val="single" w:sz="4" w:space="0" w:color="auto"/>
              <w:bottom w:val="single" w:sz="4" w:space="0" w:color="808080"/>
              <w:right w:val="single" w:sz="4" w:space="0" w:color="auto"/>
            </w:tcBorders>
            <w:shd w:val="clear" w:color="auto" w:fill="auto"/>
            <w:noWrap/>
            <w:vAlign w:val="bottom"/>
            <w:hideMark/>
          </w:tcPr>
          <w:p w14:paraId="31C713C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143.82</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3D4EF0F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25.53%</w:t>
            </w:r>
          </w:p>
        </w:tc>
        <w:tc>
          <w:tcPr>
            <w:tcW w:w="239" w:type="pct"/>
            <w:tcBorders>
              <w:top w:val="single" w:sz="4" w:space="0" w:color="auto"/>
              <w:left w:val="nil"/>
              <w:bottom w:val="single" w:sz="4" w:space="0" w:color="808080"/>
              <w:right w:val="single" w:sz="4" w:space="0" w:color="808080"/>
            </w:tcBorders>
            <w:shd w:val="clear" w:color="auto" w:fill="auto"/>
            <w:noWrap/>
            <w:vAlign w:val="bottom"/>
            <w:hideMark/>
          </w:tcPr>
          <w:p w14:paraId="187E2F1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25.53%</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3BE20BA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31.13%</w:t>
            </w:r>
          </w:p>
        </w:tc>
        <w:tc>
          <w:tcPr>
            <w:tcW w:w="241" w:type="pct"/>
            <w:tcBorders>
              <w:top w:val="single" w:sz="4" w:space="0" w:color="auto"/>
              <w:left w:val="nil"/>
              <w:bottom w:val="single" w:sz="4" w:space="0" w:color="808080"/>
              <w:right w:val="single" w:sz="4" w:space="0" w:color="auto"/>
            </w:tcBorders>
            <w:shd w:val="clear" w:color="auto" w:fill="auto"/>
            <w:noWrap/>
            <w:vAlign w:val="bottom"/>
            <w:hideMark/>
          </w:tcPr>
          <w:p w14:paraId="69E6E92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31.13%</w:t>
            </w:r>
          </w:p>
        </w:tc>
      </w:tr>
      <w:tr w:rsidR="00B508F9" w:rsidRPr="00E87E42" w14:paraId="500F6DBA" w14:textId="77777777" w:rsidTr="001D7A14">
        <w:trPr>
          <w:trHeight w:val="227"/>
        </w:trPr>
        <w:tc>
          <w:tcPr>
            <w:tcW w:w="59" w:type="pct"/>
            <w:tcBorders>
              <w:top w:val="nil"/>
              <w:left w:val="single" w:sz="4" w:space="0" w:color="auto"/>
              <w:bottom w:val="single" w:sz="4" w:space="0" w:color="auto"/>
              <w:right w:val="nil"/>
            </w:tcBorders>
            <w:shd w:val="clear" w:color="auto" w:fill="auto"/>
            <w:noWrap/>
            <w:vAlign w:val="bottom"/>
            <w:hideMark/>
          </w:tcPr>
          <w:p w14:paraId="0A625A5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87" w:type="pct"/>
            <w:tcBorders>
              <w:top w:val="single" w:sz="4" w:space="0" w:color="808080"/>
              <w:left w:val="single" w:sz="4" w:space="0" w:color="auto"/>
              <w:bottom w:val="single" w:sz="4" w:space="0" w:color="808080"/>
              <w:right w:val="single" w:sz="4" w:space="0" w:color="auto"/>
            </w:tcBorders>
            <w:shd w:val="clear" w:color="auto" w:fill="auto"/>
            <w:noWrap/>
            <w:vAlign w:val="bottom"/>
            <w:hideMark/>
          </w:tcPr>
          <w:p w14:paraId="7A30C7F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73</w:t>
            </w:r>
          </w:p>
        </w:tc>
        <w:tc>
          <w:tcPr>
            <w:tcW w:w="87" w:type="pct"/>
            <w:tcBorders>
              <w:top w:val="nil"/>
              <w:left w:val="nil"/>
              <w:bottom w:val="single" w:sz="4" w:space="0" w:color="808080"/>
              <w:right w:val="single" w:sz="4" w:space="0" w:color="808080"/>
            </w:tcBorders>
            <w:shd w:val="clear" w:color="auto" w:fill="auto"/>
            <w:noWrap/>
            <w:vAlign w:val="bottom"/>
            <w:hideMark/>
          </w:tcPr>
          <w:p w14:paraId="3C7370E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52</w:t>
            </w:r>
          </w:p>
        </w:tc>
        <w:tc>
          <w:tcPr>
            <w:tcW w:w="238" w:type="pct"/>
            <w:tcBorders>
              <w:top w:val="nil"/>
              <w:left w:val="nil"/>
              <w:bottom w:val="single" w:sz="4" w:space="0" w:color="808080"/>
              <w:right w:val="single" w:sz="4" w:space="0" w:color="808080"/>
            </w:tcBorders>
            <w:shd w:val="clear" w:color="auto" w:fill="auto"/>
            <w:noWrap/>
            <w:vAlign w:val="bottom"/>
            <w:hideMark/>
          </w:tcPr>
          <w:p w14:paraId="33BFD7B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88.14%</w:t>
            </w:r>
          </w:p>
        </w:tc>
        <w:tc>
          <w:tcPr>
            <w:tcW w:w="209" w:type="pct"/>
            <w:tcBorders>
              <w:top w:val="nil"/>
              <w:left w:val="nil"/>
              <w:bottom w:val="single" w:sz="4" w:space="0" w:color="808080"/>
              <w:right w:val="single" w:sz="4" w:space="0" w:color="808080"/>
            </w:tcBorders>
            <w:shd w:val="clear" w:color="auto" w:fill="auto"/>
            <w:noWrap/>
            <w:vAlign w:val="bottom"/>
            <w:hideMark/>
          </w:tcPr>
          <w:p w14:paraId="61C25F7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50.49%</w:t>
            </w:r>
          </w:p>
        </w:tc>
        <w:tc>
          <w:tcPr>
            <w:tcW w:w="189" w:type="pct"/>
            <w:tcBorders>
              <w:top w:val="nil"/>
              <w:left w:val="nil"/>
              <w:bottom w:val="single" w:sz="4" w:space="0" w:color="808080"/>
              <w:right w:val="single" w:sz="4" w:space="0" w:color="808080"/>
            </w:tcBorders>
            <w:shd w:val="clear" w:color="auto" w:fill="auto"/>
            <w:noWrap/>
            <w:vAlign w:val="bottom"/>
            <w:hideMark/>
          </w:tcPr>
          <w:p w14:paraId="78D6357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347.17</w:t>
            </w:r>
          </w:p>
        </w:tc>
        <w:tc>
          <w:tcPr>
            <w:tcW w:w="191" w:type="pct"/>
            <w:tcBorders>
              <w:top w:val="nil"/>
              <w:left w:val="nil"/>
              <w:bottom w:val="single" w:sz="4" w:space="0" w:color="808080"/>
              <w:right w:val="single" w:sz="4" w:space="0" w:color="auto"/>
            </w:tcBorders>
            <w:shd w:val="clear" w:color="auto" w:fill="auto"/>
            <w:noWrap/>
            <w:vAlign w:val="bottom"/>
            <w:hideMark/>
          </w:tcPr>
          <w:p w14:paraId="4CCE2E7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347.17</w:t>
            </w:r>
          </w:p>
        </w:tc>
        <w:tc>
          <w:tcPr>
            <w:tcW w:w="62" w:type="pct"/>
            <w:tcBorders>
              <w:top w:val="nil"/>
              <w:left w:val="nil"/>
              <w:bottom w:val="single" w:sz="4" w:space="0" w:color="808080"/>
              <w:right w:val="single" w:sz="4" w:space="0" w:color="808080"/>
            </w:tcBorders>
            <w:shd w:val="clear" w:color="auto" w:fill="auto"/>
            <w:noWrap/>
            <w:vAlign w:val="bottom"/>
            <w:hideMark/>
          </w:tcPr>
          <w:p w14:paraId="1CDA287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209" w:type="pct"/>
            <w:tcBorders>
              <w:top w:val="nil"/>
              <w:left w:val="nil"/>
              <w:bottom w:val="single" w:sz="4" w:space="0" w:color="808080"/>
              <w:right w:val="single" w:sz="4" w:space="0" w:color="808080"/>
            </w:tcBorders>
            <w:shd w:val="clear" w:color="auto" w:fill="auto"/>
            <w:noWrap/>
            <w:vAlign w:val="bottom"/>
            <w:hideMark/>
          </w:tcPr>
          <w:p w14:paraId="784FE3E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8.47%</w:t>
            </w:r>
          </w:p>
        </w:tc>
        <w:tc>
          <w:tcPr>
            <w:tcW w:w="209" w:type="pct"/>
            <w:tcBorders>
              <w:top w:val="nil"/>
              <w:left w:val="nil"/>
              <w:bottom w:val="single" w:sz="4" w:space="0" w:color="808080"/>
              <w:right w:val="single" w:sz="4" w:space="0" w:color="808080"/>
            </w:tcBorders>
            <w:shd w:val="clear" w:color="auto" w:fill="auto"/>
            <w:noWrap/>
            <w:vAlign w:val="bottom"/>
            <w:hideMark/>
          </w:tcPr>
          <w:p w14:paraId="2BE7F4D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31.25%</w:t>
            </w:r>
          </w:p>
        </w:tc>
        <w:tc>
          <w:tcPr>
            <w:tcW w:w="189" w:type="pct"/>
            <w:tcBorders>
              <w:top w:val="nil"/>
              <w:left w:val="nil"/>
              <w:bottom w:val="single" w:sz="4" w:space="0" w:color="808080"/>
              <w:right w:val="single" w:sz="4" w:space="0" w:color="808080"/>
            </w:tcBorders>
            <w:shd w:val="clear" w:color="auto" w:fill="auto"/>
            <w:noWrap/>
            <w:vAlign w:val="bottom"/>
            <w:hideMark/>
          </w:tcPr>
          <w:p w14:paraId="7CA955D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112.37</w:t>
            </w:r>
          </w:p>
        </w:tc>
        <w:tc>
          <w:tcPr>
            <w:tcW w:w="159" w:type="pct"/>
            <w:tcBorders>
              <w:top w:val="nil"/>
              <w:left w:val="nil"/>
              <w:bottom w:val="single" w:sz="4" w:space="0" w:color="808080"/>
              <w:right w:val="single" w:sz="4" w:space="0" w:color="auto"/>
            </w:tcBorders>
            <w:shd w:val="clear" w:color="auto" w:fill="auto"/>
            <w:noWrap/>
            <w:vAlign w:val="bottom"/>
            <w:hideMark/>
          </w:tcPr>
          <w:p w14:paraId="074F029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36.44</w:t>
            </w:r>
          </w:p>
        </w:tc>
        <w:tc>
          <w:tcPr>
            <w:tcW w:w="62" w:type="pct"/>
            <w:tcBorders>
              <w:top w:val="nil"/>
              <w:left w:val="nil"/>
              <w:bottom w:val="single" w:sz="4" w:space="0" w:color="808080"/>
              <w:right w:val="single" w:sz="4" w:space="0" w:color="808080"/>
            </w:tcBorders>
            <w:shd w:val="clear" w:color="auto" w:fill="auto"/>
            <w:noWrap/>
            <w:vAlign w:val="bottom"/>
            <w:hideMark/>
          </w:tcPr>
          <w:p w14:paraId="7D23C48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09" w:type="pct"/>
            <w:tcBorders>
              <w:top w:val="nil"/>
              <w:left w:val="nil"/>
              <w:bottom w:val="single" w:sz="4" w:space="0" w:color="808080"/>
              <w:right w:val="single" w:sz="4" w:space="0" w:color="808080"/>
            </w:tcBorders>
            <w:shd w:val="clear" w:color="auto" w:fill="auto"/>
            <w:noWrap/>
            <w:vAlign w:val="bottom"/>
            <w:hideMark/>
          </w:tcPr>
          <w:p w14:paraId="60386A0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3.39%</w:t>
            </w:r>
          </w:p>
        </w:tc>
        <w:tc>
          <w:tcPr>
            <w:tcW w:w="209" w:type="pct"/>
            <w:tcBorders>
              <w:top w:val="nil"/>
              <w:left w:val="nil"/>
              <w:bottom w:val="single" w:sz="4" w:space="0" w:color="808080"/>
              <w:right w:val="single" w:sz="4" w:space="0" w:color="808080"/>
            </w:tcBorders>
            <w:shd w:val="clear" w:color="auto" w:fill="auto"/>
            <w:noWrap/>
            <w:vAlign w:val="bottom"/>
            <w:hideMark/>
          </w:tcPr>
          <w:p w14:paraId="6F4884D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33.33%</w:t>
            </w:r>
          </w:p>
        </w:tc>
        <w:tc>
          <w:tcPr>
            <w:tcW w:w="219" w:type="pct"/>
            <w:tcBorders>
              <w:top w:val="nil"/>
              <w:left w:val="nil"/>
              <w:bottom w:val="single" w:sz="4" w:space="0" w:color="808080"/>
              <w:right w:val="single" w:sz="4" w:space="0" w:color="808080"/>
            </w:tcBorders>
            <w:shd w:val="clear" w:color="auto" w:fill="auto"/>
            <w:noWrap/>
            <w:vAlign w:val="bottom"/>
            <w:hideMark/>
          </w:tcPr>
          <w:p w14:paraId="4C1D982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528.00</w:t>
            </w:r>
          </w:p>
        </w:tc>
        <w:tc>
          <w:tcPr>
            <w:tcW w:w="190" w:type="pct"/>
            <w:tcBorders>
              <w:top w:val="nil"/>
              <w:left w:val="nil"/>
              <w:bottom w:val="single" w:sz="4" w:space="0" w:color="808080"/>
              <w:right w:val="single" w:sz="4" w:space="0" w:color="auto"/>
            </w:tcBorders>
            <w:shd w:val="clear" w:color="auto" w:fill="auto"/>
            <w:noWrap/>
            <w:vAlign w:val="bottom"/>
            <w:hideMark/>
          </w:tcPr>
          <w:p w14:paraId="26620A6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102.19</w:t>
            </w:r>
          </w:p>
        </w:tc>
        <w:tc>
          <w:tcPr>
            <w:tcW w:w="62" w:type="pct"/>
            <w:tcBorders>
              <w:top w:val="nil"/>
              <w:left w:val="nil"/>
              <w:bottom w:val="single" w:sz="4" w:space="0" w:color="808080"/>
              <w:right w:val="single" w:sz="4" w:space="0" w:color="808080"/>
            </w:tcBorders>
            <w:shd w:val="clear" w:color="auto" w:fill="auto"/>
            <w:noWrap/>
            <w:vAlign w:val="bottom"/>
            <w:hideMark/>
          </w:tcPr>
          <w:p w14:paraId="1A36A24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39" w:type="pct"/>
            <w:tcBorders>
              <w:top w:val="nil"/>
              <w:left w:val="nil"/>
              <w:bottom w:val="single" w:sz="4" w:space="0" w:color="808080"/>
              <w:right w:val="single" w:sz="4" w:space="0" w:color="808080"/>
            </w:tcBorders>
            <w:shd w:val="clear" w:color="auto" w:fill="auto"/>
            <w:noWrap/>
            <w:vAlign w:val="bottom"/>
            <w:hideMark/>
          </w:tcPr>
          <w:p w14:paraId="3CFD78B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39" w:type="pct"/>
            <w:tcBorders>
              <w:top w:val="nil"/>
              <w:left w:val="nil"/>
              <w:bottom w:val="single" w:sz="4" w:space="0" w:color="808080"/>
              <w:right w:val="single" w:sz="4" w:space="0" w:color="808080"/>
            </w:tcBorders>
            <w:shd w:val="clear" w:color="auto" w:fill="auto"/>
            <w:noWrap/>
            <w:vAlign w:val="bottom"/>
            <w:hideMark/>
          </w:tcPr>
          <w:p w14:paraId="630C809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9" w:type="pct"/>
            <w:tcBorders>
              <w:top w:val="nil"/>
              <w:left w:val="nil"/>
              <w:bottom w:val="single" w:sz="4" w:space="0" w:color="808080"/>
              <w:right w:val="single" w:sz="4" w:space="0" w:color="808080"/>
            </w:tcBorders>
            <w:shd w:val="clear" w:color="auto" w:fill="auto"/>
            <w:noWrap/>
            <w:vAlign w:val="bottom"/>
            <w:hideMark/>
          </w:tcPr>
          <w:p w14:paraId="71ADC33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1" w:type="pct"/>
            <w:tcBorders>
              <w:top w:val="nil"/>
              <w:left w:val="nil"/>
              <w:bottom w:val="single" w:sz="4" w:space="0" w:color="808080"/>
              <w:right w:val="nil"/>
            </w:tcBorders>
            <w:shd w:val="clear" w:color="auto" w:fill="auto"/>
            <w:noWrap/>
            <w:vAlign w:val="bottom"/>
            <w:hideMark/>
          </w:tcPr>
          <w:p w14:paraId="3228300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5" w:type="pct"/>
            <w:tcBorders>
              <w:top w:val="nil"/>
              <w:left w:val="single" w:sz="4" w:space="0" w:color="auto"/>
              <w:bottom w:val="single" w:sz="4" w:space="0" w:color="808080"/>
              <w:right w:val="single" w:sz="4" w:space="0" w:color="auto"/>
            </w:tcBorders>
            <w:shd w:val="clear" w:color="auto" w:fill="auto"/>
            <w:noWrap/>
            <w:vAlign w:val="bottom"/>
            <w:hideMark/>
          </w:tcPr>
          <w:p w14:paraId="4AC7B5B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333.40</w:t>
            </w:r>
          </w:p>
        </w:tc>
        <w:tc>
          <w:tcPr>
            <w:tcW w:w="209" w:type="pct"/>
            <w:tcBorders>
              <w:top w:val="nil"/>
              <w:left w:val="nil"/>
              <w:bottom w:val="single" w:sz="4" w:space="0" w:color="808080"/>
              <w:right w:val="single" w:sz="4" w:space="0" w:color="808080"/>
            </w:tcBorders>
            <w:shd w:val="clear" w:color="auto" w:fill="auto"/>
            <w:noWrap/>
            <w:vAlign w:val="bottom"/>
            <w:hideMark/>
          </w:tcPr>
          <w:p w14:paraId="6A921AC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41.84%</w:t>
            </w:r>
          </w:p>
        </w:tc>
        <w:tc>
          <w:tcPr>
            <w:tcW w:w="239" w:type="pct"/>
            <w:tcBorders>
              <w:top w:val="nil"/>
              <w:left w:val="nil"/>
              <w:bottom w:val="single" w:sz="4" w:space="0" w:color="808080"/>
              <w:right w:val="single" w:sz="4" w:space="0" w:color="808080"/>
            </w:tcBorders>
            <w:shd w:val="clear" w:color="auto" w:fill="auto"/>
            <w:noWrap/>
            <w:vAlign w:val="bottom"/>
            <w:hideMark/>
          </w:tcPr>
          <w:p w14:paraId="0219DEB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67.38%</w:t>
            </w:r>
          </w:p>
        </w:tc>
        <w:tc>
          <w:tcPr>
            <w:tcW w:w="209" w:type="pct"/>
            <w:tcBorders>
              <w:top w:val="nil"/>
              <w:left w:val="nil"/>
              <w:bottom w:val="single" w:sz="4" w:space="0" w:color="808080"/>
              <w:right w:val="single" w:sz="4" w:space="0" w:color="808080"/>
            </w:tcBorders>
            <w:shd w:val="clear" w:color="auto" w:fill="auto"/>
            <w:noWrap/>
            <w:vAlign w:val="bottom"/>
            <w:hideMark/>
          </w:tcPr>
          <w:p w14:paraId="3582FD6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48.34%</w:t>
            </w:r>
          </w:p>
        </w:tc>
        <w:tc>
          <w:tcPr>
            <w:tcW w:w="241" w:type="pct"/>
            <w:tcBorders>
              <w:top w:val="nil"/>
              <w:left w:val="nil"/>
              <w:bottom w:val="single" w:sz="4" w:space="0" w:color="808080"/>
              <w:right w:val="single" w:sz="4" w:space="0" w:color="auto"/>
            </w:tcBorders>
            <w:shd w:val="clear" w:color="auto" w:fill="auto"/>
            <w:noWrap/>
            <w:vAlign w:val="bottom"/>
            <w:hideMark/>
          </w:tcPr>
          <w:p w14:paraId="7D41601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79.47%</w:t>
            </w:r>
          </w:p>
        </w:tc>
      </w:tr>
      <w:tr w:rsidR="00B508F9" w:rsidRPr="00E87E42" w14:paraId="4786185B" w14:textId="77777777" w:rsidTr="001D7A14">
        <w:trPr>
          <w:trHeight w:val="227"/>
        </w:trPr>
        <w:tc>
          <w:tcPr>
            <w:tcW w:w="59" w:type="pct"/>
            <w:tcBorders>
              <w:top w:val="nil"/>
              <w:left w:val="single" w:sz="4" w:space="0" w:color="auto"/>
              <w:bottom w:val="single" w:sz="4" w:space="0" w:color="auto"/>
              <w:right w:val="nil"/>
            </w:tcBorders>
            <w:shd w:val="clear" w:color="auto" w:fill="auto"/>
            <w:noWrap/>
            <w:vAlign w:val="bottom"/>
            <w:hideMark/>
          </w:tcPr>
          <w:p w14:paraId="7AF154A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87" w:type="pct"/>
            <w:tcBorders>
              <w:top w:val="single" w:sz="4" w:space="0" w:color="808080"/>
              <w:left w:val="single" w:sz="4" w:space="0" w:color="auto"/>
              <w:bottom w:val="single" w:sz="4" w:space="0" w:color="808080"/>
              <w:right w:val="single" w:sz="4" w:space="0" w:color="auto"/>
            </w:tcBorders>
            <w:shd w:val="clear" w:color="auto" w:fill="auto"/>
            <w:noWrap/>
            <w:vAlign w:val="bottom"/>
            <w:hideMark/>
          </w:tcPr>
          <w:p w14:paraId="174993F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87" w:type="pct"/>
            <w:tcBorders>
              <w:top w:val="nil"/>
              <w:left w:val="nil"/>
              <w:bottom w:val="single" w:sz="4" w:space="0" w:color="808080"/>
              <w:right w:val="single" w:sz="4" w:space="0" w:color="808080"/>
            </w:tcBorders>
            <w:shd w:val="clear" w:color="auto" w:fill="auto"/>
            <w:noWrap/>
            <w:vAlign w:val="bottom"/>
            <w:hideMark/>
          </w:tcPr>
          <w:p w14:paraId="7CBD2F0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238" w:type="pct"/>
            <w:tcBorders>
              <w:top w:val="nil"/>
              <w:left w:val="nil"/>
              <w:bottom w:val="single" w:sz="4" w:space="0" w:color="808080"/>
              <w:right w:val="single" w:sz="4" w:space="0" w:color="808080"/>
            </w:tcBorders>
            <w:shd w:val="clear" w:color="auto" w:fill="auto"/>
            <w:noWrap/>
            <w:vAlign w:val="bottom"/>
            <w:hideMark/>
          </w:tcPr>
          <w:p w14:paraId="00C245B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50.00%</w:t>
            </w:r>
          </w:p>
        </w:tc>
        <w:tc>
          <w:tcPr>
            <w:tcW w:w="209" w:type="pct"/>
            <w:tcBorders>
              <w:top w:val="nil"/>
              <w:left w:val="nil"/>
              <w:bottom w:val="single" w:sz="4" w:space="0" w:color="808080"/>
              <w:right w:val="single" w:sz="4" w:space="0" w:color="808080"/>
            </w:tcBorders>
            <w:shd w:val="clear" w:color="auto" w:fill="auto"/>
            <w:noWrap/>
            <w:vAlign w:val="bottom"/>
            <w:hideMark/>
          </w:tcPr>
          <w:p w14:paraId="37FA12A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3.88%</w:t>
            </w:r>
          </w:p>
        </w:tc>
        <w:tc>
          <w:tcPr>
            <w:tcW w:w="189" w:type="pct"/>
            <w:tcBorders>
              <w:top w:val="nil"/>
              <w:left w:val="nil"/>
              <w:bottom w:val="single" w:sz="4" w:space="0" w:color="808080"/>
              <w:right w:val="single" w:sz="4" w:space="0" w:color="808080"/>
            </w:tcBorders>
            <w:shd w:val="clear" w:color="auto" w:fill="auto"/>
            <w:noWrap/>
            <w:vAlign w:val="bottom"/>
            <w:hideMark/>
          </w:tcPr>
          <w:p w14:paraId="0FA9F32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8.94</w:t>
            </w:r>
          </w:p>
        </w:tc>
        <w:tc>
          <w:tcPr>
            <w:tcW w:w="191" w:type="pct"/>
            <w:tcBorders>
              <w:top w:val="nil"/>
              <w:left w:val="nil"/>
              <w:bottom w:val="single" w:sz="4" w:space="0" w:color="808080"/>
              <w:right w:val="single" w:sz="4" w:space="0" w:color="auto"/>
            </w:tcBorders>
            <w:shd w:val="clear" w:color="auto" w:fill="auto"/>
            <w:noWrap/>
            <w:vAlign w:val="bottom"/>
            <w:hideMark/>
          </w:tcPr>
          <w:p w14:paraId="05E1C86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8.94</w:t>
            </w:r>
          </w:p>
        </w:tc>
        <w:tc>
          <w:tcPr>
            <w:tcW w:w="62" w:type="pct"/>
            <w:tcBorders>
              <w:top w:val="nil"/>
              <w:left w:val="nil"/>
              <w:bottom w:val="single" w:sz="4" w:space="0" w:color="808080"/>
              <w:right w:val="single" w:sz="4" w:space="0" w:color="808080"/>
            </w:tcBorders>
            <w:shd w:val="clear" w:color="auto" w:fill="auto"/>
            <w:noWrap/>
            <w:vAlign w:val="bottom"/>
            <w:hideMark/>
          </w:tcPr>
          <w:p w14:paraId="41D1075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209" w:type="pct"/>
            <w:tcBorders>
              <w:top w:val="nil"/>
              <w:left w:val="nil"/>
              <w:bottom w:val="single" w:sz="4" w:space="0" w:color="808080"/>
              <w:right w:val="single" w:sz="4" w:space="0" w:color="808080"/>
            </w:tcBorders>
            <w:shd w:val="clear" w:color="auto" w:fill="auto"/>
            <w:noWrap/>
            <w:vAlign w:val="bottom"/>
            <w:hideMark/>
          </w:tcPr>
          <w:p w14:paraId="0B13166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37.50%</w:t>
            </w:r>
          </w:p>
        </w:tc>
        <w:tc>
          <w:tcPr>
            <w:tcW w:w="209" w:type="pct"/>
            <w:tcBorders>
              <w:top w:val="nil"/>
              <w:left w:val="nil"/>
              <w:bottom w:val="single" w:sz="4" w:space="0" w:color="808080"/>
              <w:right w:val="single" w:sz="4" w:space="0" w:color="808080"/>
            </w:tcBorders>
            <w:shd w:val="clear" w:color="auto" w:fill="auto"/>
            <w:noWrap/>
            <w:vAlign w:val="bottom"/>
            <w:hideMark/>
          </w:tcPr>
          <w:p w14:paraId="764F550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18.75%</w:t>
            </w:r>
          </w:p>
        </w:tc>
        <w:tc>
          <w:tcPr>
            <w:tcW w:w="189" w:type="pct"/>
            <w:tcBorders>
              <w:top w:val="nil"/>
              <w:left w:val="nil"/>
              <w:bottom w:val="single" w:sz="4" w:space="0" w:color="808080"/>
              <w:right w:val="single" w:sz="4" w:space="0" w:color="808080"/>
            </w:tcBorders>
            <w:shd w:val="clear" w:color="auto" w:fill="auto"/>
            <w:noWrap/>
            <w:vAlign w:val="bottom"/>
            <w:hideMark/>
          </w:tcPr>
          <w:p w14:paraId="5C7E68D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79.81</w:t>
            </w:r>
          </w:p>
        </w:tc>
        <w:tc>
          <w:tcPr>
            <w:tcW w:w="159" w:type="pct"/>
            <w:tcBorders>
              <w:top w:val="nil"/>
              <w:left w:val="nil"/>
              <w:bottom w:val="single" w:sz="4" w:space="0" w:color="808080"/>
              <w:right w:val="single" w:sz="4" w:space="0" w:color="auto"/>
            </w:tcBorders>
            <w:shd w:val="clear" w:color="auto" w:fill="auto"/>
            <w:noWrap/>
            <w:vAlign w:val="bottom"/>
            <w:hideMark/>
          </w:tcPr>
          <w:p w14:paraId="788955B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25.88</w:t>
            </w:r>
          </w:p>
        </w:tc>
        <w:tc>
          <w:tcPr>
            <w:tcW w:w="62" w:type="pct"/>
            <w:tcBorders>
              <w:top w:val="nil"/>
              <w:left w:val="nil"/>
              <w:bottom w:val="single" w:sz="4" w:space="0" w:color="808080"/>
              <w:right w:val="single" w:sz="4" w:space="0" w:color="808080"/>
            </w:tcBorders>
            <w:shd w:val="clear" w:color="auto" w:fill="auto"/>
            <w:noWrap/>
            <w:vAlign w:val="bottom"/>
            <w:hideMark/>
          </w:tcPr>
          <w:p w14:paraId="47AA94F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09" w:type="pct"/>
            <w:tcBorders>
              <w:top w:val="nil"/>
              <w:left w:val="nil"/>
              <w:bottom w:val="single" w:sz="4" w:space="0" w:color="808080"/>
              <w:right w:val="single" w:sz="4" w:space="0" w:color="808080"/>
            </w:tcBorders>
            <w:shd w:val="clear" w:color="auto" w:fill="auto"/>
            <w:noWrap/>
            <w:vAlign w:val="bottom"/>
            <w:hideMark/>
          </w:tcPr>
          <w:p w14:paraId="7620A96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12.50%</w:t>
            </w:r>
          </w:p>
        </w:tc>
        <w:tc>
          <w:tcPr>
            <w:tcW w:w="209" w:type="pct"/>
            <w:tcBorders>
              <w:top w:val="nil"/>
              <w:left w:val="nil"/>
              <w:bottom w:val="single" w:sz="4" w:space="0" w:color="808080"/>
              <w:right w:val="single" w:sz="4" w:space="0" w:color="808080"/>
            </w:tcBorders>
            <w:shd w:val="clear" w:color="auto" w:fill="auto"/>
            <w:noWrap/>
            <w:vAlign w:val="bottom"/>
            <w:hideMark/>
          </w:tcPr>
          <w:p w14:paraId="5E0FDC0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16.67%</w:t>
            </w:r>
          </w:p>
        </w:tc>
        <w:tc>
          <w:tcPr>
            <w:tcW w:w="219" w:type="pct"/>
            <w:tcBorders>
              <w:top w:val="nil"/>
              <w:left w:val="nil"/>
              <w:bottom w:val="single" w:sz="4" w:space="0" w:color="808080"/>
              <w:right w:val="single" w:sz="4" w:space="0" w:color="808080"/>
            </w:tcBorders>
            <w:shd w:val="clear" w:color="auto" w:fill="auto"/>
            <w:noWrap/>
            <w:vAlign w:val="bottom"/>
            <w:hideMark/>
          </w:tcPr>
          <w:p w14:paraId="21793CC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192.00</w:t>
            </w:r>
          </w:p>
        </w:tc>
        <w:tc>
          <w:tcPr>
            <w:tcW w:w="190" w:type="pct"/>
            <w:tcBorders>
              <w:top w:val="nil"/>
              <w:left w:val="nil"/>
              <w:bottom w:val="single" w:sz="4" w:space="0" w:color="808080"/>
              <w:right w:val="single" w:sz="4" w:space="0" w:color="auto"/>
            </w:tcBorders>
            <w:shd w:val="clear" w:color="auto" w:fill="auto"/>
            <w:noWrap/>
            <w:vAlign w:val="bottom"/>
            <w:hideMark/>
          </w:tcPr>
          <w:p w14:paraId="431D93A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37.16</w:t>
            </w:r>
          </w:p>
        </w:tc>
        <w:tc>
          <w:tcPr>
            <w:tcW w:w="62" w:type="pct"/>
            <w:tcBorders>
              <w:top w:val="nil"/>
              <w:left w:val="nil"/>
              <w:bottom w:val="single" w:sz="4" w:space="0" w:color="808080"/>
              <w:right w:val="single" w:sz="4" w:space="0" w:color="808080"/>
            </w:tcBorders>
            <w:shd w:val="clear" w:color="auto" w:fill="auto"/>
            <w:noWrap/>
            <w:vAlign w:val="bottom"/>
            <w:hideMark/>
          </w:tcPr>
          <w:p w14:paraId="60B5728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39" w:type="pct"/>
            <w:tcBorders>
              <w:top w:val="nil"/>
              <w:left w:val="nil"/>
              <w:bottom w:val="single" w:sz="4" w:space="0" w:color="808080"/>
              <w:right w:val="single" w:sz="4" w:space="0" w:color="808080"/>
            </w:tcBorders>
            <w:shd w:val="clear" w:color="auto" w:fill="auto"/>
            <w:noWrap/>
            <w:vAlign w:val="bottom"/>
            <w:hideMark/>
          </w:tcPr>
          <w:p w14:paraId="2BF8C77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39" w:type="pct"/>
            <w:tcBorders>
              <w:top w:val="nil"/>
              <w:left w:val="nil"/>
              <w:bottom w:val="single" w:sz="4" w:space="0" w:color="808080"/>
              <w:right w:val="single" w:sz="4" w:space="0" w:color="808080"/>
            </w:tcBorders>
            <w:shd w:val="clear" w:color="auto" w:fill="auto"/>
            <w:noWrap/>
            <w:vAlign w:val="bottom"/>
            <w:hideMark/>
          </w:tcPr>
          <w:p w14:paraId="02081EA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9" w:type="pct"/>
            <w:tcBorders>
              <w:top w:val="nil"/>
              <w:left w:val="nil"/>
              <w:bottom w:val="single" w:sz="4" w:space="0" w:color="808080"/>
              <w:right w:val="single" w:sz="4" w:space="0" w:color="808080"/>
            </w:tcBorders>
            <w:shd w:val="clear" w:color="auto" w:fill="auto"/>
            <w:noWrap/>
            <w:vAlign w:val="bottom"/>
            <w:hideMark/>
          </w:tcPr>
          <w:p w14:paraId="0C8DD0E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1" w:type="pct"/>
            <w:tcBorders>
              <w:top w:val="nil"/>
              <w:left w:val="nil"/>
              <w:bottom w:val="single" w:sz="4" w:space="0" w:color="808080"/>
              <w:right w:val="nil"/>
            </w:tcBorders>
            <w:shd w:val="clear" w:color="auto" w:fill="auto"/>
            <w:noWrap/>
            <w:vAlign w:val="bottom"/>
            <w:hideMark/>
          </w:tcPr>
          <w:p w14:paraId="37930F26"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5" w:type="pct"/>
            <w:tcBorders>
              <w:top w:val="nil"/>
              <w:left w:val="single" w:sz="4" w:space="0" w:color="auto"/>
              <w:bottom w:val="single" w:sz="4" w:space="0" w:color="808080"/>
              <w:right w:val="single" w:sz="4" w:space="0" w:color="auto"/>
            </w:tcBorders>
            <w:shd w:val="clear" w:color="auto" w:fill="auto"/>
            <w:noWrap/>
            <w:vAlign w:val="bottom"/>
            <w:hideMark/>
          </w:tcPr>
          <w:p w14:paraId="1FB8F33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58.40</w:t>
            </w:r>
          </w:p>
        </w:tc>
        <w:tc>
          <w:tcPr>
            <w:tcW w:w="209" w:type="pct"/>
            <w:tcBorders>
              <w:top w:val="nil"/>
              <w:left w:val="nil"/>
              <w:bottom w:val="single" w:sz="4" w:space="0" w:color="808080"/>
              <w:right w:val="single" w:sz="4" w:space="0" w:color="808080"/>
            </w:tcBorders>
            <w:shd w:val="clear" w:color="auto" w:fill="auto"/>
            <w:noWrap/>
            <w:vAlign w:val="bottom"/>
            <w:hideMark/>
          </w:tcPr>
          <w:p w14:paraId="1558894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5.67%</w:t>
            </w:r>
          </w:p>
        </w:tc>
        <w:tc>
          <w:tcPr>
            <w:tcW w:w="239" w:type="pct"/>
            <w:tcBorders>
              <w:top w:val="nil"/>
              <w:left w:val="nil"/>
              <w:bottom w:val="single" w:sz="4" w:space="0" w:color="808080"/>
              <w:right w:val="single" w:sz="4" w:space="0" w:color="808080"/>
            </w:tcBorders>
            <w:shd w:val="clear" w:color="auto" w:fill="auto"/>
            <w:noWrap/>
            <w:vAlign w:val="bottom"/>
            <w:hideMark/>
          </w:tcPr>
          <w:p w14:paraId="00968CD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73.05%</w:t>
            </w:r>
          </w:p>
        </w:tc>
        <w:tc>
          <w:tcPr>
            <w:tcW w:w="209" w:type="pct"/>
            <w:tcBorders>
              <w:top w:val="nil"/>
              <w:left w:val="nil"/>
              <w:bottom w:val="single" w:sz="4" w:space="0" w:color="808080"/>
              <w:right w:val="single" w:sz="4" w:space="0" w:color="808080"/>
            </w:tcBorders>
            <w:shd w:val="clear" w:color="auto" w:fill="auto"/>
            <w:noWrap/>
            <w:vAlign w:val="bottom"/>
            <w:hideMark/>
          </w:tcPr>
          <w:p w14:paraId="2AA68C4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2.65%</w:t>
            </w:r>
          </w:p>
        </w:tc>
        <w:tc>
          <w:tcPr>
            <w:tcW w:w="241" w:type="pct"/>
            <w:tcBorders>
              <w:top w:val="nil"/>
              <w:left w:val="nil"/>
              <w:bottom w:val="single" w:sz="4" w:space="0" w:color="808080"/>
              <w:right w:val="single" w:sz="4" w:space="0" w:color="auto"/>
            </w:tcBorders>
            <w:shd w:val="clear" w:color="auto" w:fill="auto"/>
            <w:noWrap/>
            <w:vAlign w:val="bottom"/>
            <w:hideMark/>
          </w:tcPr>
          <w:p w14:paraId="525FFD5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82.12%</w:t>
            </w:r>
          </w:p>
        </w:tc>
      </w:tr>
      <w:tr w:rsidR="00B508F9" w:rsidRPr="00E87E42" w14:paraId="10E4731B" w14:textId="77777777" w:rsidTr="001D7A14">
        <w:trPr>
          <w:trHeight w:val="227"/>
        </w:trPr>
        <w:tc>
          <w:tcPr>
            <w:tcW w:w="59" w:type="pct"/>
            <w:tcBorders>
              <w:top w:val="nil"/>
              <w:left w:val="single" w:sz="4" w:space="0" w:color="auto"/>
              <w:bottom w:val="single" w:sz="4" w:space="0" w:color="auto"/>
              <w:right w:val="nil"/>
            </w:tcBorders>
            <w:shd w:val="clear" w:color="auto" w:fill="auto"/>
            <w:noWrap/>
            <w:vAlign w:val="bottom"/>
            <w:hideMark/>
          </w:tcPr>
          <w:p w14:paraId="7E6129E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87" w:type="pct"/>
            <w:tcBorders>
              <w:top w:val="single" w:sz="4" w:space="0" w:color="808080"/>
              <w:left w:val="single" w:sz="4" w:space="0" w:color="auto"/>
              <w:bottom w:val="single" w:sz="4" w:space="0" w:color="808080"/>
              <w:right w:val="single" w:sz="4" w:space="0" w:color="auto"/>
            </w:tcBorders>
            <w:shd w:val="clear" w:color="auto" w:fill="auto"/>
            <w:noWrap/>
            <w:vAlign w:val="bottom"/>
            <w:hideMark/>
          </w:tcPr>
          <w:p w14:paraId="7090A03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w:t>
            </w:r>
          </w:p>
        </w:tc>
        <w:tc>
          <w:tcPr>
            <w:tcW w:w="87" w:type="pct"/>
            <w:tcBorders>
              <w:top w:val="nil"/>
              <w:left w:val="nil"/>
              <w:bottom w:val="single" w:sz="4" w:space="0" w:color="808080" w:themeColor="background1" w:themeShade="80"/>
              <w:right w:val="single" w:sz="4" w:space="0" w:color="808080"/>
            </w:tcBorders>
            <w:shd w:val="clear" w:color="auto" w:fill="auto"/>
            <w:noWrap/>
            <w:vAlign w:val="bottom"/>
            <w:hideMark/>
          </w:tcPr>
          <w:p w14:paraId="7760159B"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w:t>
            </w:r>
          </w:p>
        </w:tc>
        <w:tc>
          <w:tcPr>
            <w:tcW w:w="238" w:type="pct"/>
            <w:tcBorders>
              <w:top w:val="nil"/>
              <w:left w:val="nil"/>
              <w:bottom w:val="single" w:sz="4" w:space="0" w:color="808080" w:themeColor="background1" w:themeShade="80"/>
              <w:right w:val="single" w:sz="4" w:space="0" w:color="808080"/>
            </w:tcBorders>
            <w:shd w:val="clear" w:color="auto" w:fill="auto"/>
            <w:noWrap/>
            <w:vAlign w:val="bottom"/>
            <w:hideMark/>
          </w:tcPr>
          <w:p w14:paraId="3C29C63B"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45.45%</w:t>
            </w:r>
          </w:p>
        </w:tc>
        <w:tc>
          <w:tcPr>
            <w:tcW w:w="209" w:type="pct"/>
            <w:tcBorders>
              <w:top w:val="nil"/>
              <w:left w:val="nil"/>
              <w:bottom w:val="single" w:sz="4" w:space="0" w:color="808080" w:themeColor="background1" w:themeShade="80"/>
              <w:right w:val="single" w:sz="4" w:space="0" w:color="808080"/>
            </w:tcBorders>
            <w:shd w:val="clear" w:color="auto" w:fill="auto"/>
            <w:noWrap/>
            <w:vAlign w:val="bottom"/>
            <w:hideMark/>
          </w:tcPr>
          <w:p w14:paraId="29A6A71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14.56%</w:t>
            </w:r>
          </w:p>
        </w:tc>
        <w:tc>
          <w:tcPr>
            <w:tcW w:w="189" w:type="pct"/>
            <w:tcBorders>
              <w:top w:val="nil"/>
              <w:left w:val="nil"/>
              <w:bottom w:val="single" w:sz="4" w:space="0" w:color="808080" w:themeColor="background1" w:themeShade="80"/>
              <w:right w:val="single" w:sz="4" w:space="0" w:color="808080"/>
            </w:tcBorders>
            <w:shd w:val="clear" w:color="auto" w:fill="auto"/>
            <w:noWrap/>
            <w:vAlign w:val="bottom"/>
            <w:hideMark/>
          </w:tcPr>
          <w:p w14:paraId="796404A6"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50.65</w:t>
            </w:r>
          </w:p>
        </w:tc>
        <w:tc>
          <w:tcPr>
            <w:tcW w:w="191" w:type="pct"/>
            <w:tcBorders>
              <w:top w:val="nil"/>
              <w:left w:val="nil"/>
              <w:bottom w:val="single" w:sz="4" w:space="0" w:color="808080" w:themeColor="background1" w:themeShade="80"/>
              <w:right w:val="single" w:sz="4" w:space="0" w:color="auto"/>
            </w:tcBorders>
            <w:shd w:val="clear" w:color="auto" w:fill="auto"/>
            <w:noWrap/>
            <w:vAlign w:val="bottom"/>
            <w:hideMark/>
          </w:tcPr>
          <w:p w14:paraId="0D134D7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50.65</w:t>
            </w:r>
          </w:p>
        </w:tc>
        <w:tc>
          <w:tcPr>
            <w:tcW w:w="62" w:type="pct"/>
            <w:tcBorders>
              <w:top w:val="nil"/>
              <w:left w:val="nil"/>
              <w:bottom w:val="single" w:sz="4" w:space="0" w:color="808080" w:themeColor="background1" w:themeShade="80"/>
              <w:right w:val="single" w:sz="4" w:space="0" w:color="808080"/>
            </w:tcBorders>
            <w:shd w:val="clear" w:color="auto" w:fill="auto"/>
            <w:noWrap/>
            <w:vAlign w:val="bottom"/>
            <w:hideMark/>
          </w:tcPr>
          <w:p w14:paraId="388F9D2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w:t>
            </w:r>
          </w:p>
        </w:tc>
        <w:tc>
          <w:tcPr>
            <w:tcW w:w="209" w:type="pct"/>
            <w:tcBorders>
              <w:top w:val="nil"/>
              <w:left w:val="nil"/>
              <w:bottom w:val="single" w:sz="4" w:space="0" w:color="808080" w:themeColor="background1" w:themeShade="80"/>
              <w:right w:val="single" w:sz="4" w:space="0" w:color="808080"/>
            </w:tcBorders>
            <w:shd w:val="clear" w:color="auto" w:fill="auto"/>
            <w:noWrap/>
            <w:vAlign w:val="bottom"/>
            <w:hideMark/>
          </w:tcPr>
          <w:p w14:paraId="788BDF1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21.21%</w:t>
            </w:r>
          </w:p>
        </w:tc>
        <w:tc>
          <w:tcPr>
            <w:tcW w:w="209" w:type="pct"/>
            <w:tcBorders>
              <w:top w:val="nil"/>
              <w:left w:val="nil"/>
              <w:bottom w:val="single" w:sz="4" w:space="0" w:color="808080" w:themeColor="background1" w:themeShade="80"/>
              <w:right w:val="single" w:sz="4" w:space="0" w:color="808080"/>
            </w:tcBorders>
            <w:shd w:val="clear" w:color="auto" w:fill="auto"/>
            <w:noWrap/>
            <w:vAlign w:val="bottom"/>
            <w:hideMark/>
          </w:tcPr>
          <w:p w14:paraId="28FA68F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43.75%</w:t>
            </w:r>
          </w:p>
        </w:tc>
        <w:tc>
          <w:tcPr>
            <w:tcW w:w="189" w:type="pct"/>
            <w:tcBorders>
              <w:top w:val="nil"/>
              <w:left w:val="nil"/>
              <w:bottom w:val="single" w:sz="4" w:space="0" w:color="808080" w:themeColor="background1" w:themeShade="80"/>
              <w:right w:val="single" w:sz="4" w:space="0" w:color="808080"/>
            </w:tcBorders>
            <w:shd w:val="clear" w:color="auto" w:fill="auto"/>
            <w:noWrap/>
            <w:vAlign w:val="bottom"/>
            <w:hideMark/>
          </w:tcPr>
          <w:p w14:paraId="2999D66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62.68</w:t>
            </w:r>
          </w:p>
        </w:tc>
        <w:tc>
          <w:tcPr>
            <w:tcW w:w="159" w:type="pct"/>
            <w:tcBorders>
              <w:top w:val="nil"/>
              <w:left w:val="nil"/>
              <w:bottom w:val="single" w:sz="4" w:space="0" w:color="808080" w:themeColor="background1" w:themeShade="80"/>
              <w:right w:val="single" w:sz="4" w:space="0" w:color="auto"/>
            </w:tcBorders>
            <w:shd w:val="clear" w:color="auto" w:fill="auto"/>
            <w:noWrap/>
            <w:vAlign w:val="bottom"/>
            <w:hideMark/>
          </w:tcPr>
          <w:p w14:paraId="0DC3CF6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20.33</w:t>
            </w:r>
          </w:p>
        </w:tc>
        <w:tc>
          <w:tcPr>
            <w:tcW w:w="62" w:type="pct"/>
            <w:tcBorders>
              <w:top w:val="nil"/>
              <w:left w:val="nil"/>
              <w:bottom w:val="single" w:sz="4" w:space="0" w:color="808080" w:themeColor="background1" w:themeShade="80"/>
              <w:right w:val="single" w:sz="4" w:space="0" w:color="808080"/>
            </w:tcBorders>
            <w:shd w:val="clear" w:color="auto" w:fill="auto"/>
            <w:noWrap/>
            <w:vAlign w:val="bottom"/>
            <w:hideMark/>
          </w:tcPr>
          <w:p w14:paraId="2BF8073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209" w:type="pct"/>
            <w:tcBorders>
              <w:top w:val="nil"/>
              <w:left w:val="nil"/>
              <w:bottom w:val="single" w:sz="4" w:space="0" w:color="808080" w:themeColor="background1" w:themeShade="80"/>
              <w:right w:val="single" w:sz="4" w:space="0" w:color="808080"/>
            </w:tcBorders>
            <w:shd w:val="clear" w:color="auto" w:fill="auto"/>
            <w:noWrap/>
            <w:vAlign w:val="bottom"/>
            <w:hideMark/>
          </w:tcPr>
          <w:p w14:paraId="6539CBA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9.09%</w:t>
            </w:r>
          </w:p>
        </w:tc>
        <w:tc>
          <w:tcPr>
            <w:tcW w:w="209" w:type="pct"/>
            <w:tcBorders>
              <w:top w:val="nil"/>
              <w:left w:val="nil"/>
              <w:bottom w:val="single" w:sz="4" w:space="0" w:color="808080" w:themeColor="background1" w:themeShade="80"/>
              <w:right w:val="single" w:sz="4" w:space="0" w:color="808080"/>
            </w:tcBorders>
            <w:shd w:val="clear" w:color="auto" w:fill="auto"/>
            <w:noWrap/>
            <w:vAlign w:val="bottom"/>
            <w:hideMark/>
          </w:tcPr>
          <w:p w14:paraId="7546BD7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50.00%</w:t>
            </w:r>
          </w:p>
        </w:tc>
        <w:tc>
          <w:tcPr>
            <w:tcW w:w="219" w:type="pct"/>
            <w:tcBorders>
              <w:top w:val="nil"/>
              <w:left w:val="nil"/>
              <w:bottom w:val="single" w:sz="4" w:space="0" w:color="808080" w:themeColor="background1" w:themeShade="80"/>
              <w:right w:val="single" w:sz="4" w:space="0" w:color="808080"/>
            </w:tcBorders>
            <w:shd w:val="clear" w:color="auto" w:fill="auto"/>
            <w:noWrap/>
            <w:vAlign w:val="bottom"/>
            <w:hideMark/>
          </w:tcPr>
          <w:p w14:paraId="35DFDC2B"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2140.80</w:t>
            </w:r>
          </w:p>
        </w:tc>
        <w:tc>
          <w:tcPr>
            <w:tcW w:w="190" w:type="pct"/>
            <w:tcBorders>
              <w:top w:val="nil"/>
              <w:left w:val="nil"/>
              <w:bottom w:val="single" w:sz="4" w:space="0" w:color="808080" w:themeColor="background1" w:themeShade="80"/>
              <w:right w:val="single" w:sz="4" w:space="0" w:color="auto"/>
            </w:tcBorders>
            <w:shd w:val="clear" w:color="auto" w:fill="auto"/>
            <w:noWrap/>
            <w:vAlign w:val="bottom"/>
            <w:hideMark/>
          </w:tcPr>
          <w:p w14:paraId="680E385B"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414.35</w:t>
            </w:r>
          </w:p>
        </w:tc>
        <w:tc>
          <w:tcPr>
            <w:tcW w:w="62" w:type="pct"/>
            <w:tcBorders>
              <w:top w:val="nil"/>
              <w:left w:val="nil"/>
              <w:bottom w:val="single" w:sz="4" w:space="0" w:color="808080" w:themeColor="background1" w:themeShade="80"/>
              <w:right w:val="single" w:sz="4" w:space="0" w:color="808080"/>
            </w:tcBorders>
            <w:shd w:val="clear" w:color="auto" w:fill="auto"/>
            <w:noWrap/>
            <w:vAlign w:val="bottom"/>
            <w:hideMark/>
          </w:tcPr>
          <w:p w14:paraId="0494F9F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w:t>
            </w:r>
          </w:p>
        </w:tc>
        <w:tc>
          <w:tcPr>
            <w:tcW w:w="239" w:type="pct"/>
            <w:tcBorders>
              <w:top w:val="nil"/>
              <w:left w:val="nil"/>
              <w:bottom w:val="single" w:sz="4" w:space="0" w:color="808080" w:themeColor="background1" w:themeShade="80"/>
              <w:right w:val="single" w:sz="4" w:space="0" w:color="808080"/>
            </w:tcBorders>
            <w:shd w:val="clear" w:color="auto" w:fill="auto"/>
            <w:noWrap/>
            <w:vAlign w:val="bottom"/>
            <w:hideMark/>
          </w:tcPr>
          <w:p w14:paraId="62472D3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24.24%</w:t>
            </w:r>
          </w:p>
        </w:tc>
        <w:tc>
          <w:tcPr>
            <w:tcW w:w="239" w:type="pct"/>
            <w:tcBorders>
              <w:top w:val="nil"/>
              <w:left w:val="nil"/>
              <w:bottom w:val="single" w:sz="4" w:space="0" w:color="808080" w:themeColor="background1" w:themeShade="80"/>
              <w:right w:val="single" w:sz="4" w:space="0" w:color="808080"/>
            </w:tcBorders>
            <w:shd w:val="clear" w:color="auto" w:fill="auto"/>
            <w:noWrap/>
            <w:vAlign w:val="bottom"/>
            <w:hideMark/>
          </w:tcPr>
          <w:p w14:paraId="5F9E4356"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50.00%</w:t>
            </w:r>
          </w:p>
        </w:tc>
        <w:tc>
          <w:tcPr>
            <w:tcW w:w="219" w:type="pct"/>
            <w:tcBorders>
              <w:top w:val="nil"/>
              <w:left w:val="nil"/>
              <w:bottom w:val="single" w:sz="4" w:space="0" w:color="808080" w:themeColor="background1" w:themeShade="80"/>
              <w:right w:val="single" w:sz="4" w:space="0" w:color="808080"/>
            </w:tcBorders>
            <w:shd w:val="clear" w:color="auto" w:fill="auto"/>
            <w:noWrap/>
            <w:vAlign w:val="bottom"/>
            <w:hideMark/>
          </w:tcPr>
          <w:p w14:paraId="558A2876"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2660.32</w:t>
            </w:r>
          </w:p>
        </w:tc>
        <w:tc>
          <w:tcPr>
            <w:tcW w:w="191" w:type="pct"/>
            <w:tcBorders>
              <w:top w:val="nil"/>
              <w:left w:val="nil"/>
              <w:bottom w:val="single" w:sz="4" w:space="0" w:color="808080" w:themeColor="background1" w:themeShade="80"/>
              <w:right w:val="nil"/>
            </w:tcBorders>
            <w:shd w:val="clear" w:color="auto" w:fill="auto"/>
            <w:noWrap/>
            <w:vAlign w:val="bottom"/>
            <w:hideMark/>
          </w:tcPr>
          <w:p w14:paraId="303F182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362.77</w:t>
            </w:r>
          </w:p>
        </w:tc>
        <w:tc>
          <w:tcPr>
            <w:tcW w:w="375" w:type="pct"/>
            <w:tcBorders>
              <w:top w:val="nil"/>
              <w:left w:val="single" w:sz="4" w:space="0" w:color="auto"/>
              <w:bottom w:val="single" w:sz="4" w:space="0" w:color="808080" w:themeColor="background1" w:themeShade="80"/>
              <w:right w:val="single" w:sz="4" w:space="0" w:color="auto"/>
            </w:tcBorders>
            <w:shd w:val="clear" w:color="auto" w:fill="auto"/>
            <w:noWrap/>
            <w:vAlign w:val="bottom"/>
            <w:hideMark/>
          </w:tcPr>
          <w:p w14:paraId="7F8D549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875.87</w:t>
            </w:r>
          </w:p>
        </w:tc>
        <w:tc>
          <w:tcPr>
            <w:tcW w:w="209" w:type="pct"/>
            <w:tcBorders>
              <w:top w:val="nil"/>
              <w:left w:val="nil"/>
              <w:bottom w:val="single" w:sz="4" w:space="0" w:color="808080" w:themeColor="background1" w:themeShade="80"/>
              <w:right w:val="single" w:sz="4" w:space="0" w:color="808080"/>
            </w:tcBorders>
            <w:shd w:val="clear" w:color="auto" w:fill="auto"/>
            <w:noWrap/>
            <w:vAlign w:val="bottom"/>
            <w:hideMark/>
          </w:tcPr>
          <w:p w14:paraId="6BF43F2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23.40%</w:t>
            </w:r>
          </w:p>
        </w:tc>
        <w:tc>
          <w:tcPr>
            <w:tcW w:w="239" w:type="pct"/>
            <w:tcBorders>
              <w:top w:val="nil"/>
              <w:left w:val="nil"/>
              <w:bottom w:val="single" w:sz="4" w:space="0" w:color="808080" w:themeColor="background1" w:themeShade="80"/>
              <w:right w:val="single" w:sz="4" w:space="0" w:color="808080"/>
            </w:tcBorders>
            <w:shd w:val="clear" w:color="auto" w:fill="auto"/>
            <w:noWrap/>
            <w:vAlign w:val="bottom"/>
            <w:hideMark/>
          </w:tcPr>
          <w:p w14:paraId="1427FB36"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96.45%</w:t>
            </w:r>
          </w:p>
        </w:tc>
        <w:tc>
          <w:tcPr>
            <w:tcW w:w="209" w:type="pct"/>
            <w:tcBorders>
              <w:top w:val="nil"/>
              <w:left w:val="nil"/>
              <w:bottom w:val="single" w:sz="4" w:space="0" w:color="808080" w:themeColor="background1" w:themeShade="80"/>
              <w:right w:val="single" w:sz="4" w:space="0" w:color="808080"/>
            </w:tcBorders>
            <w:shd w:val="clear" w:color="auto" w:fill="auto"/>
            <w:noWrap/>
            <w:vAlign w:val="bottom"/>
            <w:hideMark/>
          </w:tcPr>
          <w:p w14:paraId="5CDD0F1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15.23%</w:t>
            </w:r>
          </w:p>
        </w:tc>
        <w:tc>
          <w:tcPr>
            <w:tcW w:w="241" w:type="pct"/>
            <w:tcBorders>
              <w:top w:val="nil"/>
              <w:left w:val="nil"/>
              <w:bottom w:val="single" w:sz="4" w:space="0" w:color="808080" w:themeColor="background1" w:themeShade="80"/>
              <w:right w:val="single" w:sz="4" w:space="0" w:color="auto"/>
            </w:tcBorders>
            <w:shd w:val="clear" w:color="auto" w:fill="auto"/>
            <w:noWrap/>
            <w:vAlign w:val="bottom"/>
            <w:hideMark/>
          </w:tcPr>
          <w:p w14:paraId="2798182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97.35%</w:t>
            </w:r>
          </w:p>
        </w:tc>
      </w:tr>
      <w:tr w:rsidR="00B508F9" w:rsidRPr="00E87E42" w14:paraId="368588F3" w14:textId="77777777" w:rsidTr="00332F42">
        <w:trPr>
          <w:trHeight w:val="227"/>
        </w:trPr>
        <w:tc>
          <w:tcPr>
            <w:tcW w:w="59" w:type="pct"/>
            <w:tcBorders>
              <w:top w:val="nil"/>
              <w:left w:val="single" w:sz="4" w:space="0" w:color="auto"/>
              <w:bottom w:val="single" w:sz="4" w:space="0" w:color="auto"/>
              <w:right w:val="nil"/>
            </w:tcBorders>
            <w:shd w:val="clear" w:color="auto" w:fill="auto"/>
            <w:noWrap/>
            <w:vAlign w:val="bottom"/>
            <w:hideMark/>
          </w:tcPr>
          <w:p w14:paraId="272096D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87" w:type="pct"/>
            <w:tcBorders>
              <w:top w:val="single" w:sz="4" w:space="0" w:color="808080"/>
              <w:left w:val="single" w:sz="4" w:space="0" w:color="auto"/>
              <w:bottom w:val="single" w:sz="4" w:space="0" w:color="auto"/>
              <w:right w:val="single" w:sz="4" w:space="0" w:color="auto"/>
            </w:tcBorders>
            <w:shd w:val="clear" w:color="auto" w:fill="auto"/>
            <w:noWrap/>
            <w:vAlign w:val="bottom"/>
            <w:hideMark/>
          </w:tcPr>
          <w:p w14:paraId="2847B39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87" w:type="pct"/>
            <w:tcBorders>
              <w:top w:val="single" w:sz="4" w:space="0" w:color="808080" w:themeColor="background1" w:themeShade="80"/>
              <w:left w:val="single" w:sz="4" w:space="0" w:color="auto"/>
              <w:bottom w:val="single" w:sz="4" w:space="0" w:color="auto"/>
              <w:right w:val="single" w:sz="4" w:space="0" w:color="808080" w:themeColor="background1" w:themeShade="80"/>
            </w:tcBorders>
            <w:shd w:val="clear" w:color="auto" w:fill="auto"/>
            <w:noWrap/>
            <w:vAlign w:val="bottom"/>
            <w:hideMark/>
          </w:tcPr>
          <w:p w14:paraId="61C24B06"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38"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noWrap/>
            <w:vAlign w:val="bottom"/>
            <w:hideMark/>
          </w:tcPr>
          <w:p w14:paraId="75C51FD6"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09"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noWrap/>
            <w:vAlign w:val="bottom"/>
            <w:hideMark/>
          </w:tcPr>
          <w:p w14:paraId="26633BD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89"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noWrap/>
            <w:vAlign w:val="bottom"/>
            <w:hideMark/>
          </w:tcPr>
          <w:p w14:paraId="47FBA4E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1" w:type="pct"/>
            <w:tcBorders>
              <w:top w:val="single" w:sz="4" w:space="0" w:color="808080" w:themeColor="background1" w:themeShade="80"/>
              <w:left w:val="single" w:sz="4" w:space="0" w:color="808080" w:themeColor="background1" w:themeShade="80"/>
              <w:bottom w:val="single" w:sz="4" w:space="0" w:color="auto"/>
              <w:right w:val="single" w:sz="4" w:space="0" w:color="auto"/>
            </w:tcBorders>
            <w:shd w:val="clear" w:color="auto" w:fill="auto"/>
            <w:noWrap/>
            <w:vAlign w:val="bottom"/>
            <w:hideMark/>
          </w:tcPr>
          <w:p w14:paraId="1BF2578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2" w:type="pct"/>
            <w:tcBorders>
              <w:top w:val="single" w:sz="4" w:space="0" w:color="808080" w:themeColor="background1" w:themeShade="80"/>
              <w:left w:val="single" w:sz="4" w:space="0" w:color="auto"/>
              <w:bottom w:val="single" w:sz="4" w:space="0" w:color="auto"/>
              <w:right w:val="single" w:sz="4" w:space="0" w:color="808080" w:themeColor="background1" w:themeShade="80"/>
            </w:tcBorders>
            <w:shd w:val="clear" w:color="auto" w:fill="auto"/>
            <w:noWrap/>
            <w:vAlign w:val="bottom"/>
            <w:hideMark/>
          </w:tcPr>
          <w:p w14:paraId="3B14006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09"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noWrap/>
            <w:vAlign w:val="bottom"/>
            <w:hideMark/>
          </w:tcPr>
          <w:p w14:paraId="096031A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09"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noWrap/>
            <w:vAlign w:val="bottom"/>
            <w:hideMark/>
          </w:tcPr>
          <w:p w14:paraId="4A5DC36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89"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noWrap/>
            <w:vAlign w:val="bottom"/>
            <w:hideMark/>
          </w:tcPr>
          <w:p w14:paraId="0A1D802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59" w:type="pct"/>
            <w:tcBorders>
              <w:top w:val="single" w:sz="4" w:space="0" w:color="808080" w:themeColor="background1" w:themeShade="80"/>
              <w:left w:val="single" w:sz="4" w:space="0" w:color="808080" w:themeColor="background1" w:themeShade="80"/>
              <w:bottom w:val="single" w:sz="4" w:space="0" w:color="auto"/>
              <w:right w:val="single" w:sz="4" w:space="0" w:color="auto"/>
            </w:tcBorders>
            <w:shd w:val="clear" w:color="auto" w:fill="auto"/>
            <w:noWrap/>
            <w:vAlign w:val="bottom"/>
            <w:hideMark/>
          </w:tcPr>
          <w:p w14:paraId="28C98A0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2" w:type="pct"/>
            <w:tcBorders>
              <w:top w:val="single" w:sz="4" w:space="0" w:color="808080" w:themeColor="background1" w:themeShade="80"/>
              <w:left w:val="single" w:sz="4" w:space="0" w:color="auto"/>
              <w:bottom w:val="single" w:sz="4" w:space="0" w:color="auto"/>
              <w:right w:val="single" w:sz="4" w:space="0" w:color="808080" w:themeColor="background1" w:themeShade="80"/>
            </w:tcBorders>
            <w:shd w:val="clear" w:color="auto" w:fill="auto"/>
            <w:noWrap/>
            <w:vAlign w:val="bottom"/>
            <w:hideMark/>
          </w:tcPr>
          <w:p w14:paraId="56C0AA5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09"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noWrap/>
            <w:vAlign w:val="bottom"/>
            <w:hideMark/>
          </w:tcPr>
          <w:p w14:paraId="3853EB9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09"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noWrap/>
            <w:vAlign w:val="bottom"/>
            <w:hideMark/>
          </w:tcPr>
          <w:p w14:paraId="06815F0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9"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noWrap/>
            <w:vAlign w:val="bottom"/>
            <w:hideMark/>
          </w:tcPr>
          <w:p w14:paraId="2C27C70B"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0" w:type="pct"/>
            <w:tcBorders>
              <w:top w:val="single" w:sz="4" w:space="0" w:color="808080" w:themeColor="background1" w:themeShade="80"/>
              <w:left w:val="single" w:sz="4" w:space="0" w:color="808080" w:themeColor="background1" w:themeShade="80"/>
              <w:bottom w:val="single" w:sz="4" w:space="0" w:color="auto"/>
              <w:right w:val="single" w:sz="4" w:space="0" w:color="auto"/>
            </w:tcBorders>
            <w:shd w:val="clear" w:color="auto" w:fill="auto"/>
            <w:noWrap/>
            <w:vAlign w:val="bottom"/>
            <w:hideMark/>
          </w:tcPr>
          <w:p w14:paraId="0D0BC49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2" w:type="pct"/>
            <w:tcBorders>
              <w:top w:val="single" w:sz="4" w:space="0" w:color="808080" w:themeColor="background1" w:themeShade="80"/>
              <w:left w:val="single" w:sz="4" w:space="0" w:color="auto"/>
              <w:bottom w:val="single" w:sz="4" w:space="0" w:color="auto"/>
              <w:right w:val="single" w:sz="4" w:space="0" w:color="808080" w:themeColor="background1" w:themeShade="80"/>
            </w:tcBorders>
            <w:shd w:val="clear" w:color="auto" w:fill="auto"/>
            <w:noWrap/>
            <w:vAlign w:val="bottom"/>
            <w:hideMark/>
          </w:tcPr>
          <w:p w14:paraId="1782B02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239"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noWrap/>
            <w:vAlign w:val="bottom"/>
            <w:hideMark/>
          </w:tcPr>
          <w:p w14:paraId="0BAC77F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39"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noWrap/>
            <w:vAlign w:val="bottom"/>
            <w:hideMark/>
          </w:tcPr>
          <w:p w14:paraId="728360F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31.25%</w:t>
            </w:r>
          </w:p>
        </w:tc>
        <w:tc>
          <w:tcPr>
            <w:tcW w:w="219"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noWrap/>
            <w:vAlign w:val="bottom"/>
            <w:hideMark/>
          </w:tcPr>
          <w:p w14:paraId="352B2DC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150.59</w:t>
            </w:r>
          </w:p>
        </w:tc>
        <w:tc>
          <w:tcPr>
            <w:tcW w:w="191" w:type="pct"/>
            <w:tcBorders>
              <w:top w:val="single" w:sz="4" w:space="0" w:color="808080" w:themeColor="background1" w:themeShade="80"/>
              <w:left w:val="single" w:sz="4" w:space="0" w:color="808080" w:themeColor="background1" w:themeShade="80"/>
              <w:bottom w:val="single" w:sz="4" w:space="0" w:color="auto"/>
              <w:right w:val="single" w:sz="4" w:space="0" w:color="auto"/>
            </w:tcBorders>
            <w:shd w:val="clear" w:color="auto" w:fill="auto"/>
            <w:noWrap/>
            <w:vAlign w:val="bottom"/>
            <w:hideMark/>
          </w:tcPr>
          <w:p w14:paraId="548833E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20.54</w:t>
            </w:r>
          </w:p>
        </w:tc>
        <w:tc>
          <w:tcPr>
            <w:tcW w:w="375" w:type="pct"/>
            <w:tcBorders>
              <w:top w:val="single" w:sz="4" w:space="0" w:color="808080" w:themeColor="background1" w:themeShade="80"/>
              <w:left w:val="single" w:sz="4" w:space="0" w:color="auto"/>
              <w:bottom w:val="single" w:sz="4" w:space="0" w:color="auto"/>
              <w:right w:val="single" w:sz="4" w:space="0" w:color="auto"/>
            </w:tcBorders>
            <w:shd w:val="clear" w:color="auto" w:fill="auto"/>
            <w:noWrap/>
            <w:vAlign w:val="bottom"/>
            <w:hideMark/>
          </w:tcPr>
          <w:p w14:paraId="083B6A5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150.59</w:t>
            </w:r>
          </w:p>
        </w:tc>
        <w:tc>
          <w:tcPr>
            <w:tcW w:w="209" w:type="pct"/>
            <w:tcBorders>
              <w:top w:val="single" w:sz="4" w:space="0" w:color="808080" w:themeColor="background1" w:themeShade="80"/>
              <w:left w:val="single" w:sz="4" w:space="0" w:color="auto"/>
              <w:bottom w:val="single" w:sz="4" w:space="0" w:color="auto"/>
              <w:right w:val="single" w:sz="4" w:space="0" w:color="808080" w:themeColor="background1" w:themeShade="80"/>
            </w:tcBorders>
            <w:shd w:val="clear" w:color="auto" w:fill="auto"/>
            <w:noWrap/>
            <w:vAlign w:val="bottom"/>
            <w:hideMark/>
          </w:tcPr>
          <w:p w14:paraId="6A6ACA5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3.55%</w:t>
            </w:r>
          </w:p>
        </w:tc>
        <w:tc>
          <w:tcPr>
            <w:tcW w:w="239"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noWrap/>
            <w:vAlign w:val="bottom"/>
            <w:hideMark/>
          </w:tcPr>
          <w:p w14:paraId="1DE163CB"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09"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noWrap/>
            <w:vAlign w:val="bottom"/>
            <w:hideMark/>
          </w:tcPr>
          <w:p w14:paraId="6ABE23B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2.65%</w:t>
            </w:r>
          </w:p>
        </w:tc>
        <w:tc>
          <w:tcPr>
            <w:tcW w:w="241" w:type="pct"/>
            <w:tcBorders>
              <w:top w:val="single" w:sz="4" w:space="0" w:color="808080" w:themeColor="background1" w:themeShade="80"/>
              <w:left w:val="single" w:sz="4" w:space="0" w:color="808080" w:themeColor="background1" w:themeShade="80"/>
              <w:bottom w:val="single" w:sz="4" w:space="0" w:color="auto"/>
              <w:right w:val="single" w:sz="4" w:space="0" w:color="auto"/>
            </w:tcBorders>
            <w:shd w:val="clear" w:color="auto" w:fill="auto"/>
            <w:noWrap/>
            <w:vAlign w:val="bottom"/>
            <w:hideMark/>
          </w:tcPr>
          <w:p w14:paraId="1B6CC31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r>
      <w:tr w:rsidR="00B508F9" w:rsidRPr="00E87E42" w14:paraId="2AA21781" w14:textId="77777777" w:rsidTr="00332F42">
        <w:trPr>
          <w:trHeight w:val="227"/>
        </w:trPr>
        <w:tc>
          <w:tcPr>
            <w:tcW w:w="3727" w:type="pct"/>
            <w:gridSpan w:val="22"/>
            <w:tcBorders>
              <w:top w:val="single" w:sz="4" w:space="0" w:color="auto"/>
              <w:left w:val="single" w:sz="4" w:space="0" w:color="auto"/>
              <w:bottom w:val="single" w:sz="4" w:space="0" w:color="auto"/>
              <w:right w:val="single" w:sz="4" w:space="0" w:color="auto"/>
            </w:tcBorders>
            <w:shd w:val="clear" w:color="auto" w:fill="auto"/>
            <w:noWrap/>
            <w:vAlign w:val="bottom"/>
          </w:tcPr>
          <w:p w14:paraId="0F37DD87" w14:textId="5C69D7E6" w:rsidR="00B508F9" w:rsidRPr="00E87E42" w:rsidRDefault="00B508F9" w:rsidP="00B508F9">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Total weighted area damage</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3A5005" w14:textId="5362EB4F"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389.87</w:t>
            </w:r>
          </w:p>
        </w:tc>
        <w:tc>
          <w:tcPr>
            <w:tcW w:w="897"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A0E88C7" w14:textId="77777777" w:rsidR="00B508F9" w:rsidRPr="00E87E42" w:rsidRDefault="00B508F9" w:rsidP="00B508F9">
            <w:pPr>
              <w:spacing w:after="0" w:line="240" w:lineRule="auto"/>
              <w:jc w:val="center"/>
              <w:rPr>
                <w:rFonts w:eastAsia="Times New Roman"/>
                <w:color w:val="000000"/>
                <w:sz w:val="16"/>
                <w:szCs w:val="16"/>
                <w:lang w:eastAsia="en-GB"/>
              </w:rPr>
            </w:pPr>
          </w:p>
        </w:tc>
      </w:tr>
    </w:tbl>
    <w:p w14:paraId="2A908133" w14:textId="77777777" w:rsidR="007A4B79" w:rsidRPr="00E87E42" w:rsidRDefault="007A4B79" w:rsidP="00332F42">
      <w:pPr>
        <w:spacing w:line="240" w:lineRule="auto"/>
      </w:pPr>
    </w:p>
    <w:p w14:paraId="17A619D3" w14:textId="508248B4" w:rsidR="008C3AB0" w:rsidRPr="00E87E42" w:rsidRDefault="008C3AB0" w:rsidP="008C3AB0">
      <w:pPr>
        <w:pStyle w:val="Caption"/>
        <w:spacing w:line="240" w:lineRule="auto"/>
      </w:pPr>
      <w:bookmarkStart w:id="31" w:name="_Ref518120822"/>
      <w:bookmarkStart w:id="32" w:name="_Ref506544874"/>
      <w:bookmarkStart w:id="33" w:name="_Ref506458186"/>
      <w:r w:rsidRPr="00E87E42">
        <w:lastRenderedPageBreak/>
        <w:t xml:space="preserve">Table </w:t>
      </w:r>
      <w:r w:rsidR="00BC5ED7" w:rsidRPr="00E87E42">
        <w:rPr>
          <w:noProof/>
        </w:rPr>
        <w:fldChar w:fldCharType="begin"/>
      </w:r>
      <w:r w:rsidR="00BC5ED7" w:rsidRPr="00E87E42">
        <w:rPr>
          <w:noProof/>
        </w:rPr>
        <w:instrText xml:space="preserve"> SEQ Table \* ARABIC </w:instrText>
      </w:r>
      <w:r w:rsidR="00BC5ED7" w:rsidRPr="00E87E42">
        <w:rPr>
          <w:noProof/>
        </w:rPr>
        <w:fldChar w:fldCharType="separate"/>
      </w:r>
      <w:r w:rsidR="009F6872">
        <w:rPr>
          <w:noProof/>
        </w:rPr>
        <w:t>6</w:t>
      </w:r>
      <w:r w:rsidR="00BC5ED7" w:rsidRPr="00E87E42">
        <w:rPr>
          <w:noProof/>
        </w:rPr>
        <w:fldChar w:fldCharType="end"/>
      </w:r>
      <w:bookmarkEnd w:id="31"/>
      <w:r w:rsidRPr="00E87E42">
        <w:t>: Assembly: area damage and fire spread according to damage class; and fire frequency with respect to fire spread in presence and absence of automatic extinguishing systems in USA fire statistics, with weighted are damage, and frequency for fires and unclassified damage fires in the USA fire statistics.</w:t>
      </w:r>
    </w:p>
    <w:tbl>
      <w:tblPr>
        <w:tblW w:w="5000" w:type="pct"/>
        <w:tblCellMar>
          <w:top w:w="28" w:type="dxa"/>
          <w:left w:w="57" w:type="dxa"/>
          <w:bottom w:w="28" w:type="dxa"/>
          <w:right w:w="57" w:type="dxa"/>
        </w:tblCellMar>
        <w:tblLook w:val="04A0" w:firstRow="1" w:lastRow="0" w:firstColumn="1" w:lastColumn="0" w:noHBand="0" w:noVBand="1"/>
      </w:tblPr>
      <w:tblGrid>
        <w:gridCol w:w="194"/>
        <w:gridCol w:w="354"/>
        <w:gridCol w:w="354"/>
        <w:gridCol w:w="608"/>
        <w:gridCol w:w="608"/>
        <w:gridCol w:w="474"/>
        <w:gridCol w:w="475"/>
        <w:gridCol w:w="274"/>
        <w:gridCol w:w="608"/>
        <w:gridCol w:w="608"/>
        <w:gridCol w:w="474"/>
        <w:gridCol w:w="474"/>
        <w:gridCol w:w="274"/>
        <w:gridCol w:w="608"/>
        <w:gridCol w:w="608"/>
        <w:gridCol w:w="554"/>
        <w:gridCol w:w="474"/>
        <w:gridCol w:w="274"/>
        <w:gridCol w:w="608"/>
        <w:gridCol w:w="608"/>
        <w:gridCol w:w="554"/>
        <w:gridCol w:w="475"/>
        <w:gridCol w:w="1206"/>
        <w:gridCol w:w="608"/>
        <w:gridCol w:w="688"/>
        <w:gridCol w:w="608"/>
        <w:gridCol w:w="688"/>
      </w:tblGrid>
      <w:tr w:rsidR="008C3AB0" w:rsidRPr="00E87E42" w14:paraId="55C9A2C5" w14:textId="77777777" w:rsidTr="005839EF">
        <w:trPr>
          <w:trHeight w:val="227"/>
        </w:trPr>
        <w:tc>
          <w:tcPr>
            <w:tcW w:w="68" w:type="pct"/>
            <w:tcBorders>
              <w:top w:val="nil"/>
              <w:left w:val="nil"/>
              <w:bottom w:val="nil"/>
              <w:right w:val="single" w:sz="4" w:space="0" w:color="auto"/>
            </w:tcBorders>
            <w:shd w:val="clear" w:color="auto" w:fill="auto"/>
            <w:noWrap/>
            <w:vAlign w:val="bottom"/>
            <w:hideMark/>
          </w:tcPr>
          <w:p w14:paraId="5A396B3F" w14:textId="77777777" w:rsidR="008C3AB0" w:rsidRPr="00E87E42" w:rsidRDefault="008C3AB0" w:rsidP="005839EF">
            <w:pPr>
              <w:spacing w:after="0" w:line="240" w:lineRule="auto"/>
              <w:jc w:val="left"/>
              <w:rPr>
                <w:rFonts w:eastAsia="Times New Roman"/>
                <w:sz w:val="16"/>
                <w:szCs w:val="16"/>
                <w:lang w:eastAsia="en-GB"/>
              </w:rPr>
            </w:pPr>
          </w:p>
        </w:tc>
        <w:tc>
          <w:tcPr>
            <w:tcW w:w="4932" w:type="pct"/>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4478C" w14:textId="77777777" w:rsidR="008C3AB0" w:rsidRPr="00E87E42" w:rsidRDefault="008C3AB0" w:rsidP="005839EF">
            <w:pPr>
              <w:spacing w:after="0" w:line="240" w:lineRule="auto"/>
              <w:jc w:val="center"/>
              <w:rPr>
                <w:rFonts w:eastAsia="Times New Roman"/>
                <w:b/>
                <w:color w:val="000000"/>
                <w:sz w:val="16"/>
                <w:szCs w:val="16"/>
                <w:u w:val="single"/>
                <w:lang w:eastAsia="en-GB"/>
              </w:rPr>
            </w:pPr>
            <w:r w:rsidRPr="00E87E42">
              <w:rPr>
                <w:rFonts w:eastAsia="Times New Roman"/>
                <w:b/>
                <w:color w:val="000000"/>
                <w:sz w:val="16"/>
                <w:szCs w:val="16"/>
                <w:u w:val="single"/>
                <w:lang w:eastAsia="en-GB"/>
              </w:rPr>
              <w:t>Sprinklers - Area damage m</w:t>
            </w:r>
            <w:r w:rsidRPr="00E87E42">
              <w:rPr>
                <w:rFonts w:eastAsia="Times New Roman"/>
                <w:b/>
                <w:color w:val="000000"/>
                <w:sz w:val="16"/>
                <w:szCs w:val="16"/>
                <w:u w:val="single"/>
                <w:vertAlign w:val="superscript"/>
                <w:lang w:eastAsia="en-GB"/>
              </w:rPr>
              <w:t>2</w:t>
            </w:r>
          </w:p>
        </w:tc>
      </w:tr>
      <w:tr w:rsidR="008C3AB0" w:rsidRPr="00E87E42" w14:paraId="4D776181" w14:textId="77777777" w:rsidTr="005839EF">
        <w:trPr>
          <w:trHeight w:val="227"/>
        </w:trPr>
        <w:tc>
          <w:tcPr>
            <w:tcW w:w="68" w:type="pct"/>
            <w:tcBorders>
              <w:top w:val="nil"/>
              <w:left w:val="nil"/>
              <w:bottom w:val="nil"/>
              <w:right w:val="nil"/>
            </w:tcBorders>
            <w:shd w:val="clear" w:color="auto" w:fill="auto"/>
            <w:noWrap/>
            <w:vAlign w:val="bottom"/>
            <w:hideMark/>
          </w:tcPr>
          <w:p w14:paraId="33764266" w14:textId="77777777" w:rsidR="008C3AB0" w:rsidRPr="00E87E42" w:rsidRDefault="008C3AB0" w:rsidP="005839EF">
            <w:pPr>
              <w:spacing w:after="0" w:line="240" w:lineRule="auto"/>
              <w:jc w:val="center"/>
              <w:rPr>
                <w:rFonts w:eastAsia="Times New Roman"/>
                <w:color w:val="000000"/>
                <w:sz w:val="16"/>
                <w:szCs w:val="16"/>
                <w:lang w:eastAsia="en-GB"/>
              </w:rPr>
            </w:pPr>
          </w:p>
        </w:tc>
        <w:tc>
          <w:tcPr>
            <w:tcW w:w="12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ADE0CEF"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w:t>
            </w:r>
          </w:p>
        </w:tc>
        <w:tc>
          <w:tcPr>
            <w:tcW w:w="878"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13A30A6A" w14:textId="77777777" w:rsidR="008C3AB0" w:rsidRPr="00E87E42" w:rsidRDefault="008C3AB0" w:rsidP="005839E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Minor</w:t>
            </w:r>
          </w:p>
        </w:tc>
        <w:tc>
          <w:tcPr>
            <w:tcW w:w="850"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70D332F6" w14:textId="77777777" w:rsidR="008C3AB0" w:rsidRPr="00E87E42" w:rsidRDefault="008C3AB0" w:rsidP="005839E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Significantly</w:t>
            </w:r>
          </w:p>
        </w:tc>
        <w:tc>
          <w:tcPr>
            <w:tcW w:w="878"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7156F8E2" w14:textId="77777777" w:rsidR="008C3AB0" w:rsidRPr="00E87E42" w:rsidRDefault="008C3AB0" w:rsidP="005839E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Heavy</w:t>
            </w:r>
          </w:p>
        </w:tc>
        <w:tc>
          <w:tcPr>
            <w:tcW w:w="878"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3096D723" w14:textId="77777777" w:rsidR="008C3AB0" w:rsidRPr="00E87E42" w:rsidRDefault="008C3AB0" w:rsidP="005839E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Extreme</w:t>
            </w:r>
          </w:p>
        </w:tc>
        <w:tc>
          <w:tcPr>
            <w:tcW w:w="421" w:type="pct"/>
            <w:vMerge w:val="restart"/>
            <w:tcBorders>
              <w:top w:val="single" w:sz="4" w:space="0" w:color="auto"/>
              <w:left w:val="nil"/>
              <w:right w:val="single" w:sz="4" w:space="0" w:color="000000"/>
            </w:tcBorders>
          </w:tcPr>
          <w:p w14:paraId="25C815E2" w14:textId="77777777" w:rsidR="008C3AB0" w:rsidRPr="00E87E42" w:rsidRDefault="008C3AB0" w:rsidP="005839E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Weighted area damage</w:t>
            </w:r>
          </w:p>
          <w:p w14:paraId="07FC5379" w14:textId="77777777" w:rsidR="008C3AB0" w:rsidRPr="00E87E42" w:rsidRDefault="008C3AB0" w:rsidP="005839EF">
            <w:pPr>
              <w:spacing w:after="0" w:line="240" w:lineRule="auto"/>
              <w:jc w:val="center"/>
              <w:rPr>
                <w:rFonts w:eastAsia="Times New Roman"/>
                <w:i/>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452" w:type="pct"/>
            <w:gridSpan w:val="2"/>
            <w:vMerge w:val="restart"/>
            <w:tcBorders>
              <w:top w:val="single" w:sz="4" w:space="0" w:color="auto"/>
              <w:left w:val="nil"/>
              <w:bottom w:val="single" w:sz="4" w:space="0" w:color="A6A6A6" w:themeColor="background1" w:themeShade="A6"/>
              <w:right w:val="single" w:sz="4" w:space="0" w:color="000000"/>
            </w:tcBorders>
            <w:vAlign w:val="center"/>
          </w:tcPr>
          <w:p w14:paraId="761B10A9"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2" w:type="pct"/>
            <w:gridSpan w:val="2"/>
            <w:vMerge w:val="restart"/>
            <w:tcBorders>
              <w:top w:val="single" w:sz="4" w:space="0" w:color="auto"/>
              <w:left w:val="nil"/>
              <w:bottom w:val="single" w:sz="4" w:space="0" w:color="A6A6A6" w:themeColor="background1" w:themeShade="A6"/>
              <w:right w:val="single" w:sz="4" w:space="0" w:color="000000"/>
            </w:tcBorders>
            <w:vAlign w:val="center"/>
          </w:tcPr>
          <w:p w14:paraId="075B1D15"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F+U</w:t>
            </w:r>
          </w:p>
        </w:tc>
      </w:tr>
      <w:tr w:rsidR="008C3AB0" w:rsidRPr="00E87E42" w14:paraId="767BA46A" w14:textId="77777777" w:rsidTr="005839EF">
        <w:trPr>
          <w:trHeight w:val="227"/>
        </w:trPr>
        <w:tc>
          <w:tcPr>
            <w:tcW w:w="68" w:type="pct"/>
            <w:tcBorders>
              <w:top w:val="nil"/>
              <w:left w:val="nil"/>
              <w:bottom w:val="nil"/>
              <w:right w:val="nil"/>
            </w:tcBorders>
            <w:shd w:val="clear" w:color="auto" w:fill="auto"/>
            <w:noWrap/>
            <w:vAlign w:val="bottom"/>
            <w:hideMark/>
          </w:tcPr>
          <w:p w14:paraId="77E47883" w14:textId="77777777" w:rsidR="008C3AB0" w:rsidRPr="00E87E42" w:rsidRDefault="008C3AB0" w:rsidP="005839EF">
            <w:pPr>
              <w:spacing w:after="0" w:line="240" w:lineRule="auto"/>
              <w:jc w:val="center"/>
              <w:rPr>
                <w:rFonts w:eastAsia="Times New Roman"/>
                <w:color w:val="000000"/>
                <w:sz w:val="16"/>
                <w:szCs w:val="16"/>
                <w:lang w:eastAsia="en-GB"/>
              </w:rPr>
            </w:pPr>
          </w:p>
        </w:tc>
        <w:tc>
          <w:tcPr>
            <w:tcW w:w="123" w:type="pct"/>
            <w:vMerge/>
            <w:tcBorders>
              <w:top w:val="nil"/>
              <w:left w:val="single" w:sz="4" w:space="0" w:color="auto"/>
              <w:bottom w:val="single" w:sz="4" w:space="0" w:color="000000"/>
              <w:right w:val="single" w:sz="4" w:space="0" w:color="auto"/>
            </w:tcBorders>
            <w:vAlign w:val="center"/>
            <w:hideMark/>
          </w:tcPr>
          <w:p w14:paraId="12F033F3" w14:textId="77777777" w:rsidR="008C3AB0" w:rsidRPr="00E87E42" w:rsidRDefault="008C3AB0" w:rsidP="005839EF">
            <w:pPr>
              <w:spacing w:after="0" w:line="240" w:lineRule="auto"/>
              <w:jc w:val="left"/>
              <w:rPr>
                <w:rFonts w:eastAsia="Times New Roman"/>
                <w:color w:val="000000"/>
                <w:sz w:val="16"/>
                <w:szCs w:val="16"/>
                <w:lang w:eastAsia="en-GB"/>
              </w:rPr>
            </w:pPr>
          </w:p>
        </w:tc>
        <w:tc>
          <w:tcPr>
            <w:tcW w:w="123" w:type="pct"/>
            <w:vMerge w:val="restart"/>
            <w:tcBorders>
              <w:top w:val="nil"/>
              <w:left w:val="single" w:sz="4" w:space="0" w:color="auto"/>
              <w:bottom w:val="single" w:sz="4" w:space="0" w:color="000000"/>
              <w:right w:val="nil"/>
            </w:tcBorders>
            <w:shd w:val="clear" w:color="auto" w:fill="auto"/>
            <w:noWrap/>
            <w:vAlign w:val="center"/>
            <w:hideMark/>
          </w:tcPr>
          <w:p w14:paraId="2405BC95"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2068AA"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65" w:type="pct"/>
            <w:vMerge w:val="restart"/>
            <w:tcBorders>
              <w:top w:val="nil"/>
              <w:left w:val="single" w:sz="4" w:space="0" w:color="auto"/>
              <w:bottom w:val="nil"/>
              <w:right w:val="single" w:sz="4" w:space="0" w:color="auto"/>
            </w:tcBorders>
            <w:shd w:val="clear" w:color="auto" w:fill="auto"/>
            <w:noWrap/>
            <w:vAlign w:val="center"/>
            <w:hideMark/>
          </w:tcPr>
          <w:p w14:paraId="755BEEA3"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Av.</w:t>
            </w:r>
          </w:p>
          <w:p w14:paraId="62DEDBD9"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6" w:type="pct"/>
            <w:vMerge w:val="restart"/>
            <w:tcBorders>
              <w:top w:val="nil"/>
              <w:left w:val="single" w:sz="4" w:space="0" w:color="auto"/>
              <w:bottom w:val="nil"/>
              <w:right w:val="single" w:sz="4" w:space="0" w:color="auto"/>
            </w:tcBorders>
            <w:shd w:val="clear" w:color="auto" w:fill="auto"/>
            <w:noWrap/>
            <w:vAlign w:val="center"/>
            <w:hideMark/>
          </w:tcPr>
          <w:p w14:paraId="1AA4FEC2"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46CE13AB"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9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AD573FD"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19CFAE31"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65" w:type="pct"/>
            <w:vMerge w:val="restart"/>
            <w:tcBorders>
              <w:top w:val="nil"/>
              <w:left w:val="single" w:sz="4" w:space="0" w:color="auto"/>
              <w:bottom w:val="nil"/>
              <w:right w:val="single" w:sz="4" w:space="0" w:color="auto"/>
            </w:tcBorders>
            <w:shd w:val="clear" w:color="auto" w:fill="auto"/>
            <w:noWrap/>
            <w:vAlign w:val="center"/>
            <w:hideMark/>
          </w:tcPr>
          <w:p w14:paraId="4F5A5C40"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Av.</w:t>
            </w:r>
          </w:p>
          <w:p w14:paraId="5891E3E8"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5" w:type="pct"/>
            <w:vMerge w:val="restart"/>
            <w:tcBorders>
              <w:top w:val="nil"/>
              <w:left w:val="single" w:sz="4" w:space="0" w:color="auto"/>
              <w:bottom w:val="nil"/>
              <w:right w:val="single" w:sz="4" w:space="0" w:color="auto"/>
            </w:tcBorders>
            <w:shd w:val="clear" w:color="auto" w:fill="auto"/>
            <w:noWrap/>
            <w:vAlign w:val="center"/>
            <w:hideMark/>
          </w:tcPr>
          <w:p w14:paraId="6FE12142"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2AC5C2FC"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9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FD6077F"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50EA9E0E"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93" w:type="pct"/>
            <w:vMerge w:val="restart"/>
            <w:tcBorders>
              <w:top w:val="nil"/>
              <w:left w:val="single" w:sz="4" w:space="0" w:color="auto"/>
              <w:bottom w:val="nil"/>
              <w:right w:val="single" w:sz="4" w:space="0" w:color="auto"/>
            </w:tcBorders>
            <w:shd w:val="clear" w:color="auto" w:fill="auto"/>
            <w:noWrap/>
            <w:vAlign w:val="center"/>
            <w:hideMark/>
          </w:tcPr>
          <w:p w14:paraId="53BE4FEF"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Av.</w:t>
            </w:r>
          </w:p>
          <w:p w14:paraId="470D5D4A"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5" w:type="pct"/>
            <w:vMerge w:val="restart"/>
            <w:tcBorders>
              <w:top w:val="nil"/>
              <w:left w:val="single" w:sz="4" w:space="0" w:color="auto"/>
              <w:bottom w:val="nil"/>
              <w:right w:val="single" w:sz="4" w:space="0" w:color="auto"/>
            </w:tcBorders>
            <w:shd w:val="clear" w:color="auto" w:fill="auto"/>
            <w:noWrap/>
            <w:vAlign w:val="center"/>
            <w:hideMark/>
          </w:tcPr>
          <w:p w14:paraId="66C0B513"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09EF87E7"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9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3D4EE8"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4" w:type="pct"/>
            <w:gridSpan w:val="2"/>
            <w:tcBorders>
              <w:top w:val="single" w:sz="4" w:space="0" w:color="auto"/>
              <w:left w:val="nil"/>
              <w:bottom w:val="nil"/>
              <w:right w:val="single" w:sz="4" w:space="0" w:color="000000"/>
            </w:tcBorders>
            <w:shd w:val="clear" w:color="auto" w:fill="auto"/>
            <w:noWrap/>
            <w:vAlign w:val="bottom"/>
            <w:hideMark/>
          </w:tcPr>
          <w:p w14:paraId="5C08F7A4"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93" w:type="pct"/>
            <w:vMerge w:val="restart"/>
            <w:tcBorders>
              <w:top w:val="nil"/>
              <w:left w:val="single" w:sz="4" w:space="0" w:color="auto"/>
              <w:bottom w:val="nil"/>
              <w:right w:val="single" w:sz="4" w:space="0" w:color="auto"/>
            </w:tcBorders>
            <w:shd w:val="clear" w:color="auto" w:fill="auto"/>
            <w:noWrap/>
            <w:vAlign w:val="center"/>
            <w:hideMark/>
          </w:tcPr>
          <w:p w14:paraId="5F1134DB"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Av.</w:t>
            </w:r>
          </w:p>
          <w:p w14:paraId="32258D13"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6" w:type="pct"/>
            <w:vMerge w:val="restart"/>
            <w:tcBorders>
              <w:top w:val="nil"/>
              <w:left w:val="single" w:sz="4" w:space="0" w:color="auto"/>
              <w:bottom w:val="nil"/>
              <w:right w:val="single" w:sz="4" w:space="0" w:color="auto"/>
            </w:tcBorders>
            <w:shd w:val="clear" w:color="auto" w:fill="auto"/>
            <w:noWrap/>
            <w:vAlign w:val="center"/>
            <w:hideMark/>
          </w:tcPr>
          <w:p w14:paraId="65A1F1BC"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10C39F5A" w14:textId="77777777" w:rsidR="008C3AB0" w:rsidRPr="00E87E42" w:rsidRDefault="008C3AB0"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421" w:type="pct"/>
            <w:vMerge/>
            <w:tcBorders>
              <w:left w:val="single" w:sz="4" w:space="0" w:color="auto"/>
              <w:right w:val="single" w:sz="4" w:space="0" w:color="000000"/>
            </w:tcBorders>
          </w:tcPr>
          <w:p w14:paraId="3BC5024F" w14:textId="77777777" w:rsidR="008C3AB0" w:rsidRPr="00E87E42" w:rsidRDefault="008C3AB0" w:rsidP="005839EF">
            <w:pPr>
              <w:spacing w:after="0" w:line="240" w:lineRule="auto"/>
              <w:jc w:val="center"/>
              <w:rPr>
                <w:rFonts w:eastAsia="Times New Roman"/>
                <w:color w:val="000000"/>
                <w:sz w:val="16"/>
                <w:szCs w:val="16"/>
                <w:lang w:eastAsia="en-GB"/>
              </w:rPr>
            </w:pPr>
          </w:p>
        </w:tc>
        <w:tc>
          <w:tcPr>
            <w:tcW w:w="452" w:type="pct"/>
            <w:gridSpan w:val="2"/>
            <w:vMerge/>
            <w:tcBorders>
              <w:top w:val="single" w:sz="4" w:space="0" w:color="000000"/>
              <w:left w:val="single" w:sz="4" w:space="0" w:color="000000"/>
              <w:bottom w:val="single" w:sz="4" w:space="0" w:color="000000" w:themeColor="text1"/>
              <w:right w:val="single" w:sz="4" w:space="0" w:color="000000"/>
            </w:tcBorders>
          </w:tcPr>
          <w:p w14:paraId="0FF65689" w14:textId="77777777" w:rsidR="008C3AB0" w:rsidRPr="00E87E42" w:rsidRDefault="008C3AB0" w:rsidP="005839EF">
            <w:pPr>
              <w:spacing w:after="0" w:line="240" w:lineRule="auto"/>
              <w:jc w:val="center"/>
              <w:rPr>
                <w:rFonts w:eastAsia="Times New Roman"/>
                <w:color w:val="000000"/>
                <w:sz w:val="16"/>
                <w:szCs w:val="16"/>
                <w:lang w:eastAsia="en-GB"/>
              </w:rPr>
            </w:pPr>
          </w:p>
        </w:tc>
        <w:tc>
          <w:tcPr>
            <w:tcW w:w="452" w:type="pct"/>
            <w:gridSpan w:val="2"/>
            <w:vMerge/>
            <w:tcBorders>
              <w:top w:val="single" w:sz="4" w:space="0" w:color="000000"/>
              <w:left w:val="single" w:sz="4" w:space="0" w:color="000000"/>
              <w:bottom w:val="single" w:sz="4" w:space="0" w:color="000000"/>
              <w:right w:val="single" w:sz="4" w:space="0" w:color="000000"/>
            </w:tcBorders>
          </w:tcPr>
          <w:p w14:paraId="78628455" w14:textId="77777777" w:rsidR="008C3AB0" w:rsidRPr="00E87E42" w:rsidRDefault="008C3AB0" w:rsidP="005839EF">
            <w:pPr>
              <w:spacing w:after="0" w:line="240" w:lineRule="auto"/>
              <w:jc w:val="center"/>
              <w:rPr>
                <w:rFonts w:eastAsia="Times New Roman"/>
                <w:color w:val="000000"/>
                <w:sz w:val="16"/>
                <w:szCs w:val="16"/>
                <w:lang w:eastAsia="en-GB"/>
              </w:rPr>
            </w:pPr>
          </w:p>
        </w:tc>
      </w:tr>
      <w:tr w:rsidR="00B508F9" w:rsidRPr="00E87E42" w14:paraId="376FBF55" w14:textId="77777777" w:rsidTr="005839EF">
        <w:trPr>
          <w:trHeight w:val="227"/>
        </w:trPr>
        <w:tc>
          <w:tcPr>
            <w:tcW w:w="68" w:type="pct"/>
            <w:tcBorders>
              <w:top w:val="nil"/>
              <w:left w:val="nil"/>
              <w:bottom w:val="single" w:sz="4" w:space="0" w:color="auto"/>
              <w:right w:val="nil"/>
            </w:tcBorders>
            <w:shd w:val="clear" w:color="auto" w:fill="auto"/>
            <w:noWrap/>
            <w:vAlign w:val="bottom"/>
            <w:hideMark/>
          </w:tcPr>
          <w:p w14:paraId="005F7A5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w:t>
            </w:r>
          </w:p>
        </w:tc>
        <w:tc>
          <w:tcPr>
            <w:tcW w:w="123" w:type="pct"/>
            <w:vMerge/>
            <w:tcBorders>
              <w:top w:val="nil"/>
              <w:left w:val="single" w:sz="4" w:space="0" w:color="auto"/>
              <w:bottom w:val="single" w:sz="4" w:space="0" w:color="000000"/>
              <w:right w:val="single" w:sz="4" w:space="0" w:color="auto"/>
            </w:tcBorders>
            <w:vAlign w:val="center"/>
            <w:hideMark/>
          </w:tcPr>
          <w:p w14:paraId="69E3EFA7"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123" w:type="pct"/>
            <w:vMerge/>
            <w:tcBorders>
              <w:top w:val="nil"/>
              <w:left w:val="single" w:sz="4" w:space="0" w:color="auto"/>
              <w:bottom w:val="single" w:sz="4" w:space="0" w:color="000000"/>
              <w:right w:val="nil"/>
            </w:tcBorders>
            <w:vAlign w:val="center"/>
            <w:hideMark/>
          </w:tcPr>
          <w:p w14:paraId="686DDA65"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212" w:type="pct"/>
            <w:tcBorders>
              <w:top w:val="nil"/>
              <w:left w:val="single" w:sz="4" w:space="0" w:color="auto"/>
              <w:bottom w:val="nil"/>
              <w:right w:val="single" w:sz="4" w:space="0" w:color="auto"/>
            </w:tcBorders>
            <w:shd w:val="clear" w:color="auto" w:fill="auto"/>
            <w:noWrap/>
            <w:vAlign w:val="bottom"/>
            <w:hideMark/>
          </w:tcPr>
          <w:p w14:paraId="59603F2A" w14:textId="6705EE8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2" w:type="pct"/>
            <w:tcBorders>
              <w:top w:val="nil"/>
              <w:left w:val="nil"/>
              <w:bottom w:val="nil"/>
              <w:right w:val="single" w:sz="4" w:space="0" w:color="auto"/>
            </w:tcBorders>
            <w:shd w:val="clear" w:color="auto" w:fill="auto"/>
            <w:noWrap/>
            <w:vAlign w:val="bottom"/>
            <w:hideMark/>
          </w:tcPr>
          <w:p w14:paraId="5C640C5E" w14:textId="3ACA1540"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65" w:type="pct"/>
            <w:vMerge/>
            <w:tcBorders>
              <w:top w:val="nil"/>
              <w:left w:val="single" w:sz="4" w:space="0" w:color="auto"/>
              <w:bottom w:val="nil"/>
              <w:right w:val="single" w:sz="4" w:space="0" w:color="auto"/>
            </w:tcBorders>
            <w:vAlign w:val="center"/>
            <w:hideMark/>
          </w:tcPr>
          <w:p w14:paraId="053B5163"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166" w:type="pct"/>
            <w:vMerge/>
            <w:tcBorders>
              <w:top w:val="nil"/>
              <w:left w:val="single" w:sz="4" w:space="0" w:color="auto"/>
              <w:bottom w:val="nil"/>
              <w:right w:val="single" w:sz="4" w:space="0" w:color="auto"/>
            </w:tcBorders>
            <w:vAlign w:val="center"/>
            <w:hideMark/>
          </w:tcPr>
          <w:p w14:paraId="4FADF145"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96" w:type="pct"/>
            <w:vMerge/>
            <w:tcBorders>
              <w:top w:val="nil"/>
              <w:left w:val="single" w:sz="4" w:space="0" w:color="auto"/>
              <w:bottom w:val="single" w:sz="4" w:space="0" w:color="000000"/>
              <w:right w:val="single" w:sz="4" w:space="0" w:color="auto"/>
            </w:tcBorders>
            <w:vAlign w:val="center"/>
            <w:hideMark/>
          </w:tcPr>
          <w:p w14:paraId="5F0DC7A5"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212" w:type="pct"/>
            <w:tcBorders>
              <w:top w:val="nil"/>
              <w:left w:val="nil"/>
              <w:bottom w:val="nil"/>
              <w:right w:val="single" w:sz="4" w:space="0" w:color="auto"/>
            </w:tcBorders>
            <w:shd w:val="clear" w:color="auto" w:fill="auto"/>
            <w:noWrap/>
            <w:vAlign w:val="bottom"/>
            <w:hideMark/>
          </w:tcPr>
          <w:p w14:paraId="2EB0EE24" w14:textId="43E6257C"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2" w:type="pct"/>
            <w:tcBorders>
              <w:top w:val="nil"/>
              <w:left w:val="nil"/>
              <w:bottom w:val="nil"/>
              <w:right w:val="single" w:sz="4" w:space="0" w:color="auto"/>
            </w:tcBorders>
            <w:shd w:val="clear" w:color="auto" w:fill="auto"/>
            <w:noWrap/>
            <w:vAlign w:val="bottom"/>
            <w:hideMark/>
          </w:tcPr>
          <w:p w14:paraId="54ACB5D1" w14:textId="742B568C"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65" w:type="pct"/>
            <w:vMerge/>
            <w:tcBorders>
              <w:top w:val="nil"/>
              <w:left w:val="single" w:sz="4" w:space="0" w:color="auto"/>
              <w:bottom w:val="nil"/>
              <w:right w:val="single" w:sz="4" w:space="0" w:color="auto"/>
            </w:tcBorders>
            <w:vAlign w:val="center"/>
            <w:hideMark/>
          </w:tcPr>
          <w:p w14:paraId="00C7EB7F"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165" w:type="pct"/>
            <w:vMerge/>
            <w:tcBorders>
              <w:top w:val="nil"/>
              <w:left w:val="single" w:sz="4" w:space="0" w:color="auto"/>
              <w:bottom w:val="nil"/>
              <w:right w:val="single" w:sz="4" w:space="0" w:color="auto"/>
            </w:tcBorders>
            <w:vAlign w:val="center"/>
            <w:hideMark/>
          </w:tcPr>
          <w:p w14:paraId="10A20F14"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96" w:type="pct"/>
            <w:vMerge/>
            <w:tcBorders>
              <w:top w:val="nil"/>
              <w:left w:val="single" w:sz="4" w:space="0" w:color="auto"/>
              <w:bottom w:val="single" w:sz="4" w:space="0" w:color="000000"/>
              <w:right w:val="single" w:sz="4" w:space="0" w:color="auto"/>
            </w:tcBorders>
            <w:vAlign w:val="center"/>
            <w:hideMark/>
          </w:tcPr>
          <w:p w14:paraId="34291EA0"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212" w:type="pct"/>
            <w:tcBorders>
              <w:top w:val="nil"/>
              <w:left w:val="nil"/>
              <w:bottom w:val="nil"/>
              <w:right w:val="single" w:sz="4" w:space="0" w:color="auto"/>
            </w:tcBorders>
            <w:shd w:val="clear" w:color="auto" w:fill="auto"/>
            <w:noWrap/>
            <w:vAlign w:val="bottom"/>
            <w:hideMark/>
          </w:tcPr>
          <w:p w14:paraId="2888B37C" w14:textId="07F9FEDB"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2" w:type="pct"/>
            <w:tcBorders>
              <w:top w:val="nil"/>
              <w:left w:val="nil"/>
              <w:bottom w:val="nil"/>
              <w:right w:val="single" w:sz="4" w:space="0" w:color="auto"/>
            </w:tcBorders>
            <w:shd w:val="clear" w:color="auto" w:fill="auto"/>
            <w:noWrap/>
            <w:vAlign w:val="bottom"/>
            <w:hideMark/>
          </w:tcPr>
          <w:p w14:paraId="1F5A6597" w14:textId="134BFCA0"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93" w:type="pct"/>
            <w:vMerge/>
            <w:tcBorders>
              <w:top w:val="nil"/>
              <w:left w:val="single" w:sz="4" w:space="0" w:color="auto"/>
              <w:bottom w:val="nil"/>
              <w:right w:val="single" w:sz="4" w:space="0" w:color="auto"/>
            </w:tcBorders>
            <w:vAlign w:val="center"/>
            <w:hideMark/>
          </w:tcPr>
          <w:p w14:paraId="69F82343"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165" w:type="pct"/>
            <w:vMerge/>
            <w:tcBorders>
              <w:top w:val="nil"/>
              <w:left w:val="single" w:sz="4" w:space="0" w:color="auto"/>
              <w:bottom w:val="nil"/>
              <w:right w:val="single" w:sz="4" w:space="0" w:color="auto"/>
            </w:tcBorders>
            <w:vAlign w:val="center"/>
            <w:hideMark/>
          </w:tcPr>
          <w:p w14:paraId="6F6DBBE2"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96" w:type="pct"/>
            <w:vMerge/>
            <w:tcBorders>
              <w:top w:val="nil"/>
              <w:left w:val="single" w:sz="4" w:space="0" w:color="auto"/>
              <w:bottom w:val="single" w:sz="4" w:space="0" w:color="000000"/>
              <w:right w:val="single" w:sz="4" w:space="0" w:color="auto"/>
            </w:tcBorders>
            <w:vAlign w:val="center"/>
            <w:hideMark/>
          </w:tcPr>
          <w:p w14:paraId="5FCDBCE5"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212" w:type="pct"/>
            <w:tcBorders>
              <w:top w:val="single" w:sz="4" w:space="0" w:color="auto"/>
              <w:left w:val="nil"/>
              <w:bottom w:val="nil"/>
              <w:right w:val="single" w:sz="4" w:space="0" w:color="auto"/>
            </w:tcBorders>
            <w:shd w:val="clear" w:color="auto" w:fill="auto"/>
            <w:noWrap/>
            <w:vAlign w:val="bottom"/>
            <w:hideMark/>
          </w:tcPr>
          <w:p w14:paraId="72D47754" w14:textId="2DB60DE0"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2" w:type="pct"/>
            <w:tcBorders>
              <w:top w:val="single" w:sz="4" w:space="0" w:color="auto"/>
              <w:left w:val="nil"/>
              <w:bottom w:val="nil"/>
              <w:right w:val="single" w:sz="4" w:space="0" w:color="auto"/>
            </w:tcBorders>
            <w:shd w:val="clear" w:color="auto" w:fill="auto"/>
            <w:noWrap/>
            <w:vAlign w:val="bottom"/>
            <w:hideMark/>
          </w:tcPr>
          <w:p w14:paraId="5BF2BF0F" w14:textId="58DF5762"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93" w:type="pct"/>
            <w:vMerge/>
            <w:tcBorders>
              <w:top w:val="nil"/>
              <w:left w:val="single" w:sz="4" w:space="0" w:color="auto"/>
              <w:bottom w:val="nil"/>
              <w:right w:val="single" w:sz="4" w:space="0" w:color="auto"/>
            </w:tcBorders>
            <w:vAlign w:val="center"/>
            <w:hideMark/>
          </w:tcPr>
          <w:p w14:paraId="0A9891DF"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166" w:type="pct"/>
            <w:vMerge/>
            <w:tcBorders>
              <w:top w:val="single" w:sz="4" w:space="0" w:color="000000" w:themeColor="text1"/>
              <w:left w:val="single" w:sz="4" w:space="0" w:color="auto"/>
              <w:bottom w:val="nil"/>
              <w:right w:val="single" w:sz="4" w:space="0" w:color="auto"/>
            </w:tcBorders>
            <w:vAlign w:val="center"/>
            <w:hideMark/>
          </w:tcPr>
          <w:p w14:paraId="1A20CF50"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421" w:type="pct"/>
            <w:vMerge/>
            <w:tcBorders>
              <w:left w:val="single" w:sz="4" w:space="0" w:color="auto"/>
              <w:bottom w:val="nil"/>
              <w:right w:val="single" w:sz="4" w:space="0" w:color="000000"/>
            </w:tcBorders>
          </w:tcPr>
          <w:p w14:paraId="77BDE57C"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212" w:type="pct"/>
            <w:tcBorders>
              <w:top w:val="single" w:sz="4" w:space="0" w:color="000000" w:themeColor="text1"/>
              <w:left w:val="single" w:sz="4" w:space="0" w:color="000000"/>
              <w:bottom w:val="nil"/>
              <w:right w:val="single" w:sz="4" w:space="0" w:color="auto"/>
            </w:tcBorders>
            <w:vAlign w:val="bottom"/>
          </w:tcPr>
          <w:p w14:paraId="4B19B371" w14:textId="77777777" w:rsidR="00B508F9" w:rsidRPr="00E87E42" w:rsidRDefault="00B508F9"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0" w:type="pct"/>
            <w:tcBorders>
              <w:top w:val="single" w:sz="4" w:space="0" w:color="A6A6A6" w:themeColor="background1" w:themeShade="A6"/>
              <w:left w:val="single" w:sz="4" w:space="0" w:color="auto"/>
              <w:bottom w:val="nil"/>
              <w:right w:val="single" w:sz="4" w:space="0" w:color="auto"/>
            </w:tcBorders>
            <w:vAlign w:val="bottom"/>
          </w:tcPr>
          <w:p w14:paraId="3405D762" w14:textId="77777777" w:rsidR="00B508F9" w:rsidRPr="00E87E42" w:rsidRDefault="00B508F9"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c>
          <w:tcPr>
            <w:tcW w:w="212" w:type="pct"/>
            <w:tcBorders>
              <w:top w:val="single" w:sz="4" w:space="0" w:color="000000"/>
              <w:left w:val="single" w:sz="4" w:space="0" w:color="auto"/>
              <w:bottom w:val="nil"/>
              <w:right w:val="single" w:sz="4" w:space="0" w:color="auto"/>
            </w:tcBorders>
            <w:vAlign w:val="bottom"/>
          </w:tcPr>
          <w:p w14:paraId="5F24A291" w14:textId="77777777" w:rsidR="00B508F9" w:rsidRPr="00E87E42" w:rsidRDefault="00B508F9"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0" w:type="pct"/>
            <w:tcBorders>
              <w:top w:val="single" w:sz="4" w:space="0" w:color="000000"/>
              <w:left w:val="single" w:sz="4" w:space="0" w:color="auto"/>
              <w:bottom w:val="nil"/>
              <w:right w:val="single" w:sz="4" w:space="0" w:color="auto"/>
            </w:tcBorders>
            <w:vAlign w:val="bottom"/>
          </w:tcPr>
          <w:p w14:paraId="1B7D77F5" w14:textId="77777777" w:rsidR="00B508F9" w:rsidRPr="00E87E42" w:rsidRDefault="00B508F9"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r>
      <w:tr w:rsidR="00B508F9" w:rsidRPr="00E87E42" w14:paraId="482CD939" w14:textId="77777777" w:rsidTr="005839EF">
        <w:trPr>
          <w:trHeight w:val="227"/>
        </w:trPr>
        <w:tc>
          <w:tcPr>
            <w:tcW w:w="68" w:type="pct"/>
            <w:tcBorders>
              <w:top w:val="nil"/>
              <w:left w:val="single" w:sz="4" w:space="0" w:color="auto"/>
              <w:bottom w:val="single" w:sz="4" w:space="0" w:color="auto"/>
              <w:right w:val="nil"/>
            </w:tcBorders>
            <w:shd w:val="clear" w:color="auto" w:fill="auto"/>
            <w:noWrap/>
            <w:vAlign w:val="bottom"/>
            <w:hideMark/>
          </w:tcPr>
          <w:p w14:paraId="550BE4B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123" w:type="pct"/>
            <w:tcBorders>
              <w:top w:val="single" w:sz="4" w:space="0" w:color="000000"/>
              <w:left w:val="single" w:sz="4" w:space="0" w:color="auto"/>
              <w:bottom w:val="single" w:sz="4" w:space="0" w:color="A6A6A6" w:themeColor="background1" w:themeShade="A6"/>
              <w:right w:val="single" w:sz="4" w:space="0" w:color="auto"/>
            </w:tcBorders>
            <w:shd w:val="clear" w:color="auto" w:fill="auto"/>
            <w:noWrap/>
            <w:vAlign w:val="bottom"/>
            <w:hideMark/>
          </w:tcPr>
          <w:p w14:paraId="4452FDB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169</w:t>
            </w:r>
          </w:p>
        </w:tc>
        <w:tc>
          <w:tcPr>
            <w:tcW w:w="123" w:type="pct"/>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3EDCA4F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65</w:t>
            </w:r>
          </w:p>
        </w:tc>
        <w:tc>
          <w:tcPr>
            <w:tcW w:w="212"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1B1236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97.01%</w:t>
            </w:r>
          </w:p>
        </w:tc>
        <w:tc>
          <w:tcPr>
            <w:tcW w:w="212"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3A8A69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29.41%</w:t>
            </w:r>
          </w:p>
        </w:tc>
        <w:tc>
          <w:tcPr>
            <w:tcW w:w="165"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80C168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29.86</w:t>
            </w:r>
          </w:p>
        </w:tc>
        <w:tc>
          <w:tcPr>
            <w:tcW w:w="166"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2C9C01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29.86</w:t>
            </w:r>
          </w:p>
        </w:tc>
        <w:tc>
          <w:tcPr>
            <w:tcW w:w="96"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0DC0EC6"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12"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52F8DA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2.99%</w:t>
            </w:r>
          </w:p>
        </w:tc>
        <w:tc>
          <w:tcPr>
            <w:tcW w:w="212"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C5B3E8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11.11%</w:t>
            </w:r>
          </w:p>
        </w:tc>
        <w:tc>
          <w:tcPr>
            <w:tcW w:w="165"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37B881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6.84</w:t>
            </w:r>
          </w:p>
        </w:tc>
        <w:tc>
          <w:tcPr>
            <w:tcW w:w="165" w:type="pct"/>
            <w:tcBorders>
              <w:top w:val="single" w:sz="4" w:space="0" w:color="auto"/>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6521485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2.22</w:t>
            </w:r>
          </w:p>
        </w:tc>
        <w:tc>
          <w:tcPr>
            <w:tcW w:w="96" w:type="pct"/>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48E0942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2"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AA0B3F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2"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225317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3"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7E6C20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AAE315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96"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7A7327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2"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448D07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2"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872EE2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3"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C2818F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6" w:type="pct"/>
            <w:tcBorders>
              <w:top w:val="single" w:sz="4" w:space="0" w:color="auto"/>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5953068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421" w:type="pct"/>
            <w:tcBorders>
              <w:top w:val="single" w:sz="4" w:space="0" w:color="auto"/>
              <w:left w:val="single" w:sz="4" w:space="0" w:color="A6A6A6" w:themeColor="background1" w:themeShade="A6"/>
              <w:bottom w:val="single" w:sz="4" w:space="0" w:color="A6A6A6" w:themeColor="background1" w:themeShade="A6"/>
              <w:right w:val="single" w:sz="4" w:space="0" w:color="auto"/>
            </w:tcBorders>
            <w:vAlign w:val="bottom"/>
          </w:tcPr>
          <w:p w14:paraId="612F90C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29.18</w:t>
            </w:r>
          </w:p>
        </w:tc>
        <w:tc>
          <w:tcPr>
            <w:tcW w:w="212" w:type="pct"/>
            <w:tcBorders>
              <w:top w:val="single" w:sz="4" w:space="0" w:color="auto"/>
              <w:left w:val="single" w:sz="4" w:space="0" w:color="A6A6A6" w:themeColor="background1" w:themeShade="A6"/>
              <w:bottom w:val="single" w:sz="4" w:space="0" w:color="A6A6A6" w:themeColor="background1" w:themeShade="A6"/>
              <w:right w:val="single" w:sz="4" w:space="0" w:color="auto"/>
            </w:tcBorders>
            <w:vAlign w:val="bottom"/>
          </w:tcPr>
          <w:p w14:paraId="78D1697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26.59%</w:t>
            </w:r>
          </w:p>
        </w:tc>
        <w:tc>
          <w:tcPr>
            <w:tcW w:w="240" w:type="pct"/>
            <w:tcBorders>
              <w:top w:val="single" w:sz="4" w:space="0" w:color="auto"/>
              <w:left w:val="single" w:sz="4" w:space="0" w:color="A6A6A6" w:themeColor="background1" w:themeShade="A6"/>
              <w:bottom w:val="single" w:sz="4" w:space="0" w:color="A6A6A6" w:themeColor="background1" w:themeShade="A6"/>
              <w:right w:val="single" w:sz="4" w:space="0" w:color="auto"/>
            </w:tcBorders>
            <w:vAlign w:val="bottom"/>
          </w:tcPr>
          <w:p w14:paraId="14C9131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26.59%</w:t>
            </w:r>
          </w:p>
        </w:tc>
        <w:tc>
          <w:tcPr>
            <w:tcW w:w="212" w:type="pct"/>
            <w:tcBorders>
              <w:top w:val="single" w:sz="4" w:space="0" w:color="auto"/>
              <w:left w:val="single" w:sz="4" w:space="0" w:color="A6A6A6" w:themeColor="background1" w:themeShade="A6"/>
              <w:bottom w:val="single" w:sz="4" w:space="0" w:color="A6A6A6" w:themeColor="background1" w:themeShade="A6"/>
              <w:right w:val="single" w:sz="4" w:space="0" w:color="auto"/>
            </w:tcBorders>
            <w:vAlign w:val="bottom"/>
          </w:tcPr>
          <w:p w14:paraId="00EF219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34.85%</w:t>
            </w:r>
          </w:p>
        </w:tc>
        <w:tc>
          <w:tcPr>
            <w:tcW w:w="240" w:type="pct"/>
            <w:tcBorders>
              <w:top w:val="single" w:sz="4" w:space="0" w:color="auto"/>
              <w:left w:val="single" w:sz="4" w:space="0" w:color="A6A6A6" w:themeColor="background1" w:themeShade="A6"/>
              <w:bottom w:val="single" w:sz="4" w:space="0" w:color="A6A6A6" w:themeColor="background1" w:themeShade="A6"/>
              <w:right w:val="single" w:sz="4" w:space="0" w:color="auto"/>
            </w:tcBorders>
            <w:vAlign w:val="bottom"/>
          </w:tcPr>
          <w:p w14:paraId="70E97B5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34.85%</w:t>
            </w:r>
          </w:p>
        </w:tc>
      </w:tr>
      <w:tr w:rsidR="00B508F9" w:rsidRPr="00E87E42" w14:paraId="3C13B3BE" w14:textId="77777777" w:rsidTr="005839EF">
        <w:trPr>
          <w:trHeight w:val="227"/>
        </w:trPr>
        <w:tc>
          <w:tcPr>
            <w:tcW w:w="68" w:type="pct"/>
            <w:tcBorders>
              <w:top w:val="nil"/>
              <w:left w:val="single" w:sz="4" w:space="0" w:color="auto"/>
              <w:bottom w:val="single" w:sz="4" w:space="0" w:color="auto"/>
              <w:right w:val="nil"/>
            </w:tcBorders>
            <w:shd w:val="clear" w:color="auto" w:fill="auto"/>
            <w:noWrap/>
            <w:vAlign w:val="bottom"/>
            <w:hideMark/>
          </w:tcPr>
          <w:p w14:paraId="7B963C6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123"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4D97BC9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245</w:t>
            </w:r>
          </w:p>
        </w:tc>
        <w:tc>
          <w:tcPr>
            <w:tcW w:w="123"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512BCFA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106</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8C9A30B"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94.64%</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A80960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47.96%</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207FA1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25.38</w:t>
            </w:r>
          </w:p>
        </w:tc>
        <w:tc>
          <w:tcPr>
            <w:tcW w:w="1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710ECC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25.38</w:t>
            </w:r>
          </w:p>
        </w:tc>
        <w:tc>
          <w:tcPr>
            <w:tcW w:w="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F58C4F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B8948C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3.57%</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CBA046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22.22%</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7488AB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12.11</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64FE3C0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3.93</w:t>
            </w:r>
          </w:p>
        </w:tc>
        <w:tc>
          <w:tcPr>
            <w:tcW w:w="96"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08520FE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F3889E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0.89%</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70E2D5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w:t>
            </w:r>
          </w:p>
        </w:tc>
        <w:tc>
          <w:tcPr>
            <w:tcW w:w="1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5EF449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134.29</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7264B36"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25.99</w:t>
            </w:r>
          </w:p>
        </w:tc>
        <w:tc>
          <w:tcPr>
            <w:tcW w:w="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3203CF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6CFD49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0.89%</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E1B0D7B"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33.33%</w:t>
            </w:r>
          </w:p>
        </w:tc>
        <w:tc>
          <w:tcPr>
            <w:tcW w:w="1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EE0E7B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1.88</w:t>
            </w:r>
          </w:p>
        </w:tc>
        <w:tc>
          <w:tcPr>
            <w:tcW w:w="1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55276FD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0.26</w:t>
            </w:r>
          </w:p>
        </w:tc>
        <w:tc>
          <w:tcPr>
            <w:tcW w:w="42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64FA62B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25.67</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74A92D76"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44.44%</w:t>
            </w:r>
          </w:p>
        </w:tc>
        <w:tc>
          <w:tcPr>
            <w:tcW w:w="2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1942102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71.03%</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1672DE5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50.52%</w:t>
            </w:r>
          </w:p>
        </w:tc>
        <w:tc>
          <w:tcPr>
            <w:tcW w:w="2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4FC7B91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85.36%</w:t>
            </w:r>
          </w:p>
        </w:tc>
      </w:tr>
      <w:tr w:rsidR="00B508F9" w:rsidRPr="00E87E42" w14:paraId="0E232AF1" w14:textId="77777777" w:rsidTr="005839EF">
        <w:trPr>
          <w:trHeight w:val="227"/>
        </w:trPr>
        <w:tc>
          <w:tcPr>
            <w:tcW w:w="68" w:type="pct"/>
            <w:tcBorders>
              <w:top w:val="nil"/>
              <w:left w:val="single" w:sz="4" w:space="0" w:color="auto"/>
              <w:bottom w:val="single" w:sz="4" w:space="0" w:color="auto"/>
              <w:right w:val="nil"/>
            </w:tcBorders>
            <w:shd w:val="clear" w:color="auto" w:fill="auto"/>
            <w:noWrap/>
            <w:vAlign w:val="bottom"/>
            <w:hideMark/>
          </w:tcPr>
          <w:p w14:paraId="5AE34F7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123"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5D6BB6E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w:t>
            </w:r>
          </w:p>
        </w:tc>
        <w:tc>
          <w:tcPr>
            <w:tcW w:w="123"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0855C59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D8A18BB"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90.91%</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5E3A6D6"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4.52%</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9841E9B"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1.69</w:t>
            </w:r>
          </w:p>
        </w:tc>
        <w:tc>
          <w:tcPr>
            <w:tcW w:w="1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C97095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1.69</w:t>
            </w:r>
          </w:p>
        </w:tc>
        <w:tc>
          <w:tcPr>
            <w:tcW w:w="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94EDB3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13CFA8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B63678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F8699A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69C0803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96"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1902B56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7F56BC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9.09%</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D34C92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w:t>
            </w:r>
          </w:p>
        </w:tc>
        <w:tc>
          <w:tcPr>
            <w:tcW w:w="1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D167DF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3.29</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2EA620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0.64</w:t>
            </w:r>
          </w:p>
        </w:tc>
        <w:tc>
          <w:tcPr>
            <w:tcW w:w="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4BFEB2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1AD28F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B0A220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EC7BE7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5FE2619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42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0AC7154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1.83</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128837D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4.37%</w:t>
            </w:r>
          </w:p>
        </w:tc>
        <w:tc>
          <w:tcPr>
            <w:tcW w:w="2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0ED1D31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75.40%</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229B2F56"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3.30%</w:t>
            </w:r>
          </w:p>
        </w:tc>
        <w:tc>
          <w:tcPr>
            <w:tcW w:w="2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3673A8E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88.66%</w:t>
            </w:r>
          </w:p>
        </w:tc>
      </w:tr>
      <w:tr w:rsidR="00B508F9" w:rsidRPr="00E87E42" w14:paraId="53F2BB6E" w14:textId="77777777" w:rsidTr="005839EF">
        <w:trPr>
          <w:trHeight w:val="227"/>
        </w:trPr>
        <w:tc>
          <w:tcPr>
            <w:tcW w:w="68" w:type="pct"/>
            <w:tcBorders>
              <w:top w:val="nil"/>
              <w:left w:val="single" w:sz="4" w:space="0" w:color="auto"/>
              <w:bottom w:val="single" w:sz="4" w:space="0" w:color="auto"/>
              <w:right w:val="nil"/>
            </w:tcBorders>
            <w:shd w:val="clear" w:color="auto" w:fill="auto"/>
            <w:noWrap/>
            <w:vAlign w:val="bottom"/>
            <w:hideMark/>
          </w:tcPr>
          <w:p w14:paraId="7633198B"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123"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2167D9F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w:t>
            </w:r>
          </w:p>
        </w:tc>
        <w:tc>
          <w:tcPr>
            <w:tcW w:w="123"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2821A4E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39</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DC1344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67.24%</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7FE436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17.65%</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06CC38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5.57</w:t>
            </w:r>
          </w:p>
        </w:tc>
        <w:tc>
          <w:tcPr>
            <w:tcW w:w="1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796B8B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5.57</w:t>
            </w:r>
          </w:p>
        </w:tc>
        <w:tc>
          <w:tcPr>
            <w:tcW w:w="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C39ED3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54D7C6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17.24%</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8A9F16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55.56%</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A9DE30B"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45.99</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661BD77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14.92</w:t>
            </w:r>
          </w:p>
        </w:tc>
        <w:tc>
          <w:tcPr>
            <w:tcW w:w="96"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5524D79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17008B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12.07%</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20AF8D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70.00%</w:t>
            </w:r>
          </w:p>
        </w:tc>
        <w:tc>
          <w:tcPr>
            <w:tcW w:w="1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9F86DC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138.65</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A992AC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26.84</w:t>
            </w:r>
          </w:p>
        </w:tc>
        <w:tc>
          <w:tcPr>
            <w:tcW w:w="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10B4EA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9D4B97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3.45%</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0DB62B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66.67%</w:t>
            </w:r>
          </w:p>
        </w:tc>
        <w:tc>
          <w:tcPr>
            <w:tcW w:w="1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B67F76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19.06</w:t>
            </w:r>
          </w:p>
        </w:tc>
        <w:tc>
          <w:tcPr>
            <w:tcW w:w="1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6E8BF9B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2.60</w:t>
            </w:r>
          </w:p>
        </w:tc>
        <w:tc>
          <w:tcPr>
            <w:tcW w:w="42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0AF801FB"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29.07</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6770B0A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23.02%</w:t>
            </w:r>
          </w:p>
        </w:tc>
        <w:tc>
          <w:tcPr>
            <w:tcW w:w="2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6935F8E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98.41%</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569A373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10.31%</w:t>
            </w:r>
          </w:p>
        </w:tc>
        <w:tc>
          <w:tcPr>
            <w:tcW w:w="2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7544300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98.97%</w:t>
            </w:r>
          </w:p>
        </w:tc>
      </w:tr>
      <w:tr w:rsidR="00B508F9" w:rsidRPr="00E87E42" w14:paraId="73A16C69" w14:textId="77777777" w:rsidTr="005839EF">
        <w:trPr>
          <w:trHeight w:val="227"/>
        </w:trPr>
        <w:tc>
          <w:tcPr>
            <w:tcW w:w="68" w:type="pct"/>
            <w:tcBorders>
              <w:top w:val="nil"/>
              <w:left w:val="single" w:sz="4" w:space="0" w:color="auto"/>
              <w:bottom w:val="single" w:sz="4" w:space="0" w:color="auto"/>
              <w:right w:val="nil"/>
            </w:tcBorders>
            <w:shd w:val="clear" w:color="auto" w:fill="auto"/>
            <w:noWrap/>
            <w:vAlign w:val="bottom"/>
            <w:hideMark/>
          </w:tcPr>
          <w:p w14:paraId="220D4AC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123" w:type="pct"/>
            <w:tcBorders>
              <w:top w:val="single" w:sz="4" w:space="0" w:color="A6A6A6" w:themeColor="background1" w:themeShade="A6"/>
              <w:left w:val="single" w:sz="4" w:space="0" w:color="auto"/>
              <w:bottom w:val="single" w:sz="4" w:space="0" w:color="auto"/>
              <w:right w:val="single" w:sz="4" w:space="0" w:color="auto"/>
            </w:tcBorders>
            <w:shd w:val="clear" w:color="auto" w:fill="auto"/>
            <w:noWrap/>
            <w:vAlign w:val="bottom"/>
            <w:hideMark/>
          </w:tcPr>
          <w:p w14:paraId="72FB33C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123" w:type="pct"/>
            <w:tcBorders>
              <w:top w:val="single" w:sz="4" w:space="0" w:color="A6A6A6" w:themeColor="background1" w:themeShade="A6"/>
              <w:left w:val="nil"/>
              <w:bottom w:val="single" w:sz="4" w:space="0" w:color="auto"/>
              <w:right w:val="single" w:sz="4" w:space="0" w:color="A6A6A6" w:themeColor="background1" w:themeShade="A6"/>
            </w:tcBorders>
            <w:shd w:val="clear" w:color="auto" w:fill="auto"/>
            <w:noWrap/>
            <w:vAlign w:val="bottom"/>
            <w:hideMark/>
          </w:tcPr>
          <w:p w14:paraId="29FF0216"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12"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36FFCBE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25.00%</w:t>
            </w:r>
          </w:p>
        </w:tc>
        <w:tc>
          <w:tcPr>
            <w:tcW w:w="212"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0E3E227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0.45%</w:t>
            </w:r>
          </w:p>
        </w:tc>
        <w:tc>
          <w:tcPr>
            <w:tcW w:w="165"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00BC853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0.13</w:t>
            </w:r>
          </w:p>
        </w:tc>
        <w:tc>
          <w:tcPr>
            <w:tcW w:w="166"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5B4EACD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0.13</w:t>
            </w:r>
          </w:p>
        </w:tc>
        <w:tc>
          <w:tcPr>
            <w:tcW w:w="96"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7448F67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12"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2E231F8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50.00%</w:t>
            </w:r>
          </w:p>
        </w:tc>
        <w:tc>
          <w:tcPr>
            <w:tcW w:w="212"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147E174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11.11%</w:t>
            </w:r>
          </w:p>
        </w:tc>
        <w:tc>
          <w:tcPr>
            <w:tcW w:w="165"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444EC07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2.09</w:t>
            </w:r>
          </w:p>
        </w:tc>
        <w:tc>
          <w:tcPr>
            <w:tcW w:w="165" w:type="pct"/>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auto"/>
            <w:noWrap/>
            <w:vAlign w:val="bottom"/>
            <w:hideMark/>
          </w:tcPr>
          <w:p w14:paraId="1C3AD41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0.68</w:t>
            </w:r>
          </w:p>
        </w:tc>
        <w:tc>
          <w:tcPr>
            <w:tcW w:w="96" w:type="pct"/>
            <w:tcBorders>
              <w:top w:val="single" w:sz="4" w:space="0" w:color="A6A6A6" w:themeColor="background1" w:themeShade="A6"/>
              <w:left w:val="nil"/>
              <w:bottom w:val="single" w:sz="4" w:space="0" w:color="auto"/>
              <w:right w:val="single" w:sz="4" w:space="0" w:color="A6A6A6" w:themeColor="background1" w:themeShade="A6"/>
            </w:tcBorders>
            <w:shd w:val="clear" w:color="auto" w:fill="auto"/>
            <w:noWrap/>
            <w:vAlign w:val="bottom"/>
            <w:hideMark/>
          </w:tcPr>
          <w:p w14:paraId="17E6A8E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12"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06E9A0A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25.00%</w:t>
            </w:r>
          </w:p>
        </w:tc>
        <w:tc>
          <w:tcPr>
            <w:tcW w:w="212"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4BC3C84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w:t>
            </w:r>
          </w:p>
        </w:tc>
        <w:tc>
          <w:tcPr>
            <w:tcW w:w="193"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30E747C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1.15</w:t>
            </w:r>
          </w:p>
        </w:tc>
        <w:tc>
          <w:tcPr>
            <w:tcW w:w="165"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33BA4E8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0.22</w:t>
            </w:r>
          </w:p>
        </w:tc>
        <w:tc>
          <w:tcPr>
            <w:tcW w:w="96"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0D64513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2"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5C8C643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2"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10EDD63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3"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0F3FF15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6" w:type="pct"/>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auto"/>
            <w:noWrap/>
            <w:vAlign w:val="bottom"/>
            <w:hideMark/>
          </w:tcPr>
          <w:p w14:paraId="23199B8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421" w:type="pct"/>
            <w:tcBorders>
              <w:top w:val="single" w:sz="4" w:space="0" w:color="A6A6A6" w:themeColor="background1" w:themeShade="A6"/>
              <w:left w:val="single" w:sz="4" w:space="0" w:color="A6A6A6" w:themeColor="background1" w:themeShade="A6"/>
              <w:bottom w:val="single" w:sz="4" w:space="0" w:color="auto"/>
              <w:right w:val="single" w:sz="4" w:space="0" w:color="auto"/>
            </w:tcBorders>
            <w:vAlign w:val="bottom"/>
          </w:tcPr>
          <w:p w14:paraId="286F46A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1.36</w:t>
            </w:r>
          </w:p>
        </w:tc>
        <w:tc>
          <w:tcPr>
            <w:tcW w:w="212" w:type="pct"/>
            <w:tcBorders>
              <w:top w:val="single" w:sz="4" w:space="0" w:color="A6A6A6" w:themeColor="background1" w:themeShade="A6"/>
              <w:left w:val="single" w:sz="4" w:space="0" w:color="A6A6A6" w:themeColor="background1" w:themeShade="A6"/>
              <w:bottom w:val="single" w:sz="4" w:space="0" w:color="auto"/>
              <w:right w:val="single" w:sz="4" w:space="0" w:color="auto"/>
            </w:tcBorders>
            <w:vAlign w:val="bottom"/>
          </w:tcPr>
          <w:p w14:paraId="4FF5731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1.59%</w:t>
            </w:r>
          </w:p>
        </w:tc>
        <w:tc>
          <w:tcPr>
            <w:tcW w:w="240" w:type="pct"/>
            <w:tcBorders>
              <w:top w:val="single" w:sz="4" w:space="0" w:color="A6A6A6" w:themeColor="background1" w:themeShade="A6"/>
              <w:left w:val="single" w:sz="4" w:space="0" w:color="A6A6A6" w:themeColor="background1" w:themeShade="A6"/>
              <w:bottom w:val="single" w:sz="4" w:space="0" w:color="auto"/>
              <w:right w:val="single" w:sz="4" w:space="0" w:color="auto"/>
            </w:tcBorders>
            <w:vAlign w:val="bottom"/>
          </w:tcPr>
          <w:p w14:paraId="164E1D9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12" w:type="pct"/>
            <w:tcBorders>
              <w:top w:val="single" w:sz="4" w:space="0" w:color="A6A6A6" w:themeColor="background1" w:themeShade="A6"/>
              <w:left w:val="single" w:sz="4" w:space="0" w:color="A6A6A6" w:themeColor="background1" w:themeShade="A6"/>
              <w:bottom w:val="single" w:sz="4" w:space="0" w:color="auto"/>
              <w:right w:val="single" w:sz="4" w:space="0" w:color="auto"/>
            </w:tcBorders>
            <w:vAlign w:val="bottom"/>
          </w:tcPr>
          <w:p w14:paraId="4DD10B1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1.03%</w:t>
            </w:r>
          </w:p>
        </w:tc>
        <w:tc>
          <w:tcPr>
            <w:tcW w:w="240" w:type="pct"/>
            <w:tcBorders>
              <w:top w:val="single" w:sz="4" w:space="0" w:color="A6A6A6" w:themeColor="background1" w:themeShade="A6"/>
              <w:left w:val="single" w:sz="4" w:space="0" w:color="A6A6A6" w:themeColor="background1" w:themeShade="A6"/>
              <w:bottom w:val="single" w:sz="4" w:space="0" w:color="auto"/>
              <w:right w:val="single" w:sz="4" w:space="0" w:color="auto"/>
            </w:tcBorders>
            <w:vAlign w:val="bottom"/>
          </w:tcPr>
          <w:p w14:paraId="67A3027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r>
      <w:tr w:rsidR="00B508F9" w:rsidRPr="00E87E42" w14:paraId="496A57EC" w14:textId="77777777" w:rsidTr="005839EF">
        <w:trPr>
          <w:trHeight w:val="227"/>
        </w:trPr>
        <w:tc>
          <w:tcPr>
            <w:tcW w:w="3676" w:type="pct"/>
            <w:gridSpan w:val="22"/>
            <w:tcBorders>
              <w:top w:val="nil"/>
              <w:left w:val="single" w:sz="4" w:space="0" w:color="auto"/>
              <w:bottom w:val="single" w:sz="4" w:space="0" w:color="auto"/>
              <w:right w:val="single" w:sz="4" w:space="0" w:color="auto"/>
            </w:tcBorders>
            <w:shd w:val="clear" w:color="auto" w:fill="auto"/>
            <w:noWrap/>
            <w:vAlign w:val="bottom"/>
          </w:tcPr>
          <w:p w14:paraId="12C8DD4D" w14:textId="77777777" w:rsidR="00B508F9" w:rsidRPr="00E87E42" w:rsidRDefault="00B508F9" w:rsidP="00B508F9">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Total weighted area damage</w:t>
            </w:r>
          </w:p>
        </w:tc>
        <w:tc>
          <w:tcPr>
            <w:tcW w:w="421" w:type="pct"/>
            <w:tcBorders>
              <w:top w:val="single" w:sz="4" w:space="0" w:color="A6A6A6" w:themeColor="background1" w:themeShade="A6"/>
              <w:left w:val="single" w:sz="4" w:space="0" w:color="A6A6A6" w:themeColor="background1" w:themeShade="A6"/>
              <w:bottom w:val="single" w:sz="4" w:space="0" w:color="auto"/>
              <w:right w:val="single" w:sz="4" w:space="0" w:color="auto"/>
            </w:tcBorders>
            <w:vAlign w:val="bottom"/>
          </w:tcPr>
          <w:p w14:paraId="3EDE8ED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25.96</w:t>
            </w:r>
          </w:p>
        </w:tc>
        <w:tc>
          <w:tcPr>
            <w:tcW w:w="904" w:type="pct"/>
            <w:gridSpan w:val="4"/>
            <w:tcBorders>
              <w:top w:val="single" w:sz="4" w:space="0" w:color="A6A6A6" w:themeColor="background1" w:themeShade="A6"/>
              <w:left w:val="single" w:sz="4" w:space="0" w:color="A6A6A6" w:themeColor="background1" w:themeShade="A6"/>
              <w:bottom w:val="single" w:sz="4" w:space="0" w:color="auto"/>
              <w:right w:val="single" w:sz="4" w:space="0" w:color="auto"/>
            </w:tcBorders>
            <w:vAlign w:val="bottom"/>
          </w:tcPr>
          <w:p w14:paraId="7B1AACF6" w14:textId="77777777" w:rsidR="00B508F9" w:rsidRPr="00E87E42" w:rsidRDefault="00B508F9" w:rsidP="00B508F9">
            <w:pPr>
              <w:spacing w:after="0" w:line="240" w:lineRule="auto"/>
              <w:jc w:val="center"/>
              <w:rPr>
                <w:rFonts w:eastAsia="Times New Roman"/>
                <w:color w:val="000000"/>
                <w:sz w:val="16"/>
                <w:szCs w:val="16"/>
                <w:lang w:eastAsia="en-GB"/>
              </w:rPr>
            </w:pPr>
          </w:p>
        </w:tc>
      </w:tr>
      <w:tr w:rsidR="00B508F9" w:rsidRPr="00E87E42" w14:paraId="2C4890E2" w14:textId="77777777" w:rsidTr="005839EF">
        <w:trPr>
          <w:trHeight w:val="227"/>
        </w:trPr>
        <w:tc>
          <w:tcPr>
            <w:tcW w:w="68" w:type="pct"/>
            <w:tcBorders>
              <w:top w:val="nil"/>
              <w:left w:val="nil"/>
              <w:bottom w:val="nil"/>
              <w:right w:val="nil"/>
            </w:tcBorders>
            <w:shd w:val="clear" w:color="auto" w:fill="auto"/>
            <w:noWrap/>
            <w:vAlign w:val="bottom"/>
            <w:hideMark/>
          </w:tcPr>
          <w:p w14:paraId="0FBBCAA2" w14:textId="77777777" w:rsidR="00B508F9" w:rsidRPr="00E87E42" w:rsidRDefault="00B508F9" w:rsidP="00B508F9">
            <w:pPr>
              <w:spacing w:after="0" w:line="240" w:lineRule="auto"/>
              <w:jc w:val="center"/>
              <w:rPr>
                <w:rFonts w:eastAsia="Times New Roman"/>
                <w:color w:val="000000"/>
                <w:sz w:val="16"/>
                <w:szCs w:val="16"/>
                <w:lang w:eastAsia="en-GB"/>
              </w:rPr>
            </w:pPr>
          </w:p>
        </w:tc>
        <w:tc>
          <w:tcPr>
            <w:tcW w:w="4932" w:type="pct"/>
            <w:gridSpan w:val="26"/>
            <w:tcBorders>
              <w:top w:val="single" w:sz="4" w:space="0" w:color="auto"/>
              <w:left w:val="single" w:sz="4" w:space="0" w:color="auto"/>
              <w:bottom w:val="single" w:sz="4" w:space="0" w:color="auto"/>
            </w:tcBorders>
            <w:shd w:val="clear" w:color="auto" w:fill="auto"/>
            <w:noWrap/>
            <w:vAlign w:val="bottom"/>
            <w:hideMark/>
          </w:tcPr>
          <w:p w14:paraId="325970C9" w14:textId="77777777" w:rsidR="00B508F9" w:rsidRPr="00E87E42" w:rsidRDefault="00B508F9" w:rsidP="00B508F9">
            <w:pPr>
              <w:spacing w:after="0" w:line="240" w:lineRule="auto"/>
              <w:jc w:val="center"/>
              <w:rPr>
                <w:rFonts w:eastAsia="Times New Roman"/>
                <w:b/>
                <w:color w:val="000000"/>
                <w:sz w:val="16"/>
                <w:szCs w:val="16"/>
                <w:u w:val="single"/>
                <w:lang w:eastAsia="en-GB"/>
              </w:rPr>
            </w:pPr>
            <w:r w:rsidRPr="00E87E42">
              <w:rPr>
                <w:rFonts w:eastAsia="Times New Roman"/>
                <w:b/>
                <w:color w:val="000000"/>
                <w:sz w:val="16"/>
                <w:szCs w:val="16"/>
                <w:u w:val="single"/>
                <w:lang w:eastAsia="en-GB"/>
              </w:rPr>
              <w:t>No Sprinklers - Area damage m</w:t>
            </w:r>
            <w:r w:rsidRPr="00E87E42">
              <w:rPr>
                <w:rFonts w:eastAsia="Times New Roman"/>
                <w:b/>
                <w:color w:val="000000"/>
                <w:sz w:val="16"/>
                <w:szCs w:val="16"/>
                <w:u w:val="single"/>
                <w:vertAlign w:val="superscript"/>
                <w:lang w:eastAsia="en-GB"/>
              </w:rPr>
              <w:t>2</w:t>
            </w:r>
          </w:p>
        </w:tc>
      </w:tr>
      <w:tr w:rsidR="00B508F9" w:rsidRPr="00E87E42" w14:paraId="54550F92" w14:textId="77777777" w:rsidTr="005839EF">
        <w:trPr>
          <w:trHeight w:val="227"/>
        </w:trPr>
        <w:tc>
          <w:tcPr>
            <w:tcW w:w="68" w:type="pct"/>
            <w:tcBorders>
              <w:top w:val="nil"/>
              <w:left w:val="nil"/>
              <w:bottom w:val="nil"/>
              <w:right w:val="nil"/>
            </w:tcBorders>
            <w:shd w:val="clear" w:color="auto" w:fill="auto"/>
            <w:noWrap/>
            <w:vAlign w:val="bottom"/>
            <w:hideMark/>
          </w:tcPr>
          <w:p w14:paraId="76EAFAFA" w14:textId="77777777" w:rsidR="00B508F9" w:rsidRPr="00E87E42" w:rsidRDefault="00B508F9" w:rsidP="00B508F9">
            <w:pPr>
              <w:spacing w:after="0" w:line="240" w:lineRule="auto"/>
              <w:jc w:val="center"/>
              <w:rPr>
                <w:rFonts w:eastAsia="Times New Roman"/>
                <w:color w:val="000000"/>
                <w:sz w:val="16"/>
                <w:szCs w:val="16"/>
                <w:lang w:eastAsia="en-GB"/>
              </w:rPr>
            </w:pPr>
          </w:p>
        </w:tc>
        <w:tc>
          <w:tcPr>
            <w:tcW w:w="12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FAB309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w:t>
            </w:r>
          </w:p>
        </w:tc>
        <w:tc>
          <w:tcPr>
            <w:tcW w:w="878"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55742716" w14:textId="77777777" w:rsidR="00B508F9" w:rsidRPr="00E87E42" w:rsidRDefault="00B508F9" w:rsidP="00B508F9">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Minor</w:t>
            </w:r>
          </w:p>
        </w:tc>
        <w:tc>
          <w:tcPr>
            <w:tcW w:w="850"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640C5819" w14:textId="77777777" w:rsidR="00B508F9" w:rsidRPr="00E87E42" w:rsidRDefault="00B508F9" w:rsidP="00B508F9">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Significantly</w:t>
            </w:r>
          </w:p>
        </w:tc>
        <w:tc>
          <w:tcPr>
            <w:tcW w:w="878"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489CA082" w14:textId="77777777" w:rsidR="00B508F9" w:rsidRPr="00E87E42" w:rsidRDefault="00B508F9" w:rsidP="00B508F9">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Heavy</w:t>
            </w:r>
          </w:p>
        </w:tc>
        <w:tc>
          <w:tcPr>
            <w:tcW w:w="878"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3BC66482" w14:textId="77777777" w:rsidR="00B508F9" w:rsidRPr="00E87E42" w:rsidRDefault="00B508F9" w:rsidP="00B508F9">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Extreme</w:t>
            </w:r>
          </w:p>
        </w:tc>
        <w:tc>
          <w:tcPr>
            <w:tcW w:w="421" w:type="pct"/>
            <w:vMerge w:val="restart"/>
            <w:tcBorders>
              <w:top w:val="single" w:sz="4" w:space="0" w:color="auto"/>
              <w:left w:val="nil"/>
              <w:right w:val="single" w:sz="4" w:space="0" w:color="000000"/>
            </w:tcBorders>
          </w:tcPr>
          <w:p w14:paraId="450A9B6E" w14:textId="77777777" w:rsidR="00B508F9" w:rsidRPr="00E87E42" w:rsidRDefault="00B508F9" w:rsidP="00B508F9">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Weighted area damage</w:t>
            </w:r>
          </w:p>
          <w:p w14:paraId="42F99A63" w14:textId="77777777" w:rsidR="00B508F9" w:rsidRPr="00E87E42" w:rsidRDefault="00B508F9" w:rsidP="00B508F9">
            <w:pPr>
              <w:spacing w:after="0" w:line="240" w:lineRule="auto"/>
              <w:jc w:val="center"/>
              <w:rPr>
                <w:rFonts w:eastAsia="Times New Roman"/>
                <w:i/>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452" w:type="pct"/>
            <w:gridSpan w:val="2"/>
            <w:vMerge w:val="restart"/>
            <w:tcBorders>
              <w:top w:val="single" w:sz="4" w:space="0" w:color="auto"/>
              <w:left w:val="nil"/>
              <w:bottom w:val="single" w:sz="4" w:space="0" w:color="000000"/>
              <w:right w:val="single" w:sz="4" w:space="0" w:color="000000"/>
            </w:tcBorders>
            <w:vAlign w:val="center"/>
          </w:tcPr>
          <w:p w14:paraId="7CA4901E" w14:textId="77777777" w:rsidR="00B508F9" w:rsidRPr="00E87E42" w:rsidRDefault="00B508F9" w:rsidP="00B508F9">
            <w:pPr>
              <w:spacing w:after="0" w:line="240" w:lineRule="auto"/>
              <w:jc w:val="center"/>
              <w:rPr>
                <w:rFonts w:eastAsia="Times New Roman"/>
                <w:i/>
                <w:color w:val="000000"/>
                <w:sz w:val="16"/>
                <w:szCs w:val="16"/>
                <w:lang w:eastAsia="en-GB"/>
              </w:rPr>
            </w:pPr>
            <w:r w:rsidRPr="00E87E42">
              <w:rPr>
                <w:rFonts w:eastAsia="Times New Roman"/>
                <w:color w:val="000000"/>
                <w:sz w:val="16"/>
                <w:szCs w:val="16"/>
                <w:lang w:eastAsia="en-GB"/>
              </w:rPr>
              <w:t>F</w:t>
            </w:r>
          </w:p>
        </w:tc>
        <w:tc>
          <w:tcPr>
            <w:tcW w:w="452" w:type="pct"/>
            <w:gridSpan w:val="2"/>
            <w:vMerge w:val="restart"/>
            <w:tcBorders>
              <w:top w:val="single" w:sz="4" w:space="0" w:color="auto"/>
              <w:left w:val="nil"/>
              <w:bottom w:val="single" w:sz="4" w:space="0" w:color="000000"/>
              <w:right w:val="single" w:sz="4" w:space="0" w:color="000000"/>
            </w:tcBorders>
            <w:vAlign w:val="center"/>
          </w:tcPr>
          <w:p w14:paraId="5039CC07" w14:textId="77777777" w:rsidR="00B508F9" w:rsidRPr="00E87E42" w:rsidRDefault="00B508F9" w:rsidP="00B508F9">
            <w:pPr>
              <w:spacing w:after="0" w:line="240" w:lineRule="auto"/>
              <w:jc w:val="center"/>
              <w:rPr>
                <w:rFonts w:eastAsia="Times New Roman"/>
                <w:i/>
                <w:color w:val="000000"/>
                <w:sz w:val="16"/>
                <w:szCs w:val="16"/>
                <w:lang w:eastAsia="en-GB"/>
              </w:rPr>
            </w:pPr>
            <w:r w:rsidRPr="00E87E42">
              <w:rPr>
                <w:rFonts w:eastAsia="Times New Roman"/>
                <w:color w:val="000000"/>
                <w:sz w:val="16"/>
                <w:szCs w:val="16"/>
                <w:lang w:eastAsia="en-GB"/>
              </w:rPr>
              <w:t>F+U</w:t>
            </w:r>
          </w:p>
        </w:tc>
      </w:tr>
      <w:tr w:rsidR="00B508F9" w:rsidRPr="00E87E42" w14:paraId="06F7CADE" w14:textId="77777777" w:rsidTr="005839EF">
        <w:trPr>
          <w:trHeight w:val="227"/>
        </w:trPr>
        <w:tc>
          <w:tcPr>
            <w:tcW w:w="68" w:type="pct"/>
            <w:tcBorders>
              <w:top w:val="nil"/>
              <w:left w:val="nil"/>
              <w:bottom w:val="nil"/>
              <w:right w:val="nil"/>
            </w:tcBorders>
            <w:shd w:val="clear" w:color="auto" w:fill="auto"/>
            <w:noWrap/>
            <w:vAlign w:val="bottom"/>
            <w:hideMark/>
          </w:tcPr>
          <w:p w14:paraId="5E432483" w14:textId="77777777" w:rsidR="00B508F9" w:rsidRPr="00E87E42" w:rsidRDefault="00B508F9" w:rsidP="00B508F9">
            <w:pPr>
              <w:spacing w:after="0" w:line="240" w:lineRule="auto"/>
              <w:jc w:val="center"/>
              <w:rPr>
                <w:rFonts w:eastAsia="Times New Roman"/>
                <w:color w:val="000000"/>
                <w:sz w:val="16"/>
                <w:szCs w:val="16"/>
                <w:lang w:eastAsia="en-GB"/>
              </w:rPr>
            </w:pPr>
          </w:p>
        </w:tc>
        <w:tc>
          <w:tcPr>
            <w:tcW w:w="123" w:type="pct"/>
            <w:vMerge/>
            <w:tcBorders>
              <w:top w:val="nil"/>
              <w:left w:val="single" w:sz="4" w:space="0" w:color="auto"/>
              <w:bottom w:val="single" w:sz="4" w:space="0" w:color="000000"/>
              <w:right w:val="single" w:sz="4" w:space="0" w:color="auto"/>
            </w:tcBorders>
            <w:vAlign w:val="center"/>
            <w:hideMark/>
          </w:tcPr>
          <w:p w14:paraId="50DC9293"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123" w:type="pct"/>
            <w:vMerge w:val="restart"/>
            <w:tcBorders>
              <w:top w:val="nil"/>
              <w:left w:val="single" w:sz="4" w:space="0" w:color="auto"/>
              <w:bottom w:val="single" w:sz="4" w:space="0" w:color="000000"/>
              <w:right w:val="nil"/>
            </w:tcBorders>
            <w:shd w:val="clear" w:color="auto" w:fill="auto"/>
            <w:noWrap/>
            <w:vAlign w:val="center"/>
            <w:hideMark/>
          </w:tcPr>
          <w:p w14:paraId="38EFFB3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4" w:type="pct"/>
            <w:gridSpan w:val="2"/>
            <w:tcBorders>
              <w:top w:val="single" w:sz="4" w:space="0" w:color="auto"/>
              <w:left w:val="single" w:sz="4" w:space="0" w:color="auto"/>
              <w:bottom w:val="nil"/>
              <w:right w:val="single" w:sz="4" w:space="0" w:color="000000"/>
            </w:tcBorders>
            <w:shd w:val="clear" w:color="auto" w:fill="auto"/>
            <w:noWrap/>
            <w:vAlign w:val="bottom"/>
            <w:hideMark/>
          </w:tcPr>
          <w:p w14:paraId="6984BFA6"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65" w:type="pct"/>
            <w:vMerge w:val="restart"/>
            <w:tcBorders>
              <w:top w:val="nil"/>
              <w:left w:val="single" w:sz="4" w:space="0" w:color="auto"/>
              <w:bottom w:val="nil"/>
              <w:right w:val="single" w:sz="4" w:space="0" w:color="auto"/>
            </w:tcBorders>
            <w:shd w:val="clear" w:color="auto" w:fill="auto"/>
            <w:noWrap/>
            <w:vAlign w:val="center"/>
            <w:hideMark/>
          </w:tcPr>
          <w:p w14:paraId="24B9214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Av.</w:t>
            </w:r>
          </w:p>
          <w:p w14:paraId="6D3DFEF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6" w:type="pct"/>
            <w:vMerge w:val="restart"/>
            <w:tcBorders>
              <w:top w:val="nil"/>
              <w:left w:val="single" w:sz="4" w:space="0" w:color="auto"/>
              <w:bottom w:val="nil"/>
              <w:right w:val="single" w:sz="4" w:space="0" w:color="auto"/>
            </w:tcBorders>
            <w:shd w:val="clear" w:color="auto" w:fill="auto"/>
            <w:noWrap/>
            <w:vAlign w:val="center"/>
            <w:hideMark/>
          </w:tcPr>
          <w:p w14:paraId="7E6C7FE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2373F07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96" w:type="pct"/>
            <w:vMerge w:val="restart"/>
            <w:tcBorders>
              <w:top w:val="nil"/>
              <w:left w:val="single" w:sz="4" w:space="0" w:color="auto"/>
              <w:bottom w:val="single" w:sz="4" w:space="0" w:color="000000"/>
              <w:right w:val="nil"/>
            </w:tcBorders>
            <w:shd w:val="clear" w:color="auto" w:fill="auto"/>
            <w:noWrap/>
            <w:vAlign w:val="center"/>
            <w:hideMark/>
          </w:tcPr>
          <w:p w14:paraId="31DD424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4" w:type="pct"/>
            <w:gridSpan w:val="2"/>
            <w:tcBorders>
              <w:top w:val="single" w:sz="4" w:space="0" w:color="auto"/>
              <w:left w:val="single" w:sz="4" w:space="0" w:color="auto"/>
              <w:bottom w:val="nil"/>
              <w:right w:val="single" w:sz="4" w:space="0" w:color="000000"/>
            </w:tcBorders>
            <w:shd w:val="clear" w:color="auto" w:fill="auto"/>
            <w:noWrap/>
            <w:hideMark/>
          </w:tcPr>
          <w:p w14:paraId="10445BF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65" w:type="pct"/>
            <w:vMerge w:val="restart"/>
            <w:tcBorders>
              <w:top w:val="nil"/>
              <w:left w:val="single" w:sz="4" w:space="0" w:color="auto"/>
              <w:bottom w:val="nil"/>
              <w:right w:val="single" w:sz="4" w:space="0" w:color="auto"/>
            </w:tcBorders>
            <w:shd w:val="clear" w:color="auto" w:fill="auto"/>
            <w:noWrap/>
            <w:hideMark/>
          </w:tcPr>
          <w:p w14:paraId="2989A33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Av.</w:t>
            </w:r>
          </w:p>
          <w:p w14:paraId="2048736B"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5" w:type="pct"/>
            <w:vMerge w:val="restart"/>
            <w:tcBorders>
              <w:top w:val="nil"/>
              <w:left w:val="single" w:sz="4" w:space="0" w:color="auto"/>
              <w:bottom w:val="nil"/>
              <w:right w:val="single" w:sz="4" w:space="0" w:color="auto"/>
            </w:tcBorders>
            <w:shd w:val="clear" w:color="auto" w:fill="auto"/>
            <w:noWrap/>
            <w:hideMark/>
          </w:tcPr>
          <w:p w14:paraId="168086F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5BC5B8CB"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96" w:type="pct"/>
            <w:vMerge w:val="restart"/>
            <w:tcBorders>
              <w:top w:val="nil"/>
              <w:left w:val="single" w:sz="4" w:space="0" w:color="auto"/>
              <w:bottom w:val="single" w:sz="4" w:space="0" w:color="000000"/>
              <w:right w:val="nil"/>
            </w:tcBorders>
            <w:shd w:val="clear" w:color="auto" w:fill="auto"/>
            <w:noWrap/>
            <w:hideMark/>
          </w:tcPr>
          <w:p w14:paraId="4B4F3D8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4" w:type="pct"/>
            <w:gridSpan w:val="2"/>
            <w:tcBorders>
              <w:top w:val="single" w:sz="4" w:space="0" w:color="auto"/>
              <w:left w:val="single" w:sz="4" w:space="0" w:color="auto"/>
              <w:bottom w:val="nil"/>
              <w:right w:val="single" w:sz="4" w:space="0" w:color="000000"/>
            </w:tcBorders>
            <w:shd w:val="clear" w:color="auto" w:fill="auto"/>
            <w:noWrap/>
            <w:vAlign w:val="bottom"/>
            <w:hideMark/>
          </w:tcPr>
          <w:p w14:paraId="39F75E1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93" w:type="pct"/>
            <w:vMerge w:val="restart"/>
            <w:tcBorders>
              <w:top w:val="nil"/>
              <w:left w:val="single" w:sz="4" w:space="0" w:color="auto"/>
              <w:bottom w:val="nil"/>
              <w:right w:val="single" w:sz="4" w:space="0" w:color="auto"/>
            </w:tcBorders>
            <w:shd w:val="clear" w:color="auto" w:fill="auto"/>
            <w:noWrap/>
            <w:vAlign w:val="center"/>
            <w:hideMark/>
          </w:tcPr>
          <w:p w14:paraId="61E0BB1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Av.</w:t>
            </w:r>
          </w:p>
          <w:p w14:paraId="057575E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5" w:type="pct"/>
            <w:vMerge w:val="restart"/>
            <w:tcBorders>
              <w:top w:val="nil"/>
              <w:left w:val="single" w:sz="4" w:space="0" w:color="auto"/>
              <w:bottom w:val="nil"/>
              <w:right w:val="single" w:sz="4" w:space="0" w:color="auto"/>
            </w:tcBorders>
            <w:shd w:val="clear" w:color="auto" w:fill="auto"/>
            <w:noWrap/>
            <w:vAlign w:val="center"/>
            <w:hideMark/>
          </w:tcPr>
          <w:p w14:paraId="0639335B"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5B73D70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96" w:type="pct"/>
            <w:vMerge w:val="restart"/>
            <w:tcBorders>
              <w:top w:val="nil"/>
              <w:left w:val="single" w:sz="4" w:space="0" w:color="auto"/>
              <w:bottom w:val="single" w:sz="4" w:space="0" w:color="000000"/>
              <w:right w:val="nil"/>
            </w:tcBorders>
            <w:shd w:val="clear" w:color="auto" w:fill="auto"/>
            <w:noWrap/>
            <w:vAlign w:val="center"/>
            <w:hideMark/>
          </w:tcPr>
          <w:p w14:paraId="060C8DB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4" w:type="pct"/>
            <w:gridSpan w:val="2"/>
            <w:tcBorders>
              <w:top w:val="single" w:sz="4" w:space="0" w:color="auto"/>
              <w:left w:val="single" w:sz="4" w:space="0" w:color="auto"/>
              <w:bottom w:val="nil"/>
              <w:right w:val="single" w:sz="4" w:space="0" w:color="000000"/>
            </w:tcBorders>
            <w:shd w:val="clear" w:color="auto" w:fill="auto"/>
            <w:noWrap/>
            <w:vAlign w:val="bottom"/>
            <w:hideMark/>
          </w:tcPr>
          <w:p w14:paraId="2AA4A5F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93" w:type="pct"/>
            <w:vMerge w:val="restart"/>
            <w:tcBorders>
              <w:top w:val="nil"/>
              <w:left w:val="single" w:sz="4" w:space="0" w:color="auto"/>
              <w:bottom w:val="nil"/>
              <w:right w:val="single" w:sz="4" w:space="0" w:color="auto"/>
            </w:tcBorders>
            <w:shd w:val="clear" w:color="auto" w:fill="auto"/>
            <w:noWrap/>
            <w:vAlign w:val="center"/>
            <w:hideMark/>
          </w:tcPr>
          <w:p w14:paraId="097F55A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Av.</w:t>
            </w:r>
          </w:p>
          <w:p w14:paraId="7505197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6" w:type="pct"/>
            <w:vMerge w:val="restart"/>
            <w:tcBorders>
              <w:top w:val="nil"/>
              <w:left w:val="single" w:sz="4" w:space="0" w:color="auto"/>
              <w:bottom w:val="nil"/>
              <w:right w:val="single" w:sz="4" w:space="0" w:color="auto"/>
            </w:tcBorders>
            <w:shd w:val="clear" w:color="auto" w:fill="auto"/>
            <w:noWrap/>
            <w:vAlign w:val="center"/>
            <w:hideMark/>
          </w:tcPr>
          <w:p w14:paraId="5FADEBF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2E42AD4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421" w:type="pct"/>
            <w:vMerge/>
            <w:tcBorders>
              <w:left w:val="single" w:sz="4" w:space="0" w:color="auto"/>
              <w:right w:val="single" w:sz="4" w:space="0" w:color="000000"/>
            </w:tcBorders>
          </w:tcPr>
          <w:p w14:paraId="4EFDBC34" w14:textId="77777777" w:rsidR="00B508F9" w:rsidRPr="00E87E42" w:rsidRDefault="00B508F9" w:rsidP="00B508F9">
            <w:pPr>
              <w:spacing w:after="0" w:line="240" w:lineRule="auto"/>
              <w:jc w:val="center"/>
              <w:rPr>
                <w:rFonts w:eastAsia="Times New Roman"/>
                <w:color w:val="000000"/>
                <w:sz w:val="16"/>
                <w:szCs w:val="16"/>
                <w:lang w:eastAsia="en-GB"/>
              </w:rPr>
            </w:pPr>
          </w:p>
        </w:tc>
        <w:tc>
          <w:tcPr>
            <w:tcW w:w="452" w:type="pct"/>
            <w:gridSpan w:val="2"/>
            <w:vMerge/>
            <w:tcBorders>
              <w:top w:val="single" w:sz="4" w:space="0" w:color="000000"/>
              <w:left w:val="single" w:sz="4" w:space="0" w:color="000000"/>
              <w:bottom w:val="single" w:sz="4" w:space="0" w:color="000000"/>
              <w:right w:val="single" w:sz="4" w:space="0" w:color="000000"/>
            </w:tcBorders>
          </w:tcPr>
          <w:p w14:paraId="772A0110" w14:textId="77777777" w:rsidR="00B508F9" w:rsidRPr="00E87E42" w:rsidRDefault="00B508F9" w:rsidP="00B508F9">
            <w:pPr>
              <w:spacing w:after="0" w:line="240" w:lineRule="auto"/>
              <w:jc w:val="center"/>
              <w:rPr>
                <w:rFonts w:eastAsia="Times New Roman"/>
                <w:color w:val="000000"/>
                <w:sz w:val="16"/>
                <w:szCs w:val="16"/>
                <w:lang w:eastAsia="en-GB"/>
              </w:rPr>
            </w:pPr>
          </w:p>
        </w:tc>
        <w:tc>
          <w:tcPr>
            <w:tcW w:w="452" w:type="pct"/>
            <w:gridSpan w:val="2"/>
            <w:vMerge/>
            <w:tcBorders>
              <w:top w:val="single" w:sz="4" w:space="0" w:color="000000"/>
              <w:left w:val="single" w:sz="4" w:space="0" w:color="000000"/>
              <w:bottom w:val="single" w:sz="4" w:space="0" w:color="000000"/>
              <w:right w:val="single" w:sz="4" w:space="0" w:color="000000"/>
            </w:tcBorders>
          </w:tcPr>
          <w:p w14:paraId="2177AB6A" w14:textId="77777777" w:rsidR="00B508F9" w:rsidRPr="00E87E42" w:rsidRDefault="00B508F9" w:rsidP="00B508F9">
            <w:pPr>
              <w:spacing w:after="0" w:line="240" w:lineRule="auto"/>
              <w:jc w:val="center"/>
              <w:rPr>
                <w:rFonts w:eastAsia="Times New Roman"/>
                <w:color w:val="000000"/>
                <w:sz w:val="16"/>
                <w:szCs w:val="16"/>
                <w:lang w:eastAsia="en-GB"/>
              </w:rPr>
            </w:pPr>
          </w:p>
        </w:tc>
      </w:tr>
      <w:tr w:rsidR="00AD472B" w:rsidRPr="00E87E42" w14:paraId="12C4D5CD" w14:textId="77777777" w:rsidTr="00A446AC">
        <w:trPr>
          <w:trHeight w:val="227"/>
        </w:trPr>
        <w:tc>
          <w:tcPr>
            <w:tcW w:w="68" w:type="pct"/>
            <w:tcBorders>
              <w:top w:val="nil"/>
              <w:left w:val="nil"/>
              <w:bottom w:val="single" w:sz="4" w:space="0" w:color="auto"/>
              <w:right w:val="single" w:sz="4" w:space="0" w:color="auto"/>
            </w:tcBorders>
            <w:shd w:val="clear" w:color="auto" w:fill="auto"/>
            <w:noWrap/>
            <w:vAlign w:val="bottom"/>
            <w:hideMark/>
          </w:tcPr>
          <w:p w14:paraId="6B2E537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w:t>
            </w:r>
          </w:p>
        </w:tc>
        <w:tc>
          <w:tcPr>
            <w:tcW w:w="123" w:type="pct"/>
            <w:vMerge/>
            <w:tcBorders>
              <w:top w:val="nil"/>
              <w:left w:val="single" w:sz="4" w:space="0" w:color="auto"/>
              <w:bottom w:val="single" w:sz="4" w:space="0" w:color="000000"/>
              <w:right w:val="single" w:sz="4" w:space="0" w:color="auto"/>
            </w:tcBorders>
            <w:vAlign w:val="center"/>
            <w:hideMark/>
          </w:tcPr>
          <w:p w14:paraId="6B447ACE"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123" w:type="pct"/>
            <w:vMerge/>
            <w:tcBorders>
              <w:top w:val="nil"/>
              <w:left w:val="single" w:sz="4" w:space="0" w:color="auto"/>
              <w:bottom w:val="single" w:sz="4" w:space="0" w:color="000000"/>
              <w:right w:val="nil"/>
            </w:tcBorders>
            <w:vAlign w:val="center"/>
            <w:hideMark/>
          </w:tcPr>
          <w:p w14:paraId="3D281FCE"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212" w:type="pct"/>
            <w:tcBorders>
              <w:top w:val="single" w:sz="4" w:space="0" w:color="auto"/>
              <w:left w:val="single" w:sz="4" w:space="0" w:color="auto"/>
              <w:bottom w:val="nil"/>
              <w:right w:val="single" w:sz="4" w:space="0" w:color="auto"/>
            </w:tcBorders>
            <w:shd w:val="clear" w:color="auto" w:fill="auto"/>
            <w:noWrap/>
            <w:vAlign w:val="bottom"/>
            <w:hideMark/>
          </w:tcPr>
          <w:p w14:paraId="4758FC20" w14:textId="6B5C129C"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2" w:type="pct"/>
            <w:tcBorders>
              <w:top w:val="single" w:sz="4" w:space="0" w:color="auto"/>
              <w:left w:val="nil"/>
              <w:bottom w:val="nil"/>
              <w:right w:val="single" w:sz="4" w:space="0" w:color="auto"/>
            </w:tcBorders>
            <w:shd w:val="clear" w:color="auto" w:fill="auto"/>
            <w:noWrap/>
            <w:vAlign w:val="bottom"/>
            <w:hideMark/>
          </w:tcPr>
          <w:p w14:paraId="3BCD2CBE" w14:textId="0C6DD0D6"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65" w:type="pct"/>
            <w:vMerge/>
            <w:tcBorders>
              <w:top w:val="nil"/>
              <w:left w:val="single" w:sz="4" w:space="0" w:color="auto"/>
              <w:bottom w:val="nil"/>
              <w:right w:val="single" w:sz="4" w:space="0" w:color="auto"/>
            </w:tcBorders>
            <w:vAlign w:val="center"/>
            <w:hideMark/>
          </w:tcPr>
          <w:p w14:paraId="493A5C0D"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166" w:type="pct"/>
            <w:vMerge/>
            <w:tcBorders>
              <w:top w:val="nil"/>
              <w:left w:val="single" w:sz="4" w:space="0" w:color="auto"/>
              <w:bottom w:val="nil"/>
              <w:right w:val="single" w:sz="4" w:space="0" w:color="auto"/>
            </w:tcBorders>
            <w:hideMark/>
          </w:tcPr>
          <w:p w14:paraId="5EEA2F32"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96" w:type="pct"/>
            <w:vMerge/>
            <w:tcBorders>
              <w:top w:val="nil"/>
              <w:left w:val="single" w:sz="4" w:space="0" w:color="auto"/>
              <w:bottom w:val="single" w:sz="4" w:space="0" w:color="000000"/>
              <w:right w:val="nil"/>
            </w:tcBorders>
            <w:vAlign w:val="bottom"/>
            <w:hideMark/>
          </w:tcPr>
          <w:p w14:paraId="59216E26"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212" w:type="pct"/>
            <w:tcBorders>
              <w:top w:val="single" w:sz="4" w:space="0" w:color="auto"/>
              <w:left w:val="single" w:sz="4" w:space="0" w:color="auto"/>
              <w:bottom w:val="nil"/>
              <w:right w:val="single" w:sz="4" w:space="0" w:color="auto"/>
            </w:tcBorders>
            <w:shd w:val="clear" w:color="auto" w:fill="auto"/>
            <w:noWrap/>
            <w:vAlign w:val="bottom"/>
            <w:hideMark/>
          </w:tcPr>
          <w:p w14:paraId="728B919A" w14:textId="56D275D0"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2" w:type="pct"/>
            <w:tcBorders>
              <w:top w:val="single" w:sz="4" w:space="0" w:color="auto"/>
              <w:left w:val="nil"/>
              <w:bottom w:val="nil"/>
              <w:right w:val="single" w:sz="4" w:space="0" w:color="auto"/>
            </w:tcBorders>
            <w:shd w:val="clear" w:color="auto" w:fill="auto"/>
            <w:noWrap/>
            <w:vAlign w:val="bottom"/>
            <w:hideMark/>
          </w:tcPr>
          <w:p w14:paraId="6F5DAD10" w14:textId="5D67E1B2"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65" w:type="pct"/>
            <w:vMerge/>
            <w:tcBorders>
              <w:top w:val="nil"/>
              <w:left w:val="single" w:sz="4" w:space="0" w:color="auto"/>
              <w:bottom w:val="nil"/>
              <w:right w:val="single" w:sz="4" w:space="0" w:color="auto"/>
            </w:tcBorders>
            <w:vAlign w:val="bottom"/>
            <w:hideMark/>
          </w:tcPr>
          <w:p w14:paraId="77C54335"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165" w:type="pct"/>
            <w:vMerge/>
            <w:tcBorders>
              <w:top w:val="nil"/>
              <w:left w:val="single" w:sz="4" w:space="0" w:color="auto"/>
              <w:bottom w:val="nil"/>
              <w:right w:val="single" w:sz="4" w:space="0" w:color="auto"/>
            </w:tcBorders>
            <w:vAlign w:val="center"/>
            <w:hideMark/>
          </w:tcPr>
          <w:p w14:paraId="65B046F5"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96" w:type="pct"/>
            <w:vMerge/>
            <w:tcBorders>
              <w:top w:val="nil"/>
              <w:left w:val="single" w:sz="4" w:space="0" w:color="auto"/>
              <w:bottom w:val="single" w:sz="4" w:space="0" w:color="000000"/>
              <w:right w:val="nil"/>
            </w:tcBorders>
            <w:vAlign w:val="center"/>
            <w:hideMark/>
          </w:tcPr>
          <w:p w14:paraId="369F04D7"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212" w:type="pct"/>
            <w:tcBorders>
              <w:top w:val="single" w:sz="4" w:space="0" w:color="auto"/>
              <w:left w:val="single" w:sz="4" w:space="0" w:color="auto"/>
              <w:bottom w:val="nil"/>
              <w:right w:val="single" w:sz="4" w:space="0" w:color="auto"/>
            </w:tcBorders>
            <w:shd w:val="clear" w:color="auto" w:fill="auto"/>
            <w:noWrap/>
            <w:vAlign w:val="bottom"/>
            <w:hideMark/>
          </w:tcPr>
          <w:p w14:paraId="0D896BCC" w14:textId="42B10D66"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2" w:type="pct"/>
            <w:tcBorders>
              <w:top w:val="single" w:sz="4" w:space="0" w:color="auto"/>
              <w:left w:val="nil"/>
              <w:bottom w:val="nil"/>
              <w:right w:val="single" w:sz="4" w:space="0" w:color="auto"/>
            </w:tcBorders>
            <w:shd w:val="clear" w:color="auto" w:fill="auto"/>
            <w:noWrap/>
            <w:vAlign w:val="bottom"/>
            <w:hideMark/>
          </w:tcPr>
          <w:p w14:paraId="6BF933B8" w14:textId="6A6876D5"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93" w:type="pct"/>
            <w:vMerge/>
            <w:tcBorders>
              <w:top w:val="nil"/>
              <w:left w:val="single" w:sz="4" w:space="0" w:color="auto"/>
              <w:bottom w:val="nil"/>
              <w:right w:val="single" w:sz="4" w:space="0" w:color="auto"/>
            </w:tcBorders>
            <w:vAlign w:val="center"/>
            <w:hideMark/>
          </w:tcPr>
          <w:p w14:paraId="5242060A"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165" w:type="pct"/>
            <w:vMerge/>
            <w:tcBorders>
              <w:top w:val="nil"/>
              <w:left w:val="single" w:sz="4" w:space="0" w:color="auto"/>
              <w:bottom w:val="nil"/>
              <w:right w:val="single" w:sz="4" w:space="0" w:color="auto"/>
            </w:tcBorders>
            <w:vAlign w:val="center"/>
            <w:hideMark/>
          </w:tcPr>
          <w:p w14:paraId="49EE9290"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96" w:type="pct"/>
            <w:vMerge/>
            <w:tcBorders>
              <w:top w:val="nil"/>
              <w:left w:val="single" w:sz="4" w:space="0" w:color="auto"/>
              <w:bottom w:val="single" w:sz="4" w:space="0" w:color="000000"/>
              <w:right w:val="nil"/>
            </w:tcBorders>
            <w:vAlign w:val="center"/>
            <w:hideMark/>
          </w:tcPr>
          <w:p w14:paraId="60796B7D"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212" w:type="pct"/>
            <w:tcBorders>
              <w:top w:val="single" w:sz="4" w:space="0" w:color="auto"/>
              <w:left w:val="single" w:sz="4" w:space="0" w:color="auto"/>
              <w:bottom w:val="nil"/>
              <w:right w:val="single" w:sz="4" w:space="0" w:color="auto"/>
            </w:tcBorders>
            <w:shd w:val="clear" w:color="auto" w:fill="auto"/>
            <w:noWrap/>
            <w:vAlign w:val="bottom"/>
            <w:hideMark/>
          </w:tcPr>
          <w:p w14:paraId="2D1D77B3" w14:textId="52742280"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2" w:type="pct"/>
            <w:tcBorders>
              <w:top w:val="single" w:sz="4" w:space="0" w:color="auto"/>
              <w:left w:val="nil"/>
              <w:bottom w:val="nil"/>
              <w:right w:val="single" w:sz="4" w:space="0" w:color="auto"/>
            </w:tcBorders>
            <w:shd w:val="clear" w:color="auto" w:fill="auto"/>
            <w:noWrap/>
            <w:vAlign w:val="bottom"/>
            <w:hideMark/>
          </w:tcPr>
          <w:p w14:paraId="5E85C6F9" w14:textId="1199B9BC"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93" w:type="pct"/>
            <w:vMerge/>
            <w:tcBorders>
              <w:top w:val="nil"/>
              <w:left w:val="single" w:sz="4" w:space="0" w:color="auto"/>
              <w:bottom w:val="nil"/>
              <w:right w:val="single" w:sz="4" w:space="0" w:color="auto"/>
            </w:tcBorders>
            <w:vAlign w:val="center"/>
            <w:hideMark/>
          </w:tcPr>
          <w:p w14:paraId="4D2F1A18"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166" w:type="pct"/>
            <w:vMerge/>
            <w:tcBorders>
              <w:top w:val="nil"/>
              <w:left w:val="single" w:sz="4" w:space="0" w:color="auto"/>
              <w:bottom w:val="nil"/>
              <w:right w:val="single" w:sz="4" w:space="0" w:color="auto"/>
            </w:tcBorders>
            <w:vAlign w:val="center"/>
            <w:hideMark/>
          </w:tcPr>
          <w:p w14:paraId="2308EA2E"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421" w:type="pct"/>
            <w:vMerge/>
            <w:tcBorders>
              <w:left w:val="single" w:sz="4" w:space="0" w:color="auto"/>
              <w:bottom w:val="nil"/>
              <w:right w:val="single" w:sz="4" w:space="0" w:color="000000"/>
            </w:tcBorders>
          </w:tcPr>
          <w:p w14:paraId="280CA9EC" w14:textId="77777777" w:rsidR="00B508F9" w:rsidRPr="00E87E42" w:rsidRDefault="00B508F9" w:rsidP="00B508F9">
            <w:pPr>
              <w:spacing w:after="0" w:line="240" w:lineRule="auto"/>
              <w:jc w:val="left"/>
              <w:rPr>
                <w:rFonts w:eastAsia="Times New Roman"/>
                <w:color w:val="000000"/>
                <w:sz w:val="16"/>
                <w:szCs w:val="16"/>
                <w:lang w:eastAsia="en-GB"/>
              </w:rPr>
            </w:pPr>
          </w:p>
        </w:tc>
        <w:tc>
          <w:tcPr>
            <w:tcW w:w="212" w:type="pct"/>
            <w:tcBorders>
              <w:top w:val="single" w:sz="4" w:space="0" w:color="000000"/>
              <w:left w:val="single" w:sz="4" w:space="0" w:color="000000"/>
              <w:bottom w:val="nil"/>
              <w:right w:val="single" w:sz="4" w:space="0" w:color="auto"/>
            </w:tcBorders>
            <w:vAlign w:val="bottom"/>
          </w:tcPr>
          <w:p w14:paraId="08DF99F4" w14:textId="77777777" w:rsidR="00B508F9" w:rsidRPr="00E87E42" w:rsidRDefault="00B508F9"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0" w:type="pct"/>
            <w:tcBorders>
              <w:top w:val="single" w:sz="4" w:space="0" w:color="000000"/>
              <w:left w:val="single" w:sz="4" w:space="0" w:color="auto"/>
              <w:bottom w:val="nil"/>
              <w:right w:val="single" w:sz="4" w:space="0" w:color="auto"/>
            </w:tcBorders>
            <w:vAlign w:val="bottom"/>
          </w:tcPr>
          <w:p w14:paraId="0521E99B" w14:textId="77777777" w:rsidR="00B508F9" w:rsidRPr="00E87E42" w:rsidRDefault="00B508F9"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c>
          <w:tcPr>
            <w:tcW w:w="212" w:type="pct"/>
            <w:tcBorders>
              <w:top w:val="single" w:sz="4" w:space="0" w:color="000000"/>
              <w:left w:val="single" w:sz="4" w:space="0" w:color="auto"/>
              <w:bottom w:val="nil"/>
              <w:right w:val="single" w:sz="4" w:space="0" w:color="auto"/>
            </w:tcBorders>
            <w:vAlign w:val="bottom"/>
          </w:tcPr>
          <w:p w14:paraId="010B891F" w14:textId="77777777" w:rsidR="00B508F9" w:rsidRPr="00E87E42" w:rsidRDefault="00B508F9"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0" w:type="pct"/>
            <w:tcBorders>
              <w:top w:val="single" w:sz="4" w:space="0" w:color="000000"/>
              <w:left w:val="single" w:sz="4" w:space="0" w:color="auto"/>
              <w:bottom w:val="nil"/>
              <w:right w:val="single" w:sz="4" w:space="0" w:color="auto"/>
            </w:tcBorders>
            <w:vAlign w:val="bottom"/>
          </w:tcPr>
          <w:p w14:paraId="32982B60" w14:textId="77777777" w:rsidR="00B508F9" w:rsidRPr="00E87E42" w:rsidRDefault="00B508F9"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r>
      <w:tr w:rsidR="00B508F9" w:rsidRPr="00E87E42" w14:paraId="597DBEAA" w14:textId="77777777" w:rsidTr="005839EF">
        <w:trPr>
          <w:trHeight w:val="227"/>
        </w:trPr>
        <w:tc>
          <w:tcPr>
            <w:tcW w:w="68" w:type="pct"/>
            <w:tcBorders>
              <w:top w:val="nil"/>
              <w:left w:val="single" w:sz="4" w:space="0" w:color="auto"/>
              <w:bottom w:val="single" w:sz="4" w:space="0" w:color="auto"/>
              <w:right w:val="nil"/>
            </w:tcBorders>
            <w:shd w:val="clear" w:color="auto" w:fill="auto"/>
            <w:noWrap/>
            <w:vAlign w:val="bottom"/>
            <w:hideMark/>
          </w:tcPr>
          <w:p w14:paraId="244AC2D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123" w:type="pct"/>
            <w:tcBorders>
              <w:top w:val="single" w:sz="4" w:space="0" w:color="000000"/>
              <w:left w:val="single" w:sz="4" w:space="0" w:color="auto"/>
              <w:bottom w:val="single" w:sz="4" w:space="0" w:color="A6A6A6" w:themeColor="background1" w:themeShade="A6"/>
              <w:right w:val="single" w:sz="4" w:space="0" w:color="auto"/>
            </w:tcBorders>
            <w:shd w:val="clear" w:color="auto" w:fill="auto"/>
            <w:noWrap/>
            <w:vAlign w:val="bottom"/>
            <w:hideMark/>
          </w:tcPr>
          <w:p w14:paraId="6322B95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111</w:t>
            </w:r>
          </w:p>
        </w:tc>
        <w:tc>
          <w:tcPr>
            <w:tcW w:w="123" w:type="pct"/>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462D3C5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75</w:t>
            </w:r>
          </w:p>
        </w:tc>
        <w:tc>
          <w:tcPr>
            <w:tcW w:w="212"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071F11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83.33%</w:t>
            </w:r>
          </w:p>
        </w:tc>
        <w:tc>
          <w:tcPr>
            <w:tcW w:w="212"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E3BAEE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28.30%</w:t>
            </w:r>
          </w:p>
        </w:tc>
        <w:tc>
          <w:tcPr>
            <w:tcW w:w="165"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2B1340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12.53</w:t>
            </w:r>
          </w:p>
        </w:tc>
        <w:tc>
          <w:tcPr>
            <w:tcW w:w="166"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324AF4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12.53</w:t>
            </w:r>
          </w:p>
        </w:tc>
        <w:tc>
          <w:tcPr>
            <w:tcW w:w="96"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1660BD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w:t>
            </w:r>
          </w:p>
        </w:tc>
        <w:tc>
          <w:tcPr>
            <w:tcW w:w="212"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2E216E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w:t>
            </w:r>
          </w:p>
        </w:tc>
        <w:tc>
          <w:tcPr>
            <w:tcW w:w="212"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695217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14.75%</w:t>
            </w:r>
          </w:p>
        </w:tc>
        <w:tc>
          <w:tcPr>
            <w:tcW w:w="165"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23196A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10.73</w:t>
            </w:r>
          </w:p>
        </w:tc>
        <w:tc>
          <w:tcPr>
            <w:tcW w:w="165" w:type="pct"/>
            <w:tcBorders>
              <w:top w:val="single" w:sz="4" w:space="0" w:color="auto"/>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736CE53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3.48</w:t>
            </w:r>
          </w:p>
        </w:tc>
        <w:tc>
          <w:tcPr>
            <w:tcW w:w="96" w:type="pct"/>
            <w:tcBorders>
              <w:top w:val="nil"/>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33A1A44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12"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B280E0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1.11%</w:t>
            </w:r>
          </w:p>
        </w:tc>
        <w:tc>
          <w:tcPr>
            <w:tcW w:w="212"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AAF4BB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2.13%</w:t>
            </w:r>
          </w:p>
        </w:tc>
        <w:tc>
          <w:tcPr>
            <w:tcW w:w="193"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1F9245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0.66</w:t>
            </w:r>
          </w:p>
        </w:tc>
        <w:tc>
          <w:tcPr>
            <w:tcW w:w="165"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DF31A0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0.13</w:t>
            </w:r>
          </w:p>
        </w:tc>
        <w:tc>
          <w:tcPr>
            <w:tcW w:w="96"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23A803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212"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956B48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5.56%</w:t>
            </w:r>
          </w:p>
        </w:tc>
        <w:tc>
          <w:tcPr>
            <w:tcW w:w="212"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E593986"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5.56%</w:t>
            </w:r>
          </w:p>
        </w:tc>
        <w:tc>
          <w:tcPr>
            <w:tcW w:w="193" w:type="pct"/>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0009B4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1.27</w:t>
            </w:r>
          </w:p>
        </w:tc>
        <w:tc>
          <w:tcPr>
            <w:tcW w:w="166" w:type="pct"/>
            <w:tcBorders>
              <w:top w:val="single" w:sz="4" w:space="0" w:color="auto"/>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4251C53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0.17</w:t>
            </w:r>
          </w:p>
        </w:tc>
        <w:tc>
          <w:tcPr>
            <w:tcW w:w="421" w:type="pct"/>
            <w:tcBorders>
              <w:top w:val="single" w:sz="4" w:space="0" w:color="auto"/>
              <w:left w:val="single" w:sz="4" w:space="0" w:color="A6A6A6" w:themeColor="background1" w:themeShade="A6"/>
              <w:bottom w:val="single" w:sz="4" w:space="0" w:color="A6A6A6" w:themeColor="background1" w:themeShade="A6"/>
              <w:right w:val="single" w:sz="4" w:space="0" w:color="auto"/>
            </w:tcBorders>
            <w:vAlign w:val="bottom"/>
          </w:tcPr>
          <w:p w14:paraId="5607A15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11.59</w:t>
            </w:r>
          </w:p>
        </w:tc>
        <w:tc>
          <w:tcPr>
            <w:tcW w:w="212" w:type="pct"/>
            <w:tcBorders>
              <w:top w:val="single" w:sz="4" w:space="0" w:color="auto"/>
              <w:left w:val="single" w:sz="4" w:space="0" w:color="A6A6A6" w:themeColor="background1" w:themeShade="A6"/>
              <w:bottom w:val="single" w:sz="4" w:space="0" w:color="A6A6A6" w:themeColor="background1" w:themeShade="A6"/>
              <w:right w:val="single" w:sz="4" w:space="0" w:color="auto"/>
            </w:tcBorders>
            <w:vAlign w:val="bottom"/>
          </w:tcPr>
          <w:p w14:paraId="7DC4DEE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19.44%</w:t>
            </w:r>
          </w:p>
        </w:tc>
        <w:tc>
          <w:tcPr>
            <w:tcW w:w="240" w:type="pct"/>
            <w:tcBorders>
              <w:top w:val="single" w:sz="4" w:space="0" w:color="auto"/>
              <w:left w:val="single" w:sz="4" w:space="0" w:color="A6A6A6" w:themeColor="background1" w:themeShade="A6"/>
              <w:bottom w:val="single" w:sz="4" w:space="0" w:color="A6A6A6" w:themeColor="background1" w:themeShade="A6"/>
              <w:right w:val="single" w:sz="4" w:space="0" w:color="auto"/>
            </w:tcBorders>
            <w:vAlign w:val="bottom"/>
          </w:tcPr>
          <w:p w14:paraId="04A7C6B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19.44%</w:t>
            </w:r>
          </w:p>
        </w:tc>
        <w:tc>
          <w:tcPr>
            <w:tcW w:w="212" w:type="pct"/>
            <w:tcBorders>
              <w:top w:val="single" w:sz="4" w:space="0" w:color="auto"/>
              <w:left w:val="single" w:sz="4" w:space="0" w:color="A6A6A6" w:themeColor="background1" w:themeShade="A6"/>
              <w:bottom w:val="single" w:sz="4" w:space="0" w:color="A6A6A6" w:themeColor="background1" w:themeShade="A6"/>
              <w:right w:val="single" w:sz="4" w:space="0" w:color="auto"/>
            </w:tcBorders>
            <w:vAlign w:val="bottom"/>
          </w:tcPr>
          <w:p w14:paraId="337E438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25.52%</w:t>
            </w:r>
          </w:p>
        </w:tc>
        <w:tc>
          <w:tcPr>
            <w:tcW w:w="240" w:type="pct"/>
            <w:tcBorders>
              <w:top w:val="single" w:sz="4" w:space="0" w:color="auto"/>
              <w:left w:val="single" w:sz="4" w:space="0" w:color="A6A6A6" w:themeColor="background1" w:themeShade="A6"/>
              <w:bottom w:val="single" w:sz="4" w:space="0" w:color="A6A6A6" w:themeColor="background1" w:themeShade="A6"/>
              <w:right w:val="single" w:sz="4" w:space="0" w:color="auto"/>
            </w:tcBorders>
            <w:vAlign w:val="bottom"/>
          </w:tcPr>
          <w:p w14:paraId="0DF05F1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25.52%</w:t>
            </w:r>
          </w:p>
        </w:tc>
      </w:tr>
      <w:tr w:rsidR="00B508F9" w:rsidRPr="00E87E42" w14:paraId="52E62B9D" w14:textId="77777777" w:rsidTr="005839EF">
        <w:trPr>
          <w:trHeight w:val="227"/>
        </w:trPr>
        <w:tc>
          <w:tcPr>
            <w:tcW w:w="68" w:type="pct"/>
            <w:tcBorders>
              <w:top w:val="nil"/>
              <w:left w:val="single" w:sz="4" w:space="0" w:color="auto"/>
              <w:bottom w:val="single" w:sz="4" w:space="0" w:color="auto"/>
              <w:right w:val="nil"/>
            </w:tcBorders>
            <w:shd w:val="clear" w:color="auto" w:fill="auto"/>
            <w:noWrap/>
            <w:vAlign w:val="bottom"/>
            <w:hideMark/>
          </w:tcPr>
          <w:p w14:paraId="4808658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123"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052B1FB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185</w:t>
            </w:r>
          </w:p>
        </w:tc>
        <w:tc>
          <w:tcPr>
            <w:tcW w:w="123"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626B9F9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106</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5D753D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77.37%</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0B7C74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40.00%</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564D1C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12.31</w:t>
            </w:r>
          </w:p>
        </w:tc>
        <w:tc>
          <w:tcPr>
            <w:tcW w:w="1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7D070B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12.31</w:t>
            </w:r>
          </w:p>
        </w:tc>
        <w:tc>
          <w:tcPr>
            <w:tcW w:w="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28224BB"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5C7EF8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14.60%</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23BEBF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32.79%</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FD88D9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39.73</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71BBD2E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12.89</w:t>
            </w:r>
          </w:p>
        </w:tc>
        <w:tc>
          <w:tcPr>
            <w:tcW w:w="96"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4D97095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64D25CB"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6.57%</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8AFAD8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19.15%</w:t>
            </w:r>
          </w:p>
        </w:tc>
        <w:tc>
          <w:tcPr>
            <w:tcW w:w="1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6A099D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45.63</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A3999E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8.83</w:t>
            </w:r>
          </w:p>
        </w:tc>
        <w:tc>
          <w:tcPr>
            <w:tcW w:w="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ED113F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5F8ED8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1.46%</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9BC865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2.22%</w:t>
            </w:r>
          </w:p>
        </w:tc>
        <w:tc>
          <w:tcPr>
            <w:tcW w:w="1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07AA9F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0.08</w:t>
            </w:r>
          </w:p>
        </w:tc>
        <w:tc>
          <w:tcPr>
            <w:tcW w:w="1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3CD689C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0.01</w:t>
            </w:r>
          </w:p>
        </w:tc>
        <w:tc>
          <w:tcPr>
            <w:tcW w:w="42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0D712BA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18.32</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49A3952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29.59%</w:t>
            </w:r>
          </w:p>
        </w:tc>
        <w:tc>
          <w:tcPr>
            <w:tcW w:w="2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239D046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49.03%</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59BFC9F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42.53%</w:t>
            </w:r>
          </w:p>
        </w:tc>
        <w:tc>
          <w:tcPr>
            <w:tcW w:w="2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2DB34EE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68.05%</w:t>
            </w:r>
          </w:p>
        </w:tc>
      </w:tr>
      <w:tr w:rsidR="00B508F9" w:rsidRPr="00E87E42" w14:paraId="12190177" w14:textId="77777777" w:rsidTr="005839EF">
        <w:trPr>
          <w:trHeight w:val="227"/>
        </w:trPr>
        <w:tc>
          <w:tcPr>
            <w:tcW w:w="68" w:type="pct"/>
            <w:tcBorders>
              <w:top w:val="nil"/>
              <w:left w:val="single" w:sz="4" w:space="0" w:color="auto"/>
              <w:bottom w:val="single" w:sz="4" w:space="0" w:color="auto"/>
              <w:right w:val="nil"/>
            </w:tcBorders>
            <w:shd w:val="clear" w:color="auto" w:fill="auto"/>
            <w:noWrap/>
            <w:vAlign w:val="bottom"/>
            <w:hideMark/>
          </w:tcPr>
          <w:p w14:paraId="6323F50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123"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757B38C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w:t>
            </w:r>
          </w:p>
        </w:tc>
        <w:tc>
          <w:tcPr>
            <w:tcW w:w="123"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133ED99B"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D2ECD9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51.52%</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791581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6.42%</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DEC721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1.18</w:t>
            </w:r>
          </w:p>
        </w:tc>
        <w:tc>
          <w:tcPr>
            <w:tcW w:w="1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2E1EE7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1.18</w:t>
            </w:r>
          </w:p>
        </w:tc>
        <w:tc>
          <w:tcPr>
            <w:tcW w:w="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0862CB6"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66E280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18.18%</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B0222D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9.84%</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BFFF9B6"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8.32</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461B7FF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2.70</w:t>
            </w:r>
          </w:p>
        </w:tc>
        <w:tc>
          <w:tcPr>
            <w:tcW w:w="96"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280970E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D3C90DB"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18.18%</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78DD39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12.77%</w:t>
            </w:r>
          </w:p>
        </w:tc>
        <w:tc>
          <w:tcPr>
            <w:tcW w:w="1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6FBEE66"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17.30</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9F59A0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3.35</w:t>
            </w:r>
          </w:p>
        </w:tc>
        <w:tc>
          <w:tcPr>
            <w:tcW w:w="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E2278E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B85DE0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12.12%</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9A3D31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4.44%</w:t>
            </w:r>
          </w:p>
        </w:tc>
        <w:tc>
          <w:tcPr>
            <w:tcW w:w="1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CE6E331"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4.97</w:t>
            </w:r>
          </w:p>
        </w:tc>
        <w:tc>
          <w:tcPr>
            <w:tcW w:w="1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00A6989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0.68</w:t>
            </w:r>
          </w:p>
        </w:tc>
        <w:tc>
          <w:tcPr>
            <w:tcW w:w="42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123948E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5.87</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3AAF850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7.13%</w:t>
            </w:r>
          </w:p>
        </w:tc>
        <w:tc>
          <w:tcPr>
            <w:tcW w:w="2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7A8FA6E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56.16%</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74032BBB"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5.06%</w:t>
            </w:r>
          </w:p>
        </w:tc>
        <w:tc>
          <w:tcPr>
            <w:tcW w:w="2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38B1A52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73.10%</w:t>
            </w:r>
          </w:p>
        </w:tc>
      </w:tr>
      <w:tr w:rsidR="00B508F9" w:rsidRPr="00E87E42" w14:paraId="5E3476F7" w14:textId="77777777" w:rsidTr="005839EF">
        <w:trPr>
          <w:trHeight w:val="227"/>
        </w:trPr>
        <w:tc>
          <w:tcPr>
            <w:tcW w:w="68" w:type="pct"/>
            <w:tcBorders>
              <w:top w:val="nil"/>
              <w:left w:val="single" w:sz="4" w:space="0" w:color="auto"/>
              <w:bottom w:val="single" w:sz="4" w:space="0" w:color="auto"/>
              <w:right w:val="nil"/>
            </w:tcBorders>
            <w:shd w:val="clear" w:color="auto" w:fill="auto"/>
            <w:noWrap/>
            <w:vAlign w:val="bottom"/>
            <w:hideMark/>
          </w:tcPr>
          <w:p w14:paraId="6459EC3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123"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68C8372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109</w:t>
            </w:r>
          </w:p>
        </w:tc>
        <w:tc>
          <w:tcPr>
            <w:tcW w:w="123"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63F9857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58</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68261C6"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34.52%</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2EDDB9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21.89%</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A0D469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5.79</w:t>
            </w:r>
          </w:p>
        </w:tc>
        <w:tc>
          <w:tcPr>
            <w:tcW w:w="1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A59941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5.79</w:t>
            </w:r>
          </w:p>
        </w:tc>
        <w:tc>
          <w:tcPr>
            <w:tcW w:w="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9938F6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CF2043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14.29%</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6B99887A"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39.34%</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C1594F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42.36</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6300060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13.74</w:t>
            </w:r>
          </w:p>
        </w:tc>
        <w:tc>
          <w:tcPr>
            <w:tcW w:w="96"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12F3BC4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B8A5D5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17.26%</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62C786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61.70%</w:t>
            </w:r>
          </w:p>
        </w:tc>
        <w:tc>
          <w:tcPr>
            <w:tcW w:w="1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313C31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76.31</w:t>
            </w:r>
          </w:p>
        </w:tc>
        <w:tc>
          <w:tcPr>
            <w:tcW w:w="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82F06C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14.77</w:t>
            </w:r>
          </w:p>
        </w:tc>
        <w:tc>
          <w:tcPr>
            <w:tcW w:w="9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F2371C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57</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DCFF02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33.93%</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D3DB9E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63.33%</w:t>
            </w:r>
          </w:p>
        </w:tc>
        <w:tc>
          <w:tcPr>
            <w:tcW w:w="1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410A3C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278.47</w:t>
            </w:r>
          </w:p>
        </w:tc>
        <w:tc>
          <w:tcPr>
            <w:tcW w:w="1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noWrap/>
            <w:vAlign w:val="bottom"/>
            <w:hideMark/>
          </w:tcPr>
          <w:p w14:paraId="1D69297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37.97</w:t>
            </w:r>
          </w:p>
        </w:tc>
        <w:tc>
          <w:tcPr>
            <w:tcW w:w="42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6667CDC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115.71</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374F5E6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36.29%</w:t>
            </w:r>
          </w:p>
        </w:tc>
        <w:tc>
          <w:tcPr>
            <w:tcW w:w="2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7AE59E4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92.44%</w:t>
            </w:r>
          </w:p>
        </w:tc>
        <w:tc>
          <w:tcPr>
            <w:tcW w:w="2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55F7376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25.06%</w:t>
            </w:r>
          </w:p>
        </w:tc>
        <w:tc>
          <w:tcPr>
            <w:tcW w:w="2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bottom"/>
          </w:tcPr>
          <w:p w14:paraId="0816652F"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98.16%</w:t>
            </w:r>
          </w:p>
        </w:tc>
      </w:tr>
      <w:tr w:rsidR="00B508F9" w:rsidRPr="00E87E42" w14:paraId="43CFA70D" w14:textId="77777777" w:rsidTr="005839EF">
        <w:trPr>
          <w:trHeight w:val="227"/>
        </w:trPr>
        <w:tc>
          <w:tcPr>
            <w:tcW w:w="68" w:type="pct"/>
            <w:tcBorders>
              <w:top w:val="nil"/>
              <w:left w:val="single" w:sz="4" w:space="0" w:color="auto"/>
              <w:bottom w:val="single" w:sz="4" w:space="0" w:color="auto"/>
              <w:right w:val="nil"/>
            </w:tcBorders>
            <w:shd w:val="clear" w:color="auto" w:fill="auto"/>
            <w:noWrap/>
            <w:vAlign w:val="bottom"/>
            <w:hideMark/>
          </w:tcPr>
          <w:p w14:paraId="1DC4D91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123" w:type="pct"/>
            <w:tcBorders>
              <w:top w:val="single" w:sz="4" w:space="0" w:color="A6A6A6" w:themeColor="background1" w:themeShade="A6"/>
              <w:left w:val="single" w:sz="4" w:space="0" w:color="auto"/>
              <w:bottom w:val="single" w:sz="4" w:space="0" w:color="auto"/>
              <w:right w:val="single" w:sz="4" w:space="0" w:color="auto"/>
            </w:tcBorders>
            <w:shd w:val="clear" w:color="auto" w:fill="auto"/>
            <w:noWrap/>
            <w:vAlign w:val="bottom"/>
            <w:hideMark/>
          </w:tcPr>
          <w:p w14:paraId="23C92EC2"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w:t>
            </w:r>
          </w:p>
        </w:tc>
        <w:tc>
          <w:tcPr>
            <w:tcW w:w="123" w:type="pct"/>
            <w:tcBorders>
              <w:top w:val="single" w:sz="4" w:space="0" w:color="A6A6A6" w:themeColor="background1" w:themeShade="A6"/>
              <w:left w:val="nil"/>
              <w:bottom w:val="single" w:sz="4" w:space="0" w:color="auto"/>
              <w:right w:val="single" w:sz="4" w:space="0" w:color="A6A6A6" w:themeColor="background1" w:themeShade="A6"/>
            </w:tcBorders>
            <w:shd w:val="clear" w:color="auto" w:fill="auto"/>
            <w:noWrap/>
            <w:vAlign w:val="bottom"/>
            <w:hideMark/>
          </w:tcPr>
          <w:p w14:paraId="7813956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w:t>
            </w:r>
          </w:p>
        </w:tc>
        <w:tc>
          <w:tcPr>
            <w:tcW w:w="212"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2258655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25.71%</w:t>
            </w:r>
          </w:p>
        </w:tc>
        <w:tc>
          <w:tcPr>
            <w:tcW w:w="212"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3434A66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3.40%</w:t>
            </w:r>
          </w:p>
        </w:tc>
        <w:tc>
          <w:tcPr>
            <w:tcW w:w="165"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62E18C0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0.37</w:t>
            </w:r>
          </w:p>
        </w:tc>
        <w:tc>
          <w:tcPr>
            <w:tcW w:w="166"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01C68A2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0.37</w:t>
            </w:r>
          </w:p>
        </w:tc>
        <w:tc>
          <w:tcPr>
            <w:tcW w:w="96"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38AE627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12"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1505465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5.71%</w:t>
            </w:r>
          </w:p>
        </w:tc>
        <w:tc>
          <w:tcPr>
            <w:tcW w:w="212"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0667EB1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3.28%</w:t>
            </w:r>
          </w:p>
        </w:tc>
        <w:tc>
          <w:tcPr>
            <w:tcW w:w="165"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5BB2C4BE"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21.63</w:t>
            </w:r>
          </w:p>
        </w:tc>
        <w:tc>
          <w:tcPr>
            <w:tcW w:w="165" w:type="pct"/>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auto"/>
            <w:noWrap/>
            <w:vAlign w:val="bottom"/>
            <w:hideMark/>
          </w:tcPr>
          <w:p w14:paraId="7432A2B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7.01</w:t>
            </w:r>
          </w:p>
        </w:tc>
        <w:tc>
          <w:tcPr>
            <w:tcW w:w="96" w:type="pct"/>
            <w:tcBorders>
              <w:top w:val="single" w:sz="4" w:space="0" w:color="A6A6A6" w:themeColor="background1" w:themeShade="A6"/>
              <w:left w:val="nil"/>
              <w:bottom w:val="single" w:sz="4" w:space="0" w:color="auto"/>
              <w:right w:val="single" w:sz="4" w:space="0" w:color="A6A6A6" w:themeColor="background1" w:themeShade="A6"/>
            </w:tcBorders>
            <w:shd w:val="clear" w:color="auto" w:fill="auto"/>
            <w:noWrap/>
            <w:vAlign w:val="bottom"/>
            <w:hideMark/>
          </w:tcPr>
          <w:p w14:paraId="5599EDD9"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12"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0D4678E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5.71%</w:t>
            </w:r>
          </w:p>
        </w:tc>
        <w:tc>
          <w:tcPr>
            <w:tcW w:w="212"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6397D116"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4.26%</w:t>
            </w:r>
          </w:p>
        </w:tc>
        <w:tc>
          <w:tcPr>
            <w:tcW w:w="193"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523D1D2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12.92</w:t>
            </w:r>
          </w:p>
        </w:tc>
        <w:tc>
          <w:tcPr>
            <w:tcW w:w="165"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0D94F535"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2.50</w:t>
            </w:r>
          </w:p>
        </w:tc>
        <w:tc>
          <w:tcPr>
            <w:tcW w:w="96"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268FAC07"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w:t>
            </w:r>
          </w:p>
        </w:tc>
        <w:tc>
          <w:tcPr>
            <w:tcW w:w="212"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70C73DB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62.86%</w:t>
            </w:r>
          </w:p>
        </w:tc>
        <w:tc>
          <w:tcPr>
            <w:tcW w:w="212"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26987A8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24.44%</w:t>
            </w:r>
          </w:p>
        </w:tc>
        <w:tc>
          <w:tcPr>
            <w:tcW w:w="193"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noWrap/>
            <w:vAlign w:val="bottom"/>
            <w:hideMark/>
          </w:tcPr>
          <w:p w14:paraId="42A0E15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194.94</w:t>
            </w:r>
          </w:p>
        </w:tc>
        <w:tc>
          <w:tcPr>
            <w:tcW w:w="166" w:type="pct"/>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auto"/>
            <w:noWrap/>
            <w:vAlign w:val="bottom"/>
            <w:hideMark/>
          </w:tcPr>
          <w:p w14:paraId="30F2643C"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26.58</w:t>
            </w:r>
          </w:p>
        </w:tc>
        <w:tc>
          <w:tcPr>
            <w:tcW w:w="421" w:type="pct"/>
            <w:tcBorders>
              <w:top w:val="single" w:sz="4" w:space="0" w:color="A6A6A6" w:themeColor="background1" w:themeShade="A6"/>
              <w:left w:val="single" w:sz="4" w:space="0" w:color="A6A6A6" w:themeColor="background1" w:themeShade="A6"/>
              <w:bottom w:val="single" w:sz="4" w:space="0" w:color="auto"/>
              <w:right w:val="single" w:sz="4" w:space="0" w:color="auto"/>
            </w:tcBorders>
            <w:vAlign w:val="bottom"/>
          </w:tcPr>
          <w:p w14:paraId="5DFC152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124.60</w:t>
            </w:r>
          </w:p>
        </w:tc>
        <w:tc>
          <w:tcPr>
            <w:tcW w:w="212" w:type="pct"/>
            <w:tcBorders>
              <w:top w:val="single" w:sz="4" w:space="0" w:color="A6A6A6" w:themeColor="background1" w:themeShade="A6"/>
              <w:left w:val="single" w:sz="4" w:space="0" w:color="A6A6A6" w:themeColor="background1" w:themeShade="A6"/>
              <w:bottom w:val="single" w:sz="4" w:space="0" w:color="auto"/>
              <w:right w:val="single" w:sz="4" w:space="0" w:color="auto"/>
            </w:tcBorders>
            <w:vAlign w:val="bottom"/>
          </w:tcPr>
          <w:p w14:paraId="2AC484B0"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7.56%</w:t>
            </w:r>
          </w:p>
        </w:tc>
        <w:tc>
          <w:tcPr>
            <w:tcW w:w="240" w:type="pct"/>
            <w:tcBorders>
              <w:top w:val="single" w:sz="4" w:space="0" w:color="A6A6A6" w:themeColor="background1" w:themeShade="A6"/>
              <w:left w:val="single" w:sz="4" w:space="0" w:color="A6A6A6" w:themeColor="background1" w:themeShade="A6"/>
              <w:bottom w:val="single" w:sz="4" w:space="0" w:color="auto"/>
              <w:right w:val="single" w:sz="4" w:space="0" w:color="auto"/>
            </w:tcBorders>
            <w:vAlign w:val="bottom"/>
          </w:tcPr>
          <w:p w14:paraId="50230FA8"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12" w:type="pct"/>
            <w:tcBorders>
              <w:top w:val="single" w:sz="4" w:space="0" w:color="A6A6A6" w:themeColor="background1" w:themeShade="A6"/>
              <w:left w:val="single" w:sz="4" w:space="0" w:color="A6A6A6" w:themeColor="background1" w:themeShade="A6"/>
              <w:bottom w:val="single" w:sz="4" w:space="0" w:color="auto"/>
              <w:right w:val="single" w:sz="4" w:space="0" w:color="auto"/>
            </w:tcBorders>
            <w:vAlign w:val="bottom"/>
          </w:tcPr>
          <w:p w14:paraId="6C1C70F4"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1.84%</w:t>
            </w:r>
          </w:p>
        </w:tc>
        <w:tc>
          <w:tcPr>
            <w:tcW w:w="240" w:type="pct"/>
            <w:tcBorders>
              <w:top w:val="single" w:sz="4" w:space="0" w:color="A6A6A6" w:themeColor="background1" w:themeShade="A6"/>
              <w:left w:val="single" w:sz="4" w:space="0" w:color="A6A6A6" w:themeColor="background1" w:themeShade="A6"/>
              <w:bottom w:val="single" w:sz="4" w:space="0" w:color="auto"/>
              <w:right w:val="single" w:sz="4" w:space="0" w:color="auto"/>
            </w:tcBorders>
            <w:vAlign w:val="bottom"/>
          </w:tcPr>
          <w:p w14:paraId="1A262113"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r>
      <w:tr w:rsidR="00B508F9" w:rsidRPr="00E87E42" w14:paraId="3276A403" w14:textId="77777777" w:rsidTr="005839EF">
        <w:trPr>
          <w:trHeight w:val="227"/>
        </w:trPr>
        <w:tc>
          <w:tcPr>
            <w:tcW w:w="3676" w:type="pct"/>
            <w:gridSpan w:val="22"/>
            <w:tcBorders>
              <w:top w:val="single" w:sz="4" w:space="0" w:color="auto"/>
              <w:left w:val="single" w:sz="4" w:space="0" w:color="auto"/>
              <w:bottom w:val="single" w:sz="4" w:space="0" w:color="auto"/>
              <w:right w:val="single" w:sz="4" w:space="0" w:color="auto"/>
            </w:tcBorders>
            <w:shd w:val="clear" w:color="auto" w:fill="auto"/>
            <w:noWrap/>
            <w:vAlign w:val="bottom"/>
          </w:tcPr>
          <w:p w14:paraId="10486CB3" w14:textId="77777777" w:rsidR="00B508F9" w:rsidRPr="00E87E42" w:rsidRDefault="00B508F9" w:rsidP="00B508F9">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Total weighted area damage</w:t>
            </w:r>
          </w:p>
        </w:tc>
        <w:tc>
          <w:tcPr>
            <w:tcW w:w="421" w:type="pct"/>
            <w:tcBorders>
              <w:top w:val="single" w:sz="4" w:space="0" w:color="auto"/>
              <w:left w:val="single" w:sz="4" w:space="0" w:color="A6A6A6" w:themeColor="background1" w:themeShade="A6"/>
              <w:bottom w:val="single" w:sz="4" w:space="0" w:color="auto"/>
              <w:right w:val="single" w:sz="4" w:space="0" w:color="auto"/>
            </w:tcBorders>
            <w:vAlign w:val="bottom"/>
          </w:tcPr>
          <w:p w14:paraId="457ED3BD" w14:textId="77777777" w:rsidR="00B508F9" w:rsidRPr="00E87E42" w:rsidRDefault="00B508F9" w:rsidP="00B508F9">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59.50</w:t>
            </w:r>
          </w:p>
        </w:tc>
        <w:tc>
          <w:tcPr>
            <w:tcW w:w="904" w:type="pct"/>
            <w:gridSpan w:val="4"/>
            <w:tcBorders>
              <w:top w:val="single" w:sz="4" w:space="0" w:color="auto"/>
              <w:left w:val="single" w:sz="4" w:space="0" w:color="A6A6A6" w:themeColor="background1" w:themeShade="A6"/>
              <w:bottom w:val="single" w:sz="4" w:space="0" w:color="auto"/>
              <w:right w:val="single" w:sz="4" w:space="0" w:color="auto"/>
            </w:tcBorders>
            <w:vAlign w:val="bottom"/>
          </w:tcPr>
          <w:p w14:paraId="2D8DC2CB" w14:textId="77777777" w:rsidR="00B508F9" w:rsidRPr="00E87E42" w:rsidRDefault="00B508F9" w:rsidP="00B508F9">
            <w:pPr>
              <w:spacing w:after="0" w:line="240" w:lineRule="auto"/>
              <w:jc w:val="center"/>
              <w:rPr>
                <w:rFonts w:eastAsia="Times New Roman"/>
                <w:color w:val="000000"/>
                <w:sz w:val="16"/>
                <w:szCs w:val="16"/>
                <w:lang w:eastAsia="en-GB"/>
              </w:rPr>
            </w:pPr>
          </w:p>
        </w:tc>
      </w:tr>
    </w:tbl>
    <w:p w14:paraId="0C7EDEC2" w14:textId="77777777" w:rsidR="008C3AB0" w:rsidRPr="00E87E42" w:rsidRDefault="008C3AB0" w:rsidP="008C3AB0">
      <w:pPr>
        <w:spacing w:line="240" w:lineRule="auto"/>
      </w:pPr>
    </w:p>
    <w:p w14:paraId="475EDDE5" w14:textId="77777777" w:rsidR="00BF5E03" w:rsidRPr="00E87E42" w:rsidRDefault="00BF5E03">
      <w:pPr>
        <w:spacing w:after="0" w:line="240" w:lineRule="auto"/>
        <w:jc w:val="left"/>
        <w:rPr>
          <w:i/>
          <w:iCs/>
          <w:sz w:val="20"/>
          <w:szCs w:val="18"/>
        </w:rPr>
      </w:pPr>
      <w:r w:rsidRPr="00E87E42">
        <w:br w:type="page"/>
      </w:r>
    </w:p>
    <w:p w14:paraId="6CF30087" w14:textId="41F9D8B0" w:rsidR="00EF6691" w:rsidRPr="00E87E42" w:rsidRDefault="00EF6691" w:rsidP="00332F42">
      <w:pPr>
        <w:pStyle w:val="Caption"/>
        <w:spacing w:line="240" w:lineRule="auto"/>
      </w:pPr>
      <w:bookmarkStart w:id="34" w:name="_Ref506466623"/>
      <w:bookmarkStart w:id="35" w:name="_Ref508362578"/>
      <w:bookmarkEnd w:id="32"/>
      <w:bookmarkEnd w:id="33"/>
      <w:r w:rsidRPr="00E87E42">
        <w:lastRenderedPageBreak/>
        <w:t xml:space="preserve">Table </w:t>
      </w:r>
      <w:r w:rsidR="00A446AC" w:rsidRPr="00E87E42">
        <w:rPr>
          <w:noProof/>
        </w:rPr>
        <w:fldChar w:fldCharType="begin"/>
      </w:r>
      <w:r w:rsidR="00A446AC" w:rsidRPr="00E87E42">
        <w:rPr>
          <w:noProof/>
        </w:rPr>
        <w:instrText xml:space="preserve"> SEQ Table \* ARABIC </w:instrText>
      </w:r>
      <w:r w:rsidR="00A446AC" w:rsidRPr="00E87E42">
        <w:rPr>
          <w:noProof/>
        </w:rPr>
        <w:fldChar w:fldCharType="separate"/>
      </w:r>
      <w:r w:rsidR="009F6872">
        <w:rPr>
          <w:noProof/>
        </w:rPr>
        <w:t>7</w:t>
      </w:r>
      <w:r w:rsidR="00A446AC" w:rsidRPr="00E87E42">
        <w:rPr>
          <w:noProof/>
        </w:rPr>
        <w:fldChar w:fldCharType="end"/>
      </w:r>
      <w:bookmarkEnd w:id="34"/>
      <w:bookmarkEnd w:id="35"/>
      <w:r w:rsidRPr="00E87E42">
        <w:t>: Manufactu</w:t>
      </w:r>
      <w:r w:rsidR="00950107" w:rsidRPr="00E87E42">
        <w:t>ring, P</w:t>
      </w:r>
      <w:r w:rsidR="00E62C19" w:rsidRPr="00E87E42">
        <w:t>rocessing</w:t>
      </w:r>
      <w:r w:rsidR="00BF5E03" w:rsidRPr="00E87E42">
        <w:t>: area damage and fire spread according to damage class; and fire frequency with respect to fire spread in presence and absence of automatic extinguishing systems in USA fire statistics, with weighted are damage, and frequency for fires and unclassified damage fires in the USA fire statistics.</w:t>
      </w:r>
    </w:p>
    <w:tbl>
      <w:tblPr>
        <w:tblW w:w="5000" w:type="pct"/>
        <w:tblCellMar>
          <w:top w:w="28" w:type="dxa"/>
          <w:left w:w="34" w:type="dxa"/>
          <w:bottom w:w="28" w:type="dxa"/>
          <w:right w:w="34" w:type="dxa"/>
        </w:tblCellMar>
        <w:tblLook w:val="04A0" w:firstRow="1" w:lastRow="0" w:firstColumn="1" w:lastColumn="0" w:noHBand="0" w:noVBand="1"/>
      </w:tblPr>
      <w:tblGrid>
        <w:gridCol w:w="159"/>
        <w:gridCol w:w="331"/>
        <w:gridCol w:w="245"/>
        <w:gridCol w:w="599"/>
        <w:gridCol w:w="602"/>
        <w:gridCol w:w="542"/>
        <w:gridCol w:w="542"/>
        <w:gridCol w:w="244"/>
        <w:gridCol w:w="599"/>
        <w:gridCol w:w="602"/>
        <w:gridCol w:w="628"/>
        <w:gridCol w:w="542"/>
        <w:gridCol w:w="244"/>
        <w:gridCol w:w="599"/>
        <w:gridCol w:w="602"/>
        <w:gridCol w:w="542"/>
        <w:gridCol w:w="456"/>
        <w:gridCol w:w="244"/>
        <w:gridCol w:w="599"/>
        <w:gridCol w:w="602"/>
        <w:gridCol w:w="628"/>
        <w:gridCol w:w="542"/>
        <w:gridCol w:w="1076"/>
        <w:gridCol w:w="599"/>
        <w:gridCol w:w="688"/>
        <w:gridCol w:w="599"/>
        <w:gridCol w:w="685"/>
      </w:tblGrid>
      <w:tr w:rsidR="00855B06" w:rsidRPr="00E87E42" w14:paraId="5315992D" w14:textId="77777777" w:rsidTr="00332F42">
        <w:trPr>
          <w:trHeight w:val="227"/>
        </w:trPr>
        <w:tc>
          <w:tcPr>
            <w:tcW w:w="55" w:type="pct"/>
            <w:tcBorders>
              <w:top w:val="nil"/>
              <w:left w:val="nil"/>
              <w:bottom w:val="nil"/>
              <w:right w:val="nil"/>
            </w:tcBorders>
            <w:shd w:val="clear" w:color="auto" w:fill="auto"/>
            <w:noWrap/>
            <w:vAlign w:val="bottom"/>
            <w:hideMark/>
          </w:tcPr>
          <w:p w14:paraId="1D2E2E8D" w14:textId="77777777" w:rsidR="00855B06" w:rsidRPr="00E87E42" w:rsidRDefault="00855B06" w:rsidP="00332F42">
            <w:pPr>
              <w:spacing w:after="0" w:line="240" w:lineRule="auto"/>
              <w:jc w:val="left"/>
              <w:rPr>
                <w:rFonts w:eastAsia="Times New Roman"/>
                <w:sz w:val="16"/>
                <w:szCs w:val="16"/>
                <w:lang w:eastAsia="en-GB"/>
              </w:rPr>
            </w:pPr>
          </w:p>
        </w:tc>
        <w:tc>
          <w:tcPr>
            <w:tcW w:w="4945" w:type="pct"/>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BCA514" w14:textId="513C02EE" w:rsidR="00855B06" w:rsidRPr="00E87E42" w:rsidRDefault="00855B06" w:rsidP="00332F42">
            <w:pPr>
              <w:spacing w:after="0" w:line="240" w:lineRule="auto"/>
              <w:jc w:val="center"/>
              <w:rPr>
                <w:rFonts w:eastAsia="Times New Roman"/>
                <w:b/>
                <w:bCs/>
                <w:color w:val="000000"/>
                <w:sz w:val="16"/>
                <w:szCs w:val="16"/>
                <w:u w:val="single"/>
                <w:lang w:eastAsia="en-GB"/>
              </w:rPr>
            </w:pPr>
            <w:r w:rsidRPr="00E87E42">
              <w:rPr>
                <w:rFonts w:eastAsia="Times New Roman"/>
                <w:b/>
                <w:bCs/>
                <w:color w:val="000000"/>
                <w:sz w:val="16"/>
                <w:szCs w:val="16"/>
                <w:u w:val="single"/>
                <w:lang w:eastAsia="en-GB"/>
              </w:rPr>
              <w:t xml:space="preserve">Sprinklers - Area damage </w:t>
            </w:r>
            <w:r w:rsidR="001B682D" w:rsidRPr="00E87E42">
              <w:rPr>
                <w:rFonts w:eastAsia="Times New Roman"/>
                <w:b/>
                <w:color w:val="000000"/>
                <w:sz w:val="16"/>
                <w:szCs w:val="16"/>
                <w:u w:val="single"/>
                <w:lang w:eastAsia="en-GB"/>
              </w:rPr>
              <w:t>m</w:t>
            </w:r>
            <w:r w:rsidR="001B682D" w:rsidRPr="00E87E42">
              <w:rPr>
                <w:rFonts w:eastAsia="Times New Roman"/>
                <w:b/>
                <w:color w:val="000000"/>
                <w:sz w:val="16"/>
                <w:szCs w:val="16"/>
                <w:u w:val="single"/>
                <w:vertAlign w:val="superscript"/>
                <w:lang w:eastAsia="en-GB"/>
              </w:rPr>
              <w:t>2</w:t>
            </w:r>
          </w:p>
        </w:tc>
      </w:tr>
      <w:tr w:rsidR="00855B06" w:rsidRPr="00E87E42" w14:paraId="6E78C7F9" w14:textId="77777777" w:rsidTr="00E801B3">
        <w:trPr>
          <w:trHeight w:val="227"/>
        </w:trPr>
        <w:tc>
          <w:tcPr>
            <w:tcW w:w="55" w:type="pct"/>
            <w:tcBorders>
              <w:top w:val="nil"/>
              <w:left w:val="nil"/>
              <w:bottom w:val="nil"/>
              <w:right w:val="nil"/>
            </w:tcBorders>
            <w:shd w:val="clear" w:color="auto" w:fill="auto"/>
            <w:noWrap/>
            <w:vAlign w:val="bottom"/>
            <w:hideMark/>
          </w:tcPr>
          <w:p w14:paraId="7EA233ED" w14:textId="77777777" w:rsidR="00855B06" w:rsidRPr="00E87E42" w:rsidRDefault="00855B06" w:rsidP="00332F42">
            <w:pPr>
              <w:spacing w:after="0" w:line="240" w:lineRule="auto"/>
              <w:jc w:val="center"/>
              <w:rPr>
                <w:rFonts w:eastAsia="Times New Roman"/>
                <w:b/>
                <w:bCs/>
                <w:color w:val="000000"/>
                <w:sz w:val="16"/>
                <w:szCs w:val="16"/>
                <w:u w:val="single"/>
                <w:lang w:eastAsia="en-GB"/>
              </w:rPr>
            </w:pPr>
          </w:p>
        </w:tc>
        <w:tc>
          <w:tcPr>
            <w:tcW w:w="115" w:type="pct"/>
            <w:vMerge w:val="restart"/>
            <w:tcBorders>
              <w:top w:val="nil"/>
              <w:left w:val="single" w:sz="4" w:space="0" w:color="auto"/>
              <w:bottom w:val="nil"/>
              <w:right w:val="single" w:sz="4" w:space="0" w:color="auto"/>
            </w:tcBorders>
            <w:shd w:val="clear" w:color="auto" w:fill="auto"/>
            <w:noWrap/>
            <w:vAlign w:val="center"/>
            <w:hideMark/>
          </w:tcPr>
          <w:p w14:paraId="2FAF1079" w14:textId="218CD842"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w:t>
            </w:r>
          </w:p>
        </w:tc>
        <w:tc>
          <w:tcPr>
            <w:tcW w:w="882"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6A17B1B8" w14:textId="48CD5B2C" w:rsidR="00855B06" w:rsidRPr="00E87E42" w:rsidRDefault="00855B06" w:rsidP="00332F42">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Minor</w:t>
            </w:r>
          </w:p>
        </w:tc>
        <w:tc>
          <w:tcPr>
            <w:tcW w:w="912"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2A09CFCA" w14:textId="00455B1E" w:rsidR="00855B06" w:rsidRPr="00E87E42" w:rsidRDefault="00855B06" w:rsidP="00332F42">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Significantly</w:t>
            </w:r>
          </w:p>
        </w:tc>
        <w:tc>
          <w:tcPr>
            <w:tcW w:w="852"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55753A18" w14:textId="4F8BF8FA" w:rsidR="00855B06" w:rsidRPr="00E87E42" w:rsidRDefault="00855B06" w:rsidP="00332F42">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Heavy</w:t>
            </w:r>
          </w:p>
        </w:tc>
        <w:tc>
          <w:tcPr>
            <w:tcW w:w="912"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0D429006" w14:textId="4705F02C" w:rsidR="00855B06" w:rsidRPr="00E87E42" w:rsidRDefault="00855B06" w:rsidP="00332F42">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Extreme</w:t>
            </w:r>
          </w:p>
        </w:tc>
        <w:tc>
          <w:tcPr>
            <w:tcW w:w="375" w:type="pct"/>
            <w:vMerge w:val="restart"/>
            <w:tcBorders>
              <w:top w:val="nil"/>
              <w:left w:val="single" w:sz="4" w:space="0" w:color="auto"/>
              <w:bottom w:val="nil"/>
              <w:right w:val="single" w:sz="4" w:space="0" w:color="auto"/>
            </w:tcBorders>
            <w:shd w:val="clear" w:color="auto" w:fill="auto"/>
            <w:noWrap/>
            <w:vAlign w:val="center"/>
            <w:hideMark/>
          </w:tcPr>
          <w:p w14:paraId="0C60A2F9" w14:textId="77777777" w:rsidR="003D2709" w:rsidRPr="00E87E42" w:rsidRDefault="00855B06" w:rsidP="00332F4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 xml:space="preserve">Weighted area </w:t>
            </w:r>
          </w:p>
          <w:p w14:paraId="075DCA0A" w14:textId="5F06365E" w:rsidR="00855B06" w:rsidRPr="00E87E42" w:rsidRDefault="00855B06" w:rsidP="00332F4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damage</w:t>
            </w:r>
          </w:p>
          <w:p w14:paraId="4D9BFFD5" w14:textId="341C8ED1"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449"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74B27D6B" w14:textId="77248D0A"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48"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82796A" w14:textId="33C9B76F" w:rsidR="00855B06" w:rsidRPr="00E87E42" w:rsidRDefault="00991A65"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r w:rsidR="00855B06" w:rsidRPr="00E87E42">
              <w:rPr>
                <w:rFonts w:eastAsia="Times New Roman"/>
                <w:color w:val="000000"/>
                <w:sz w:val="16"/>
                <w:szCs w:val="16"/>
                <w:lang w:eastAsia="en-GB"/>
              </w:rPr>
              <w:t>U</w:t>
            </w:r>
          </w:p>
        </w:tc>
      </w:tr>
      <w:tr w:rsidR="003F668C" w:rsidRPr="00E87E42" w14:paraId="4241F246" w14:textId="77777777" w:rsidTr="00E801B3">
        <w:trPr>
          <w:trHeight w:val="227"/>
        </w:trPr>
        <w:tc>
          <w:tcPr>
            <w:tcW w:w="55" w:type="pct"/>
            <w:tcBorders>
              <w:top w:val="nil"/>
              <w:left w:val="nil"/>
              <w:bottom w:val="nil"/>
              <w:right w:val="nil"/>
            </w:tcBorders>
            <w:shd w:val="clear" w:color="auto" w:fill="auto"/>
            <w:noWrap/>
            <w:vAlign w:val="bottom"/>
            <w:hideMark/>
          </w:tcPr>
          <w:p w14:paraId="2A9C8E06" w14:textId="77777777" w:rsidR="00855B06" w:rsidRPr="00E87E42" w:rsidRDefault="00855B06" w:rsidP="00332F42">
            <w:pPr>
              <w:spacing w:after="0" w:line="240" w:lineRule="auto"/>
              <w:jc w:val="center"/>
              <w:rPr>
                <w:rFonts w:eastAsia="Times New Roman"/>
                <w:color w:val="000000"/>
                <w:sz w:val="16"/>
                <w:szCs w:val="16"/>
                <w:lang w:eastAsia="en-GB"/>
              </w:rPr>
            </w:pPr>
          </w:p>
        </w:tc>
        <w:tc>
          <w:tcPr>
            <w:tcW w:w="115" w:type="pct"/>
            <w:vMerge/>
            <w:tcBorders>
              <w:top w:val="nil"/>
              <w:left w:val="single" w:sz="4" w:space="0" w:color="auto"/>
              <w:bottom w:val="nil"/>
              <w:right w:val="single" w:sz="4" w:space="0" w:color="auto"/>
            </w:tcBorders>
            <w:vAlign w:val="center"/>
            <w:hideMark/>
          </w:tcPr>
          <w:p w14:paraId="53014BAE" w14:textId="77777777" w:rsidR="00855B06" w:rsidRPr="00E87E42" w:rsidRDefault="00855B06" w:rsidP="00332F42">
            <w:pPr>
              <w:spacing w:after="0" w:line="240" w:lineRule="auto"/>
              <w:jc w:val="left"/>
              <w:rPr>
                <w:rFonts w:eastAsia="Times New Roman"/>
                <w:color w:val="000000"/>
                <w:sz w:val="16"/>
                <w:szCs w:val="16"/>
                <w:lang w:eastAsia="en-GB"/>
              </w:rPr>
            </w:pPr>
          </w:p>
        </w:tc>
        <w:tc>
          <w:tcPr>
            <w:tcW w:w="85" w:type="pct"/>
            <w:vMerge w:val="restart"/>
            <w:tcBorders>
              <w:top w:val="nil"/>
              <w:left w:val="single" w:sz="4" w:space="0" w:color="auto"/>
              <w:bottom w:val="nil"/>
              <w:right w:val="nil"/>
            </w:tcBorders>
            <w:shd w:val="clear" w:color="auto" w:fill="auto"/>
            <w:noWrap/>
            <w:vAlign w:val="center"/>
            <w:hideMark/>
          </w:tcPr>
          <w:p w14:paraId="73C12155" w14:textId="60814B01"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1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28B2E3" w14:textId="0E14C405"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89" w:type="pct"/>
            <w:vMerge w:val="restart"/>
            <w:tcBorders>
              <w:top w:val="nil"/>
              <w:left w:val="single" w:sz="4" w:space="0" w:color="auto"/>
              <w:bottom w:val="nil"/>
              <w:right w:val="single" w:sz="4" w:space="0" w:color="auto"/>
            </w:tcBorders>
            <w:shd w:val="clear" w:color="auto" w:fill="auto"/>
            <w:noWrap/>
            <w:vAlign w:val="center"/>
            <w:hideMark/>
          </w:tcPr>
          <w:p w14:paraId="0DACD2CF" w14:textId="77777777"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5B6395CA" w14:textId="3A2005BF"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89" w:type="pct"/>
            <w:vMerge w:val="restart"/>
            <w:tcBorders>
              <w:top w:val="nil"/>
              <w:left w:val="single" w:sz="4" w:space="0" w:color="auto"/>
              <w:bottom w:val="nil"/>
              <w:right w:val="single" w:sz="4" w:space="0" w:color="auto"/>
            </w:tcBorders>
            <w:shd w:val="clear" w:color="auto" w:fill="auto"/>
            <w:noWrap/>
            <w:vAlign w:val="center"/>
            <w:hideMark/>
          </w:tcPr>
          <w:p w14:paraId="244A553A" w14:textId="77777777"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167652BB" w14:textId="52B44971"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85" w:type="pct"/>
            <w:vMerge w:val="restart"/>
            <w:tcBorders>
              <w:top w:val="nil"/>
              <w:left w:val="single" w:sz="4" w:space="0" w:color="auto"/>
              <w:bottom w:val="nil"/>
              <w:right w:val="single" w:sz="4" w:space="0" w:color="auto"/>
            </w:tcBorders>
            <w:shd w:val="clear" w:color="auto" w:fill="auto"/>
            <w:noWrap/>
            <w:vAlign w:val="center"/>
            <w:hideMark/>
          </w:tcPr>
          <w:p w14:paraId="54509C6F" w14:textId="6279061C"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38E399F" w14:textId="1DA8292F"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219" w:type="pct"/>
            <w:vMerge w:val="restart"/>
            <w:tcBorders>
              <w:top w:val="nil"/>
              <w:left w:val="single" w:sz="4" w:space="0" w:color="auto"/>
              <w:bottom w:val="nil"/>
              <w:right w:val="single" w:sz="4" w:space="0" w:color="auto"/>
            </w:tcBorders>
            <w:shd w:val="clear" w:color="auto" w:fill="auto"/>
            <w:noWrap/>
            <w:vAlign w:val="center"/>
            <w:hideMark/>
          </w:tcPr>
          <w:p w14:paraId="69E29AF2" w14:textId="77777777"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724566CB" w14:textId="355F35E4"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89" w:type="pct"/>
            <w:vMerge w:val="restart"/>
            <w:tcBorders>
              <w:top w:val="nil"/>
              <w:left w:val="single" w:sz="4" w:space="0" w:color="auto"/>
              <w:bottom w:val="nil"/>
              <w:right w:val="single" w:sz="4" w:space="0" w:color="auto"/>
            </w:tcBorders>
            <w:shd w:val="clear" w:color="auto" w:fill="auto"/>
            <w:noWrap/>
            <w:vAlign w:val="center"/>
            <w:hideMark/>
          </w:tcPr>
          <w:p w14:paraId="3418F2C2" w14:textId="77777777"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6B85785F" w14:textId="3C25C994"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85" w:type="pct"/>
            <w:vMerge w:val="restart"/>
            <w:tcBorders>
              <w:top w:val="nil"/>
              <w:left w:val="single" w:sz="4" w:space="0" w:color="auto"/>
              <w:bottom w:val="nil"/>
              <w:right w:val="single" w:sz="4" w:space="0" w:color="auto"/>
            </w:tcBorders>
            <w:shd w:val="clear" w:color="auto" w:fill="auto"/>
            <w:noWrap/>
            <w:vAlign w:val="center"/>
            <w:hideMark/>
          </w:tcPr>
          <w:p w14:paraId="7A67D3D0" w14:textId="3F704E0F"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7C35C3C7" w14:textId="1843D91A"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89" w:type="pct"/>
            <w:vMerge w:val="restart"/>
            <w:tcBorders>
              <w:top w:val="nil"/>
              <w:left w:val="single" w:sz="4" w:space="0" w:color="auto"/>
              <w:bottom w:val="nil"/>
              <w:right w:val="single" w:sz="4" w:space="0" w:color="auto"/>
            </w:tcBorders>
            <w:shd w:val="clear" w:color="auto" w:fill="auto"/>
            <w:noWrap/>
            <w:vAlign w:val="center"/>
            <w:hideMark/>
          </w:tcPr>
          <w:p w14:paraId="71F42BE5" w14:textId="77777777"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35A494D1" w14:textId="3F44EC33"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59" w:type="pct"/>
            <w:vMerge w:val="restart"/>
            <w:tcBorders>
              <w:top w:val="nil"/>
              <w:left w:val="single" w:sz="4" w:space="0" w:color="auto"/>
              <w:bottom w:val="nil"/>
              <w:right w:val="single" w:sz="4" w:space="0" w:color="auto"/>
            </w:tcBorders>
            <w:shd w:val="clear" w:color="auto" w:fill="auto"/>
            <w:noWrap/>
            <w:vAlign w:val="center"/>
            <w:hideMark/>
          </w:tcPr>
          <w:p w14:paraId="1D66932C" w14:textId="77777777"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05EDE295" w14:textId="0328B41D"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85" w:type="pct"/>
            <w:vMerge w:val="restart"/>
            <w:tcBorders>
              <w:top w:val="nil"/>
              <w:left w:val="single" w:sz="4" w:space="0" w:color="auto"/>
              <w:bottom w:val="nil"/>
              <w:right w:val="single" w:sz="4" w:space="0" w:color="auto"/>
            </w:tcBorders>
            <w:shd w:val="clear" w:color="auto" w:fill="auto"/>
            <w:noWrap/>
            <w:vAlign w:val="center"/>
            <w:hideMark/>
          </w:tcPr>
          <w:p w14:paraId="121A1AA4" w14:textId="4AA0E31E"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19" w:type="pct"/>
            <w:gridSpan w:val="2"/>
            <w:tcBorders>
              <w:top w:val="single" w:sz="4" w:space="0" w:color="auto"/>
              <w:left w:val="nil"/>
              <w:bottom w:val="nil"/>
              <w:right w:val="single" w:sz="4" w:space="0" w:color="000000"/>
            </w:tcBorders>
            <w:shd w:val="clear" w:color="auto" w:fill="auto"/>
            <w:noWrap/>
            <w:vAlign w:val="bottom"/>
            <w:hideMark/>
          </w:tcPr>
          <w:p w14:paraId="0E7CB503" w14:textId="43607573"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219" w:type="pct"/>
            <w:vMerge w:val="restart"/>
            <w:tcBorders>
              <w:top w:val="nil"/>
              <w:left w:val="single" w:sz="4" w:space="0" w:color="auto"/>
              <w:bottom w:val="nil"/>
              <w:right w:val="single" w:sz="4" w:space="0" w:color="auto"/>
            </w:tcBorders>
            <w:shd w:val="clear" w:color="auto" w:fill="auto"/>
            <w:noWrap/>
            <w:vAlign w:val="center"/>
            <w:hideMark/>
          </w:tcPr>
          <w:p w14:paraId="5367076A" w14:textId="77777777"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6138E6BD" w14:textId="32945DAD"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89" w:type="pct"/>
            <w:vMerge w:val="restart"/>
            <w:tcBorders>
              <w:top w:val="nil"/>
              <w:left w:val="single" w:sz="4" w:space="0" w:color="auto"/>
              <w:bottom w:val="nil"/>
              <w:right w:val="single" w:sz="4" w:space="0" w:color="auto"/>
            </w:tcBorders>
            <w:shd w:val="clear" w:color="auto" w:fill="auto"/>
            <w:noWrap/>
            <w:vAlign w:val="center"/>
            <w:hideMark/>
          </w:tcPr>
          <w:p w14:paraId="5B4B8A2B" w14:textId="77777777"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5EF8D8C5" w14:textId="7C0084C3" w:rsidR="00855B06" w:rsidRPr="00E87E42" w:rsidRDefault="00855B06" w:rsidP="00332F4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375" w:type="pct"/>
            <w:vMerge/>
            <w:tcBorders>
              <w:top w:val="nil"/>
              <w:left w:val="single" w:sz="4" w:space="0" w:color="auto"/>
              <w:bottom w:val="nil"/>
              <w:right w:val="single" w:sz="4" w:space="0" w:color="auto"/>
            </w:tcBorders>
            <w:vAlign w:val="center"/>
            <w:hideMark/>
          </w:tcPr>
          <w:p w14:paraId="0BA0DDED" w14:textId="77777777" w:rsidR="00855B06" w:rsidRPr="00E87E42" w:rsidRDefault="00855B06" w:rsidP="00332F42">
            <w:pPr>
              <w:spacing w:after="0" w:line="240" w:lineRule="auto"/>
              <w:jc w:val="left"/>
              <w:rPr>
                <w:rFonts w:eastAsia="Times New Roman"/>
                <w:color w:val="000000"/>
                <w:sz w:val="16"/>
                <w:szCs w:val="16"/>
                <w:lang w:eastAsia="en-GB"/>
              </w:rPr>
            </w:pPr>
          </w:p>
        </w:tc>
        <w:tc>
          <w:tcPr>
            <w:tcW w:w="449" w:type="pct"/>
            <w:gridSpan w:val="2"/>
            <w:vMerge/>
            <w:tcBorders>
              <w:top w:val="single" w:sz="4" w:space="0" w:color="auto"/>
              <w:left w:val="single" w:sz="4" w:space="0" w:color="auto"/>
              <w:bottom w:val="single" w:sz="4" w:space="0" w:color="000000"/>
              <w:right w:val="nil"/>
            </w:tcBorders>
            <w:vAlign w:val="center"/>
            <w:hideMark/>
          </w:tcPr>
          <w:p w14:paraId="356E9734" w14:textId="77777777" w:rsidR="00855B06" w:rsidRPr="00E87E42" w:rsidRDefault="00855B06" w:rsidP="00332F42">
            <w:pPr>
              <w:spacing w:after="0" w:line="240" w:lineRule="auto"/>
              <w:jc w:val="left"/>
              <w:rPr>
                <w:rFonts w:eastAsia="Times New Roman"/>
                <w:color w:val="000000"/>
                <w:sz w:val="16"/>
                <w:szCs w:val="16"/>
                <w:lang w:eastAsia="en-GB"/>
              </w:rPr>
            </w:pPr>
          </w:p>
        </w:tc>
        <w:tc>
          <w:tcPr>
            <w:tcW w:w="448" w:type="pct"/>
            <w:gridSpan w:val="2"/>
            <w:vMerge/>
            <w:tcBorders>
              <w:top w:val="single" w:sz="4" w:space="0" w:color="auto"/>
              <w:left w:val="single" w:sz="4" w:space="0" w:color="auto"/>
              <w:bottom w:val="single" w:sz="4" w:space="0" w:color="000000"/>
              <w:right w:val="single" w:sz="4" w:space="0" w:color="000000"/>
            </w:tcBorders>
            <w:vAlign w:val="center"/>
            <w:hideMark/>
          </w:tcPr>
          <w:p w14:paraId="6EAB7204" w14:textId="77777777" w:rsidR="00855B06" w:rsidRPr="00E87E42" w:rsidRDefault="00855B06" w:rsidP="00332F42">
            <w:pPr>
              <w:spacing w:after="0" w:line="240" w:lineRule="auto"/>
              <w:jc w:val="left"/>
              <w:rPr>
                <w:rFonts w:eastAsia="Times New Roman"/>
                <w:color w:val="000000"/>
                <w:sz w:val="16"/>
                <w:szCs w:val="16"/>
                <w:lang w:eastAsia="en-GB"/>
              </w:rPr>
            </w:pPr>
          </w:p>
        </w:tc>
      </w:tr>
      <w:tr w:rsidR="00AD472B" w:rsidRPr="00E87E42" w14:paraId="5AB6EB43" w14:textId="77777777" w:rsidTr="00A446AC">
        <w:trPr>
          <w:trHeight w:val="227"/>
        </w:trPr>
        <w:tc>
          <w:tcPr>
            <w:tcW w:w="55" w:type="pct"/>
            <w:tcBorders>
              <w:top w:val="nil"/>
              <w:left w:val="nil"/>
              <w:bottom w:val="single" w:sz="4" w:space="0" w:color="auto"/>
              <w:right w:val="nil"/>
            </w:tcBorders>
            <w:shd w:val="clear" w:color="auto" w:fill="auto"/>
            <w:noWrap/>
            <w:vAlign w:val="bottom"/>
            <w:hideMark/>
          </w:tcPr>
          <w:p w14:paraId="76F833C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w:t>
            </w:r>
          </w:p>
        </w:tc>
        <w:tc>
          <w:tcPr>
            <w:tcW w:w="115" w:type="pct"/>
            <w:vMerge/>
            <w:tcBorders>
              <w:top w:val="nil"/>
              <w:left w:val="single" w:sz="4" w:space="0" w:color="auto"/>
              <w:bottom w:val="nil"/>
              <w:right w:val="single" w:sz="4" w:space="0" w:color="auto"/>
            </w:tcBorders>
            <w:vAlign w:val="center"/>
            <w:hideMark/>
          </w:tcPr>
          <w:p w14:paraId="2AE75D05"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85" w:type="pct"/>
            <w:vMerge/>
            <w:tcBorders>
              <w:top w:val="nil"/>
              <w:left w:val="single" w:sz="4" w:space="0" w:color="auto"/>
              <w:bottom w:val="nil"/>
              <w:right w:val="nil"/>
            </w:tcBorders>
            <w:vAlign w:val="center"/>
            <w:hideMark/>
          </w:tcPr>
          <w:p w14:paraId="08E848E2"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09" w:type="pct"/>
            <w:tcBorders>
              <w:top w:val="nil"/>
              <w:left w:val="single" w:sz="4" w:space="0" w:color="auto"/>
              <w:bottom w:val="nil"/>
              <w:right w:val="single" w:sz="4" w:space="0" w:color="auto"/>
            </w:tcBorders>
            <w:shd w:val="clear" w:color="auto" w:fill="auto"/>
            <w:noWrap/>
            <w:vAlign w:val="bottom"/>
            <w:hideMark/>
          </w:tcPr>
          <w:p w14:paraId="5240C531" w14:textId="06495156"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0" w:type="pct"/>
            <w:tcBorders>
              <w:top w:val="nil"/>
              <w:left w:val="nil"/>
              <w:bottom w:val="nil"/>
              <w:right w:val="single" w:sz="4" w:space="0" w:color="auto"/>
            </w:tcBorders>
            <w:shd w:val="clear" w:color="auto" w:fill="auto"/>
            <w:noWrap/>
            <w:vAlign w:val="bottom"/>
            <w:hideMark/>
          </w:tcPr>
          <w:p w14:paraId="19D9C065" w14:textId="45C20F2F"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89" w:type="pct"/>
            <w:vMerge/>
            <w:tcBorders>
              <w:top w:val="nil"/>
              <w:left w:val="single" w:sz="4" w:space="0" w:color="auto"/>
              <w:bottom w:val="nil"/>
              <w:right w:val="single" w:sz="4" w:space="0" w:color="auto"/>
            </w:tcBorders>
            <w:vAlign w:val="center"/>
            <w:hideMark/>
          </w:tcPr>
          <w:p w14:paraId="51B6A321"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89" w:type="pct"/>
            <w:vMerge/>
            <w:tcBorders>
              <w:top w:val="nil"/>
              <w:left w:val="single" w:sz="4" w:space="0" w:color="auto"/>
              <w:bottom w:val="nil"/>
              <w:right w:val="single" w:sz="4" w:space="0" w:color="auto"/>
            </w:tcBorders>
            <w:vAlign w:val="center"/>
            <w:hideMark/>
          </w:tcPr>
          <w:p w14:paraId="669D0AEB"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85" w:type="pct"/>
            <w:vMerge/>
            <w:tcBorders>
              <w:top w:val="nil"/>
              <w:left w:val="single" w:sz="4" w:space="0" w:color="auto"/>
              <w:bottom w:val="nil"/>
              <w:right w:val="single" w:sz="4" w:space="0" w:color="auto"/>
            </w:tcBorders>
            <w:vAlign w:val="center"/>
            <w:hideMark/>
          </w:tcPr>
          <w:p w14:paraId="31B8C2B9"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09" w:type="pct"/>
            <w:tcBorders>
              <w:top w:val="nil"/>
              <w:left w:val="nil"/>
              <w:bottom w:val="nil"/>
              <w:right w:val="single" w:sz="4" w:space="0" w:color="auto"/>
            </w:tcBorders>
            <w:shd w:val="clear" w:color="auto" w:fill="auto"/>
            <w:noWrap/>
            <w:vAlign w:val="bottom"/>
            <w:hideMark/>
          </w:tcPr>
          <w:p w14:paraId="1812F585" w14:textId="40CD47BB"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0" w:type="pct"/>
            <w:tcBorders>
              <w:top w:val="nil"/>
              <w:left w:val="nil"/>
              <w:bottom w:val="nil"/>
              <w:right w:val="single" w:sz="4" w:space="0" w:color="auto"/>
            </w:tcBorders>
            <w:shd w:val="clear" w:color="auto" w:fill="auto"/>
            <w:noWrap/>
            <w:vAlign w:val="bottom"/>
            <w:hideMark/>
          </w:tcPr>
          <w:p w14:paraId="2A61BFA4" w14:textId="1E45999E"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219" w:type="pct"/>
            <w:vMerge/>
            <w:tcBorders>
              <w:top w:val="nil"/>
              <w:left w:val="single" w:sz="4" w:space="0" w:color="auto"/>
              <w:bottom w:val="nil"/>
              <w:right w:val="single" w:sz="4" w:space="0" w:color="auto"/>
            </w:tcBorders>
            <w:vAlign w:val="center"/>
            <w:hideMark/>
          </w:tcPr>
          <w:p w14:paraId="0301C5A2"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89" w:type="pct"/>
            <w:vMerge/>
            <w:tcBorders>
              <w:top w:val="nil"/>
              <w:left w:val="single" w:sz="4" w:space="0" w:color="auto"/>
              <w:bottom w:val="nil"/>
              <w:right w:val="single" w:sz="4" w:space="0" w:color="auto"/>
            </w:tcBorders>
            <w:vAlign w:val="center"/>
            <w:hideMark/>
          </w:tcPr>
          <w:p w14:paraId="76077D2A"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85" w:type="pct"/>
            <w:vMerge/>
            <w:tcBorders>
              <w:top w:val="nil"/>
              <w:left w:val="single" w:sz="4" w:space="0" w:color="auto"/>
              <w:bottom w:val="nil"/>
              <w:right w:val="single" w:sz="4" w:space="0" w:color="auto"/>
            </w:tcBorders>
            <w:vAlign w:val="center"/>
            <w:hideMark/>
          </w:tcPr>
          <w:p w14:paraId="18599FA3"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09" w:type="pct"/>
            <w:tcBorders>
              <w:top w:val="nil"/>
              <w:left w:val="nil"/>
              <w:bottom w:val="nil"/>
              <w:right w:val="single" w:sz="4" w:space="0" w:color="auto"/>
            </w:tcBorders>
            <w:shd w:val="clear" w:color="auto" w:fill="auto"/>
            <w:noWrap/>
            <w:vAlign w:val="bottom"/>
            <w:hideMark/>
          </w:tcPr>
          <w:p w14:paraId="414DDF7F" w14:textId="6F22FD3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0" w:type="pct"/>
            <w:tcBorders>
              <w:top w:val="nil"/>
              <w:left w:val="nil"/>
              <w:bottom w:val="nil"/>
              <w:right w:val="single" w:sz="4" w:space="0" w:color="auto"/>
            </w:tcBorders>
            <w:shd w:val="clear" w:color="auto" w:fill="auto"/>
            <w:noWrap/>
            <w:vAlign w:val="bottom"/>
            <w:hideMark/>
          </w:tcPr>
          <w:p w14:paraId="6383D637" w14:textId="2C591760"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89" w:type="pct"/>
            <w:vMerge/>
            <w:tcBorders>
              <w:top w:val="nil"/>
              <w:left w:val="single" w:sz="4" w:space="0" w:color="auto"/>
              <w:bottom w:val="nil"/>
              <w:right w:val="single" w:sz="4" w:space="0" w:color="auto"/>
            </w:tcBorders>
            <w:vAlign w:val="center"/>
            <w:hideMark/>
          </w:tcPr>
          <w:p w14:paraId="53BDD5F8"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59" w:type="pct"/>
            <w:vMerge/>
            <w:tcBorders>
              <w:top w:val="nil"/>
              <w:left w:val="single" w:sz="4" w:space="0" w:color="auto"/>
              <w:bottom w:val="nil"/>
              <w:right w:val="single" w:sz="4" w:space="0" w:color="auto"/>
            </w:tcBorders>
            <w:vAlign w:val="center"/>
            <w:hideMark/>
          </w:tcPr>
          <w:p w14:paraId="34C66AB4"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85" w:type="pct"/>
            <w:vMerge/>
            <w:tcBorders>
              <w:top w:val="nil"/>
              <w:left w:val="single" w:sz="4" w:space="0" w:color="auto"/>
              <w:bottom w:val="nil"/>
              <w:right w:val="single" w:sz="4" w:space="0" w:color="auto"/>
            </w:tcBorders>
            <w:vAlign w:val="center"/>
            <w:hideMark/>
          </w:tcPr>
          <w:p w14:paraId="3AF84C8A"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09" w:type="pct"/>
            <w:tcBorders>
              <w:top w:val="single" w:sz="4" w:space="0" w:color="auto"/>
              <w:left w:val="nil"/>
              <w:bottom w:val="nil"/>
              <w:right w:val="single" w:sz="4" w:space="0" w:color="auto"/>
            </w:tcBorders>
            <w:shd w:val="clear" w:color="auto" w:fill="auto"/>
            <w:noWrap/>
            <w:vAlign w:val="bottom"/>
            <w:hideMark/>
          </w:tcPr>
          <w:p w14:paraId="629D191B" w14:textId="70E28308"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0" w:type="pct"/>
            <w:tcBorders>
              <w:top w:val="single" w:sz="4" w:space="0" w:color="auto"/>
              <w:left w:val="nil"/>
              <w:bottom w:val="nil"/>
              <w:right w:val="single" w:sz="4" w:space="0" w:color="auto"/>
            </w:tcBorders>
            <w:shd w:val="clear" w:color="auto" w:fill="auto"/>
            <w:noWrap/>
            <w:vAlign w:val="bottom"/>
            <w:hideMark/>
          </w:tcPr>
          <w:p w14:paraId="3FD90BE2" w14:textId="3CC9BCD9"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219" w:type="pct"/>
            <w:vMerge/>
            <w:tcBorders>
              <w:top w:val="nil"/>
              <w:left w:val="single" w:sz="4" w:space="0" w:color="auto"/>
              <w:bottom w:val="nil"/>
              <w:right w:val="single" w:sz="4" w:space="0" w:color="auto"/>
            </w:tcBorders>
            <w:vAlign w:val="center"/>
            <w:hideMark/>
          </w:tcPr>
          <w:p w14:paraId="04A9A63C"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89" w:type="pct"/>
            <w:vMerge/>
            <w:tcBorders>
              <w:top w:val="nil"/>
              <w:left w:val="single" w:sz="4" w:space="0" w:color="auto"/>
              <w:bottom w:val="nil"/>
              <w:right w:val="single" w:sz="4" w:space="0" w:color="auto"/>
            </w:tcBorders>
            <w:vAlign w:val="center"/>
            <w:hideMark/>
          </w:tcPr>
          <w:p w14:paraId="7B5B0A0F"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375" w:type="pct"/>
            <w:vMerge/>
            <w:tcBorders>
              <w:top w:val="nil"/>
              <w:left w:val="single" w:sz="4" w:space="0" w:color="auto"/>
              <w:bottom w:val="nil"/>
              <w:right w:val="single" w:sz="4" w:space="0" w:color="auto"/>
            </w:tcBorders>
            <w:vAlign w:val="center"/>
            <w:hideMark/>
          </w:tcPr>
          <w:p w14:paraId="6E9DDF7A"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09" w:type="pct"/>
            <w:tcBorders>
              <w:top w:val="nil"/>
              <w:left w:val="nil"/>
              <w:bottom w:val="nil"/>
              <w:right w:val="nil"/>
            </w:tcBorders>
            <w:shd w:val="clear" w:color="auto" w:fill="auto"/>
            <w:noWrap/>
            <w:vAlign w:val="bottom"/>
            <w:hideMark/>
          </w:tcPr>
          <w:p w14:paraId="3993393E" w14:textId="462818EC"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0" w:type="pct"/>
            <w:tcBorders>
              <w:top w:val="nil"/>
              <w:left w:val="single" w:sz="4" w:space="0" w:color="auto"/>
              <w:bottom w:val="nil"/>
              <w:right w:val="single" w:sz="4" w:space="0" w:color="auto"/>
            </w:tcBorders>
            <w:shd w:val="clear" w:color="auto" w:fill="auto"/>
            <w:noWrap/>
            <w:vAlign w:val="bottom"/>
            <w:hideMark/>
          </w:tcPr>
          <w:p w14:paraId="6007C4FB" w14:textId="3B290A65"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c>
          <w:tcPr>
            <w:tcW w:w="209" w:type="pct"/>
            <w:tcBorders>
              <w:top w:val="nil"/>
              <w:left w:val="nil"/>
              <w:bottom w:val="nil"/>
              <w:right w:val="nil"/>
            </w:tcBorders>
            <w:shd w:val="clear" w:color="auto" w:fill="auto"/>
            <w:noWrap/>
            <w:vAlign w:val="bottom"/>
            <w:hideMark/>
          </w:tcPr>
          <w:p w14:paraId="251CB9A3" w14:textId="4EF5D41B"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39" w:type="pct"/>
            <w:tcBorders>
              <w:top w:val="nil"/>
              <w:left w:val="single" w:sz="4" w:space="0" w:color="auto"/>
              <w:bottom w:val="nil"/>
              <w:right w:val="single" w:sz="4" w:space="0" w:color="auto"/>
            </w:tcBorders>
            <w:shd w:val="clear" w:color="auto" w:fill="auto"/>
            <w:noWrap/>
            <w:vAlign w:val="bottom"/>
            <w:hideMark/>
          </w:tcPr>
          <w:p w14:paraId="5A0A5DA2" w14:textId="1D5519E1"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r>
      <w:tr w:rsidR="00A022DF" w:rsidRPr="00E87E42" w14:paraId="51908B7C" w14:textId="77777777" w:rsidTr="00E801B3">
        <w:trPr>
          <w:trHeight w:val="227"/>
        </w:trPr>
        <w:tc>
          <w:tcPr>
            <w:tcW w:w="55" w:type="pct"/>
            <w:tcBorders>
              <w:top w:val="nil"/>
              <w:left w:val="single" w:sz="4" w:space="0" w:color="auto"/>
              <w:bottom w:val="single" w:sz="4" w:space="0" w:color="auto"/>
              <w:right w:val="nil"/>
            </w:tcBorders>
            <w:shd w:val="clear" w:color="auto" w:fill="auto"/>
            <w:noWrap/>
            <w:vAlign w:val="bottom"/>
            <w:hideMark/>
          </w:tcPr>
          <w:p w14:paraId="366C5A4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115" w:type="pct"/>
            <w:tcBorders>
              <w:top w:val="single" w:sz="4" w:space="0" w:color="auto"/>
              <w:left w:val="single" w:sz="4" w:space="0" w:color="auto"/>
              <w:bottom w:val="single" w:sz="4" w:space="0" w:color="808080"/>
              <w:right w:val="single" w:sz="4" w:space="0" w:color="auto"/>
            </w:tcBorders>
            <w:shd w:val="clear" w:color="auto" w:fill="auto"/>
            <w:noWrap/>
            <w:vAlign w:val="bottom"/>
            <w:hideMark/>
          </w:tcPr>
          <w:p w14:paraId="75CF658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146</w:t>
            </w:r>
          </w:p>
        </w:tc>
        <w:tc>
          <w:tcPr>
            <w:tcW w:w="85" w:type="pct"/>
            <w:tcBorders>
              <w:top w:val="single" w:sz="4" w:space="0" w:color="auto"/>
              <w:left w:val="nil"/>
              <w:bottom w:val="single" w:sz="4" w:space="0" w:color="808080"/>
              <w:right w:val="single" w:sz="4" w:space="0" w:color="808080"/>
            </w:tcBorders>
            <w:shd w:val="clear" w:color="auto" w:fill="auto"/>
            <w:noWrap/>
            <w:vAlign w:val="bottom"/>
            <w:hideMark/>
          </w:tcPr>
          <w:p w14:paraId="3077A85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54</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7980FA0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93.10%</w:t>
            </w:r>
          </w:p>
        </w:tc>
        <w:tc>
          <w:tcPr>
            <w:tcW w:w="210" w:type="pct"/>
            <w:tcBorders>
              <w:top w:val="single" w:sz="4" w:space="0" w:color="auto"/>
              <w:left w:val="nil"/>
              <w:bottom w:val="single" w:sz="4" w:space="0" w:color="808080"/>
              <w:right w:val="single" w:sz="4" w:space="0" w:color="808080"/>
            </w:tcBorders>
            <w:shd w:val="clear" w:color="auto" w:fill="auto"/>
            <w:noWrap/>
            <w:vAlign w:val="bottom"/>
            <w:hideMark/>
          </w:tcPr>
          <w:p w14:paraId="6404A6C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29.51%</w:t>
            </w:r>
          </w:p>
        </w:tc>
        <w:tc>
          <w:tcPr>
            <w:tcW w:w="189" w:type="pct"/>
            <w:tcBorders>
              <w:top w:val="single" w:sz="4" w:space="0" w:color="auto"/>
              <w:left w:val="nil"/>
              <w:bottom w:val="single" w:sz="4" w:space="0" w:color="808080"/>
              <w:right w:val="single" w:sz="4" w:space="0" w:color="808080"/>
            </w:tcBorders>
            <w:shd w:val="clear" w:color="auto" w:fill="auto"/>
            <w:noWrap/>
            <w:vAlign w:val="bottom"/>
            <w:hideMark/>
          </w:tcPr>
          <w:p w14:paraId="217ED7A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203.12</w:t>
            </w:r>
          </w:p>
        </w:tc>
        <w:tc>
          <w:tcPr>
            <w:tcW w:w="189" w:type="pct"/>
            <w:tcBorders>
              <w:top w:val="single" w:sz="4" w:space="0" w:color="auto"/>
              <w:left w:val="nil"/>
              <w:bottom w:val="single" w:sz="4" w:space="0" w:color="808080"/>
              <w:right w:val="nil"/>
            </w:tcBorders>
            <w:shd w:val="clear" w:color="auto" w:fill="auto"/>
            <w:noWrap/>
            <w:vAlign w:val="bottom"/>
            <w:hideMark/>
          </w:tcPr>
          <w:p w14:paraId="1A24778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203.12</w:t>
            </w:r>
          </w:p>
        </w:tc>
        <w:tc>
          <w:tcPr>
            <w:tcW w:w="85" w:type="pct"/>
            <w:tcBorders>
              <w:top w:val="single" w:sz="4" w:space="0" w:color="auto"/>
              <w:left w:val="single" w:sz="4" w:space="0" w:color="auto"/>
              <w:bottom w:val="single" w:sz="4" w:space="0" w:color="808080"/>
              <w:right w:val="single" w:sz="4" w:space="0" w:color="808080"/>
            </w:tcBorders>
            <w:shd w:val="clear" w:color="auto" w:fill="auto"/>
            <w:noWrap/>
            <w:vAlign w:val="bottom"/>
            <w:hideMark/>
          </w:tcPr>
          <w:p w14:paraId="0409C5D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05F890F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5.17%</w:t>
            </w:r>
          </w:p>
        </w:tc>
        <w:tc>
          <w:tcPr>
            <w:tcW w:w="210" w:type="pct"/>
            <w:tcBorders>
              <w:top w:val="single" w:sz="4" w:space="0" w:color="auto"/>
              <w:left w:val="nil"/>
              <w:bottom w:val="single" w:sz="4" w:space="0" w:color="808080"/>
              <w:right w:val="single" w:sz="4" w:space="0" w:color="808080"/>
            </w:tcBorders>
            <w:shd w:val="clear" w:color="auto" w:fill="auto"/>
            <w:noWrap/>
            <w:vAlign w:val="bottom"/>
            <w:hideMark/>
          </w:tcPr>
          <w:p w14:paraId="2BDF34B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20.00%</w:t>
            </w:r>
          </w:p>
        </w:tc>
        <w:tc>
          <w:tcPr>
            <w:tcW w:w="219" w:type="pct"/>
            <w:tcBorders>
              <w:top w:val="single" w:sz="4" w:space="0" w:color="auto"/>
              <w:left w:val="nil"/>
              <w:bottom w:val="single" w:sz="4" w:space="0" w:color="808080"/>
              <w:right w:val="single" w:sz="4" w:space="0" w:color="808080"/>
            </w:tcBorders>
            <w:shd w:val="clear" w:color="auto" w:fill="auto"/>
            <w:noWrap/>
            <w:vAlign w:val="bottom"/>
            <w:hideMark/>
          </w:tcPr>
          <w:p w14:paraId="2CF6458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120.31</w:t>
            </w:r>
          </w:p>
        </w:tc>
        <w:tc>
          <w:tcPr>
            <w:tcW w:w="189" w:type="pct"/>
            <w:tcBorders>
              <w:top w:val="single" w:sz="4" w:space="0" w:color="auto"/>
              <w:left w:val="nil"/>
              <w:bottom w:val="single" w:sz="4" w:space="0" w:color="808080"/>
              <w:right w:val="single" w:sz="4" w:space="0" w:color="auto"/>
            </w:tcBorders>
            <w:shd w:val="clear" w:color="auto" w:fill="auto"/>
            <w:noWrap/>
            <w:vAlign w:val="bottom"/>
            <w:hideMark/>
          </w:tcPr>
          <w:p w14:paraId="7ED5CE8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39.02</w:t>
            </w:r>
          </w:p>
        </w:tc>
        <w:tc>
          <w:tcPr>
            <w:tcW w:w="85" w:type="pct"/>
            <w:tcBorders>
              <w:top w:val="single" w:sz="4" w:space="0" w:color="auto"/>
              <w:left w:val="nil"/>
              <w:bottom w:val="single" w:sz="4" w:space="0" w:color="808080"/>
              <w:right w:val="single" w:sz="4" w:space="0" w:color="808080"/>
            </w:tcBorders>
            <w:shd w:val="clear" w:color="auto" w:fill="auto"/>
            <w:noWrap/>
            <w:vAlign w:val="bottom"/>
            <w:hideMark/>
          </w:tcPr>
          <w:p w14:paraId="6B60779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6ED7D8C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1.72%</w:t>
            </w:r>
          </w:p>
        </w:tc>
        <w:tc>
          <w:tcPr>
            <w:tcW w:w="210" w:type="pct"/>
            <w:tcBorders>
              <w:top w:val="single" w:sz="4" w:space="0" w:color="auto"/>
              <w:left w:val="nil"/>
              <w:bottom w:val="single" w:sz="4" w:space="0" w:color="808080"/>
              <w:right w:val="single" w:sz="4" w:space="0" w:color="808080"/>
            </w:tcBorders>
            <w:shd w:val="clear" w:color="auto" w:fill="auto"/>
            <w:noWrap/>
            <w:vAlign w:val="bottom"/>
            <w:hideMark/>
          </w:tcPr>
          <w:p w14:paraId="69A53CA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25.00%</w:t>
            </w:r>
          </w:p>
        </w:tc>
        <w:tc>
          <w:tcPr>
            <w:tcW w:w="189" w:type="pct"/>
            <w:tcBorders>
              <w:top w:val="single" w:sz="4" w:space="0" w:color="auto"/>
              <w:left w:val="nil"/>
              <w:bottom w:val="single" w:sz="4" w:space="0" w:color="808080"/>
              <w:right w:val="single" w:sz="4" w:space="0" w:color="808080"/>
            </w:tcBorders>
            <w:shd w:val="clear" w:color="auto" w:fill="auto"/>
            <w:noWrap/>
            <w:vAlign w:val="bottom"/>
            <w:hideMark/>
          </w:tcPr>
          <w:p w14:paraId="031519E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248.68</w:t>
            </w:r>
          </w:p>
        </w:tc>
        <w:tc>
          <w:tcPr>
            <w:tcW w:w="159" w:type="pct"/>
            <w:tcBorders>
              <w:top w:val="single" w:sz="4" w:space="0" w:color="auto"/>
              <w:left w:val="nil"/>
              <w:bottom w:val="single" w:sz="4" w:space="0" w:color="808080"/>
              <w:right w:val="nil"/>
            </w:tcBorders>
            <w:shd w:val="clear" w:color="auto" w:fill="auto"/>
            <w:noWrap/>
            <w:vAlign w:val="bottom"/>
            <w:hideMark/>
          </w:tcPr>
          <w:p w14:paraId="5B8F8C1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48.13</w:t>
            </w:r>
          </w:p>
        </w:tc>
        <w:tc>
          <w:tcPr>
            <w:tcW w:w="85" w:type="pct"/>
            <w:tcBorders>
              <w:top w:val="single" w:sz="4" w:space="0" w:color="auto"/>
              <w:left w:val="single" w:sz="4" w:space="0" w:color="auto"/>
              <w:bottom w:val="single" w:sz="4" w:space="0" w:color="808080"/>
              <w:right w:val="single" w:sz="4" w:space="0" w:color="808080"/>
            </w:tcBorders>
            <w:shd w:val="clear" w:color="auto" w:fill="auto"/>
            <w:noWrap/>
            <w:vAlign w:val="bottom"/>
            <w:hideMark/>
          </w:tcPr>
          <w:p w14:paraId="2CFDE15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22B9A92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0" w:type="pct"/>
            <w:tcBorders>
              <w:top w:val="single" w:sz="4" w:space="0" w:color="auto"/>
              <w:left w:val="nil"/>
              <w:bottom w:val="single" w:sz="4" w:space="0" w:color="808080"/>
              <w:right w:val="single" w:sz="4" w:space="0" w:color="808080"/>
            </w:tcBorders>
            <w:shd w:val="clear" w:color="auto" w:fill="auto"/>
            <w:noWrap/>
            <w:vAlign w:val="bottom"/>
            <w:hideMark/>
          </w:tcPr>
          <w:p w14:paraId="479C31D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9" w:type="pct"/>
            <w:tcBorders>
              <w:top w:val="single" w:sz="4" w:space="0" w:color="auto"/>
              <w:left w:val="nil"/>
              <w:bottom w:val="single" w:sz="4" w:space="0" w:color="808080"/>
              <w:right w:val="single" w:sz="4" w:space="0" w:color="808080"/>
            </w:tcBorders>
            <w:shd w:val="clear" w:color="auto" w:fill="auto"/>
            <w:noWrap/>
            <w:vAlign w:val="bottom"/>
            <w:hideMark/>
          </w:tcPr>
          <w:p w14:paraId="4E31B13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89" w:type="pct"/>
            <w:tcBorders>
              <w:top w:val="single" w:sz="4" w:space="0" w:color="auto"/>
              <w:left w:val="nil"/>
              <w:bottom w:val="single" w:sz="4" w:space="0" w:color="808080"/>
              <w:right w:val="single" w:sz="4" w:space="0" w:color="auto"/>
            </w:tcBorders>
            <w:shd w:val="clear" w:color="auto" w:fill="auto"/>
            <w:noWrap/>
            <w:vAlign w:val="bottom"/>
            <w:hideMark/>
          </w:tcPr>
          <w:p w14:paraId="636790B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5" w:type="pct"/>
            <w:tcBorders>
              <w:top w:val="single" w:sz="4" w:space="0" w:color="auto"/>
              <w:left w:val="nil"/>
              <w:bottom w:val="single" w:sz="4" w:space="0" w:color="808080"/>
              <w:right w:val="single" w:sz="4" w:space="0" w:color="auto"/>
            </w:tcBorders>
            <w:shd w:val="clear" w:color="auto" w:fill="auto"/>
            <w:noWrap/>
            <w:vAlign w:val="bottom"/>
            <w:hideMark/>
          </w:tcPr>
          <w:p w14:paraId="1726EC1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199.62</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4B3BBF4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28.02%</w:t>
            </w:r>
          </w:p>
        </w:tc>
        <w:tc>
          <w:tcPr>
            <w:tcW w:w="240" w:type="pct"/>
            <w:tcBorders>
              <w:top w:val="single" w:sz="4" w:space="0" w:color="auto"/>
              <w:left w:val="nil"/>
              <w:bottom w:val="single" w:sz="4" w:space="0" w:color="808080"/>
              <w:right w:val="single" w:sz="4" w:space="0" w:color="808080"/>
            </w:tcBorders>
            <w:shd w:val="clear" w:color="auto" w:fill="auto"/>
            <w:noWrap/>
            <w:vAlign w:val="bottom"/>
            <w:hideMark/>
          </w:tcPr>
          <w:p w14:paraId="4E2655A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28.02%</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2FB16E8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44.11%</w:t>
            </w:r>
          </w:p>
        </w:tc>
        <w:tc>
          <w:tcPr>
            <w:tcW w:w="239" w:type="pct"/>
            <w:tcBorders>
              <w:top w:val="single" w:sz="4" w:space="0" w:color="auto"/>
              <w:left w:val="nil"/>
              <w:bottom w:val="single" w:sz="4" w:space="0" w:color="808080"/>
              <w:right w:val="single" w:sz="4" w:space="0" w:color="auto"/>
            </w:tcBorders>
            <w:shd w:val="clear" w:color="auto" w:fill="auto"/>
            <w:noWrap/>
            <w:vAlign w:val="bottom"/>
            <w:hideMark/>
          </w:tcPr>
          <w:p w14:paraId="44E99F4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44.11%</w:t>
            </w:r>
          </w:p>
        </w:tc>
      </w:tr>
      <w:tr w:rsidR="00A022DF" w:rsidRPr="00E87E42" w14:paraId="67317FD0" w14:textId="77777777" w:rsidTr="00E801B3">
        <w:trPr>
          <w:trHeight w:val="227"/>
        </w:trPr>
        <w:tc>
          <w:tcPr>
            <w:tcW w:w="55" w:type="pct"/>
            <w:tcBorders>
              <w:top w:val="nil"/>
              <w:left w:val="single" w:sz="4" w:space="0" w:color="auto"/>
              <w:bottom w:val="single" w:sz="4" w:space="0" w:color="auto"/>
              <w:right w:val="nil"/>
            </w:tcBorders>
            <w:shd w:val="clear" w:color="auto" w:fill="auto"/>
            <w:noWrap/>
            <w:vAlign w:val="bottom"/>
            <w:hideMark/>
          </w:tcPr>
          <w:p w14:paraId="3143F75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115" w:type="pct"/>
            <w:tcBorders>
              <w:top w:val="nil"/>
              <w:left w:val="single" w:sz="4" w:space="0" w:color="auto"/>
              <w:bottom w:val="single" w:sz="4" w:space="0" w:color="808080"/>
              <w:right w:val="single" w:sz="4" w:space="0" w:color="auto"/>
            </w:tcBorders>
            <w:shd w:val="clear" w:color="auto" w:fill="auto"/>
            <w:noWrap/>
            <w:vAlign w:val="bottom"/>
            <w:hideMark/>
          </w:tcPr>
          <w:p w14:paraId="17741ED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138</w:t>
            </w:r>
          </w:p>
        </w:tc>
        <w:tc>
          <w:tcPr>
            <w:tcW w:w="85" w:type="pct"/>
            <w:tcBorders>
              <w:top w:val="nil"/>
              <w:left w:val="nil"/>
              <w:bottom w:val="single" w:sz="4" w:space="0" w:color="808080"/>
              <w:right w:val="single" w:sz="4" w:space="0" w:color="808080"/>
            </w:tcBorders>
            <w:shd w:val="clear" w:color="auto" w:fill="auto"/>
            <w:noWrap/>
            <w:vAlign w:val="bottom"/>
            <w:hideMark/>
          </w:tcPr>
          <w:p w14:paraId="5CD0095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81</w:t>
            </w:r>
          </w:p>
        </w:tc>
        <w:tc>
          <w:tcPr>
            <w:tcW w:w="209" w:type="pct"/>
            <w:tcBorders>
              <w:top w:val="nil"/>
              <w:left w:val="nil"/>
              <w:bottom w:val="single" w:sz="4" w:space="0" w:color="808080"/>
              <w:right w:val="single" w:sz="4" w:space="0" w:color="808080"/>
            </w:tcBorders>
            <w:shd w:val="clear" w:color="auto" w:fill="auto"/>
            <w:noWrap/>
            <w:vAlign w:val="bottom"/>
            <w:hideMark/>
          </w:tcPr>
          <w:p w14:paraId="3402B29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95.29%</w:t>
            </w:r>
          </w:p>
        </w:tc>
        <w:tc>
          <w:tcPr>
            <w:tcW w:w="210" w:type="pct"/>
            <w:tcBorders>
              <w:top w:val="nil"/>
              <w:left w:val="nil"/>
              <w:bottom w:val="single" w:sz="4" w:space="0" w:color="808080"/>
              <w:right w:val="single" w:sz="4" w:space="0" w:color="808080"/>
            </w:tcBorders>
            <w:shd w:val="clear" w:color="auto" w:fill="auto"/>
            <w:noWrap/>
            <w:vAlign w:val="bottom"/>
            <w:hideMark/>
          </w:tcPr>
          <w:p w14:paraId="6689DA8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44.26%</w:t>
            </w:r>
          </w:p>
        </w:tc>
        <w:tc>
          <w:tcPr>
            <w:tcW w:w="189" w:type="pct"/>
            <w:tcBorders>
              <w:top w:val="nil"/>
              <w:left w:val="nil"/>
              <w:bottom w:val="single" w:sz="4" w:space="0" w:color="808080"/>
              <w:right w:val="single" w:sz="4" w:space="0" w:color="808080"/>
            </w:tcBorders>
            <w:shd w:val="clear" w:color="auto" w:fill="auto"/>
            <w:noWrap/>
            <w:vAlign w:val="bottom"/>
            <w:hideMark/>
          </w:tcPr>
          <w:p w14:paraId="5190D25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420.41</w:t>
            </w:r>
          </w:p>
        </w:tc>
        <w:tc>
          <w:tcPr>
            <w:tcW w:w="189" w:type="pct"/>
            <w:tcBorders>
              <w:top w:val="nil"/>
              <w:left w:val="nil"/>
              <w:bottom w:val="single" w:sz="4" w:space="0" w:color="808080"/>
              <w:right w:val="nil"/>
            </w:tcBorders>
            <w:shd w:val="clear" w:color="auto" w:fill="auto"/>
            <w:noWrap/>
            <w:vAlign w:val="bottom"/>
            <w:hideMark/>
          </w:tcPr>
          <w:p w14:paraId="3BE346E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420.41</w:t>
            </w:r>
          </w:p>
        </w:tc>
        <w:tc>
          <w:tcPr>
            <w:tcW w:w="85" w:type="pct"/>
            <w:tcBorders>
              <w:top w:val="nil"/>
              <w:left w:val="single" w:sz="4" w:space="0" w:color="auto"/>
              <w:bottom w:val="single" w:sz="4" w:space="0" w:color="808080"/>
              <w:right w:val="single" w:sz="4" w:space="0" w:color="808080"/>
            </w:tcBorders>
            <w:shd w:val="clear" w:color="auto" w:fill="auto"/>
            <w:noWrap/>
            <w:vAlign w:val="bottom"/>
            <w:hideMark/>
          </w:tcPr>
          <w:p w14:paraId="1922DA5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209" w:type="pct"/>
            <w:tcBorders>
              <w:top w:val="nil"/>
              <w:left w:val="nil"/>
              <w:bottom w:val="single" w:sz="4" w:space="0" w:color="808080"/>
              <w:right w:val="single" w:sz="4" w:space="0" w:color="808080"/>
            </w:tcBorders>
            <w:shd w:val="clear" w:color="auto" w:fill="auto"/>
            <w:noWrap/>
            <w:vAlign w:val="bottom"/>
            <w:hideMark/>
          </w:tcPr>
          <w:p w14:paraId="691F02B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3.53%</w:t>
            </w:r>
          </w:p>
        </w:tc>
        <w:tc>
          <w:tcPr>
            <w:tcW w:w="210" w:type="pct"/>
            <w:tcBorders>
              <w:top w:val="nil"/>
              <w:left w:val="nil"/>
              <w:bottom w:val="single" w:sz="4" w:space="0" w:color="808080"/>
              <w:right w:val="single" w:sz="4" w:space="0" w:color="808080"/>
            </w:tcBorders>
            <w:shd w:val="clear" w:color="auto" w:fill="auto"/>
            <w:noWrap/>
            <w:vAlign w:val="bottom"/>
            <w:hideMark/>
          </w:tcPr>
          <w:p w14:paraId="65B7E86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20.00%</w:t>
            </w:r>
          </w:p>
        </w:tc>
        <w:tc>
          <w:tcPr>
            <w:tcW w:w="219" w:type="pct"/>
            <w:tcBorders>
              <w:top w:val="nil"/>
              <w:left w:val="nil"/>
              <w:bottom w:val="single" w:sz="4" w:space="0" w:color="808080"/>
              <w:right w:val="single" w:sz="4" w:space="0" w:color="808080"/>
            </w:tcBorders>
            <w:shd w:val="clear" w:color="auto" w:fill="auto"/>
            <w:noWrap/>
            <w:vAlign w:val="bottom"/>
            <w:hideMark/>
          </w:tcPr>
          <w:p w14:paraId="5B5C24B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86.25</w:t>
            </w:r>
          </w:p>
        </w:tc>
        <w:tc>
          <w:tcPr>
            <w:tcW w:w="189" w:type="pct"/>
            <w:tcBorders>
              <w:top w:val="nil"/>
              <w:left w:val="nil"/>
              <w:bottom w:val="single" w:sz="4" w:space="0" w:color="808080"/>
              <w:right w:val="single" w:sz="4" w:space="0" w:color="auto"/>
            </w:tcBorders>
            <w:shd w:val="clear" w:color="auto" w:fill="auto"/>
            <w:noWrap/>
            <w:vAlign w:val="bottom"/>
            <w:hideMark/>
          </w:tcPr>
          <w:p w14:paraId="78F9642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27.97</w:t>
            </w:r>
          </w:p>
        </w:tc>
        <w:tc>
          <w:tcPr>
            <w:tcW w:w="85" w:type="pct"/>
            <w:tcBorders>
              <w:top w:val="nil"/>
              <w:left w:val="nil"/>
              <w:bottom w:val="single" w:sz="4" w:space="0" w:color="808080"/>
              <w:right w:val="single" w:sz="4" w:space="0" w:color="808080"/>
            </w:tcBorders>
            <w:shd w:val="clear" w:color="auto" w:fill="auto"/>
            <w:noWrap/>
            <w:vAlign w:val="bottom"/>
            <w:hideMark/>
          </w:tcPr>
          <w:p w14:paraId="12835C8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09" w:type="pct"/>
            <w:tcBorders>
              <w:top w:val="nil"/>
              <w:left w:val="nil"/>
              <w:bottom w:val="single" w:sz="4" w:space="0" w:color="808080"/>
              <w:right w:val="single" w:sz="4" w:space="0" w:color="808080"/>
            </w:tcBorders>
            <w:shd w:val="clear" w:color="auto" w:fill="auto"/>
            <w:noWrap/>
            <w:vAlign w:val="bottom"/>
            <w:hideMark/>
          </w:tcPr>
          <w:p w14:paraId="5481310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1.18%</w:t>
            </w:r>
          </w:p>
        </w:tc>
        <w:tc>
          <w:tcPr>
            <w:tcW w:w="210" w:type="pct"/>
            <w:tcBorders>
              <w:top w:val="nil"/>
              <w:left w:val="nil"/>
              <w:bottom w:val="single" w:sz="4" w:space="0" w:color="808080"/>
              <w:right w:val="single" w:sz="4" w:space="0" w:color="808080"/>
            </w:tcBorders>
            <w:shd w:val="clear" w:color="auto" w:fill="auto"/>
            <w:noWrap/>
            <w:vAlign w:val="bottom"/>
            <w:hideMark/>
          </w:tcPr>
          <w:p w14:paraId="7B41F9A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25.00%</w:t>
            </w:r>
          </w:p>
        </w:tc>
        <w:tc>
          <w:tcPr>
            <w:tcW w:w="189" w:type="pct"/>
            <w:tcBorders>
              <w:top w:val="nil"/>
              <w:left w:val="nil"/>
              <w:bottom w:val="single" w:sz="4" w:space="0" w:color="808080"/>
              <w:right w:val="single" w:sz="4" w:space="0" w:color="808080"/>
            </w:tcBorders>
            <w:shd w:val="clear" w:color="auto" w:fill="auto"/>
            <w:noWrap/>
            <w:vAlign w:val="bottom"/>
            <w:hideMark/>
          </w:tcPr>
          <w:p w14:paraId="2D12A8E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60.10</w:t>
            </w:r>
          </w:p>
        </w:tc>
        <w:tc>
          <w:tcPr>
            <w:tcW w:w="159" w:type="pct"/>
            <w:tcBorders>
              <w:top w:val="nil"/>
              <w:left w:val="nil"/>
              <w:bottom w:val="single" w:sz="4" w:space="0" w:color="808080"/>
              <w:right w:val="nil"/>
            </w:tcBorders>
            <w:shd w:val="clear" w:color="auto" w:fill="auto"/>
            <w:noWrap/>
            <w:vAlign w:val="bottom"/>
            <w:hideMark/>
          </w:tcPr>
          <w:p w14:paraId="3FE557F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11.63</w:t>
            </w:r>
          </w:p>
        </w:tc>
        <w:tc>
          <w:tcPr>
            <w:tcW w:w="85" w:type="pct"/>
            <w:tcBorders>
              <w:top w:val="nil"/>
              <w:left w:val="single" w:sz="4" w:space="0" w:color="auto"/>
              <w:bottom w:val="single" w:sz="4" w:space="0" w:color="808080"/>
              <w:right w:val="single" w:sz="4" w:space="0" w:color="808080"/>
            </w:tcBorders>
            <w:shd w:val="clear" w:color="auto" w:fill="auto"/>
            <w:noWrap/>
            <w:vAlign w:val="bottom"/>
            <w:hideMark/>
          </w:tcPr>
          <w:p w14:paraId="5C6B85B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09" w:type="pct"/>
            <w:tcBorders>
              <w:top w:val="nil"/>
              <w:left w:val="nil"/>
              <w:bottom w:val="single" w:sz="4" w:space="0" w:color="808080"/>
              <w:right w:val="single" w:sz="4" w:space="0" w:color="808080"/>
            </w:tcBorders>
            <w:shd w:val="clear" w:color="auto" w:fill="auto"/>
            <w:noWrap/>
            <w:vAlign w:val="bottom"/>
            <w:hideMark/>
          </w:tcPr>
          <w:p w14:paraId="23F60DD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0" w:type="pct"/>
            <w:tcBorders>
              <w:top w:val="nil"/>
              <w:left w:val="nil"/>
              <w:bottom w:val="single" w:sz="4" w:space="0" w:color="808080"/>
              <w:right w:val="single" w:sz="4" w:space="0" w:color="808080"/>
            </w:tcBorders>
            <w:shd w:val="clear" w:color="auto" w:fill="auto"/>
            <w:noWrap/>
            <w:vAlign w:val="bottom"/>
            <w:hideMark/>
          </w:tcPr>
          <w:p w14:paraId="317E69D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9" w:type="pct"/>
            <w:tcBorders>
              <w:top w:val="nil"/>
              <w:left w:val="nil"/>
              <w:bottom w:val="single" w:sz="4" w:space="0" w:color="808080"/>
              <w:right w:val="single" w:sz="4" w:space="0" w:color="808080"/>
            </w:tcBorders>
            <w:shd w:val="clear" w:color="auto" w:fill="auto"/>
            <w:noWrap/>
            <w:vAlign w:val="bottom"/>
            <w:hideMark/>
          </w:tcPr>
          <w:p w14:paraId="59B0454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89" w:type="pct"/>
            <w:tcBorders>
              <w:top w:val="nil"/>
              <w:left w:val="nil"/>
              <w:bottom w:val="single" w:sz="4" w:space="0" w:color="808080"/>
              <w:right w:val="single" w:sz="4" w:space="0" w:color="auto"/>
            </w:tcBorders>
            <w:shd w:val="clear" w:color="auto" w:fill="auto"/>
            <w:noWrap/>
            <w:vAlign w:val="bottom"/>
            <w:hideMark/>
          </w:tcPr>
          <w:p w14:paraId="5A5EE0F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5" w:type="pct"/>
            <w:tcBorders>
              <w:top w:val="nil"/>
              <w:left w:val="nil"/>
              <w:bottom w:val="single" w:sz="4" w:space="0" w:color="808080"/>
              <w:right w:val="single" w:sz="4" w:space="0" w:color="auto"/>
            </w:tcBorders>
            <w:shd w:val="clear" w:color="auto" w:fill="auto"/>
            <w:noWrap/>
            <w:vAlign w:val="bottom"/>
            <w:hideMark/>
          </w:tcPr>
          <w:p w14:paraId="04E9C06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404.38</w:t>
            </w:r>
          </w:p>
        </w:tc>
        <w:tc>
          <w:tcPr>
            <w:tcW w:w="209" w:type="pct"/>
            <w:tcBorders>
              <w:top w:val="nil"/>
              <w:left w:val="nil"/>
              <w:bottom w:val="single" w:sz="4" w:space="0" w:color="808080"/>
              <w:right w:val="single" w:sz="4" w:space="0" w:color="808080"/>
            </w:tcBorders>
            <w:shd w:val="clear" w:color="auto" w:fill="auto"/>
            <w:noWrap/>
            <w:vAlign w:val="bottom"/>
            <w:hideMark/>
          </w:tcPr>
          <w:p w14:paraId="1686B9E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41.06%</w:t>
            </w:r>
          </w:p>
        </w:tc>
        <w:tc>
          <w:tcPr>
            <w:tcW w:w="240" w:type="pct"/>
            <w:tcBorders>
              <w:top w:val="nil"/>
              <w:left w:val="nil"/>
              <w:bottom w:val="single" w:sz="4" w:space="0" w:color="808080"/>
              <w:right w:val="single" w:sz="4" w:space="0" w:color="808080"/>
            </w:tcBorders>
            <w:shd w:val="clear" w:color="auto" w:fill="auto"/>
            <w:noWrap/>
            <w:vAlign w:val="bottom"/>
            <w:hideMark/>
          </w:tcPr>
          <w:p w14:paraId="4996E39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69.08%</w:t>
            </w:r>
          </w:p>
        </w:tc>
        <w:tc>
          <w:tcPr>
            <w:tcW w:w="209" w:type="pct"/>
            <w:tcBorders>
              <w:top w:val="nil"/>
              <w:left w:val="nil"/>
              <w:bottom w:val="single" w:sz="4" w:space="0" w:color="808080"/>
              <w:right w:val="single" w:sz="4" w:space="0" w:color="808080"/>
            </w:tcBorders>
            <w:shd w:val="clear" w:color="auto" w:fill="auto"/>
            <w:noWrap/>
            <w:vAlign w:val="bottom"/>
            <w:hideMark/>
          </w:tcPr>
          <w:p w14:paraId="3CA6817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41.69%</w:t>
            </w:r>
          </w:p>
        </w:tc>
        <w:tc>
          <w:tcPr>
            <w:tcW w:w="239" w:type="pct"/>
            <w:tcBorders>
              <w:top w:val="nil"/>
              <w:left w:val="nil"/>
              <w:bottom w:val="single" w:sz="4" w:space="0" w:color="808080"/>
              <w:right w:val="single" w:sz="4" w:space="0" w:color="auto"/>
            </w:tcBorders>
            <w:shd w:val="clear" w:color="auto" w:fill="auto"/>
            <w:noWrap/>
            <w:vAlign w:val="bottom"/>
            <w:hideMark/>
          </w:tcPr>
          <w:p w14:paraId="5AC2332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85.80%</w:t>
            </w:r>
          </w:p>
        </w:tc>
      </w:tr>
      <w:tr w:rsidR="00A022DF" w:rsidRPr="00E87E42" w14:paraId="62DB713F" w14:textId="77777777" w:rsidTr="00E801B3">
        <w:trPr>
          <w:trHeight w:val="227"/>
        </w:trPr>
        <w:tc>
          <w:tcPr>
            <w:tcW w:w="55" w:type="pct"/>
            <w:tcBorders>
              <w:top w:val="nil"/>
              <w:left w:val="single" w:sz="4" w:space="0" w:color="auto"/>
              <w:bottom w:val="single" w:sz="4" w:space="0" w:color="auto"/>
              <w:right w:val="nil"/>
            </w:tcBorders>
            <w:shd w:val="clear" w:color="auto" w:fill="auto"/>
            <w:noWrap/>
            <w:vAlign w:val="bottom"/>
            <w:hideMark/>
          </w:tcPr>
          <w:p w14:paraId="7101392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115" w:type="pct"/>
            <w:tcBorders>
              <w:top w:val="nil"/>
              <w:left w:val="single" w:sz="4" w:space="0" w:color="auto"/>
              <w:bottom w:val="single" w:sz="4" w:space="0" w:color="808080"/>
              <w:right w:val="single" w:sz="4" w:space="0" w:color="auto"/>
            </w:tcBorders>
            <w:shd w:val="clear" w:color="auto" w:fill="auto"/>
            <w:noWrap/>
            <w:vAlign w:val="bottom"/>
            <w:hideMark/>
          </w:tcPr>
          <w:p w14:paraId="56FBAC1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w:t>
            </w:r>
          </w:p>
        </w:tc>
        <w:tc>
          <w:tcPr>
            <w:tcW w:w="85" w:type="pct"/>
            <w:tcBorders>
              <w:top w:val="nil"/>
              <w:left w:val="nil"/>
              <w:bottom w:val="single" w:sz="4" w:space="0" w:color="808080"/>
              <w:right w:val="single" w:sz="4" w:space="0" w:color="808080"/>
            </w:tcBorders>
            <w:shd w:val="clear" w:color="auto" w:fill="auto"/>
            <w:noWrap/>
            <w:vAlign w:val="bottom"/>
            <w:hideMark/>
          </w:tcPr>
          <w:p w14:paraId="1006F86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w:t>
            </w:r>
          </w:p>
        </w:tc>
        <w:tc>
          <w:tcPr>
            <w:tcW w:w="209" w:type="pct"/>
            <w:tcBorders>
              <w:top w:val="nil"/>
              <w:left w:val="nil"/>
              <w:bottom w:val="single" w:sz="4" w:space="0" w:color="808080"/>
              <w:right w:val="single" w:sz="4" w:space="0" w:color="808080"/>
            </w:tcBorders>
            <w:shd w:val="clear" w:color="auto" w:fill="auto"/>
            <w:noWrap/>
            <w:vAlign w:val="bottom"/>
            <w:hideMark/>
          </w:tcPr>
          <w:p w14:paraId="76746AC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95.45%</w:t>
            </w:r>
          </w:p>
        </w:tc>
        <w:tc>
          <w:tcPr>
            <w:tcW w:w="210" w:type="pct"/>
            <w:tcBorders>
              <w:top w:val="nil"/>
              <w:left w:val="nil"/>
              <w:bottom w:val="single" w:sz="4" w:space="0" w:color="808080"/>
              <w:right w:val="single" w:sz="4" w:space="0" w:color="808080"/>
            </w:tcBorders>
            <w:shd w:val="clear" w:color="auto" w:fill="auto"/>
            <w:noWrap/>
            <w:vAlign w:val="bottom"/>
            <w:hideMark/>
          </w:tcPr>
          <w:p w14:paraId="6B31023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11.48%</w:t>
            </w:r>
          </w:p>
        </w:tc>
        <w:tc>
          <w:tcPr>
            <w:tcW w:w="189" w:type="pct"/>
            <w:tcBorders>
              <w:top w:val="nil"/>
              <w:left w:val="nil"/>
              <w:bottom w:val="single" w:sz="4" w:space="0" w:color="808080"/>
              <w:right w:val="single" w:sz="4" w:space="0" w:color="808080"/>
            </w:tcBorders>
            <w:shd w:val="clear" w:color="auto" w:fill="auto"/>
            <w:noWrap/>
            <w:vAlign w:val="bottom"/>
            <w:hideMark/>
          </w:tcPr>
          <w:p w14:paraId="522F2BE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100.03</w:t>
            </w:r>
          </w:p>
        </w:tc>
        <w:tc>
          <w:tcPr>
            <w:tcW w:w="189" w:type="pct"/>
            <w:tcBorders>
              <w:top w:val="nil"/>
              <w:left w:val="nil"/>
              <w:bottom w:val="single" w:sz="4" w:space="0" w:color="808080"/>
              <w:right w:val="nil"/>
            </w:tcBorders>
            <w:shd w:val="clear" w:color="auto" w:fill="auto"/>
            <w:noWrap/>
            <w:vAlign w:val="bottom"/>
            <w:hideMark/>
          </w:tcPr>
          <w:p w14:paraId="76B35B9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100.03</w:t>
            </w:r>
          </w:p>
        </w:tc>
        <w:tc>
          <w:tcPr>
            <w:tcW w:w="85" w:type="pct"/>
            <w:tcBorders>
              <w:top w:val="nil"/>
              <w:left w:val="single" w:sz="4" w:space="0" w:color="auto"/>
              <w:bottom w:val="single" w:sz="4" w:space="0" w:color="808080"/>
              <w:right w:val="single" w:sz="4" w:space="0" w:color="808080"/>
            </w:tcBorders>
            <w:shd w:val="clear" w:color="auto" w:fill="auto"/>
            <w:noWrap/>
            <w:vAlign w:val="bottom"/>
            <w:hideMark/>
          </w:tcPr>
          <w:p w14:paraId="59CD653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09" w:type="pct"/>
            <w:tcBorders>
              <w:top w:val="nil"/>
              <w:left w:val="nil"/>
              <w:bottom w:val="single" w:sz="4" w:space="0" w:color="808080"/>
              <w:right w:val="single" w:sz="4" w:space="0" w:color="808080"/>
            </w:tcBorders>
            <w:shd w:val="clear" w:color="auto" w:fill="auto"/>
            <w:noWrap/>
            <w:vAlign w:val="bottom"/>
            <w:hideMark/>
          </w:tcPr>
          <w:p w14:paraId="37B0625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0" w:type="pct"/>
            <w:tcBorders>
              <w:top w:val="nil"/>
              <w:left w:val="nil"/>
              <w:bottom w:val="single" w:sz="4" w:space="0" w:color="808080"/>
              <w:right w:val="single" w:sz="4" w:space="0" w:color="808080"/>
            </w:tcBorders>
            <w:shd w:val="clear" w:color="auto" w:fill="auto"/>
            <w:noWrap/>
            <w:vAlign w:val="bottom"/>
            <w:hideMark/>
          </w:tcPr>
          <w:p w14:paraId="04B8A2E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9" w:type="pct"/>
            <w:tcBorders>
              <w:top w:val="nil"/>
              <w:left w:val="nil"/>
              <w:bottom w:val="single" w:sz="4" w:space="0" w:color="808080"/>
              <w:right w:val="single" w:sz="4" w:space="0" w:color="808080"/>
            </w:tcBorders>
            <w:shd w:val="clear" w:color="auto" w:fill="auto"/>
            <w:noWrap/>
            <w:vAlign w:val="bottom"/>
            <w:hideMark/>
          </w:tcPr>
          <w:p w14:paraId="3A4D695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89" w:type="pct"/>
            <w:tcBorders>
              <w:top w:val="nil"/>
              <w:left w:val="nil"/>
              <w:bottom w:val="single" w:sz="4" w:space="0" w:color="808080"/>
              <w:right w:val="single" w:sz="4" w:space="0" w:color="auto"/>
            </w:tcBorders>
            <w:shd w:val="clear" w:color="auto" w:fill="auto"/>
            <w:noWrap/>
            <w:vAlign w:val="bottom"/>
            <w:hideMark/>
          </w:tcPr>
          <w:p w14:paraId="46CEA25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85" w:type="pct"/>
            <w:tcBorders>
              <w:top w:val="nil"/>
              <w:left w:val="nil"/>
              <w:bottom w:val="single" w:sz="4" w:space="0" w:color="808080"/>
              <w:right w:val="single" w:sz="4" w:space="0" w:color="808080"/>
            </w:tcBorders>
            <w:shd w:val="clear" w:color="auto" w:fill="auto"/>
            <w:noWrap/>
            <w:vAlign w:val="bottom"/>
            <w:hideMark/>
          </w:tcPr>
          <w:p w14:paraId="0035DF5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09" w:type="pct"/>
            <w:tcBorders>
              <w:top w:val="nil"/>
              <w:left w:val="nil"/>
              <w:bottom w:val="single" w:sz="4" w:space="0" w:color="808080"/>
              <w:right w:val="single" w:sz="4" w:space="0" w:color="808080"/>
            </w:tcBorders>
            <w:shd w:val="clear" w:color="auto" w:fill="auto"/>
            <w:noWrap/>
            <w:vAlign w:val="bottom"/>
            <w:hideMark/>
          </w:tcPr>
          <w:p w14:paraId="2DC68F6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0" w:type="pct"/>
            <w:tcBorders>
              <w:top w:val="nil"/>
              <w:left w:val="nil"/>
              <w:bottom w:val="single" w:sz="4" w:space="0" w:color="808080"/>
              <w:right w:val="single" w:sz="4" w:space="0" w:color="808080"/>
            </w:tcBorders>
            <w:shd w:val="clear" w:color="auto" w:fill="auto"/>
            <w:noWrap/>
            <w:vAlign w:val="bottom"/>
            <w:hideMark/>
          </w:tcPr>
          <w:p w14:paraId="3578717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89" w:type="pct"/>
            <w:tcBorders>
              <w:top w:val="nil"/>
              <w:left w:val="nil"/>
              <w:bottom w:val="single" w:sz="4" w:space="0" w:color="808080"/>
              <w:right w:val="single" w:sz="4" w:space="0" w:color="808080"/>
            </w:tcBorders>
            <w:shd w:val="clear" w:color="auto" w:fill="auto"/>
            <w:noWrap/>
            <w:vAlign w:val="bottom"/>
            <w:hideMark/>
          </w:tcPr>
          <w:p w14:paraId="68A5743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59" w:type="pct"/>
            <w:tcBorders>
              <w:top w:val="nil"/>
              <w:left w:val="nil"/>
              <w:bottom w:val="single" w:sz="4" w:space="0" w:color="808080"/>
              <w:right w:val="nil"/>
            </w:tcBorders>
            <w:shd w:val="clear" w:color="auto" w:fill="auto"/>
            <w:noWrap/>
            <w:vAlign w:val="bottom"/>
            <w:hideMark/>
          </w:tcPr>
          <w:p w14:paraId="2E682C3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85" w:type="pct"/>
            <w:tcBorders>
              <w:top w:val="nil"/>
              <w:left w:val="single" w:sz="4" w:space="0" w:color="auto"/>
              <w:bottom w:val="single" w:sz="4" w:space="0" w:color="808080"/>
              <w:right w:val="single" w:sz="4" w:space="0" w:color="808080"/>
            </w:tcBorders>
            <w:shd w:val="clear" w:color="auto" w:fill="auto"/>
            <w:noWrap/>
            <w:vAlign w:val="bottom"/>
            <w:hideMark/>
          </w:tcPr>
          <w:p w14:paraId="6D75D3D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09" w:type="pct"/>
            <w:tcBorders>
              <w:top w:val="nil"/>
              <w:left w:val="nil"/>
              <w:bottom w:val="single" w:sz="4" w:space="0" w:color="808080"/>
              <w:right w:val="single" w:sz="4" w:space="0" w:color="808080"/>
            </w:tcBorders>
            <w:shd w:val="clear" w:color="auto" w:fill="auto"/>
            <w:noWrap/>
            <w:vAlign w:val="bottom"/>
            <w:hideMark/>
          </w:tcPr>
          <w:p w14:paraId="5C4D857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4.55%</w:t>
            </w:r>
          </w:p>
        </w:tc>
        <w:tc>
          <w:tcPr>
            <w:tcW w:w="210" w:type="pct"/>
            <w:tcBorders>
              <w:top w:val="nil"/>
              <w:left w:val="nil"/>
              <w:bottom w:val="single" w:sz="4" w:space="0" w:color="808080"/>
              <w:right w:val="single" w:sz="4" w:space="0" w:color="808080"/>
            </w:tcBorders>
            <w:shd w:val="clear" w:color="auto" w:fill="auto"/>
            <w:noWrap/>
            <w:vAlign w:val="bottom"/>
            <w:hideMark/>
          </w:tcPr>
          <w:p w14:paraId="25074C9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20.00%</w:t>
            </w:r>
          </w:p>
        </w:tc>
        <w:tc>
          <w:tcPr>
            <w:tcW w:w="219" w:type="pct"/>
            <w:tcBorders>
              <w:top w:val="nil"/>
              <w:left w:val="nil"/>
              <w:bottom w:val="single" w:sz="4" w:space="0" w:color="808080"/>
              <w:right w:val="single" w:sz="4" w:space="0" w:color="808080"/>
            </w:tcBorders>
            <w:shd w:val="clear" w:color="auto" w:fill="auto"/>
            <w:noWrap/>
            <w:vAlign w:val="bottom"/>
            <w:hideMark/>
          </w:tcPr>
          <w:p w14:paraId="2412864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2.23</w:t>
            </w:r>
          </w:p>
        </w:tc>
        <w:tc>
          <w:tcPr>
            <w:tcW w:w="189" w:type="pct"/>
            <w:tcBorders>
              <w:top w:val="nil"/>
              <w:left w:val="nil"/>
              <w:bottom w:val="single" w:sz="4" w:space="0" w:color="808080"/>
              <w:right w:val="single" w:sz="4" w:space="0" w:color="auto"/>
            </w:tcBorders>
            <w:shd w:val="clear" w:color="auto" w:fill="auto"/>
            <w:noWrap/>
            <w:vAlign w:val="bottom"/>
            <w:hideMark/>
          </w:tcPr>
          <w:p w14:paraId="75B59BC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0.30</w:t>
            </w:r>
          </w:p>
        </w:tc>
        <w:tc>
          <w:tcPr>
            <w:tcW w:w="375" w:type="pct"/>
            <w:tcBorders>
              <w:top w:val="nil"/>
              <w:left w:val="nil"/>
              <w:bottom w:val="single" w:sz="4" w:space="0" w:color="808080"/>
              <w:right w:val="single" w:sz="4" w:space="0" w:color="auto"/>
            </w:tcBorders>
            <w:shd w:val="clear" w:color="auto" w:fill="auto"/>
            <w:noWrap/>
            <w:vAlign w:val="bottom"/>
            <w:hideMark/>
          </w:tcPr>
          <w:p w14:paraId="5325AFD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95.58</w:t>
            </w:r>
          </w:p>
        </w:tc>
        <w:tc>
          <w:tcPr>
            <w:tcW w:w="209" w:type="pct"/>
            <w:tcBorders>
              <w:top w:val="nil"/>
              <w:left w:val="nil"/>
              <w:bottom w:val="single" w:sz="4" w:space="0" w:color="808080"/>
              <w:right w:val="single" w:sz="4" w:space="0" w:color="808080"/>
            </w:tcBorders>
            <w:shd w:val="clear" w:color="auto" w:fill="auto"/>
            <w:noWrap/>
            <w:vAlign w:val="bottom"/>
            <w:hideMark/>
          </w:tcPr>
          <w:p w14:paraId="67D73B2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10.63%</w:t>
            </w:r>
          </w:p>
        </w:tc>
        <w:tc>
          <w:tcPr>
            <w:tcW w:w="240" w:type="pct"/>
            <w:tcBorders>
              <w:top w:val="nil"/>
              <w:left w:val="nil"/>
              <w:bottom w:val="single" w:sz="4" w:space="0" w:color="808080"/>
              <w:right w:val="single" w:sz="4" w:space="0" w:color="808080"/>
            </w:tcBorders>
            <w:shd w:val="clear" w:color="auto" w:fill="auto"/>
            <w:noWrap/>
            <w:vAlign w:val="bottom"/>
            <w:hideMark/>
          </w:tcPr>
          <w:p w14:paraId="4704E03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79.71%</w:t>
            </w:r>
          </w:p>
        </w:tc>
        <w:tc>
          <w:tcPr>
            <w:tcW w:w="209" w:type="pct"/>
            <w:tcBorders>
              <w:top w:val="nil"/>
              <w:left w:val="nil"/>
              <w:bottom w:val="single" w:sz="4" w:space="0" w:color="808080"/>
              <w:right w:val="single" w:sz="4" w:space="0" w:color="808080"/>
            </w:tcBorders>
            <w:shd w:val="clear" w:color="auto" w:fill="auto"/>
            <w:noWrap/>
            <w:vAlign w:val="bottom"/>
            <w:hideMark/>
          </w:tcPr>
          <w:p w14:paraId="2119AB4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4.53%</w:t>
            </w:r>
          </w:p>
        </w:tc>
        <w:tc>
          <w:tcPr>
            <w:tcW w:w="239" w:type="pct"/>
            <w:tcBorders>
              <w:top w:val="nil"/>
              <w:left w:val="nil"/>
              <w:bottom w:val="single" w:sz="4" w:space="0" w:color="808080"/>
              <w:right w:val="single" w:sz="4" w:space="0" w:color="auto"/>
            </w:tcBorders>
            <w:shd w:val="clear" w:color="auto" w:fill="auto"/>
            <w:noWrap/>
            <w:vAlign w:val="bottom"/>
            <w:hideMark/>
          </w:tcPr>
          <w:p w14:paraId="70CC260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90.33%</w:t>
            </w:r>
          </w:p>
        </w:tc>
      </w:tr>
      <w:tr w:rsidR="00A022DF" w:rsidRPr="00E87E42" w14:paraId="3F2561C6" w14:textId="77777777" w:rsidTr="00E801B3">
        <w:trPr>
          <w:trHeight w:val="227"/>
        </w:trPr>
        <w:tc>
          <w:tcPr>
            <w:tcW w:w="55" w:type="pct"/>
            <w:tcBorders>
              <w:top w:val="nil"/>
              <w:left w:val="single" w:sz="4" w:space="0" w:color="auto"/>
              <w:bottom w:val="single" w:sz="4" w:space="0" w:color="auto"/>
              <w:right w:val="nil"/>
            </w:tcBorders>
            <w:shd w:val="clear" w:color="auto" w:fill="auto"/>
            <w:noWrap/>
            <w:vAlign w:val="bottom"/>
            <w:hideMark/>
          </w:tcPr>
          <w:p w14:paraId="1794593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115" w:type="pct"/>
            <w:tcBorders>
              <w:top w:val="nil"/>
              <w:left w:val="single" w:sz="4" w:space="0" w:color="auto"/>
              <w:bottom w:val="single" w:sz="4" w:space="0" w:color="808080"/>
              <w:right w:val="single" w:sz="4" w:space="0" w:color="auto"/>
            </w:tcBorders>
            <w:shd w:val="clear" w:color="auto" w:fill="auto"/>
            <w:noWrap/>
            <w:vAlign w:val="bottom"/>
            <w:hideMark/>
          </w:tcPr>
          <w:p w14:paraId="312FC9A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w:t>
            </w:r>
          </w:p>
        </w:tc>
        <w:tc>
          <w:tcPr>
            <w:tcW w:w="85" w:type="pct"/>
            <w:tcBorders>
              <w:top w:val="nil"/>
              <w:left w:val="nil"/>
              <w:bottom w:val="single" w:sz="4" w:space="0" w:color="808080"/>
              <w:right w:val="single" w:sz="4" w:space="0" w:color="808080"/>
            </w:tcBorders>
            <w:shd w:val="clear" w:color="auto" w:fill="auto"/>
            <w:noWrap/>
            <w:vAlign w:val="bottom"/>
            <w:hideMark/>
          </w:tcPr>
          <w:p w14:paraId="115805B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w:t>
            </w:r>
          </w:p>
        </w:tc>
        <w:tc>
          <w:tcPr>
            <w:tcW w:w="209" w:type="pct"/>
            <w:tcBorders>
              <w:top w:val="nil"/>
              <w:left w:val="nil"/>
              <w:bottom w:val="single" w:sz="4" w:space="0" w:color="808080"/>
              <w:right w:val="single" w:sz="4" w:space="0" w:color="808080"/>
            </w:tcBorders>
            <w:shd w:val="clear" w:color="auto" w:fill="auto"/>
            <w:noWrap/>
            <w:vAlign w:val="bottom"/>
            <w:hideMark/>
          </w:tcPr>
          <w:p w14:paraId="78E0864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65.79%</w:t>
            </w:r>
          </w:p>
        </w:tc>
        <w:tc>
          <w:tcPr>
            <w:tcW w:w="210" w:type="pct"/>
            <w:tcBorders>
              <w:top w:val="nil"/>
              <w:left w:val="nil"/>
              <w:bottom w:val="single" w:sz="4" w:space="0" w:color="808080"/>
              <w:right w:val="single" w:sz="4" w:space="0" w:color="808080"/>
            </w:tcBorders>
            <w:shd w:val="clear" w:color="auto" w:fill="auto"/>
            <w:noWrap/>
            <w:vAlign w:val="bottom"/>
            <w:hideMark/>
          </w:tcPr>
          <w:p w14:paraId="588C96E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13.66%</w:t>
            </w:r>
          </w:p>
        </w:tc>
        <w:tc>
          <w:tcPr>
            <w:tcW w:w="189" w:type="pct"/>
            <w:tcBorders>
              <w:top w:val="nil"/>
              <w:left w:val="nil"/>
              <w:bottom w:val="single" w:sz="4" w:space="0" w:color="808080"/>
              <w:right w:val="single" w:sz="4" w:space="0" w:color="808080"/>
            </w:tcBorders>
            <w:shd w:val="clear" w:color="auto" w:fill="auto"/>
            <w:noWrap/>
            <w:vAlign w:val="bottom"/>
            <w:hideMark/>
          </w:tcPr>
          <w:p w14:paraId="2486FE6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204.15</w:t>
            </w:r>
          </w:p>
        </w:tc>
        <w:tc>
          <w:tcPr>
            <w:tcW w:w="189" w:type="pct"/>
            <w:tcBorders>
              <w:top w:val="nil"/>
              <w:left w:val="nil"/>
              <w:bottom w:val="single" w:sz="4" w:space="0" w:color="808080"/>
              <w:right w:val="nil"/>
            </w:tcBorders>
            <w:shd w:val="clear" w:color="auto" w:fill="auto"/>
            <w:noWrap/>
            <w:vAlign w:val="bottom"/>
            <w:hideMark/>
          </w:tcPr>
          <w:p w14:paraId="69DA9C5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204.15</w:t>
            </w:r>
          </w:p>
        </w:tc>
        <w:tc>
          <w:tcPr>
            <w:tcW w:w="85" w:type="pct"/>
            <w:tcBorders>
              <w:top w:val="nil"/>
              <w:left w:val="single" w:sz="4" w:space="0" w:color="auto"/>
              <w:bottom w:val="single" w:sz="4" w:space="0" w:color="808080"/>
              <w:right w:val="single" w:sz="4" w:space="0" w:color="808080"/>
            </w:tcBorders>
            <w:shd w:val="clear" w:color="auto" w:fill="auto"/>
            <w:noWrap/>
            <w:vAlign w:val="bottom"/>
            <w:hideMark/>
          </w:tcPr>
          <w:p w14:paraId="02ADB20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w:t>
            </w:r>
          </w:p>
        </w:tc>
        <w:tc>
          <w:tcPr>
            <w:tcW w:w="209" w:type="pct"/>
            <w:tcBorders>
              <w:top w:val="nil"/>
              <w:left w:val="nil"/>
              <w:bottom w:val="single" w:sz="4" w:space="0" w:color="808080"/>
              <w:right w:val="single" w:sz="4" w:space="0" w:color="808080"/>
            </w:tcBorders>
            <w:shd w:val="clear" w:color="auto" w:fill="auto"/>
            <w:noWrap/>
            <w:vAlign w:val="bottom"/>
            <w:hideMark/>
          </w:tcPr>
          <w:p w14:paraId="5C93248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23.68%</w:t>
            </w:r>
          </w:p>
        </w:tc>
        <w:tc>
          <w:tcPr>
            <w:tcW w:w="210" w:type="pct"/>
            <w:tcBorders>
              <w:top w:val="nil"/>
              <w:left w:val="nil"/>
              <w:bottom w:val="single" w:sz="4" w:space="0" w:color="808080"/>
              <w:right w:val="single" w:sz="4" w:space="0" w:color="808080"/>
            </w:tcBorders>
            <w:shd w:val="clear" w:color="auto" w:fill="auto"/>
            <w:noWrap/>
            <w:vAlign w:val="bottom"/>
            <w:hideMark/>
          </w:tcPr>
          <w:p w14:paraId="13EE6B6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60.00%</w:t>
            </w:r>
          </w:p>
        </w:tc>
        <w:tc>
          <w:tcPr>
            <w:tcW w:w="219" w:type="pct"/>
            <w:tcBorders>
              <w:top w:val="nil"/>
              <w:left w:val="nil"/>
              <w:bottom w:val="single" w:sz="4" w:space="0" w:color="808080"/>
              <w:right w:val="single" w:sz="4" w:space="0" w:color="808080"/>
            </w:tcBorders>
            <w:shd w:val="clear" w:color="auto" w:fill="auto"/>
            <w:noWrap/>
            <w:vAlign w:val="bottom"/>
            <w:hideMark/>
          </w:tcPr>
          <w:p w14:paraId="3C9A222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2856.61</w:t>
            </w:r>
          </w:p>
        </w:tc>
        <w:tc>
          <w:tcPr>
            <w:tcW w:w="189" w:type="pct"/>
            <w:tcBorders>
              <w:top w:val="nil"/>
              <w:left w:val="nil"/>
              <w:bottom w:val="single" w:sz="4" w:space="0" w:color="808080"/>
              <w:right w:val="single" w:sz="4" w:space="0" w:color="auto"/>
            </w:tcBorders>
            <w:shd w:val="clear" w:color="auto" w:fill="auto"/>
            <w:noWrap/>
            <w:vAlign w:val="bottom"/>
            <w:hideMark/>
          </w:tcPr>
          <w:p w14:paraId="001D420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926.47</w:t>
            </w:r>
          </w:p>
        </w:tc>
        <w:tc>
          <w:tcPr>
            <w:tcW w:w="85" w:type="pct"/>
            <w:tcBorders>
              <w:top w:val="nil"/>
              <w:left w:val="nil"/>
              <w:bottom w:val="single" w:sz="4" w:space="0" w:color="808080"/>
              <w:right w:val="single" w:sz="4" w:space="0" w:color="808080"/>
            </w:tcBorders>
            <w:shd w:val="clear" w:color="auto" w:fill="auto"/>
            <w:noWrap/>
            <w:vAlign w:val="bottom"/>
            <w:hideMark/>
          </w:tcPr>
          <w:p w14:paraId="7D7AFD2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09" w:type="pct"/>
            <w:tcBorders>
              <w:top w:val="nil"/>
              <w:left w:val="nil"/>
              <w:bottom w:val="single" w:sz="4" w:space="0" w:color="808080"/>
              <w:right w:val="single" w:sz="4" w:space="0" w:color="808080"/>
            </w:tcBorders>
            <w:shd w:val="clear" w:color="auto" w:fill="auto"/>
            <w:noWrap/>
            <w:vAlign w:val="bottom"/>
            <w:hideMark/>
          </w:tcPr>
          <w:p w14:paraId="724EAF9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2.63%</w:t>
            </w:r>
          </w:p>
        </w:tc>
        <w:tc>
          <w:tcPr>
            <w:tcW w:w="210" w:type="pct"/>
            <w:tcBorders>
              <w:top w:val="nil"/>
              <w:left w:val="nil"/>
              <w:bottom w:val="single" w:sz="4" w:space="0" w:color="808080"/>
              <w:right w:val="single" w:sz="4" w:space="0" w:color="808080"/>
            </w:tcBorders>
            <w:shd w:val="clear" w:color="auto" w:fill="auto"/>
            <w:noWrap/>
            <w:vAlign w:val="bottom"/>
            <w:hideMark/>
          </w:tcPr>
          <w:p w14:paraId="4FB3F83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25.00%</w:t>
            </w:r>
          </w:p>
        </w:tc>
        <w:tc>
          <w:tcPr>
            <w:tcW w:w="189" w:type="pct"/>
            <w:tcBorders>
              <w:top w:val="nil"/>
              <w:left w:val="nil"/>
              <w:bottom w:val="single" w:sz="4" w:space="0" w:color="808080"/>
              <w:right w:val="single" w:sz="4" w:space="0" w:color="808080"/>
            </w:tcBorders>
            <w:shd w:val="clear" w:color="auto" w:fill="auto"/>
            <w:noWrap/>
            <w:vAlign w:val="bottom"/>
            <w:hideMark/>
          </w:tcPr>
          <w:p w14:paraId="4646629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4.86</w:t>
            </w:r>
          </w:p>
        </w:tc>
        <w:tc>
          <w:tcPr>
            <w:tcW w:w="159" w:type="pct"/>
            <w:tcBorders>
              <w:top w:val="nil"/>
              <w:left w:val="nil"/>
              <w:bottom w:val="single" w:sz="4" w:space="0" w:color="808080"/>
              <w:right w:val="nil"/>
            </w:tcBorders>
            <w:shd w:val="clear" w:color="auto" w:fill="auto"/>
            <w:noWrap/>
            <w:vAlign w:val="bottom"/>
            <w:hideMark/>
          </w:tcPr>
          <w:p w14:paraId="1542454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0.94</w:t>
            </w:r>
          </w:p>
        </w:tc>
        <w:tc>
          <w:tcPr>
            <w:tcW w:w="85" w:type="pct"/>
            <w:tcBorders>
              <w:top w:val="nil"/>
              <w:left w:val="single" w:sz="4" w:space="0" w:color="auto"/>
              <w:bottom w:val="single" w:sz="4" w:space="0" w:color="808080"/>
              <w:right w:val="single" w:sz="4" w:space="0" w:color="808080"/>
            </w:tcBorders>
            <w:shd w:val="clear" w:color="auto" w:fill="auto"/>
            <w:noWrap/>
            <w:vAlign w:val="bottom"/>
            <w:hideMark/>
          </w:tcPr>
          <w:p w14:paraId="2A6894A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209" w:type="pct"/>
            <w:tcBorders>
              <w:top w:val="nil"/>
              <w:left w:val="nil"/>
              <w:bottom w:val="single" w:sz="4" w:space="0" w:color="808080"/>
              <w:right w:val="single" w:sz="4" w:space="0" w:color="808080"/>
            </w:tcBorders>
            <w:shd w:val="clear" w:color="auto" w:fill="auto"/>
            <w:noWrap/>
            <w:vAlign w:val="bottom"/>
            <w:hideMark/>
          </w:tcPr>
          <w:p w14:paraId="091AA42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7.89%</w:t>
            </w:r>
          </w:p>
        </w:tc>
        <w:tc>
          <w:tcPr>
            <w:tcW w:w="210" w:type="pct"/>
            <w:tcBorders>
              <w:top w:val="nil"/>
              <w:left w:val="nil"/>
              <w:bottom w:val="single" w:sz="4" w:space="0" w:color="808080"/>
              <w:right w:val="single" w:sz="4" w:space="0" w:color="808080"/>
            </w:tcBorders>
            <w:shd w:val="clear" w:color="auto" w:fill="auto"/>
            <w:noWrap/>
            <w:vAlign w:val="bottom"/>
            <w:hideMark/>
          </w:tcPr>
          <w:p w14:paraId="5E193B5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60.00%</w:t>
            </w:r>
          </w:p>
        </w:tc>
        <w:tc>
          <w:tcPr>
            <w:tcW w:w="219" w:type="pct"/>
            <w:tcBorders>
              <w:top w:val="nil"/>
              <w:left w:val="nil"/>
              <w:bottom w:val="single" w:sz="4" w:space="0" w:color="808080"/>
              <w:right w:val="single" w:sz="4" w:space="0" w:color="808080"/>
            </w:tcBorders>
            <w:shd w:val="clear" w:color="auto" w:fill="auto"/>
            <w:noWrap/>
            <w:vAlign w:val="bottom"/>
            <w:hideMark/>
          </w:tcPr>
          <w:p w14:paraId="0905A4F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410.57</w:t>
            </w:r>
          </w:p>
        </w:tc>
        <w:tc>
          <w:tcPr>
            <w:tcW w:w="189" w:type="pct"/>
            <w:tcBorders>
              <w:top w:val="nil"/>
              <w:left w:val="nil"/>
              <w:bottom w:val="single" w:sz="4" w:space="0" w:color="808080"/>
              <w:right w:val="single" w:sz="4" w:space="0" w:color="auto"/>
            </w:tcBorders>
            <w:shd w:val="clear" w:color="auto" w:fill="auto"/>
            <w:noWrap/>
            <w:vAlign w:val="bottom"/>
            <w:hideMark/>
          </w:tcPr>
          <w:p w14:paraId="38973C7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55.99</w:t>
            </w:r>
          </w:p>
        </w:tc>
        <w:tc>
          <w:tcPr>
            <w:tcW w:w="375" w:type="pct"/>
            <w:tcBorders>
              <w:top w:val="nil"/>
              <w:left w:val="nil"/>
              <w:bottom w:val="single" w:sz="4" w:space="0" w:color="808080"/>
              <w:right w:val="single" w:sz="4" w:space="0" w:color="auto"/>
            </w:tcBorders>
            <w:shd w:val="clear" w:color="auto" w:fill="auto"/>
            <w:noWrap/>
            <w:vAlign w:val="bottom"/>
            <w:hideMark/>
          </w:tcPr>
          <w:p w14:paraId="1CF7E18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843.41</w:t>
            </w:r>
          </w:p>
        </w:tc>
        <w:tc>
          <w:tcPr>
            <w:tcW w:w="209" w:type="pct"/>
            <w:tcBorders>
              <w:top w:val="nil"/>
              <w:left w:val="nil"/>
              <w:bottom w:val="single" w:sz="4" w:space="0" w:color="808080"/>
              <w:right w:val="single" w:sz="4" w:space="0" w:color="808080"/>
            </w:tcBorders>
            <w:shd w:val="clear" w:color="auto" w:fill="auto"/>
            <w:noWrap/>
            <w:vAlign w:val="bottom"/>
            <w:hideMark/>
          </w:tcPr>
          <w:p w14:paraId="6C92A26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18.36%</w:t>
            </w:r>
          </w:p>
        </w:tc>
        <w:tc>
          <w:tcPr>
            <w:tcW w:w="240" w:type="pct"/>
            <w:tcBorders>
              <w:top w:val="nil"/>
              <w:left w:val="nil"/>
              <w:bottom w:val="single" w:sz="4" w:space="0" w:color="808080"/>
              <w:right w:val="single" w:sz="4" w:space="0" w:color="808080"/>
            </w:tcBorders>
            <w:shd w:val="clear" w:color="auto" w:fill="auto"/>
            <w:noWrap/>
            <w:vAlign w:val="bottom"/>
            <w:hideMark/>
          </w:tcPr>
          <w:p w14:paraId="506DE88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98.07%</w:t>
            </w:r>
          </w:p>
        </w:tc>
        <w:tc>
          <w:tcPr>
            <w:tcW w:w="209" w:type="pct"/>
            <w:tcBorders>
              <w:top w:val="nil"/>
              <w:left w:val="nil"/>
              <w:bottom w:val="single" w:sz="4" w:space="0" w:color="808080"/>
              <w:right w:val="single" w:sz="4" w:space="0" w:color="808080"/>
            </w:tcBorders>
            <w:shd w:val="clear" w:color="auto" w:fill="auto"/>
            <w:noWrap/>
            <w:vAlign w:val="bottom"/>
            <w:hideMark/>
          </w:tcPr>
          <w:p w14:paraId="237EF82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8.46%</w:t>
            </w:r>
          </w:p>
        </w:tc>
        <w:tc>
          <w:tcPr>
            <w:tcW w:w="239" w:type="pct"/>
            <w:tcBorders>
              <w:top w:val="nil"/>
              <w:left w:val="nil"/>
              <w:bottom w:val="single" w:sz="4" w:space="0" w:color="808080"/>
              <w:right w:val="single" w:sz="4" w:space="0" w:color="auto"/>
            </w:tcBorders>
            <w:shd w:val="clear" w:color="auto" w:fill="auto"/>
            <w:noWrap/>
            <w:vAlign w:val="bottom"/>
            <w:hideMark/>
          </w:tcPr>
          <w:p w14:paraId="59020FC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98.79%</w:t>
            </w:r>
          </w:p>
        </w:tc>
      </w:tr>
      <w:tr w:rsidR="00A022DF" w:rsidRPr="00E87E42" w14:paraId="0C6EB3BF" w14:textId="77777777" w:rsidTr="00E801B3">
        <w:trPr>
          <w:trHeight w:val="227"/>
        </w:trPr>
        <w:tc>
          <w:tcPr>
            <w:tcW w:w="55" w:type="pct"/>
            <w:tcBorders>
              <w:top w:val="nil"/>
              <w:left w:val="single" w:sz="4" w:space="0" w:color="auto"/>
              <w:bottom w:val="single" w:sz="4" w:space="0" w:color="auto"/>
              <w:right w:val="nil"/>
            </w:tcBorders>
            <w:shd w:val="clear" w:color="auto" w:fill="auto"/>
            <w:noWrap/>
            <w:vAlign w:val="bottom"/>
            <w:hideMark/>
          </w:tcPr>
          <w:p w14:paraId="1824C02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14:paraId="54EC35C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85" w:type="pct"/>
            <w:tcBorders>
              <w:top w:val="nil"/>
              <w:left w:val="nil"/>
              <w:bottom w:val="single" w:sz="4" w:space="0" w:color="auto"/>
              <w:right w:val="single" w:sz="4" w:space="0" w:color="808080"/>
            </w:tcBorders>
            <w:shd w:val="clear" w:color="auto" w:fill="auto"/>
            <w:noWrap/>
            <w:vAlign w:val="bottom"/>
            <w:hideMark/>
          </w:tcPr>
          <w:p w14:paraId="04D7706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09" w:type="pct"/>
            <w:tcBorders>
              <w:top w:val="nil"/>
              <w:left w:val="nil"/>
              <w:bottom w:val="single" w:sz="4" w:space="0" w:color="auto"/>
              <w:right w:val="single" w:sz="4" w:space="0" w:color="808080"/>
            </w:tcBorders>
            <w:shd w:val="clear" w:color="auto" w:fill="auto"/>
            <w:noWrap/>
            <w:vAlign w:val="bottom"/>
            <w:hideMark/>
          </w:tcPr>
          <w:p w14:paraId="57FEFA5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50.00%</w:t>
            </w:r>
          </w:p>
        </w:tc>
        <w:tc>
          <w:tcPr>
            <w:tcW w:w="210" w:type="pct"/>
            <w:tcBorders>
              <w:top w:val="nil"/>
              <w:left w:val="nil"/>
              <w:bottom w:val="single" w:sz="4" w:space="0" w:color="auto"/>
              <w:right w:val="single" w:sz="4" w:space="0" w:color="808080"/>
            </w:tcBorders>
            <w:shd w:val="clear" w:color="auto" w:fill="auto"/>
            <w:noWrap/>
            <w:vAlign w:val="bottom"/>
            <w:hideMark/>
          </w:tcPr>
          <w:p w14:paraId="6BD7229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1.09%</w:t>
            </w:r>
          </w:p>
        </w:tc>
        <w:tc>
          <w:tcPr>
            <w:tcW w:w="189" w:type="pct"/>
            <w:tcBorders>
              <w:top w:val="nil"/>
              <w:left w:val="nil"/>
              <w:bottom w:val="single" w:sz="4" w:space="0" w:color="auto"/>
              <w:right w:val="single" w:sz="4" w:space="0" w:color="808080"/>
            </w:tcBorders>
            <w:shd w:val="clear" w:color="auto" w:fill="auto"/>
            <w:noWrap/>
            <w:vAlign w:val="bottom"/>
            <w:hideMark/>
          </w:tcPr>
          <w:p w14:paraId="3757CBA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41.62</w:t>
            </w:r>
          </w:p>
        </w:tc>
        <w:tc>
          <w:tcPr>
            <w:tcW w:w="189" w:type="pct"/>
            <w:tcBorders>
              <w:top w:val="nil"/>
              <w:left w:val="nil"/>
              <w:bottom w:val="single" w:sz="4" w:space="0" w:color="auto"/>
              <w:right w:val="nil"/>
            </w:tcBorders>
            <w:shd w:val="clear" w:color="auto" w:fill="auto"/>
            <w:noWrap/>
            <w:vAlign w:val="bottom"/>
            <w:hideMark/>
          </w:tcPr>
          <w:p w14:paraId="3E2CD82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41.62</w:t>
            </w:r>
          </w:p>
        </w:tc>
        <w:tc>
          <w:tcPr>
            <w:tcW w:w="85" w:type="pct"/>
            <w:tcBorders>
              <w:top w:val="nil"/>
              <w:left w:val="single" w:sz="4" w:space="0" w:color="auto"/>
              <w:bottom w:val="single" w:sz="4" w:space="0" w:color="auto"/>
              <w:right w:val="single" w:sz="4" w:space="0" w:color="808080"/>
            </w:tcBorders>
            <w:shd w:val="clear" w:color="auto" w:fill="auto"/>
            <w:noWrap/>
            <w:vAlign w:val="bottom"/>
            <w:hideMark/>
          </w:tcPr>
          <w:p w14:paraId="596D2E2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09" w:type="pct"/>
            <w:tcBorders>
              <w:top w:val="nil"/>
              <w:left w:val="nil"/>
              <w:bottom w:val="single" w:sz="4" w:space="0" w:color="auto"/>
              <w:right w:val="single" w:sz="4" w:space="0" w:color="808080"/>
            </w:tcBorders>
            <w:shd w:val="clear" w:color="auto" w:fill="auto"/>
            <w:noWrap/>
            <w:vAlign w:val="bottom"/>
            <w:hideMark/>
          </w:tcPr>
          <w:p w14:paraId="4C8F794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0" w:type="pct"/>
            <w:tcBorders>
              <w:top w:val="nil"/>
              <w:left w:val="nil"/>
              <w:bottom w:val="single" w:sz="4" w:space="0" w:color="auto"/>
              <w:right w:val="single" w:sz="4" w:space="0" w:color="808080"/>
            </w:tcBorders>
            <w:shd w:val="clear" w:color="auto" w:fill="auto"/>
            <w:noWrap/>
            <w:vAlign w:val="bottom"/>
            <w:hideMark/>
          </w:tcPr>
          <w:p w14:paraId="372CC26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9" w:type="pct"/>
            <w:tcBorders>
              <w:top w:val="nil"/>
              <w:left w:val="nil"/>
              <w:bottom w:val="single" w:sz="4" w:space="0" w:color="auto"/>
              <w:right w:val="single" w:sz="4" w:space="0" w:color="808080"/>
            </w:tcBorders>
            <w:shd w:val="clear" w:color="auto" w:fill="auto"/>
            <w:noWrap/>
            <w:vAlign w:val="bottom"/>
            <w:hideMark/>
          </w:tcPr>
          <w:p w14:paraId="4B2BD8C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89" w:type="pct"/>
            <w:tcBorders>
              <w:top w:val="nil"/>
              <w:left w:val="nil"/>
              <w:bottom w:val="single" w:sz="4" w:space="0" w:color="auto"/>
              <w:right w:val="single" w:sz="4" w:space="0" w:color="auto"/>
            </w:tcBorders>
            <w:shd w:val="clear" w:color="auto" w:fill="auto"/>
            <w:noWrap/>
            <w:vAlign w:val="bottom"/>
            <w:hideMark/>
          </w:tcPr>
          <w:p w14:paraId="6C28AD9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85" w:type="pct"/>
            <w:tcBorders>
              <w:top w:val="nil"/>
              <w:left w:val="nil"/>
              <w:bottom w:val="single" w:sz="4" w:space="0" w:color="auto"/>
              <w:right w:val="single" w:sz="4" w:space="0" w:color="808080"/>
            </w:tcBorders>
            <w:shd w:val="clear" w:color="auto" w:fill="auto"/>
            <w:noWrap/>
            <w:vAlign w:val="bottom"/>
            <w:hideMark/>
          </w:tcPr>
          <w:p w14:paraId="6F99B0B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09" w:type="pct"/>
            <w:tcBorders>
              <w:top w:val="nil"/>
              <w:left w:val="nil"/>
              <w:bottom w:val="single" w:sz="4" w:space="0" w:color="auto"/>
              <w:right w:val="single" w:sz="4" w:space="0" w:color="808080"/>
            </w:tcBorders>
            <w:shd w:val="clear" w:color="auto" w:fill="auto"/>
            <w:noWrap/>
            <w:vAlign w:val="bottom"/>
            <w:hideMark/>
          </w:tcPr>
          <w:p w14:paraId="761D0B0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25.00%</w:t>
            </w:r>
          </w:p>
        </w:tc>
        <w:tc>
          <w:tcPr>
            <w:tcW w:w="210" w:type="pct"/>
            <w:tcBorders>
              <w:top w:val="nil"/>
              <w:left w:val="nil"/>
              <w:bottom w:val="single" w:sz="4" w:space="0" w:color="auto"/>
              <w:right w:val="single" w:sz="4" w:space="0" w:color="808080"/>
            </w:tcBorders>
            <w:shd w:val="clear" w:color="auto" w:fill="auto"/>
            <w:noWrap/>
            <w:vAlign w:val="bottom"/>
            <w:hideMark/>
          </w:tcPr>
          <w:p w14:paraId="533C444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25.00%</w:t>
            </w:r>
          </w:p>
        </w:tc>
        <w:tc>
          <w:tcPr>
            <w:tcW w:w="189" w:type="pct"/>
            <w:tcBorders>
              <w:top w:val="nil"/>
              <w:left w:val="nil"/>
              <w:bottom w:val="single" w:sz="4" w:space="0" w:color="auto"/>
              <w:right w:val="single" w:sz="4" w:space="0" w:color="808080"/>
            </w:tcBorders>
            <w:shd w:val="clear" w:color="auto" w:fill="auto"/>
            <w:noWrap/>
            <w:vAlign w:val="bottom"/>
            <w:hideMark/>
          </w:tcPr>
          <w:p w14:paraId="4A14886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200.35</w:t>
            </w:r>
          </w:p>
        </w:tc>
        <w:tc>
          <w:tcPr>
            <w:tcW w:w="159" w:type="pct"/>
            <w:tcBorders>
              <w:top w:val="nil"/>
              <w:left w:val="nil"/>
              <w:bottom w:val="single" w:sz="4" w:space="0" w:color="auto"/>
              <w:right w:val="nil"/>
            </w:tcBorders>
            <w:shd w:val="clear" w:color="auto" w:fill="auto"/>
            <w:noWrap/>
            <w:vAlign w:val="bottom"/>
            <w:hideMark/>
          </w:tcPr>
          <w:p w14:paraId="10C18FC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38.78</w:t>
            </w:r>
          </w:p>
        </w:tc>
        <w:tc>
          <w:tcPr>
            <w:tcW w:w="85" w:type="pct"/>
            <w:tcBorders>
              <w:top w:val="nil"/>
              <w:left w:val="single" w:sz="4" w:space="0" w:color="auto"/>
              <w:bottom w:val="single" w:sz="4" w:space="0" w:color="auto"/>
              <w:right w:val="single" w:sz="4" w:space="0" w:color="808080"/>
            </w:tcBorders>
            <w:shd w:val="clear" w:color="auto" w:fill="auto"/>
            <w:noWrap/>
            <w:vAlign w:val="bottom"/>
            <w:hideMark/>
          </w:tcPr>
          <w:p w14:paraId="6CB51C7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09" w:type="pct"/>
            <w:tcBorders>
              <w:top w:val="nil"/>
              <w:left w:val="nil"/>
              <w:bottom w:val="single" w:sz="4" w:space="0" w:color="auto"/>
              <w:right w:val="single" w:sz="4" w:space="0" w:color="808080"/>
            </w:tcBorders>
            <w:shd w:val="clear" w:color="auto" w:fill="auto"/>
            <w:noWrap/>
            <w:vAlign w:val="bottom"/>
            <w:hideMark/>
          </w:tcPr>
          <w:p w14:paraId="7B118E9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25.00%</w:t>
            </w:r>
          </w:p>
        </w:tc>
        <w:tc>
          <w:tcPr>
            <w:tcW w:w="210" w:type="pct"/>
            <w:tcBorders>
              <w:top w:val="nil"/>
              <w:left w:val="nil"/>
              <w:bottom w:val="single" w:sz="4" w:space="0" w:color="auto"/>
              <w:right w:val="single" w:sz="4" w:space="0" w:color="808080"/>
            </w:tcBorders>
            <w:shd w:val="clear" w:color="auto" w:fill="auto"/>
            <w:noWrap/>
            <w:vAlign w:val="bottom"/>
            <w:hideMark/>
          </w:tcPr>
          <w:p w14:paraId="6B97376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20.00%</w:t>
            </w:r>
          </w:p>
        </w:tc>
        <w:tc>
          <w:tcPr>
            <w:tcW w:w="219" w:type="pct"/>
            <w:tcBorders>
              <w:top w:val="nil"/>
              <w:left w:val="nil"/>
              <w:bottom w:val="single" w:sz="4" w:space="0" w:color="auto"/>
              <w:right w:val="single" w:sz="4" w:space="0" w:color="808080"/>
            </w:tcBorders>
            <w:shd w:val="clear" w:color="auto" w:fill="auto"/>
            <w:noWrap/>
            <w:vAlign w:val="bottom"/>
            <w:hideMark/>
          </w:tcPr>
          <w:p w14:paraId="2335457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98.11</w:t>
            </w:r>
          </w:p>
        </w:tc>
        <w:tc>
          <w:tcPr>
            <w:tcW w:w="189" w:type="pct"/>
            <w:tcBorders>
              <w:top w:val="nil"/>
              <w:left w:val="nil"/>
              <w:bottom w:val="single" w:sz="4" w:space="0" w:color="auto"/>
              <w:right w:val="single" w:sz="4" w:space="0" w:color="auto"/>
            </w:tcBorders>
            <w:shd w:val="clear" w:color="auto" w:fill="auto"/>
            <w:noWrap/>
            <w:vAlign w:val="bottom"/>
            <w:hideMark/>
          </w:tcPr>
          <w:p w14:paraId="4DB667A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13.38</w:t>
            </w:r>
          </w:p>
        </w:tc>
        <w:tc>
          <w:tcPr>
            <w:tcW w:w="375" w:type="pct"/>
            <w:tcBorders>
              <w:top w:val="nil"/>
              <w:left w:val="nil"/>
              <w:bottom w:val="single" w:sz="4" w:space="0" w:color="auto"/>
              <w:right w:val="single" w:sz="4" w:space="0" w:color="auto"/>
            </w:tcBorders>
            <w:shd w:val="clear" w:color="auto" w:fill="auto"/>
            <w:noWrap/>
            <w:vAlign w:val="bottom"/>
            <w:hideMark/>
          </w:tcPr>
          <w:p w14:paraId="69B35CD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95.42</w:t>
            </w:r>
          </w:p>
        </w:tc>
        <w:tc>
          <w:tcPr>
            <w:tcW w:w="209" w:type="pct"/>
            <w:tcBorders>
              <w:top w:val="nil"/>
              <w:left w:val="nil"/>
              <w:bottom w:val="single" w:sz="4" w:space="0" w:color="auto"/>
              <w:right w:val="single" w:sz="4" w:space="0" w:color="808080"/>
            </w:tcBorders>
            <w:shd w:val="clear" w:color="auto" w:fill="auto"/>
            <w:noWrap/>
            <w:vAlign w:val="bottom"/>
            <w:hideMark/>
          </w:tcPr>
          <w:p w14:paraId="20FC8E0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1.93%</w:t>
            </w:r>
          </w:p>
        </w:tc>
        <w:tc>
          <w:tcPr>
            <w:tcW w:w="240" w:type="pct"/>
            <w:tcBorders>
              <w:top w:val="nil"/>
              <w:left w:val="nil"/>
              <w:bottom w:val="single" w:sz="4" w:space="0" w:color="auto"/>
              <w:right w:val="single" w:sz="4" w:space="0" w:color="808080"/>
            </w:tcBorders>
            <w:shd w:val="clear" w:color="auto" w:fill="auto"/>
            <w:noWrap/>
            <w:vAlign w:val="bottom"/>
            <w:hideMark/>
          </w:tcPr>
          <w:p w14:paraId="13E15CB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09" w:type="pct"/>
            <w:tcBorders>
              <w:top w:val="nil"/>
              <w:left w:val="nil"/>
              <w:bottom w:val="single" w:sz="4" w:space="0" w:color="auto"/>
              <w:right w:val="single" w:sz="4" w:space="0" w:color="808080"/>
            </w:tcBorders>
            <w:shd w:val="clear" w:color="auto" w:fill="auto"/>
            <w:noWrap/>
            <w:vAlign w:val="bottom"/>
            <w:hideMark/>
          </w:tcPr>
          <w:p w14:paraId="47ADA3F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1.21%</w:t>
            </w:r>
          </w:p>
        </w:tc>
        <w:tc>
          <w:tcPr>
            <w:tcW w:w="239" w:type="pct"/>
            <w:tcBorders>
              <w:top w:val="nil"/>
              <w:left w:val="nil"/>
              <w:bottom w:val="single" w:sz="4" w:space="0" w:color="auto"/>
              <w:right w:val="single" w:sz="4" w:space="0" w:color="auto"/>
            </w:tcBorders>
            <w:shd w:val="clear" w:color="auto" w:fill="auto"/>
            <w:noWrap/>
            <w:vAlign w:val="bottom"/>
            <w:hideMark/>
          </w:tcPr>
          <w:p w14:paraId="6B78981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r>
      <w:tr w:rsidR="00A022DF" w:rsidRPr="00E87E42" w14:paraId="6A6161DE" w14:textId="77777777" w:rsidTr="00E801B3">
        <w:trPr>
          <w:trHeight w:val="227"/>
        </w:trPr>
        <w:tc>
          <w:tcPr>
            <w:tcW w:w="3728" w:type="pct"/>
            <w:gridSpan w:val="22"/>
            <w:tcBorders>
              <w:top w:val="nil"/>
              <w:left w:val="single" w:sz="4" w:space="0" w:color="auto"/>
              <w:bottom w:val="single" w:sz="4" w:space="0" w:color="auto"/>
              <w:right w:val="single" w:sz="4" w:space="0" w:color="auto"/>
            </w:tcBorders>
            <w:shd w:val="clear" w:color="auto" w:fill="auto"/>
            <w:noWrap/>
            <w:vAlign w:val="bottom"/>
          </w:tcPr>
          <w:p w14:paraId="650010DB" w14:textId="3FEC9C9E" w:rsidR="00A022DF" w:rsidRPr="00E87E42" w:rsidRDefault="00A022DF" w:rsidP="00A022DF">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Total weighted area damage</w:t>
            </w:r>
          </w:p>
        </w:tc>
        <w:tc>
          <w:tcPr>
            <w:tcW w:w="375" w:type="pct"/>
            <w:tcBorders>
              <w:top w:val="nil"/>
              <w:left w:val="nil"/>
              <w:bottom w:val="single" w:sz="4" w:space="0" w:color="auto"/>
              <w:right w:val="single" w:sz="4" w:space="0" w:color="auto"/>
            </w:tcBorders>
            <w:shd w:val="clear" w:color="auto" w:fill="auto"/>
            <w:noWrap/>
            <w:vAlign w:val="bottom"/>
          </w:tcPr>
          <w:p w14:paraId="4E939FE3" w14:textId="67FB6E34"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388.81</w:t>
            </w:r>
          </w:p>
        </w:tc>
        <w:tc>
          <w:tcPr>
            <w:tcW w:w="896" w:type="pct"/>
            <w:gridSpan w:val="4"/>
            <w:tcBorders>
              <w:top w:val="nil"/>
              <w:left w:val="nil"/>
              <w:bottom w:val="single" w:sz="4" w:space="0" w:color="auto"/>
              <w:right w:val="single" w:sz="4" w:space="0" w:color="auto"/>
            </w:tcBorders>
            <w:shd w:val="clear" w:color="auto" w:fill="auto"/>
            <w:noWrap/>
            <w:vAlign w:val="bottom"/>
          </w:tcPr>
          <w:p w14:paraId="691BCBAC" w14:textId="77777777" w:rsidR="00A022DF" w:rsidRPr="00E87E42" w:rsidRDefault="00A022DF" w:rsidP="00A022DF">
            <w:pPr>
              <w:spacing w:after="0" w:line="240" w:lineRule="auto"/>
              <w:jc w:val="center"/>
              <w:rPr>
                <w:rFonts w:eastAsia="Times New Roman"/>
                <w:color w:val="000000"/>
                <w:sz w:val="16"/>
                <w:szCs w:val="16"/>
                <w:lang w:eastAsia="en-GB"/>
              </w:rPr>
            </w:pPr>
          </w:p>
        </w:tc>
      </w:tr>
      <w:tr w:rsidR="00A022DF" w:rsidRPr="00E87E42" w14:paraId="17CEB660" w14:textId="77777777" w:rsidTr="00332F42">
        <w:trPr>
          <w:trHeight w:val="227"/>
        </w:trPr>
        <w:tc>
          <w:tcPr>
            <w:tcW w:w="55" w:type="pct"/>
            <w:tcBorders>
              <w:top w:val="nil"/>
              <w:left w:val="nil"/>
              <w:bottom w:val="nil"/>
              <w:right w:val="nil"/>
            </w:tcBorders>
            <w:shd w:val="clear" w:color="auto" w:fill="auto"/>
            <w:noWrap/>
            <w:vAlign w:val="bottom"/>
            <w:hideMark/>
          </w:tcPr>
          <w:p w14:paraId="0DF26BB3" w14:textId="77777777" w:rsidR="00A022DF" w:rsidRPr="00E87E42" w:rsidRDefault="00A022DF" w:rsidP="00A022DF">
            <w:pPr>
              <w:spacing w:after="0" w:line="240" w:lineRule="auto"/>
              <w:jc w:val="center"/>
              <w:rPr>
                <w:rFonts w:eastAsia="Times New Roman"/>
                <w:color w:val="000000"/>
                <w:sz w:val="16"/>
                <w:szCs w:val="16"/>
                <w:lang w:eastAsia="en-GB"/>
              </w:rPr>
            </w:pPr>
          </w:p>
        </w:tc>
        <w:tc>
          <w:tcPr>
            <w:tcW w:w="4945" w:type="pct"/>
            <w:gridSpan w:val="26"/>
            <w:tcBorders>
              <w:top w:val="nil"/>
              <w:left w:val="single" w:sz="4" w:space="0" w:color="auto"/>
              <w:bottom w:val="single" w:sz="4" w:space="0" w:color="auto"/>
              <w:right w:val="single" w:sz="4" w:space="0" w:color="000000"/>
            </w:tcBorders>
            <w:shd w:val="clear" w:color="auto" w:fill="auto"/>
            <w:noWrap/>
            <w:vAlign w:val="bottom"/>
            <w:hideMark/>
          </w:tcPr>
          <w:p w14:paraId="281A662E" w14:textId="225E9CE3" w:rsidR="00A022DF" w:rsidRPr="00E87E42" w:rsidRDefault="00A022DF" w:rsidP="00A022DF">
            <w:pPr>
              <w:spacing w:after="0" w:line="240" w:lineRule="auto"/>
              <w:jc w:val="center"/>
              <w:rPr>
                <w:rFonts w:eastAsia="Times New Roman"/>
                <w:b/>
                <w:bCs/>
                <w:color w:val="000000"/>
                <w:sz w:val="16"/>
                <w:szCs w:val="16"/>
                <w:u w:val="single"/>
                <w:lang w:eastAsia="en-GB"/>
              </w:rPr>
            </w:pPr>
            <w:r w:rsidRPr="00E87E42">
              <w:rPr>
                <w:rFonts w:eastAsia="Times New Roman"/>
                <w:b/>
                <w:bCs/>
                <w:color w:val="000000"/>
                <w:sz w:val="16"/>
                <w:szCs w:val="16"/>
                <w:u w:val="single"/>
                <w:lang w:eastAsia="en-GB"/>
              </w:rPr>
              <w:t xml:space="preserve">No Sprinklers - Area damage </w:t>
            </w:r>
            <w:r w:rsidRPr="00E87E42">
              <w:rPr>
                <w:rFonts w:eastAsia="Times New Roman"/>
                <w:b/>
                <w:color w:val="000000"/>
                <w:sz w:val="16"/>
                <w:szCs w:val="16"/>
                <w:u w:val="single"/>
                <w:lang w:eastAsia="en-GB"/>
              </w:rPr>
              <w:t>m</w:t>
            </w:r>
            <w:r w:rsidRPr="00E87E42">
              <w:rPr>
                <w:rFonts w:eastAsia="Times New Roman"/>
                <w:b/>
                <w:color w:val="000000"/>
                <w:sz w:val="16"/>
                <w:szCs w:val="16"/>
                <w:u w:val="single"/>
                <w:vertAlign w:val="superscript"/>
                <w:lang w:eastAsia="en-GB"/>
              </w:rPr>
              <w:t>2</w:t>
            </w:r>
          </w:p>
        </w:tc>
      </w:tr>
      <w:tr w:rsidR="00A022DF" w:rsidRPr="00E87E42" w14:paraId="2307CAC7" w14:textId="77777777" w:rsidTr="00E801B3">
        <w:trPr>
          <w:trHeight w:val="227"/>
        </w:trPr>
        <w:tc>
          <w:tcPr>
            <w:tcW w:w="55" w:type="pct"/>
            <w:tcBorders>
              <w:top w:val="nil"/>
              <w:left w:val="nil"/>
              <w:bottom w:val="nil"/>
              <w:right w:val="nil"/>
            </w:tcBorders>
            <w:shd w:val="clear" w:color="auto" w:fill="auto"/>
            <w:noWrap/>
            <w:vAlign w:val="bottom"/>
            <w:hideMark/>
          </w:tcPr>
          <w:p w14:paraId="7037352C" w14:textId="77777777" w:rsidR="00A022DF" w:rsidRPr="00E87E42" w:rsidRDefault="00A022DF" w:rsidP="00A022DF">
            <w:pPr>
              <w:spacing w:after="0" w:line="240" w:lineRule="auto"/>
              <w:jc w:val="center"/>
              <w:rPr>
                <w:rFonts w:eastAsia="Times New Roman"/>
                <w:b/>
                <w:bCs/>
                <w:color w:val="000000"/>
                <w:sz w:val="16"/>
                <w:szCs w:val="16"/>
                <w:u w:val="single"/>
                <w:lang w:eastAsia="en-GB"/>
              </w:rPr>
            </w:pPr>
          </w:p>
        </w:tc>
        <w:tc>
          <w:tcPr>
            <w:tcW w:w="115" w:type="pct"/>
            <w:vMerge w:val="restart"/>
            <w:tcBorders>
              <w:top w:val="nil"/>
              <w:left w:val="single" w:sz="4" w:space="0" w:color="auto"/>
              <w:bottom w:val="nil"/>
              <w:right w:val="single" w:sz="4" w:space="0" w:color="auto"/>
            </w:tcBorders>
            <w:shd w:val="clear" w:color="auto" w:fill="auto"/>
            <w:noWrap/>
            <w:vAlign w:val="center"/>
            <w:hideMark/>
          </w:tcPr>
          <w:p w14:paraId="10FFD0F3" w14:textId="7028E7B4"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w:t>
            </w:r>
          </w:p>
        </w:tc>
        <w:tc>
          <w:tcPr>
            <w:tcW w:w="882"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40FFA669" w14:textId="016482B2"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Minor</w:t>
            </w:r>
          </w:p>
        </w:tc>
        <w:tc>
          <w:tcPr>
            <w:tcW w:w="912"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2A9FE376" w14:textId="1BC61A45"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Significantly</w:t>
            </w:r>
          </w:p>
        </w:tc>
        <w:tc>
          <w:tcPr>
            <w:tcW w:w="852"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52E5ED20" w14:textId="5532B129"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Heavy</w:t>
            </w:r>
          </w:p>
        </w:tc>
        <w:tc>
          <w:tcPr>
            <w:tcW w:w="912"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59C6B47F" w14:textId="25527505"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Extreme</w:t>
            </w:r>
          </w:p>
        </w:tc>
        <w:tc>
          <w:tcPr>
            <w:tcW w:w="375" w:type="pct"/>
            <w:vMerge w:val="restart"/>
            <w:tcBorders>
              <w:top w:val="nil"/>
              <w:left w:val="single" w:sz="4" w:space="0" w:color="auto"/>
              <w:bottom w:val="nil"/>
              <w:right w:val="single" w:sz="4" w:space="0" w:color="auto"/>
            </w:tcBorders>
            <w:shd w:val="clear" w:color="auto" w:fill="auto"/>
            <w:noWrap/>
            <w:vAlign w:val="center"/>
            <w:hideMark/>
          </w:tcPr>
          <w:p w14:paraId="543EA2E7" w14:textId="77777777" w:rsidR="00A022DF" w:rsidRPr="00E87E42" w:rsidRDefault="00A022DF" w:rsidP="00A022D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 xml:space="preserve">Weighted area </w:t>
            </w:r>
          </w:p>
          <w:p w14:paraId="680BE8D4" w14:textId="7258D05E" w:rsidR="00A022DF" w:rsidRPr="00E87E42" w:rsidRDefault="00A022DF" w:rsidP="00A022D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damage</w:t>
            </w:r>
          </w:p>
          <w:p w14:paraId="37075E1B" w14:textId="2BEFFE3C"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449"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30B1EFDA" w14:textId="5CD68BB5"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48"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54B40F5" w14:textId="69AFC75A"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F+U</w:t>
            </w:r>
          </w:p>
        </w:tc>
      </w:tr>
      <w:tr w:rsidR="00A022DF" w:rsidRPr="00E87E42" w14:paraId="1840E9EE" w14:textId="77777777" w:rsidTr="00E801B3">
        <w:trPr>
          <w:trHeight w:val="227"/>
        </w:trPr>
        <w:tc>
          <w:tcPr>
            <w:tcW w:w="55" w:type="pct"/>
            <w:tcBorders>
              <w:top w:val="nil"/>
              <w:left w:val="nil"/>
              <w:bottom w:val="nil"/>
              <w:right w:val="nil"/>
            </w:tcBorders>
            <w:shd w:val="clear" w:color="auto" w:fill="auto"/>
            <w:noWrap/>
            <w:vAlign w:val="bottom"/>
            <w:hideMark/>
          </w:tcPr>
          <w:p w14:paraId="7CFAEA9D" w14:textId="77777777" w:rsidR="00A022DF" w:rsidRPr="00E87E42" w:rsidRDefault="00A022DF" w:rsidP="00A022DF">
            <w:pPr>
              <w:spacing w:after="0" w:line="240" w:lineRule="auto"/>
              <w:jc w:val="center"/>
              <w:rPr>
                <w:rFonts w:eastAsia="Times New Roman"/>
                <w:color w:val="000000"/>
                <w:sz w:val="16"/>
                <w:szCs w:val="16"/>
                <w:lang w:eastAsia="en-GB"/>
              </w:rPr>
            </w:pPr>
          </w:p>
        </w:tc>
        <w:tc>
          <w:tcPr>
            <w:tcW w:w="115" w:type="pct"/>
            <w:vMerge/>
            <w:tcBorders>
              <w:top w:val="nil"/>
              <w:left w:val="single" w:sz="4" w:space="0" w:color="auto"/>
              <w:bottom w:val="nil"/>
              <w:right w:val="single" w:sz="4" w:space="0" w:color="auto"/>
            </w:tcBorders>
            <w:vAlign w:val="center"/>
            <w:hideMark/>
          </w:tcPr>
          <w:p w14:paraId="41077D53"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85" w:type="pct"/>
            <w:vMerge w:val="restart"/>
            <w:tcBorders>
              <w:top w:val="nil"/>
              <w:left w:val="single" w:sz="4" w:space="0" w:color="auto"/>
              <w:bottom w:val="nil"/>
              <w:right w:val="nil"/>
            </w:tcBorders>
            <w:shd w:val="clear" w:color="auto" w:fill="auto"/>
            <w:noWrap/>
            <w:vAlign w:val="center"/>
            <w:hideMark/>
          </w:tcPr>
          <w:p w14:paraId="575FAF65" w14:textId="56E3B3D2"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1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D89228" w14:textId="7311ACF2"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89" w:type="pct"/>
            <w:vMerge w:val="restart"/>
            <w:tcBorders>
              <w:top w:val="nil"/>
              <w:left w:val="single" w:sz="4" w:space="0" w:color="auto"/>
              <w:bottom w:val="nil"/>
              <w:right w:val="single" w:sz="4" w:space="0" w:color="auto"/>
            </w:tcBorders>
            <w:shd w:val="clear" w:color="auto" w:fill="auto"/>
            <w:noWrap/>
            <w:vAlign w:val="center"/>
            <w:hideMark/>
          </w:tcPr>
          <w:p w14:paraId="0313A5D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6B6BC18D" w14:textId="23CE943C"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89" w:type="pct"/>
            <w:vMerge w:val="restart"/>
            <w:tcBorders>
              <w:top w:val="nil"/>
              <w:left w:val="single" w:sz="4" w:space="0" w:color="auto"/>
              <w:bottom w:val="nil"/>
              <w:right w:val="single" w:sz="4" w:space="0" w:color="auto"/>
            </w:tcBorders>
            <w:shd w:val="clear" w:color="auto" w:fill="auto"/>
            <w:noWrap/>
            <w:vAlign w:val="center"/>
            <w:hideMark/>
          </w:tcPr>
          <w:p w14:paraId="36A3A7E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1FED20D5" w14:textId="3F6C4BCA"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85" w:type="pct"/>
            <w:vMerge w:val="restart"/>
            <w:tcBorders>
              <w:top w:val="nil"/>
              <w:left w:val="single" w:sz="4" w:space="0" w:color="auto"/>
              <w:bottom w:val="nil"/>
              <w:right w:val="single" w:sz="4" w:space="0" w:color="auto"/>
            </w:tcBorders>
            <w:shd w:val="clear" w:color="auto" w:fill="auto"/>
            <w:noWrap/>
            <w:vAlign w:val="center"/>
            <w:hideMark/>
          </w:tcPr>
          <w:p w14:paraId="6711405A" w14:textId="12CB58E2"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1BDEA6A5" w14:textId="721C176E"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219" w:type="pct"/>
            <w:vMerge w:val="restart"/>
            <w:tcBorders>
              <w:top w:val="nil"/>
              <w:left w:val="single" w:sz="4" w:space="0" w:color="auto"/>
              <w:bottom w:val="nil"/>
              <w:right w:val="single" w:sz="4" w:space="0" w:color="auto"/>
            </w:tcBorders>
            <w:shd w:val="clear" w:color="auto" w:fill="auto"/>
            <w:noWrap/>
            <w:vAlign w:val="center"/>
            <w:hideMark/>
          </w:tcPr>
          <w:p w14:paraId="50F5922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47ABDBA3" w14:textId="77F3D0CE"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89" w:type="pct"/>
            <w:vMerge w:val="restart"/>
            <w:tcBorders>
              <w:top w:val="nil"/>
              <w:left w:val="single" w:sz="4" w:space="0" w:color="auto"/>
              <w:bottom w:val="nil"/>
              <w:right w:val="single" w:sz="4" w:space="0" w:color="auto"/>
            </w:tcBorders>
            <w:shd w:val="clear" w:color="auto" w:fill="auto"/>
            <w:noWrap/>
            <w:vAlign w:val="center"/>
            <w:hideMark/>
          </w:tcPr>
          <w:p w14:paraId="59E33DB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2715D1EF" w14:textId="7DC3EB06"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85" w:type="pct"/>
            <w:vMerge w:val="restart"/>
            <w:tcBorders>
              <w:top w:val="nil"/>
              <w:left w:val="single" w:sz="4" w:space="0" w:color="auto"/>
              <w:bottom w:val="nil"/>
              <w:right w:val="single" w:sz="4" w:space="0" w:color="auto"/>
            </w:tcBorders>
            <w:shd w:val="clear" w:color="auto" w:fill="auto"/>
            <w:noWrap/>
            <w:vAlign w:val="center"/>
            <w:hideMark/>
          </w:tcPr>
          <w:p w14:paraId="0B238FE0" w14:textId="35C167D1"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1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E5333E1" w14:textId="5F7F8EBE"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89" w:type="pct"/>
            <w:vMerge w:val="restart"/>
            <w:tcBorders>
              <w:top w:val="nil"/>
              <w:left w:val="single" w:sz="4" w:space="0" w:color="auto"/>
              <w:bottom w:val="nil"/>
              <w:right w:val="single" w:sz="4" w:space="0" w:color="auto"/>
            </w:tcBorders>
            <w:shd w:val="clear" w:color="auto" w:fill="auto"/>
            <w:noWrap/>
            <w:vAlign w:val="center"/>
            <w:hideMark/>
          </w:tcPr>
          <w:p w14:paraId="39699DA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08FA1EBA" w14:textId="23D11816"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59" w:type="pct"/>
            <w:vMerge w:val="restart"/>
            <w:tcBorders>
              <w:top w:val="nil"/>
              <w:left w:val="single" w:sz="4" w:space="0" w:color="auto"/>
              <w:bottom w:val="nil"/>
              <w:right w:val="single" w:sz="4" w:space="0" w:color="auto"/>
            </w:tcBorders>
            <w:shd w:val="clear" w:color="auto" w:fill="auto"/>
            <w:noWrap/>
            <w:vAlign w:val="center"/>
            <w:hideMark/>
          </w:tcPr>
          <w:p w14:paraId="3641C18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7E796CE7" w14:textId="13AAB469"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85" w:type="pct"/>
            <w:vMerge w:val="restart"/>
            <w:tcBorders>
              <w:top w:val="nil"/>
              <w:left w:val="single" w:sz="4" w:space="0" w:color="auto"/>
              <w:bottom w:val="nil"/>
              <w:right w:val="single" w:sz="4" w:space="0" w:color="auto"/>
            </w:tcBorders>
            <w:shd w:val="clear" w:color="auto" w:fill="auto"/>
            <w:noWrap/>
            <w:vAlign w:val="center"/>
            <w:hideMark/>
          </w:tcPr>
          <w:p w14:paraId="1353E7FC" w14:textId="720C1EDA"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19" w:type="pct"/>
            <w:gridSpan w:val="2"/>
            <w:tcBorders>
              <w:top w:val="single" w:sz="4" w:space="0" w:color="auto"/>
              <w:left w:val="nil"/>
              <w:bottom w:val="nil"/>
              <w:right w:val="single" w:sz="4" w:space="0" w:color="000000"/>
            </w:tcBorders>
            <w:shd w:val="clear" w:color="auto" w:fill="auto"/>
            <w:noWrap/>
            <w:vAlign w:val="bottom"/>
            <w:hideMark/>
          </w:tcPr>
          <w:p w14:paraId="14F77103" w14:textId="20127B26"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219" w:type="pct"/>
            <w:vMerge w:val="restart"/>
            <w:tcBorders>
              <w:top w:val="nil"/>
              <w:left w:val="single" w:sz="4" w:space="0" w:color="auto"/>
              <w:bottom w:val="nil"/>
              <w:right w:val="single" w:sz="4" w:space="0" w:color="auto"/>
            </w:tcBorders>
            <w:shd w:val="clear" w:color="auto" w:fill="auto"/>
            <w:noWrap/>
            <w:vAlign w:val="center"/>
            <w:hideMark/>
          </w:tcPr>
          <w:p w14:paraId="4623E82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73B737FC" w14:textId="6A8E5365"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89" w:type="pct"/>
            <w:vMerge w:val="restart"/>
            <w:tcBorders>
              <w:top w:val="nil"/>
              <w:left w:val="single" w:sz="4" w:space="0" w:color="auto"/>
              <w:bottom w:val="nil"/>
              <w:right w:val="single" w:sz="4" w:space="0" w:color="auto"/>
            </w:tcBorders>
            <w:shd w:val="clear" w:color="auto" w:fill="auto"/>
            <w:noWrap/>
            <w:vAlign w:val="center"/>
            <w:hideMark/>
          </w:tcPr>
          <w:p w14:paraId="4A8DF27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56EBABB7" w14:textId="429BB7A4"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375" w:type="pct"/>
            <w:vMerge/>
            <w:tcBorders>
              <w:top w:val="nil"/>
              <w:left w:val="single" w:sz="4" w:space="0" w:color="auto"/>
              <w:bottom w:val="nil"/>
              <w:right w:val="single" w:sz="4" w:space="0" w:color="auto"/>
            </w:tcBorders>
            <w:vAlign w:val="center"/>
            <w:hideMark/>
          </w:tcPr>
          <w:p w14:paraId="2A277E59"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449" w:type="pct"/>
            <w:gridSpan w:val="2"/>
            <w:vMerge/>
            <w:tcBorders>
              <w:top w:val="single" w:sz="4" w:space="0" w:color="auto"/>
              <w:left w:val="single" w:sz="4" w:space="0" w:color="auto"/>
              <w:bottom w:val="single" w:sz="4" w:space="0" w:color="000000"/>
              <w:right w:val="nil"/>
            </w:tcBorders>
            <w:vAlign w:val="center"/>
            <w:hideMark/>
          </w:tcPr>
          <w:p w14:paraId="4826E144"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448" w:type="pct"/>
            <w:gridSpan w:val="2"/>
            <w:vMerge/>
            <w:tcBorders>
              <w:top w:val="single" w:sz="4" w:space="0" w:color="auto"/>
              <w:left w:val="single" w:sz="4" w:space="0" w:color="auto"/>
              <w:bottom w:val="single" w:sz="4" w:space="0" w:color="000000"/>
              <w:right w:val="single" w:sz="4" w:space="0" w:color="000000"/>
            </w:tcBorders>
            <w:vAlign w:val="center"/>
            <w:hideMark/>
          </w:tcPr>
          <w:p w14:paraId="169CCBBE" w14:textId="77777777" w:rsidR="00A022DF" w:rsidRPr="00E87E42" w:rsidRDefault="00A022DF" w:rsidP="00A022DF">
            <w:pPr>
              <w:spacing w:after="0" w:line="240" w:lineRule="auto"/>
              <w:jc w:val="left"/>
              <w:rPr>
                <w:rFonts w:eastAsia="Times New Roman"/>
                <w:color w:val="000000"/>
                <w:sz w:val="16"/>
                <w:szCs w:val="16"/>
                <w:lang w:eastAsia="en-GB"/>
              </w:rPr>
            </w:pPr>
          </w:p>
        </w:tc>
      </w:tr>
      <w:tr w:rsidR="00AD472B" w:rsidRPr="00E87E42" w14:paraId="6BB054A0" w14:textId="77777777" w:rsidTr="00A446AC">
        <w:trPr>
          <w:trHeight w:val="227"/>
        </w:trPr>
        <w:tc>
          <w:tcPr>
            <w:tcW w:w="55" w:type="pct"/>
            <w:tcBorders>
              <w:top w:val="nil"/>
              <w:left w:val="nil"/>
              <w:bottom w:val="single" w:sz="4" w:space="0" w:color="auto"/>
              <w:right w:val="single" w:sz="4" w:space="0" w:color="auto"/>
            </w:tcBorders>
            <w:shd w:val="clear" w:color="auto" w:fill="auto"/>
            <w:noWrap/>
            <w:vAlign w:val="bottom"/>
            <w:hideMark/>
          </w:tcPr>
          <w:p w14:paraId="0D5B01E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w:t>
            </w:r>
          </w:p>
        </w:tc>
        <w:tc>
          <w:tcPr>
            <w:tcW w:w="115" w:type="pct"/>
            <w:vMerge/>
            <w:tcBorders>
              <w:top w:val="nil"/>
              <w:left w:val="single" w:sz="4" w:space="0" w:color="auto"/>
              <w:bottom w:val="nil"/>
              <w:right w:val="single" w:sz="4" w:space="0" w:color="auto"/>
            </w:tcBorders>
            <w:vAlign w:val="center"/>
            <w:hideMark/>
          </w:tcPr>
          <w:p w14:paraId="776444AB"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85" w:type="pct"/>
            <w:vMerge/>
            <w:tcBorders>
              <w:top w:val="nil"/>
              <w:left w:val="single" w:sz="4" w:space="0" w:color="auto"/>
              <w:bottom w:val="nil"/>
              <w:right w:val="nil"/>
            </w:tcBorders>
            <w:vAlign w:val="center"/>
            <w:hideMark/>
          </w:tcPr>
          <w:p w14:paraId="5CAB40D7"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09" w:type="pct"/>
            <w:tcBorders>
              <w:top w:val="nil"/>
              <w:left w:val="single" w:sz="4" w:space="0" w:color="auto"/>
              <w:bottom w:val="nil"/>
              <w:right w:val="single" w:sz="4" w:space="0" w:color="auto"/>
            </w:tcBorders>
            <w:shd w:val="clear" w:color="auto" w:fill="auto"/>
            <w:noWrap/>
            <w:vAlign w:val="bottom"/>
            <w:hideMark/>
          </w:tcPr>
          <w:p w14:paraId="30E36786" w14:textId="22B571F4"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0" w:type="pct"/>
            <w:tcBorders>
              <w:top w:val="nil"/>
              <w:left w:val="nil"/>
              <w:bottom w:val="nil"/>
              <w:right w:val="single" w:sz="4" w:space="0" w:color="auto"/>
            </w:tcBorders>
            <w:shd w:val="clear" w:color="auto" w:fill="auto"/>
            <w:noWrap/>
            <w:vAlign w:val="bottom"/>
            <w:hideMark/>
          </w:tcPr>
          <w:p w14:paraId="1F075D58" w14:textId="25E16E0A"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89" w:type="pct"/>
            <w:vMerge/>
            <w:tcBorders>
              <w:top w:val="nil"/>
              <w:left w:val="single" w:sz="4" w:space="0" w:color="auto"/>
              <w:bottom w:val="nil"/>
              <w:right w:val="single" w:sz="4" w:space="0" w:color="auto"/>
            </w:tcBorders>
            <w:vAlign w:val="center"/>
            <w:hideMark/>
          </w:tcPr>
          <w:p w14:paraId="7894AE64"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89" w:type="pct"/>
            <w:vMerge/>
            <w:tcBorders>
              <w:top w:val="nil"/>
              <w:left w:val="single" w:sz="4" w:space="0" w:color="auto"/>
              <w:bottom w:val="nil"/>
              <w:right w:val="single" w:sz="4" w:space="0" w:color="auto"/>
            </w:tcBorders>
            <w:vAlign w:val="center"/>
            <w:hideMark/>
          </w:tcPr>
          <w:p w14:paraId="7AF31FB8"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85" w:type="pct"/>
            <w:vMerge/>
            <w:tcBorders>
              <w:top w:val="nil"/>
              <w:left w:val="single" w:sz="4" w:space="0" w:color="auto"/>
              <w:bottom w:val="nil"/>
              <w:right w:val="single" w:sz="4" w:space="0" w:color="auto"/>
            </w:tcBorders>
            <w:vAlign w:val="center"/>
            <w:hideMark/>
          </w:tcPr>
          <w:p w14:paraId="5C14DD8A"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09" w:type="pct"/>
            <w:tcBorders>
              <w:top w:val="nil"/>
              <w:left w:val="nil"/>
              <w:bottom w:val="nil"/>
              <w:right w:val="single" w:sz="4" w:space="0" w:color="auto"/>
            </w:tcBorders>
            <w:shd w:val="clear" w:color="auto" w:fill="auto"/>
            <w:noWrap/>
            <w:vAlign w:val="bottom"/>
            <w:hideMark/>
          </w:tcPr>
          <w:p w14:paraId="2783CF2D" w14:textId="54474BA6"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0" w:type="pct"/>
            <w:tcBorders>
              <w:top w:val="nil"/>
              <w:left w:val="nil"/>
              <w:bottom w:val="nil"/>
              <w:right w:val="single" w:sz="4" w:space="0" w:color="auto"/>
            </w:tcBorders>
            <w:shd w:val="clear" w:color="auto" w:fill="auto"/>
            <w:noWrap/>
            <w:vAlign w:val="bottom"/>
            <w:hideMark/>
          </w:tcPr>
          <w:p w14:paraId="06AFB53D" w14:textId="4E2E0D39"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219" w:type="pct"/>
            <w:vMerge/>
            <w:tcBorders>
              <w:top w:val="nil"/>
              <w:left w:val="single" w:sz="4" w:space="0" w:color="auto"/>
              <w:bottom w:val="nil"/>
              <w:right w:val="single" w:sz="4" w:space="0" w:color="auto"/>
            </w:tcBorders>
            <w:vAlign w:val="center"/>
            <w:hideMark/>
          </w:tcPr>
          <w:p w14:paraId="1DC88801"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89" w:type="pct"/>
            <w:vMerge/>
            <w:tcBorders>
              <w:top w:val="nil"/>
              <w:left w:val="single" w:sz="4" w:space="0" w:color="auto"/>
              <w:bottom w:val="nil"/>
              <w:right w:val="single" w:sz="4" w:space="0" w:color="auto"/>
            </w:tcBorders>
            <w:vAlign w:val="center"/>
            <w:hideMark/>
          </w:tcPr>
          <w:p w14:paraId="31165399"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85" w:type="pct"/>
            <w:vMerge/>
            <w:tcBorders>
              <w:top w:val="nil"/>
              <w:left w:val="single" w:sz="4" w:space="0" w:color="auto"/>
              <w:bottom w:val="nil"/>
              <w:right w:val="single" w:sz="4" w:space="0" w:color="auto"/>
            </w:tcBorders>
            <w:vAlign w:val="center"/>
            <w:hideMark/>
          </w:tcPr>
          <w:p w14:paraId="4091E821"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09" w:type="pct"/>
            <w:tcBorders>
              <w:top w:val="nil"/>
              <w:left w:val="nil"/>
              <w:bottom w:val="nil"/>
              <w:right w:val="single" w:sz="4" w:space="0" w:color="auto"/>
            </w:tcBorders>
            <w:shd w:val="clear" w:color="auto" w:fill="auto"/>
            <w:noWrap/>
            <w:vAlign w:val="bottom"/>
            <w:hideMark/>
          </w:tcPr>
          <w:p w14:paraId="388301C5" w14:textId="57BE2F74"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0" w:type="pct"/>
            <w:tcBorders>
              <w:top w:val="nil"/>
              <w:left w:val="nil"/>
              <w:bottom w:val="nil"/>
              <w:right w:val="single" w:sz="4" w:space="0" w:color="auto"/>
            </w:tcBorders>
            <w:shd w:val="clear" w:color="auto" w:fill="auto"/>
            <w:noWrap/>
            <w:vAlign w:val="bottom"/>
            <w:hideMark/>
          </w:tcPr>
          <w:p w14:paraId="14E7BCDC" w14:textId="362F56A0"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89" w:type="pct"/>
            <w:vMerge/>
            <w:tcBorders>
              <w:top w:val="nil"/>
              <w:left w:val="single" w:sz="4" w:space="0" w:color="auto"/>
              <w:bottom w:val="nil"/>
              <w:right w:val="single" w:sz="4" w:space="0" w:color="auto"/>
            </w:tcBorders>
            <w:vAlign w:val="center"/>
            <w:hideMark/>
          </w:tcPr>
          <w:p w14:paraId="1944F2AE"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59" w:type="pct"/>
            <w:vMerge/>
            <w:tcBorders>
              <w:top w:val="nil"/>
              <w:left w:val="single" w:sz="4" w:space="0" w:color="auto"/>
              <w:bottom w:val="nil"/>
              <w:right w:val="single" w:sz="4" w:space="0" w:color="auto"/>
            </w:tcBorders>
            <w:vAlign w:val="center"/>
            <w:hideMark/>
          </w:tcPr>
          <w:p w14:paraId="051EBDE1"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85" w:type="pct"/>
            <w:vMerge/>
            <w:tcBorders>
              <w:top w:val="nil"/>
              <w:left w:val="single" w:sz="4" w:space="0" w:color="auto"/>
              <w:bottom w:val="nil"/>
              <w:right w:val="single" w:sz="4" w:space="0" w:color="auto"/>
            </w:tcBorders>
            <w:vAlign w:val="center"/>
            <w:hideMark/>
          </w:tcPr>
          <w:p w14:paraId="07670ADA"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09" w:type="pct"/>
            <w:tcBorders>
              <w:top w:val="single" w:sz="4" w:space="0" w:color="auto"/>
              <w:left w:val="nil"/>
              <w:bottom w:val="nil"/>
              <w:right w:val="single" w:sz="4" w:space="0" w:color="auto"/>
            </w:tcBorders>
            <w:shd w:val="clear" w:color="auto" w:fill="auto"/>
            <w:noWrap/>
            <w:vAlign w:val="bottom"/>
            <w:hideMark/>
          </w:tcPr>
          <w:p w14:paraId="171803D2" w14:textId="511AF7AA"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0" w:type="pct"/>
            <w:tcBorders>
              <w:top w:val="single" w:sz="4" w:space="0" w:color="auto"/>
              <w:left w:val="nil"/>
              <w:bottom w:val="nil"/>
              <w:right w:val="single" w:sz="4" w:space="0" w:color="auto"/>
            </w:tcBorders>
            <w:shd w:val="clear" w:color="auto" w:fill="auto"/>
            <w:noWrap/>
            <w:vAlign w:val="bottom"/>
            <w:hideMark/>
          </w:tcPr>
          <w:p w14:paraId="0F5752BA" w14:textId="129C0FCC"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219" w:type="pct"/>
            <w:vMerge/>
            <w:tcBorders>
              <w:top w:val="nil"/>
              <w:left w:val="single" w:sz="4" w:space="0" w:color="auto"/>
              <w:bottom w:val="nil"/>
              <w:right w:val="single" w:sz="4" w:space="0" w:color="auto"/>
            </w:tcBorders>
            <w:vAlign w:val="center"/>
            <w:hideMark/>
          </w:tcPr>
          <w:p w14:paraId="240D6F55"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89" w:type="pct"/>
            <w:vMerge/>
            <w:tcBorders>
              <w:top w:val="nil"/>
              <w:left w:val="single" w:sz="4" w:space="0" w:color="auto"/>
              <w:bottom w:val="nil"/>
              <w:right w:val="single" w:sz="4" w:space="0" w:color="auto"/>
            </w:tcBorders>
            <w:vAlign w:val="center"/>
            <w:hideMark/>
          </w:tcPr>
          <w:p w14:paraId="3274C77A"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375" w:type="pct"/>
            <w:vMerge/>
            <w:tcBorders>
              <w:top w:val="nil"/>
              <w:left w:val="single" w:sz="4" w:space="0" w:color="auto"/>
              <w:bottom w:val="nil"/>
              <w:right w:val="single" w:sz="4" w:space="0" w:color="auto"/>
            </w:tcBorders>
            <w:vAlign w:val="center"/>
            <w:hideMark/>
          </w:tcPr>
          <w:p w14:paraId="4515649E"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09" w:type="pct"/>
            <w:tcBorders>
              <w:top w:val="nil"/>
              <w:left w:val="nil"/>
              <w:bottom w:val="nil"/>
              <w:right w:val="nil"/>
            </w:tcBorders>
            <w:shd w:val="clear" w:color="auto" w:fill="auto"/>
            <w:noWrap/>
            <w:vAlign w:val="bottom"/>
            <w:hideMark/>
          </w:tcPr>
          <w:p w14:paraId="60C1DE4F" w14:textId="4966FD71"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0" w:type="pct"/>
            <w:tcBorders>
              <w:top w:val="nil"/>
              <w:left w:val="single" w:sz="4" w:space="0" w:color="auto"/>
              <w:bottom w:val="nil"/>
              <w:right w:val="single" w:sz="4" w:space="0" w:color="auto"/>
            </w:tcBorders>
            <w:shd w:val="clear" w:color="auto" w:fill="auto"/>
            <w:noWrap/>
            <w:vAlign w:val="bottom"/>
            <w:hideMark/>
          </w:tcPr>
          <w:p w14:paraId="087A5F89" w14:textId="4CB29C62"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c>
          <w:tcPr>
            <w:tcW w:w="209" w:type="pct"/>
            <w:tcBorders>
              <w:top w:val="nil"/>
              <w:left w:val="nil"/>
              <w:bottom w:val="nil"/>
              <w:right w:val="nil"/>
            </w:tcBorders>
            <w:shd w:val="clear" w:color="auto" w:fill="auto"/>
            <w:noWrap/>
            <w:vAlign w:val="bottom"/>
            <w:hideMark/>
          </w:tcPr>
          <w:p w14:paraId="59AFAE49" w14:textId="01FA1774"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39" w:type="pct"/>
            <w:tcBorders>
              <w:top w:val="nil"/>
              <w:left w:val="single" w:sz="4" w:space="0" w:color="auto"/>
              <w:bottom w:val="nil"/>
              <w:right w:val="single" w:sz="4" w:space="0" w:color="auto"/>
            </w:tcBorders>
            <w:shd w:val="clear" w:color="auto" w:fill="auto"/>
            <w:noWrap/>
            <w:vAlign w:val="bottom"/>
            <w:hideMark/>
          </w:tcPr>
          <w:p w14:paraId="43BE041B" w14:textId="45C0AC7C"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r>
      <w:tr w:rsidR="00A022DF" w:rsidRPr="00E87E42" w14:paraId="2231D1AF" w14:textId="77777777" w:rsidTr="00E801B3">
        <w:trPr>
          <w:trHeight w:val="227"/>
        </w:trPr>
        <w:tc>
          <w:tcPr>
            <w:tcW w:w="55" w:type="pct"/>
            <w:tcBorders>
              <w:top w:val="nil"/>
              <w:left w:val="single" w:sz="4" w:space="0" w:color="auto"/>
              <w:bottom w:val="single" w:sz="4" w:space="0" w:color="auto"/>
              <w:right w:val="nil"/>
            </w:tcBorders>
            <w:shd w:val="clear" w:color="auto" w:fill="auto"/>
            <w:noWrap/>
            <w:vAlign w:val="bottom"/>
            <w:hideMark/>
          </w:tcPr>
          <w:p w14:paraId="66AB6FA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115" w:type="pct"/>
            <w:tcBorders>
              <w:top w:val="single" w:sz="4" w:space="0" w:color="auto"/>
              <w:left w:val="single" w:sz="4" w:space="0" w:color="auto"/>
              <w:bottom w:val="single" w:sz="4" w:space="0" w:color="808080"/>
              <w:right w:val="single" w:sz="4" w:space="0" w:color="auto"/>
            </w:tcBorders>
            <w:shd w:val="clear" w:color="auto" w:fill="auto"/>
            <w:noWrap/>
            <w:vAlign w:val="bottom"/>
            <w:hideMark/>
          </w:tcPr>
          <w:p w14:paraId="59E6C79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w:t>
            </w:r>
          </w:p>
        </w:tc>
        <w:tc>
          <w:tcPr>
            <w:tcW w:w="85" w:type="pct"/>
            <w:tcBorders>
              <w:top w:val="single" w:sz="4" w:space="0" w:color="auto"/>
              <w:left w:val="nil"/>
              <w:bottom w:val="single" w:sz="4" w:space="0" w:color="808080"/>
              <w:right w:val="single" w:sz="4" w:space="0" w:color="808080"/>
            </w:tcBorders>
            <w:shd w:val="clear" w:color="auto" w:fill="auto"/>
            <w:noWrap/>
            <w:vAlign w:val="bottom"/>
            <w:hideMark/>
          </w:tcPr>
          <w:p w14:paraId="05848E2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494D556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78.26%</w:t>
            </w:r>
          </w:p>
        </w:tc>
        <w:tc>
          <w:tcPr>
            <w:tcW w:w="210" w:type="pct"/>
            <w:tcBorders>
              <w:top w:val="single" w:sz="4" w:space="0" w:color="auto"/>
              <w:left w:val="nil"/>
              <w:bottom w:val="single" w:sz="4" w:space="0" w:color="808080"/>
              <w:right w:val="single" w:sz="4" w:space="0" w:color="808080"/>
            </w:tcBorders>
            <w:shd w:val="clear" w:color="auto" w:fill="auto"/>
            <w:noWrap/>
            <w:vAlign w:val="bottom"/>
            <w:hideMark/>
          </w:tcPr>
          <w:p w14:paraId="36D1A92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21.69%</w:t>
            </w:r>
          </w:p>
        </w:tc>
        <w:tc>
          <w:tcPr>
            <w:tcW w:w="189" w:type="pct"/>
            <w:tcBorders>
              <w:top w:val="single" w:sz="4" w:space="0" w:color="auto"/>
              <w:left w:val="nil"/>
              <w:bottom w:val="single" w:sz="4" w:space="0" w:color="808080"/>
              <w:right w:val="single" w:sz="4" w:space="0" w:color="808080"/>
            </w:tcBorders>
            <w:shd w:val="clear" w:color="auto" w:fill="auto"/>
            <w:noWrap/>
            <w:vAlign w:val="bottom"/>
            <w:hideMark/>
          </w:tcPr>
          <w:p w14:paraId="2453367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10.93</w:t>
            </w:r>
          </w:p>
        </w:tc>
        <w:tc>
          <w:tcPr>
            <w:tcW w:w="189" w:type="pct"/>
            <w:tcBorders>
              <w:top w:val="single" w:sz="4" w:space="0" w:color="auto"/>
              <w:left w:val="nil"/>
              <w:bottom w:val="single" w:sz="4" w:space="0" w:color="808080"/>
              <w:right w:val="nil"/>
            </w:tcBorders>
            <w:shd w:val="clear" w:color="auto" w:fill="auto"/>
            <w:noWrap/>
            <w:vAlign w:val="bottom"/>
            <w:hideMark/>
          </w:tcPr>
          <w:p w14:paraId="275DC31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10.93</w:t>
            </w:r>
          </w:p>
        </w:tc>
        <w:tc>
          <w:tcPr>
            <w:tcW w:w="85" w:type="pct"/>
            <w:tcBorders>
              <w:top w:val="single" w:sz="4" w:space="0" w:color="auto"/>
              <w:left w:val="single" w:sz="4" w:space="0" w:color="auto"/>
              <w:bottom w:val="single" w:sz="4" w:space="0" w:color="808080"/>
              <w:right w:val="single" w:sz="4" w:space="0" w:color="808080"/>
            </w:tcBorders>
            <w:shd w:val="clear" w:color="auto" w:fill="auto"/>
            <w:noWrap/>
            <w:vAlign w:val="bottom"/>
            <w:hideMark/>
          </w:tcPr>
          <w:p w14:paraId="5311D18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6D9FD3C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4.35%</w:t>
            </w:r>
          </w:p>
        </w:tc>
        <w:tc>
          <w:tcPr>
            <w:tcW w:w="210" w:type="pct"/>
            <w:tcBorders>
              <w:top w:val="single" w:sz="4" w:space="0" w:color="auto"/>
              <w:left w:val="nil"/>
              <w:bottom w:val="single" w:sz="4" w:space="0" w:color="808080"/>
              <w:right w:val="single" w:sz="4" w:space="0" w:color="808080"/>
            </w:tcBorders>
            <w:shd w:val="clear" w:color="auto" w:fill="auto"/>
            <w:noWrap/>
            <w:vAlign w:val="bottom"/>
            <w:hideMark/>
          </w:tcPr>
          <w:p w14:paraId="278D3C5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4.00%</w:t>
            </w:r>
          </w:p>
        </w:tc>
        <w:tc>
          <w:tcPr>
            <w:tcW w:w="219" w:type="pct"/>
            <w:tcBorders>
              <w:top w:val="single" w:sz="4" w:space="0" w:color="auto"/>
              <w:left w:val="nil"/>
              <w:bottom w:val="single" w:sz="4" w:space="0" w:color="808080"/>
              <w:right w:val="single" w:sz="4" w:space="0" w:color="808080"/>
            </w:tcBorders>
            <w:shd w:val="clear" w:color="auto" w:fill="auto"/>
            <w:noWrap/>
            <w:vAlign w:val="bottom"/>
            <w:hideMark/>
          </w:tcPr>
          <w:p w14:paraId="704F7EA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4.69</w:t>
            </w:r>
          </w:p>
        </w:tc>
        <w:tc>
          <w:tcPr>
            <w:tcW w:w="189" w:type="pct"/>
            <w:tcBorders>
              <w:top w:val="single" w:sz="4" w:space="0" w:color="auto"/>
              <w:left w:val="nil"/>
              <w:bottom w:val="single" w:sz="4" w:space="0" w:color="808080"/>
              <w:right w:val="single" w:sz="4" w:space="0" w:color="auto"/>
            </w:tcBorders>
            <w:shd w:val="clear" w:color="auto" w:fill="auto"/>
            <w:noWrap/>
            <w:vAlign w:val="bottom"/>
            <w:hideMark/>
          </w:tcPr>
          <w:p w14:paraId="34BA082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1.52</w:t>
            </w:r>
          </w:p>
        </w:tc>
        <w:tc>
          <w:tcPr>
            <w:tcW w:w="85" w:type="pct"/>
            <w:tcBorders>
              <w:top w:val="single" w:sz="4" w:space="0" w:color="auto"/>
              <w:left w:val="nil"/>
              <w:bottom w:val="single" w:sz="4" w:space="0" w:color="808080"/>
              <w:right w:val="single" w:sz="4" w:space="0" w:color="808080"/>
            </w:tcBorders>
            <w:shd w:val="clear" w:color="auto" w:fill="auto"/>
            <w:noWrap/>
            <w:vAlign w:val="bottom"/>
            <w:hideMark/>
          </w:tcPr>
          <w:p w14:paraId="5FD8CC5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1B22FFB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0" w:type="pct"/>
            <w:tcBorders>
              <w:top w:val="single" w:sz="4" w:space="0" w:color="auto"/>
              <w:left w:val="nil"/>
              <w:bottom w:val="single" w:sz="4" w:space="0" w:color="808080"/>
              <w:right w:val="single" w:sz="4" w:space="0" w:color="808080"/>
            </w:tcBorders>
            <w:shd w:val="clear" w:color="auto" w:fill="auto"/>
            <w:noWrap/>
            <w:vAlign w:val="bottom"/>
            <w:hideMark/>
          </w:tcPr>
          <w:p w14:paraId="28B8E37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89" w:type="pct"/>
            <w:tcBorders>
              <w:top w:val="single" w:sz="4" w:space="0" w:color="auto"/>
              <w:left w:val="nil"/>
              <w:bottom w:val="single" w:sz="4" w:space="0" w:color="808080"/>
              <w:right w:val="single" w:sz="4" w:space="0" w:color="808080"/>
            </w:tcBorders>
            <w:shd w:val="clear" w:color="auto" w:fill="auto"/>
            <w:noWrap/>
            <w:vAlign w:val="bottom"/>
            <w:hideMark/>
          </w:tcPr>
          <w:p w14:paraId="57FB8A8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59" w:type="pct"/>
            <w:tcBorders>
              <w:top w:val="single" w:sz="4" w:space="0" w:color="auto"/>
              <w:left w:val="nil"/>
              <w:bottom w:val="single" w:sz="4" w:space="0" w:color="808080"/>
              <w:right w:val="nil"/>
            </w:tcBorders>
            <w:shd w:val="clear" w:color="auto" w:fill="auto"/>
            <w:noWrap/>
            <w:vAlign w:val="bottom"/>
            <w:hideMark/>
          </w:tcPr>
          <w:p w14:paraId="67FF04C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85" w:type="pct"/>
            <w:tcBorders>
              <w:top w:val="single" w:sz="4" w:space="0" w:color="auto"/>
              <w:left w:val="single" w:sz="4" w:space="0" w:color="auto"/>
              <w:bottom w:val="single" w:sz="4" w:space="0" w:color="808080"/>
              <w:right w:val="single" w:sz="4" w:space="0" w:color="808080"/>
            </w:tcBorders>
            <w:shd w:val="clear" w:color="auto" w:fill="auto"/>
            <w:noWrap/>
            <w:vAlign w:val="bottom"/>
            <w:hideMark/>
          </w:tcPr>
          <w:p w14:paraId="3D676A6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436929D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17.39%</w:t>
            </w:r>
          </w:p>
        </w:tc>
        <w:tc>
          <w:tcPr>
            <w:tcW w:w="210" w:type="pct"/>
            <w:tcBorders>
              <w:top w:val="single" w:sz="4" w:space="0" w:color="auto"/>
              <w:left w:val="nil"/>
              <w:bottom w:val="single" w:sz="4" w:space="0" w:color="808080"/>
              <w:right w:val="single" w:sz="4" w:space="0" w:color="808080"/>
            </w:tcBorders>
            <w:shd w:val="clear" w:color="auto" w:fill="auto"/>
            <w:noWrap/>
            <w:vAlign w:val="bottom"/>
            <w:hideMark/>
          </w:tcPr>
          <w:p w14:paraId="3477CB3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9.52%</w:t>
            </w:r>
          </w:p>
        </w:tc>
        <w:tc>
          <w:tcPr>
            <w:tcW w:w="219" w:type="pct"/>
            <w:tcBorders>
              <w:top w:val="single" w:sz="4" w:space="0" w:color="auto"/>
              <w:left w:val="nil"/>
              <w:bottom w:val="single" w:sz="4" w:space="0" w:color="808080"/>
              <w:right w:val="single" w:sz="4" w:space="0" w:color="808080"/>
            </w:tcBorders>
            <w:shd w:val="clear" w:color="auto" w:fill="auto"/>
            <w:noWrap/>
            <w:vAlign w:val="bottom"/>
            <w:hideMark/>
          </w:tcPr>
          <w:p w14:paraId="72BBE53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288.07</w:t>
            </w:r>
          </w:p>
        </w:tc>
        <w:tc>
          <w:tcPr>
            <w:tcW w:w="189" w:type="pct"/>
            <w:tcBorders>
              <w:top w:val="single" w:sz="4" w:space="0" w:color="auto"/>
              <w:left w:val="nil"/>
              <w:bottom w:val="single" w:sz="4" w:space="0" w:color="808080"/>
              <w:right w:val="single" w:sz="4" w:space="0" w:color="auto"/>
            </w:tcBorders>
            <w:shd w:val="clear" w:color="auto" w:fill="auto"/>
            <w:noWrap/>
            <w:vAlign w:val="bottom"/>
            <w:hideMark/>
          </w:tcPr>
          <w:p w14:paraId="2D54EF2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39.28</w:t>
            </w:r>
          </w:p>
        </w:tc>
        <w:tc>
          <w:tcPr>
            <w:tcW w:w="375" w:type="pct"/>
            <w:tcBorders>
              <w:top w:val="single" w:sz="4" w:space="0" w:color="auto"/>
              <w:left w:val="nil"/>
              <w:bottom w:val="single" w:sz="4" w:space="0" w:color="808080"/>
              <w:right w:val="single" w:sz="4" w:space="0" w:color="auto"/>
            </w:tcBorders>
            <w:shd w:val="clear" w:color="auto" w:fill="auto"/>
            <w:noWrap/>
            <w:vAlign w:val="bottom"/>
            <w:hideMark/>
          </w:tcPr>
          <w:p w14:paraId="2E66ACE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58.86</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3404646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13.69%</w:t>
            </w:r>
          </w:p>
        </w:tc>
        <w:tc>
          <w:tcPr>
            <w:tcW w:w="240" w:type="pct"/>
            <w:tcBorders>
              <w:top w:val="single" w:sz="4" w:space="0" w:color="auto"/>
              <w:left w:val="nil"/>
              <w:bottom w:val="single" w:sz="4" w:space="0" w:color="808080"/>
              <w:right w:val="single" w:sz="4" w:space="0" w:color="808080"/>
            </w:tcBorders>
            <w:shd w:val="clear" w:color="auto" w:fill="auto"/>
            <w:noWrap/>
            <w:vAlign w:val="bottom"/>
            <w:hideMark/>
          </w:tcPr>
          <w:p w14:paraId="278B88C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13.69%</w:t>
            </w:r>
          </w:p>
        </w:tc>
        <w:tc>
          <w:tcPr>
            <w:tcW w:w="209" w:type="pct"/>
            <w:tcBorders>
              <w:top w:val="single" w:sz="4" w:space="0" w:color="auto"/>
              <w:left w:val="nil"/>
              <w:bottom w:val="single" w:sz="4" w:space="0" w:color="808080"/>
              <w:right w:val="single" w:sz="4" w:space="0" w:color="808080"/>
            </w:tcBorders>
            <w:shd w:val="clear" w:color="auto" w:fill="auto"/>
            <w:noWrap/>
            <w:vAlign w:val="bottom"/>
            <w:hideMark/>
          </w:tcPr>
          <w:p w14:paraId="2F0ADBD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19.59%</w:t>
            </w:r>
          </w:p>
        </w:tc>
        <w:tc>
          <w:tcPr>
            <w:tcW w:w="239" w:type="pct"/>
            <w:tcBorders>
              <w:top w:val="single" w:sz="4" w:space="0" w:color="auto"/>
              <w:left w:val="nil"/>
              <w:bottom w:val="single" w:sz="4" w:space="0" w:color="808080"/>
              <w:right w:val="single" w:sz="4" w:space="0" w:color="auto"/>
            </w:tcBorders>
            <w:shd w:val="clear" w:color="auto" w:fill="auto"/>
            <w:noWrap/>
            <w:vAlign w:val="bottom"/>
            <w:hideMark/>
          </w:tcPr>
          <w:p w14:paraId="4EA16F2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19.59%</w:t>
            </w:r>
          </w:p>
        </w:tc>
      </w:tr>
      <w:tr w:rsidR="00A022DF" w:rsidRPr="00E87E42" w14:paraId="74EABB84" w14:textId="77777777" w:rsidTr="00E801B3">
        <w:trPr>
          <w:trHeight w:val="227"/>
        </w:trPr>
        <w:tc>
          <w:tcPr>
            <w:tcW w:w="55" w:type="pct"/>
            <w:tcBorders>
              <w:top w:val="nil"/>
              <w:left w:val="single" w:sz="4" w:space="0" w:color="auto"/>
              <w:bottom w:val="single" w:sz="4" w:space="0" w:color="auto"/>
              <w:right w:val="nil"/>
            </w:tcBorders>
            <w:shd w:val="clear" w:color="auto" w:fill="auto"/>
            <w:noWrap/>
            <w:vAlign w:val="bottom"/>
            <w:hideMark/>
          </w:tcPr>
          <w:p w14:paraId="6C45E7F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115" w:type="pct"/>
            <w:tcBorders>
              <w:top w:val="nil"/>
              <w:left w:val="single" w:sz="4" w:space="0" w:color="auto"/>
              <w:bottom w:val="single" w:sz="4" w:space="0" w:color="808080"/>
              <w:right w:val="single" w:sz="4" w:space="0" w:color="auto"/>
            </w:tcBorders>
            <w:shd w:val="clear" w:color="auto" w:fill="auto"/>
            <w:noWrap/>
            <w:vAlign w:val="bottom"/>
            <w:hideMark/>
          </w:tcPr>
          <w:p w14:paraId="50E19E5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69</w:t>
            </w:r>
          </w:p>
        </w:tc>
        <w:tc>
          <w:tcPr>
            <w:tcW w:w="85" w:type="pct"/>
            <w:tcBorders>
              <w:top w:val="nil"/>
              <w:left w:val="nil"/>
              <w:bottom w:val="single" w:sz="4" w:space="0" w:color="808080"/>
              <w:right w:val="single" w:sz="4" w:space="0" w:color="808080"/>
            </w:tcBorders>
            <w:shd w:val="clear" w:color="auto" w:fill="auto"/>
            <w:noWrap/>
            <w:vAlign w:val="bottom"/>
            <w:hideMark/>
          </w:tcPr>
          <w:p w14:paraId="7A8449B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w:t>
            </w:r>
          </w:p>
        </w:tc>
        <w:tc>
          <w:tcPr>
            <w:tcW w:w="209" w:type="pct"/>
            <w:tcBorders>
              <w:top w:val="nil"/>
              <w:left w:val="nil"/>
              <w:bottom w:val="single" w:sz="4" w:space="0" w:color="808080"/>
              <w:right w:val="single" w:sz="4" w:space="0" w:color="808080"/>
            </w:tcBorders>
            <w:shd w:val="clear" w:color="auto" w:fill="auto"/>
            <w:noWrap/>
            <w:vAlign w:val="bottom"/>
            <w:hideMark/>
          </w:tcPr>
          <w:p w14:paraId="400DEB9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80.00%</w:t>
            </w:r>
          </w:p>
        </w:tc>
        <w:tc>
          <w:tcPr>
            <w:tcW w:w="210" w:type="pct"/>
            <w:tcBorders>
              <w:top w:val="nil"/>
              <w:left w:val="nil"/>
              <w:bottom w:val="single" w:sz="4" w:space="0" w:color="808080"/>
              <w:right w:val="single" w:sz="4" w:space="0" w:color="808080"/>
            </w:tcBorders>
            <w:shd w:val="clear" w:color="auto" w:fill="auto"/>
            <w:noWrap/>
            <w:vAlign w:val="bottom"/>
            <w:hideMark/>
          </w:tcPr>
          <w:p w14:paraId="7113091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38.55%</w:t>
            </w:r>
          </w:p>
        </w:tc>
        <w:tc>
          <w:tcPr>
            <w:tcW w:w="189" w:type="pct"/>
            <w:tcBorders>
              <w:top w:val="nil"/>
              <w:left w:val="nil"/>
              <w:bottom w:val="single" w:sz="4" w:space="0" w:color="808080"/>
              <w:right w:val="single" w:sz="4" w:space="0" w:color="808080"/>
            </w:tcBorders>
            <w:shd w:val="clear" w:color="auto" w:fill="auto"/>
            <w:noWrap/>
            <w:vAlign w:val="bottom"/>
            <w:hideMark/>
          </w:tcPr>
          <w:p w14:paraId="0250BB6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52.92</w:t>
            </w:r>
          </w:p>
        </w:tc>
        <w:tc>
          <w:tcPr>
            <w:tcW w:w="189" w:type="pct"/>
            <w:tcBorders>
              <w:top w:val="nil"/>
              <w:left w:val="nil"/>
              <w:bottom w:val="single" w:sz="4" w:space="0" w:color="808080"/>
              <w:right w:val="nil"/>
            </w:tcBorders>
            <w:shd w:val="clear" w:color="auto" w:fill="auto"/>
            <w:noWrap/>
            <w:vAlign w:val="bottom"/>
            <w:hideMark/>
          </w:tcPr>
          <w:p w14:paraId="6E31542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52.92</w:t>
            </w:r>
          </w:p>
        </w:tc>
        <w:tc>
          <w:tcPr>
            <w:tcW w:w="85" w:type="pct"/>
            <w:tcBorders>
              <w:top w:val="nil"/>
              <w:left w:val="single" w:sz="4" w:space="0" w:color="auto"/>
              <w:bottom w:val="single" w:sz="4" w:space="0" w:color="808080"/>
              <w:right w:val="single" w:sz="4" w:space="0" w:color="808080"/>
            </w:tcBorders>
            <w:shd w:val="clear" w:color="auto" w:fill="auto"/>
            <w:noWrap/>
            <w:vAlign w:val="bottom"/>
            <w:hideMark/>
          </w:tcPr>
          <w:p w14:paraId="7577175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w:t>
            </w:r>
          </w:p>
        </w:tc>
        <w:tc>
          <w:tcPr>
            <w:tcW w:w="209" w:type="pct"/>
            <w:tcBorders>
              <w:top w:val="nil"/>
              <w:left w:val="nil"/>
              <w:bottom w:val="single" w:sz="4" w:space="0" w:color="808080"/>
              <w:right w:val="single" w:sz="4" w:space="0" w:color="808080"/>
            </w:tcBorders>
            <w:shd w:val="clear" w:color="auto" w:fill="auto"/>
            <w:noWrap/>
            <w:vAlign w:val="bottom"/>
            <w:hideMark/>
          </w:tcPr>
          <w:p w14:paraId="74C66E9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15.00%</w:t>
            </w:r>
          </w:p>
        </w:tc>
        <w:tc>
          <w:tcPr>
            <w:tcW w:w="210" w:type="pct"/>
            <w:tcBorders>
              <w:top w:val="nil"/>
              <w:left w:val="nil"/>
              <w:bottom w:val="single" w:sz="4" w:space="0" w:color="808080"/>
              <w:right w:val="single" w:sz="4" w:space="0" w:color="808080"/>
            </w:tcBorders>
            <w:shd w:val="clear" w:color="auto" w:fill="auto"/>
            <w:noWrap/>
            <w:vAlign w:val="bottom"/>
            <w:hideMark/>
          </w:tcPr>
          <w:p w14:paraId="7B8D93E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24.00%</w:t>
            </w:r>
          </w:p>
        </w:tc>
        <w:tc>
          <w:tcPr>
            <w:tcW w:w="219" w:type="pct"/>
            <w:tcBorders>
              <w:top w:val="nil"/>
              <w:left w:val="nil"/>
              <w:bottom w:val="single" w:sz="4" w:space="0" w:color="808080"/>
              <w:right w:val="single" w:sz="4" w:space="0" w:color="808080"/>
            </w:tcBorders>
            <w:shd w:val="clear" w:color="auto" w:fill="auto"/>
            <w:noWrap/>
            <w:vAlign w:val="bottom"/>
            <w:hideMark/>
          </w:tcPr>
          <w:p w14:paraId="017031A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39.61</w:t>
            </w:r>
          </w:p>
        </w:tc>
        <w:tc>
          <w:tcPr>
            <w:tcW w:w="189" w:type="pct"/>
            <w:tcBorders>
              <w:top w:val="nil"/>
              <w:left w:val="nil"/>
              <w:bottom w:val="single" w:sz="4" w:space="0" w:color="808080"/>
              <w:right w:val="single" w:sz="4" w:space="0" w:color="auto"/>
            </w:tcBorders>
            <w:shd w:val="clear" w:color="auto" w:fill="auto"/>
            <w:noWrap/>
            <w:vAlign w:val="bottom"/>
            <w:hideMark/>
          </w:tcPr>
          <w:p w14:paraId="482CBB3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12.85</w:t>
            </w:r>
          </w:p>
        </w:tc>
        <w:tc>
          <w:tcPr>
            <w:tcW w:w="85" w:type="pct"/>
            <w:tcBorders>
              <w:top w:val="nil"/>
              <w:left w:val="nil"/>
              <w:bottom w:val="single" w:sz="4" w:space="0" w:color="808080"/>
              <w:right w:val="single" w:sz="4" w:space="0" w:color="808080"/>
            </w:tcBorders>
            <w:shd w:val="clear" w:color="auto" w:fill="auto"/>
            <w:noWrap/>
            <w:vAlign w:val="bottom"/>
            <w:hideMark/>
          </w:tcPr>
          <w:p w14:paraId="7716082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09" w:type="pct"/>
            <w:tcBorders>
              <w:top w:val="nil"/>
              <w:left w:val="nil"/>
              <w:bottom w:val="single" w:sz="4" w:space="0" w:color="808080"/>
              <w:right w:val="single" w:sz="4" w:space="0" w:color="808080"/>
            </w:tcBorders>
            <w:shd w:val="clear" w:color="auto" w:fill="auto"/>
            <w:noWrap/>
            <w:vAlign w:val="bottom"/>
            <w:hideMark/>
          </w:tcPr>
          <w:p w14:paraId="23431B0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w:t>
            </w:r>
          </w:p>
        </w:tc>
        <w:tc>
          <w:tcPr>
            <w:tcW w:w="210" w:type="pct"/>
            <w:tcBorders>
              <w:top w:val="nil"/>
              <w:left w:val="nil"/>
              <w:bottom w:val="single" w:sz="4" w:space="0" w:color="808080"/>
              <w:right w:val="single" w:sz="4" w:space="0" w:color="808080"/>
            </w:tcBorders>
            <w:shd w:val="clear" w:color="auto" w:fill="auto"/>
            <w:noWrap/>
            <w:vAlign w:val="bottom"/>
            <w:hideMark/>
          </w:tcPr>
          <w:p w14:paraId="606FCB9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11.11%</w:t>
            </w:r>
          </w:p>
        </w:tc>
        <w:tc>
          <w:tcPr>
            <w:tcW w:w="189" w:type="pct"/>
            <w:tcBorders>
              <w:top w:val="nil"/>
              <w:left w:val="nil"/>
              <w:bottom w:val="single" w:sz="4" w:space="0" w:color="808080"/>
              <w:right w:val="single" w:sz="4" w:space="0" w:color="808080"/>
            </w:tcBorders>
            <w:shd w:val="clear" w:color="auto" w:fill="auto"/>
            <w:noWrap/>
            <w:vAlign w:val="bottom"/>
            <w:hideMark/>
          </w:tcPr>
          <w:p w14:paraId="3BE2D5C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3.01</w:t>
            </w:r>
          </w:p>
        </w:tc>
        <w:tc>
          <w:tcPr>
            <w:tcW w:w="159" w:type="pct"/>
            <w:tcBorders>
              <w:top w:val="nil"/>
              <w:left w:val="nil"/>
              <w:bottom w:val="single" w:sz="4" w:space="0" w:color="808080"/>
              <w:right w:val="nil"/>
            </w:tcBorders>
            <w:shd w:val="clear" w:color="auto" w:fill="auto"/>
            <w:noWrap/>
            <w:vAlign w:val="bottom"/>
            <w:hideMark/>
          </w:tcPr>
          <w:p w14:paraId="082FC5F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0.58</w:t>
            </w:r>
          </w:p>
        </w:tc>
        <w:tc>
          <w:tcPr>
            <w:tcW w:w="85" w:type="pct"/>
            <w:tcBorders>
              <w:top w:val="nil"/>
              <w:left w:val="single" w:sz="4" w:space="0" w:color="auto"/>
              <w:bottom w:val="single" w:sz="4" w:space="0" w:color="808080"/>
              <w:right w:val="single" w:sz="4" w:space="0" w:color="808080"/>
            </w:tcBorders>
            <w:shd w:val="clear" w:color="auto" w:fill="auto"/>
            <w:noWrap/>
            <w:vAlign w:val="bottom"/>
            <w:hideMark/>
          </w:tcPr>
          <w:p w14:paraId="2BC9DDE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09" w:type="pct"/>
            <w:tcBorders>
              <w:top w:val="nil"/>
              <w:left w:val="nil"/>
              <w:bottom w:val="single" w:sz="4" w:space="0" w:color="808080"/>
              <w:right w:val="single" w:sz="4" w:space="0" w:color="808080"/>
            </w:tcBorders>
            <w:shd w:val="clear" w:color="auto" w:fill="auto"/>
            <w:noWrap/>
            <w:vAlign w:val="bottom"/>
            <w:hideMark/>
          </w:tcPr>
          <w:p w14:paraId="7A52027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0" w:type="pct"/>
            <w:tcBorders>
              <w:top w:val="nil"/>
              <w:left w:val="nil"/>
              <w:bottom w:val="single" w:sz="4" w:space="0" w:color="808080"/>
              <w:right w:val="single" w:sz="4" w:space="0" w:color="808080"/>
            </w:tcBorders>
            <w:shd w:val="clear" w:color="auto" w:fill="auto"/>
            <w:noWrap/>
            <w:vAlign w:val="bottom"/>
            <w:hideMark/>
          </w:tcPr>
          <w:p w14:paraId="37346CA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9" w:type="pct"/>
            <w:tcBorders>
              <w:top w:val="nil"/>
              <w:left w:val="nil"/>
              <w:bottom w:val="single" w:sz="4" w:space="0" w:color="808080"/>
              <w:right w:val="single" w:sz="4" w:space="0" w:color="808080"/>
            </w:tcBorders>
            <w:shd w:val="clear" w:color="auto" w:fill="auto"/>
            <w:noWrap/>
            <w:vAlign w:val="bottom"/>
            <w:hideMark/>
          </w:tcPr>
          <w:p w14:paraId="71387D0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89" w:type="pct"/>
            <w:tcBorders>
              <w:top w:val="nil"/>
              <w:left w:val="nil"/>
              <w:bottom w:val="single" w:sz="4" w:space="0" w:color="808080"/>
              <w:right w:val="single" w:sz="4" w:space="0" w:color="auto"/>
            </w:tcBorders>
            <w:shd w:val="clear" w:color="auto" w:fill="auto"/>
            <w:noWrap/>
            <w:vAlign w:val="bottom"/>
            <w:hideMark/>
          </w:tcPr>
          <w:p w14:paraId="1F228C1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5" w:type="pct"/>
            <w:tcBorders>
              <w:top w:val="nil"/>
              <w:left w:val="nil"/>
              <w:bottom w:val="single" w:sz="4" w:space="0" w:color="808080"/>
              <w:right w:val="single" w:sz="4" w:space="0" w:color="auto"/>
            </w:tcBorders>
            <w:shd w:val="clear" w:color="auto" w:fill="auto"/>
            <w:noWrap/>
            <w:vAlign w:val="bottom"/>
            <w:hideMark/>
          </w:tcPr>
          <w:p w14:paraId="0B65B1C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48.42</w:t>
            </w:r>
          </w:p>
        </w:tc>
        <w:tc>
          <w:tcPr>
            <w:tcW w:w="209" w:type="pct"/>
            <w:tcBorders>
              <w:top w:val="nil"/>
              <w:left w:val="nil"/>
              <w:bottom w:val="single" w:sz="4" w:space="0" w:color="808080"/>
              <w:right w:val="single" w:sz="4" w:space="0" w:color="808080"/>
            </w:tcBorders>
            <w:shd w:val="clear" w:color="auto" w:fill="auto"/>
            <w:noWrap/>
            <w:vAlign w:val="bottom"/>
            <w:hideMark/>
          </w:tcPr>
          <w:p w14:paraId="57616A6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23.81%</w:t>
            </w:r>
          </w:p>
        </w:tc>
        <w:tc>
          <w:tcPr>
            <w:tcW w:w="240" w:type="pct"/>
            <w:tcBorders>
              <w:top w:val="nil"/>
              <w:left w:val="nil"/>
              <w:bottom w:val="single" w:sz="4" w:space="0" w:color="808080"/>
              <w:right w:val="single" w:sz="4" w:space="0" w:color="808080"/>
            </w:tcBorders>
            <w:shd w:val="clear" w:color="auto" w:fill="auto"/>
            <w:noWrap/>
            <w:vAlign w:val="bottom"/>
            <w:hideMark/>
          </w:tcPr>
          <w:p w14:paraId="4F3B756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37.50%</w:t>
            </w:r>
          </w:p>
        </w:tc>
        <w:tc>
          <w:tcPr>
            <w:tcW w:w="209" w:type="pct"/>
            <w:tcBorders>
              <w:top w:val="nil"/>
              <w:left w:val="nil"/>
              <w:bottom w:val="single" w:sz="4" w:space="0" w:color="808080"/>
              <w:right w:val="single" w:sz="4" w:space="0" w:color="808080"/>
            </w:tcBorders>
            <w:shd w:val="clear" w:color="auto" w:fill="auto"/>
            <w:noWrap/>
            <w:vAlign w:val="bottom"/>
            <w:hideMark/>
          </w:tcPr>
          <w:p w14:paraId="371348D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46.62%</w:t>
            </w:r>
          </w:p>
        </w:tc>
        <w:tc>
          <w:tcPr>
            <w:tcW w:w="239" w:type="pct"/>
            <w:tcBorders>
              <w:top w:val="nil"/>
              <w:left w:val="nil"/>
              <w:bottom w:val="single" w:sz="4" w:space="0" w:color="808080"/>
              <w:right w:val="single" w:sz="4" w:space="0" w:color="auto"/>
            </w:tcBorders>
            <w:shd w:val="clear" w:color="auto" w:fill="auto"/>
            <w:noWrap/>
            <w:vAlign w:val="bottom"/>
            <w:hideMark/>
          </w:tcPr>
          <w:p w14:paraId="79DED6F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66.22%</w:t>
            </w:r>
          </w:p>
        </w:tc>
      </w:tr>
      <w:tr w:rsidR="00A022DF" w:rsidRPr="00E87E42" w14:paraId="17A2BC84" w14:textId="77777777" w:rsidTr="00E801B3">
        <w:trPr>
          <w:trHeight w:val="227"/>
        </w:trPr>
        <w:tc>
          <w:tcPr>
            <w:tcW w:w="55" w:type="pct"/>
            <w:tcBorders>
              <w:top w:val="nil"/>
              <w:left w:val="single" w:sz="4" w:space="0" w:color="auto"/>
              <w:bottom w:val="single" w:sz="4" w:space="0" w:color="auto"/>
              <w:right w:val="nil"/>
            </w:tcBorders>
            <w:shd w:val="clear" w:color="auto" w:fill="auto"/>
            <w:noWrap/>
            <w:vAlign w:val="bottom"/>
            <w:hideMark/>
          </w:tcPr>
          <w:p w14:paraId="6C28B0D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115" w:type="pct"/>
            <w:tcBorders>
              <w:top w:val="nil"/>
              <w:left w:val="single" w:sz="4" w:space="0" w:color="auto"/>
              <w:bottom w:val="single" w:sz="4" w:space="0" w:color="808080"/>
              <w:right w:val="single" w:sz="4" w:space="0" w:color="auto"/>
            </w:tcBorders>
            <w:shd w:val="clear" w:color="auto" w:fill="auto"/>
            <w:noWrap/>
            <w:vAlign w:val="bottom"/>
            <w:hideMark/>
          </w:tcPr>
          <w:p w14:paraId="7015D62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w:t>
            </w:r>
          </w:p>
        </w:tc>
        <w:tc>
          <w:tcPr>
            <w:tcW w:w="85" w:type="pct"/>
            <w:tcBorders>
              <w:top w:val="nil"/>
              <w:left w:val="nil"/>
              <w:bottom w:val="single" w:sz="4" w:space="0" w:color="808080"/>
              <w:right w:val="single" w:sz="4" w:space="0" w:color="808080"/>
            </w:tcBorders>
            <w:shd w:val="clear" w:color="auto" w:fill="auto"/>
            <w:noWrap/>
            <w:vAlign w:val="bottom"/>
            <w:hideMark/>
          </w:tcPr>
          <w:p w14:paraId="10C5046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w:t>
            </w:r>
          </w:p>
        </w:tc>
        <w:tc>
          <w:tcPr>
            <w:tcW w:w="209" w:type="pct"/>
            <w:tcBorders>
              <w:top w:val="nil"/>
              <w:left w:val="nil"/>
              <w:bottom w:val="single" w:sz="4" w:space="0" w:color="808080"/>
              <w:right w:val="single" w:sz="4" w:space="0" w:color="808080"/>
            </w:tcBorders>
            <w:shd w:val="clear" w:color="auto" w:fill="auto"/>
            <w:noWrap/>
            <w:vAlign w:val="bottom"/>
            <w:hideMark/>
          </w:tcPr>
          <w:p w14:paraId="7147082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56.25%</w:t>
            </w:r>
          </w:p>
        </w:tc>
        <w:tc>
          <w:tcPr>
            <w:tcW w:w="210" w:type="pct"/>
            <w:tcBorders>
              <w:top w:val="nil"/>
              <w:left w:val="nil"/>
              <w:bottom w:val="single" w:sz="4" w:space="0" w:color="808080"/>
              <w:right w:val="single" w:sz="4" w:space="0" w:color="808080"/>
            </w:tcBorders>
            <w:shd w:val="clear" w:color="auto" w:fill="auto"/>
            <w:noWrap/>
            <w:vAlign w:val="bottom"/>
            <w:hideMark/>
          </w:tcPr>
          <w:p w14:paraId="4D11DD5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10.84%</w:t>
            </w:r>
          </w:p>
        </w:tc>
        <w:tc>
          <w:tcPr>
            <w:tcW w:w="189" w:type="pct"/>
            <w:tcBorders>
              <w:top w:val="nil"/>
              <w:left w:val="nil"/>
              <w:bottom w:val="single" w:sz="4" w:space="0" w:color="808080"/>
              <w:right w:val="single" w:sz="4" w:space="0" w:color="808080"/>
            </w:tcBorders>
            <w:shd w:val="clear" w:color="auto" w:fill="auto"/>
            <w:noWrap/>
            <w:vAlign w:val="bottom"/>
            <w:hideMark/>
          </w:tcPr>
          <w:p w14:paraId="4164828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13.57</w:t>
            </w:r>
          </w:p>
        </w:tc>
        <w:tc>
          <w:tcPr>
            <w:tcW w:w="189" w:type="pct"/>
            <w:tcBorders>
              <w:top w:val="nil"/>
              <w:left w:val="nil"/>
              <w:bottom w:val="single" w:sz="4" w:space="0" w:color="808080"/>
              <w:right w:val="nil"/>
            </w:tcBorders>
            <w:shd w:val="clear" w:color="auto" w:fill="auto"/>
            <w:noWrap/>
            <w:vAlign w:val="bottom"/>
            <w:hideMark/>
          </w:tcPr>
          <w:p w14:paraId="47EF886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13.57</w:t>
            </w:r>
          </w:p>
        </w:tc>
        <w:tc>
          <w:tcPr>
            <w:tcW w:w="85" w:type="pct"/>
            <w:tcBorders>
              <w:top w:val="nil"/>
              <w:left w:val="single" w:sz="4" w:space="0" w:color="auto"/>
              <w:bottom w:val="single" w:sz="4" w:space="0" w:color="808080"/>
              <w:right w:val="single" w:sz="4" w:space="0" w:color="808080"/>
            </w:tcBorders>
            <w:shd w:val="clear" w:color="auto" w:fill="auto"/>
            <w:noWrap/>
            <w:vAlign w:val="bottom"/>
            <w:hideMark/>
          </w:tcPr>
          <w:p w14:paraId="4B507C5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09" w:type="pct"/>
            <w:tcBorders>
              <w:top w:val="nil"/>
              <w:left w:val="nil"/>
              <w:bottom w:val="single" w:sz="4" w:space="0" w:color="808080"/>
              <w:right w:val="single" w:sz="4" w:space="0" w:color="808080"/>
            </w:tcBorders>
            <w:shd w:val="clear" w:color="auto" w:fill="auto"/>
            <w:noWrap/>
            <w:vAlign w:val="bottom"/>
            <w:hideMark/>
          </w:tcPr>
          <w:p w14:paraId="69BF9DF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12.50%</w:t>
            </w:r>
          </w:p>
        </w:tc>
        <w:tc>
          <w:tcPr>
            <w:tcW w:w="210" w:type="pct"/>
            <w:tcBorders>
              <w:top w:val="nil"/>
              <w:left w:val="nil"/>
              <w:bottom w:val="single" w:sz="4" w:space="0" w:color="808080"/>
              <w:right w:val="single" w:sz="4" w:space="0" w:color="808080"/>
            </w:tcBorders>
            <w:shd w:val="clear" w:color="auto" w:fill="auto"/>
            <w:noWrap/>
            <w:vAlign w:val="bottom"/>
            <w:hideMark/>
          </w:tcPr>
          <w:p w14:paraId="771B6CE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8.00%</w:t>
            </w:r>
          </w:p>
        </w:tc>
        <w:tc>
          <w:tcPr>
            <w:tcW w:w="219" w:type="pct"/>
            <w:tcBorders>
              <w:top w:val="nil"/>
              <w:left w:val="nil"/>
              <w:bottom w:val="single" w:sz="4" w:space="0" w:color="808080"/>
              <w:right w:val="single" w:sz="4" w:space="0" w:color="808080"/>
            </w:tcBorders>
            <w:shd w:val="clear" w:color="auto" w:fill="auto"/>
            <w:noWrap/>
            <w:vAlign w:val="bottom"/>
            <w:hideMark/>
          </w:tcPr>
          <w:p w14:paraId="722D12B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11.72</w:t>
            </w:r>
          </w:p>
        </w:tc>
        <w:tc>
          <w:tcPr>
            <w:tcW w:w="189" w:type="pct"/>
            <w:tcBorders>
              <w:top w:val="nil"/>
              <w:left w:val="nil"/>
              <w:bottom w:val="single" w:sz="4" w:space="0" w:color="808080"/>
              <w:right w:val="single" w:sz="4" w:space="0" w:color="auto"/>
            </w:tcBorders>
            <w:shd w:val="clear" w:color="auto" w:fill="auto"/>
            <w:noWrap/>
            <w:vAlign w:val="bottom"/>
            <w:hideMark/>
          </w:tcPr>
          <w:p w14:paraId="4634A13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3.80</w:t>
            </w:r>
          </w:p>
        </w:tc>
        <w:tc>
          <w:tcPr>
            <w:tcW w:w="85" w:type="pct"/>
            <w:tcBorders>
              <w:top w:val="nil"/>
              <w:left w:val="nil"/>
              <w:bottom w:val="single" w:sz="4" w:space="0" w:color="808080"/>
              <w:right w:val="single" w:sz="4" w:space="0" w:color="808080"/>
            </w:tcBorders>
            <w:shd w:val="clear" w:color="auto" w:fill="auto"/>
            <w:noWrap/>
            <w:vAlign w:val="bottom"/>
            <w:hideMark/>
          </w:tcPr>
          <w:p w14:paraId="6C19C2F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209" w:type="pct"/>
            <w:tcBorders>
              <w:top w:val="nil"/>
              <w:left w:val="nil"/>
              <w:bottom w:val="single" w:sz="4" w:space="0" w:color="808080"/>
              <w:right w:val="single" w:sz="4" w:space="0" w:color="808080"/>
            </w:tcBorders>
            <w:shd w:val="clear" w:color="auto" w:fill="auto"/>
            <w:noWrap/>
            <w:vAlign w:val="bottom"/>
            <w:hideMark/>
          </w:tcPr>
          <w:p w14:paraId="3359BE4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25.00%</w:t>
            </w:r>
          </w:p>
        </w:tc>
        <w:tc>
          <w:tcPr>
            <w:tcW w:w="210" w:type="pct"/>
            <w:tcBorders>
              <w:top w:val="nil"/>
              <w:left w:val="nil"/>
              <w:bottom w:val="single" w:sz="4" w:space="0" w:color="808080"/>
              <w:right w:val="single" w:sz="4" w:space="0" w:color="808080"/>
            </w:tcBorders>
            <w:shd w:val="clear" w:color="auto" w:fill="auto"/>
            <w:noWrap/>
            <w:vAlign w:val="bottom"/>
            <w:hideMark/>
          </w:tcPr>
          <w:p w14:paraId="14E63C8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22.22%</w:t>
            </w:r>
          </w:p>
        </w:tc>
        <w:tc>
          <w:tcPr>
            <w:tcW w:w="189" w:type="pct"/>
            <w:tcBorders>
              <w:top w:val="nil"/>
              <w:left w:val="nil"/>
              <w:bottom w:val="single" w:sz="4" w:space="0" w:color="808080"/>
              <w:right w:val="single" w:sz="4" w:space="0" w:color="808080"/>
            </w:tcBorders>
            <w:shd w:val="clear" w:color="auto" w:fill="auto"/>
            <w:noWrap/>
            <w:vAlign w:val="bottom"/>
            <w:hideMark/>
          </w:tcPr>
          <w:p w14:paraId="5FADF05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116.75</w:t>
            </w:r>
          </w:p>
        </w:tc>
        <w:tc>
          <w:tcPr>
            <w:tcW w:w="159" w:type="pct"/>
            <w:tcBorders>
              <w:top w:val="nil"/>
              <w:left w:val="nil"/>
              <w:bottom w:val="single" w:sz="4" w:space="0" w:color="808080"/>
              <w:right w:val="nil"/>
            </w:tcBorders>
            <w:shd w:val="clear" w:color="auto" w:fill="auto"/>
            <w:noWrap/>
            <w:vAlign w:val="bottom"/>
            <w:hideMark/>
          </w:tcPr>
          <w:p w14:paraId="2EEA5B3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22.60</w:t>
            </w:r>
          </w:p>
        </w:tc>
        <w:tc>
          <w:tcPr>
            <w:tcW w:w="85" w:type="pct"/>
            <w:tcBorders>
              <w:top w:val="nil"/>
              <w:left w:val="single" w:sz="4" w:space="0" w:color="auto"/>
              <w:bottom w:val="single" w:sz="4" w:space="0" w:color="808080"/>
              <w:right w:val="single" w:sz="4" w:space="0" w:color="808080"/>
            </w:tcBorders>
            <w:shd w:val="clear" w:color="auto" w:fill="auto"/>
            <w:noWrap/>
            <w:vAlign w:val="bottom"/>
            <w:hideMark/>
          </w:tcPr>
          <w:p w14:paraId="6FBA923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09" w:type="pct"/>
            <w:tcBorders>
              <w:top w:val="nil"/>
              <w:left w:val="nil"/>
              <w:bottom w:val="single" w:sz="4" w:space="0" w:color="808080"/>
              <w:right w:val="single" w:sz="4" w:space="0" w:color="808080"/>
            </w:tcBorders>
            <w:shd w:val="clear" w:color="auto" w:fill="auto"/>
            <w:noWrap/>
            <w:vAlign w:val="bottom"/>
            <w:hideMark/>
          </w:tcPr>
          <w:p w14:paraId="63873EA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6.25%</w:t>
            </w:r>
          </w:p>
        </w:tc>
        <w:tc>
          <w:tcPr>
            <w:tcW w:w="210" w:type="pct"/>
            <w:tcBorders>
              <w:top w:val="nil"/>
              <w:left w:val="nil"/>
              <w:bottom w:val="single" w:sz="4" w:space="0" w:color="808080"/>
              <w:right w:val="single" w:sz="4" w:space="0" w:color="808080"/>
            </w:tcBorders>
            <w:shd w:val="clear" w:color="auto" w:fill="auto"/>
            <w:noWrap/>
            <w:vAlign w:val="bottom"/>
            <w:hideMark/>
          </w:tcPr>
          <w:p w14:paraId="567ACF2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2.38%</w:t>
            </w:r>
          </w:p>
        </w:tc>
        <w:tc>
          <w:tcPr>
            <w:tcW w:w="219" w:type="pct"/>
            <w:tcBorders>
              <w:top w:val="nil"/>
              <w:left w:val="nil"/>
              <w:bottom w:val="single" w:sz="4" w:space="0" w:color="808080"/>
              <w:right w:val="single" w:sz="4" w:space="0" w:color="808080"/>
            </w:tcBorders>
            <w:shd w:val="clear" w:color="auto" w:fill="auto"/>
            <w:noWrap/>
            <w:vAlign w:val="bottom"/>
            <w:hideMark/>
          </w:tcPr>
          <w:p w14:paraId="4069E02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129.14</w:t>
            </w:r>
          </w:p>
        </w:tc>
        <w:tc>
          <w:tcPr>
            <w:tcW w:w="189" w:type="pct"/>
            <w:tcBorders>
              <w:top w:val="nil"/>
              <w:left w:val="nil"/>
              <w:bottom w:val="single" w:sz="4" w:space="0" w:color="808080"/>
              <w:right w:val="single" w:sz="4" w:space="0" w:color="auto"/>
            </w:tcBorders>
            <w:shd w:val="clear" w:color="auto" w:fill="auto"/>
            <w:noWrap/>
            <w:vAlign w:val="bottom"/>
            <w:hideMark/>
          </w:tcPr>
          <w:p w14:paraId="38C877C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17.61</w:t>
            </w:r>
          </w:p>
        </w:tc>
        <w:tc>
          <w:tcPr>
            <w:tcW w:w="375" w:type="pct"/>
            <w:tcBorders>
              <w:top w:val="nil"/>
              <w:left w:val="nil"/>
              <w:bottom w:val="single" w:sz="4" w:space="0" w:color="808080"/>
              <w:right w:val="single" w:sz="4" w:space="0" w:color="auto"/>
            </w:tcBorders>
            <w:shd w:val="clear" w:color="auto" w:fill="auto"/>
            <w:noWrap/>
            <w:vAlign w:val="bottom"/>
            <w:hideMark/>
          </w:tcPr>
          <w:p w14:paraId="7DA8F28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46.36</w:t>
            </w:r>
          </w:p>
        </w:tc>
        <w:tc>
          <w:tcPr>
            <w:tcW w:w="209" w:type="pct"/>
            <w:tcBorders>
              <w:top w:val="nil"/>
              <w:left w:val="nil"/>
              <w:bottom w:val="single" w:sz="4" w:space="0" w:color="808080"/>
              <w:right w:val="single" w:sz="4" w:space="0" w:color="808080"/>
            </w:tcBorders>
            <w:shd w:val="clear" w:color="auto" w:fill="auto"/>
            <w:noWrap/>
            <w:vAlign w:val="bottom"/>
            <w:hideMark/>
          </w:tcPr>
          <w:p w14:paraId="556DE77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9.52%</w:t>
            </w:r>
          </w:p>
        </w:tc>
        <w:tc>
          <w:tcPr>
            <w:tcW w:w="240" w:type="pct"/>
            <w:tcBorders>
              <w:top w:val="nil"/>
              <w:left w:val="nil"/>
              <w:bottom w:val="single" w:sz="4" w:space="0" w:color="808080"/>
              <w:right w:val="single" w:sz="4" w:space="0" w:color="808080"/>
            </w:tcBorders>
            <w:shd w:val="clear" w:color="auto" w:fill="auto"/>
            <w:noWrap/>
            <w:vAlign w:val="bottom"/>
            <w:hideMark/>
          </w:tcPr>
          <w:p w14:paraId="7455646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47.02%</w:t>
            </w:r>
          </w:p>
        </w:tc>
        <w:tc>
          <w:tcPr>
            <w:tcW w:w="209" w:type="pct"/>
            <w:tcBorders>
              <w:top w:val="nil"/>
              <w:left w:val="nil"/>
              <w:bottom w:val="single" w:sz="4" w:space="0" w:color="808080"/>
              <w:right w:val="single" w:sz="4" w:space="0" w:color="808080"/>
            </w:tcBorders>
            <w:shd w:val="clear" w:color="auto" w:fill="auto"/>
            <w:noWrap/>
            <w:vAlign w:val="bottom"/>
            <w:hideMark/>
          </w:tcPr>
          <w:p w14:paraId="0AFA52D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5.41%</w:t>
            </w:r>
          </w:p>
        </w:tc>
        <w:tc>
          <w:tcPr>
            <w:tcW w:w="239" w:type="pct"/>
            <w:tcBorders>
              <w:top w:val="nil"/>
              <w:left w:val="nil"/>
              <w:bottom w:val="single" w:sz="4" w:space="0" w:color="808080"/>
              <w:right w:val="single" w:sz="4" w:space="0" w:color="auto"/>
            </w:tcBorders>
            <w:shd w:val="clear" w:color="auto" w:fill="auto"/>
            <w:noWrap/>
            <w:vAlign w:val="bottom"/>
            <w:hideMark/>
          </w:tcPr>
          <w:p w14:paraId="4047A57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71.62%</w:t>
            </w:r>
          </w:p>
        </w:tc>
      </w:tr>
      <w:tr w:rsidR="00A022DF" w:rsidRPr="00E87E42" w14:paraId="2E26225F" w14:textId="77777777" w:rsidTr="00E801B3">
        <w:trPr>
          <w:trHeight w:val="227"/>
        </w:trPr>
        <w:tc>
          <w:tcPr>
            <w:tcW w:w="55" w:type="pct"/>
            <w:tcBorders>
              <w:top w:val="nil"/>
              <w:left w:val="single" w:sz="4" w:space="0" w:color="auto"/>
              <w:bottom w:val="single" w:sz="4" w:space="0" w:color="auto"/>
              <w:right w:val="nil"/>
            </w:tcBorders>
            <w:shd w:val="clear" w:color="auto" w:fill="auto"/>
            <w:noWrap/>
            <w:vAlign w:val="bottom"/>
            <w:hideMark/>
          </w:tcPr>
          <w:p w14:paraId="5926CCF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115" w:type="pct"/>
            <w:tcBorders>
              <w:top w:val="nil"/>
              <w:left w:val="single" w:sz="4" w:space="0" w:color="auto"/>
              <w:bottom w:val="single" w:sz="4" w:space="0" w:color="808080"/>
              <w:right w:val="single" w:sz="4" w:space="0" w:color="auto"/>
            </w:tcBorders>
            <w:shd w:val="clear" w:color="auto" w:fill="auto"/>
            <w:noWrap/>
            <w:vAlign w:val="bottom"/>
            <w:hideMark/>
          </w:tcPr>
          <w:p w14:paraId="40924F1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36</w:t>
            </w:r>
          </w:p>
        </w:tc>
        <w:tc>
          <w:tcPr>
            <w:tcW w:w="85" w:type="pct"/>
            <w:tcBorders>
              <w:top w:val="nil"/>
              <w:left w:val="nil"/>
              <w:bottom w:val="single" w:sz="4" w:space="0" w:color="808080"/>
              <w:right w:val="single" w:sz="4" w:space="0" w:color="808080"/>
            </w:tcBorders>
            <w:shd w:val="clear" w:color="auto" w:fill="auto"/>
            <w:noWrap/>
            <w:vAlign w:val="bottom"/>
            <w:hideMark/>
          </w:tcPr>
          <w:p w14:paraId="47EFF42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w:t>
            </w:r>
          </w:p>
        </w:tc>
        <w:tc>
          <w:tcPr>
            <w:tcW w:w="209" w:type="pct"/>
            <w:tcBorders>
              <w:top w:val="nil"/>
              <w:left w:val="nil"/>
              <w:bottom w:val="single" w:sz="4" w:space="0" w:color="808080"/>
              <w:right w:val="single" w:sz="4" w:space="0" w:color="808080"/>
            </w:tcBorders>
            <w:shd w:val="clear" w:color="auto" w:fill="auto"/>
            <w:noWrap/>
            <w:vAlign w:val="bottom"/>
            <w:hideMark/>
          </w:tcPr>
          <w:p w14:paraId="5B763FC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30.77%</w:t>
            </w:r>
          </w:p>
        </w:tc>
        <w:tc>
          <w:tcPr>
            <w:tcW w:w="210" w:type="pct"/>
            <w:tcBorders>
              <w:top w:val="nil"/>
              <w:left w:val="nil"/>
              <w:bottom w:val="single" w:sz="4" w:space="0" w:color="808080"/>
              <w:right w:val="single" w:sz="4" w:space="0" w:color="808080"/>
            </w:tcBorders>
            <w:shd w:val="clear" w:color="auto" w:fill="auto"/>
            <w:noWrap/>
            <w:vAlign w:val="bottom"/>
            <w:hideMark/>
          </w:tcPr>
          <w:p w14:paraId="6278A2C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28.92%</w:t>
            </w:r>
          </w:p>
        </w:tc>
        <w:tc>
          <w:tcPr>
            <w:tcW w:w="189" w:type="pct"/>
            <w:tcBorders>
              <w:top w:val="nil"/>
              <w:left w:val="nil"/>
              <w:bottom w:val="single" w:sz="4" w:space="0" w:color="808080"/>
              <w:right w:val="single" w:sz="4" w:space="0" w:color="808080"/>
            </w:tcBorders>
            <w:shd w:val="clear" w:color="auto" w:fill="auto"/>
            <w:noWrap/>
            <w:vAlign w:val="bottom"/>
            <w:hideMark/>
          </w:tcPr>
          <w:p w14:paraId="490AB4E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19.65</w:t>
            </w:r>
          </w:p>
        </w:tc>
        <w:tc>
          <w:tcPr>
            <w:tcW w:w="189" w:type="pct"/>
            <w:tcBorders>
              <w:top w:val="nil"/>
              <w:left w:val="nil"/>
              <w:bottom w:val="single" w:sz="4" w:space="0" w:color="808080"/>
              <w:right w:val="nil"/>
            </w:tcBorders>
            <w:shd w:val="clear" w:color="auto" w:fill="auto"/>
            <w:noWrap/>
            <w:vAlign w:val="bottom"/>
            <w:hideMark/>
          </w:tcPr>
          <w:p w14:paraId="3ACB6D6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19.65</w:t>
            </w:r>
          </w:p>
        </w:tc>
        <w:tc>
          <w:tcPr>
            <w:tcW w:w="85" w:type="pct"/>
            <w:tcBorders>
              <w:top w:val="nil"/>
              <w:left w:val="single" w:sz="4" w:space="0" w:color="auto"/>
              <w:bottom w:val="single" w:sz="4" w:space="0" w:color="808080"/>
              <w:right w:val="single" w:sz="4" w:space="0" w:color="808080"/>
            </w:tcBorders>
            <w:shd w:val="clear" w:color="auto" w:fill="auto"/>
            <w:noWrap/>
            <w:vAlign w:val="bottom"/>
            <w:hideMark/>
          </w:tcPr>
          <w:p w14:paraId="293177B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w:t>
            </w:r>
          </w:p>
        </w:tc>
        <w:tc>
          <w:tcPr>
            <w:tcW w:w="209" w:type="pct"/>
            <w:tcBorders>
              <w:top w:val="nil"/>
              <w:left w:val="nil"/>
              <w:bottom w:val="single" w:sz="4" w:space="0" w:color="808080"/>
              <w:right w:val="single" w:sz="4" w:space="0" w:color="808080"/>
            </w:tcBorders>
            <w:shd w:val="clear" w:color="auto" w:fill="auto"/>
            <w:noWrap/>
            <w:vAlign w:val="bottom"/>
            <w:hideMark/>
          </w:tcPr>
          <w:p w14:paraId="69CB6DA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20.51%</w:t>
            </w:r>
          </w:p>
        </w:tc>
        <w:tc>
          <w:tcPr>
            <w:tcW w:w="210" w:type="pct"/>
            <w:tcBorders>
              <w:top w:val="nil"/>
              <w:left w:val="nil"/>
              <w:bottom w:val="single" w:sz="4" w:space="0" w:color="808080"/>
              <w:right w:val="single" w:sz="4" w:space="0" w:color="808080"/>
            </w:tcBorders>
            <w:shd w:val="clear" w:color="auto" w:fill="auto"/>
            <w:noWrap/>
            <w:vAlign w:val="bottom"/>
            <w:hideMark/>
          </w:tcPr>
          <w:p w14:paraId="3C3A209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64.00%</w:t>
            </w:r>
          </w:p>
        </w:tc>
        <w:tc>
          <w:tcPr>
            <w:tcW w:w="219" w:type="pct"/>
            <w:tcBorders>
              <w:top w:val="nil"/>
              <w:left w:val="nil"/>
              <w:bottom w:val="single" w:sz="4" w:space="0" w:color="808080"/>
              <w:right w:val="single" w:sz="4" w:space="0" w:color="808080"/>
            </w:tcBorders>
            <w:shd w:val="clear" w:color="auto" w:fill="auto"/>
            <w:noWrap/>
            <w:vAlign w:val="bottom"/>
            <w:hideMark/>
          </w:tcPr>
          <w:p w14:paraId="1D003B6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459.44</w:t>
            </w:r>
          </w:p>
        </w:tc>
        <w:tc>
          <w:tcPr>
            <w:tcW w:w="189" w:type="pct"/>
            <w:tcBorders>
              <w:top w:val="nil"/>
              <w:left w:val="nil"/>
              <w:bottom w:val="single" w:sz="4" w:space="0" w:color="808080"/>
              <w:right w:val="single" w:sz="4" w:space="0" w:color="auto"/>
            </w:tcBorders>
            <w:shd w:val="clear" w:color="auto" w:fill="auto"/>
            <w:noWrap/>
            <w:vAlign w:val="bottom"/>
            <w:hideMark/>
          </w:tcPr>
          <w:p w14:paraId="2CF3F1B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149.01</w:t>
            </w:r>
          </w:p>
        </w:tc>
        <w:tc>
          <w:tcPr>
            <w:tcW w:w="85" w:type="pct"/>
            <w:tcBorders>
              <w:top w:val="nil"/>
              <w:left w:val="nil"/>
              <w:bottom w:val="single" w:sz="4" w:space="0" w:color="808080"/>
              <w:right w:val="single" w:sz="4" w:space="0" w:color="808080"/>
            </w:tcBorders>
            <w:shd w:val="clear" w:color="auto" w:fill="auto"/>
            <w:noWrap/>
            <w:vAlign w:val="bottom"/>
            <w:hideMark/>
          </w:tcPr>
          <w:p w14:paraId="258D4A7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w:t>
            </w:r>
          </w:p>
        </w:tc>
        <w:tc>
          <w:tcPr>
            <w:tcW w:w="209" w:type="pct"/>
            <w:tcBorders>
              <w:top w:val="nil"/>
              <w:left w:val="nil"/>
              <w:bottom w:val="single" w:sz="4" w:space="0" w:color="808080"/>
              <w:right w:val="single" w:sz="4" w:space="0" w:color="808080"/>
            </w:tcBorders>
            <w:shd w:val="clear" w:color="auto" w:fill="auto"/>
            <w:noWrap/>
            <w:vAlign w:val="bottom"/>
            <w:hideMark/>
          </w:tcPr>
          <w:p w14:paraId="386E34D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12.82%</w:t>
            </w:r>
          </w:p>
        </w:tc>
        <w:tc>
          <w:tcPr>
            <w:tcW w:w="210" w:type="pct"/>
            <w:tcBorders>
              <w:top w:val="nil"/>
              <w:left w:val="nil"/>
              <w:bottom w:val="single" w:sz="4" w:space="0" w:color="808080"/>
              <w:right w:val="single" w:sz="4" w:space="0" w:color="808080"/>
            </w:tcBorders>
            <w:shd w:val="clear" w:color="auto" w:fill="auto"/>
            <w:noWrap/>
            <w:vAlign w:val="bottom"/>
            <w:hideMark/>
          </w:tcPr>
          <w:p w14:paraId="76EDB06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55.56%</w:t>
            </w:r>
          </w:p>
        </w:tc>
        <w:tc>
          <w:tcPr>
            <w:tcW w:w="189" w:type="pct"/>
            <w:tcBorders>
              <w:top w:val="nil"/>
              <w:left w:val="nil"/>
              <w:bottom w:val="single" w:sz="4" w:space="0" w:color="808080"/>
              <w:right w:val="single" w:sz="4" w:space="0" w:color="808080"/>
            </w:tcBorders>
            <w:shd w:val="clear" w:color="auto" w:fill="auto"/>
            <w:noWrap/>
            <w:vAlign w:val="bottom"/>
            <w:hideMark/>
          </w:tcPr>
          <w:p w14:paraId="17958E9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144.50</w:t>
            </w:r>
          </w:p>
        </w:tc>
        <w:tc>
          <w:tcPr>
            <w:tcW w:w="159" w:type="pct"/>
            <w:tcBorders>
              <w:top w:val="nil"/>
              <w:left w:val="nil"/>
              <w:bottom w:val="single" w:sz="4" w:space="0" w:color="808080"/>
              <w:right w:val="nil"/>
            </w:tcBorders>
            <w:shd w:val="clear" w:color="auto" w:fill="auto"/>
            <w:noWrap/>
            <w:vAlign w:val="bottom"/>
            <w:hideMark/>
          </w:tcPr>
          <w:p w14:paraId="5F8C777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27.97</w:t>
            </w:r>
          </w:p>
        </w:tc>
        <w:tc>
          <w:tcPr>
            <w:tcW w:w="85" w:type="pct"/>
            <w:tcBorders>
              <w:top w:val="nil"/>
              <w:left w:val="single" w:sz="4" w:space="0" w:color="auto"/>
              <w:bottom w:val="single" w:sz="4" w:space="0" w:color="808080"/>
              <w:right w:val="single" w:sz="4" w:space="0" w:color="808080"/>
            </w:tcBorders>
            <w:shd w:val="clear" w:color="auto" w:fill="auto"/>
            <w:noWrap/>
            <w:vAlign w:val="bottom"/>
            <w:hideMark/>
          </w:tcPr>
          <w:p w14:paraId="2AD11CE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w:t>
            </w:r>
          </w:p>
        </w:tc>
        <w:tc>
          <w:tcPr>
            <w:tcW w:w="209" w:type="pct"/>
            <w:tcBorders>
              <w:top w:val="nil"/>
              <w:left w:val="nil"/>
              <w:bottom w:val="single" w:sz="4" w:space="0" w:color="808080"/>
              <w:right w:val="single" w:sz="4" w:space="0" w:color="808080"/>
            </w:tcBorders>
            <w:shd w:val="clear" w:color="auto" w:fill="auto"/>
            <w:noWrap/>
            <w:vAlign w:val="bottom"/>
            <w:hideMark/>
          </w:tcPr>
          <w:p w14:paraId="334E949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35.90%</w:t>
            </w:r>
          </w:p>
        </w:tc>
        <w:tc>
          <w:tcPr>
            <w:tcW w:w="210" w:type="pct"/>
            <w:tcBorders>
              <w:top w:val="nil"/>
              <w:left w:val="nil"/>
              <w:bottom w:val="single" w:sz="4" w:space="0" w:color="808080"/>
              <w:right w:val="single" w:sz="4" w:space="0" w:color="808080"/>
            </w:tcBorders>
            <w:shd w:val="clear" w:color="auto" w:fill="auto"/>
            <w:noWrap/>
            <w:vAlign w:val="bottom"/>
            <w:hideMark/>
          </w:tcPr>
          <w:p w14:paraId="68A8754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66.67%</w:t>
            </w:r>
          </w:p>
        </w:tc>
        <w:tc>
          <w:tcPr>
            <w:tcW w:w="219" w:type="pct"/>
            <w:tcBorders>
              <w:top w:val="nil"/>
              <w:left w:val="nil"/>
              <w:bottom w:val="single" w:sz="4" w:space="0" w:color="808080"/>
              <w:right w:val="single" w:sz="4" w:space="0" w:color="808080"/>
            </w:tcBorders>
            <w:shd w:val="clear" w:color="auto" w:fill="auto"/>
            <w:noWrap/>
            <w:vAlign w:val="bottom"/>
            <w:hideMark/>
          </w:tcPr>
          <w:p w14:paraId="21A7CC4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2007.78</w:t>
            </w:r>
          </w:p>
        </w:tc>
        <w:tc>
          <w:tcPr>
            <w:tcW w:w="189" w:type="pct"/>
            <w:tcBorders>
              <w:top w:val="nil"/>
              <w:left w:val="nil"/>
              <w:bottom w:val="single" w:sz="4" w:space="0" w:color="808080"/>
              <w:right w:val="single" w:sz="4" w:space="0" w:color="auto"/>
            </w:tcBorders>
            <w:shd w:val="clear" w:color="auto" w:fill="auto"/>
            <w:noWrap/>
            <w:vAlign w:val="bottom"/>
            <w:hideMark/>
          </w:tcPr>
          <w:p w14:paraId="3D54B56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273.79</w:t>
            </w:r>
          </w:p>
        </w:tc>
        <w:tc>
          <w:tcPr>
            <w:tcW w:w="375" w:type="pct"/>
            <w:tcBorders>
              <w:top w:val="nil"/>
              <w:left w:val="nil"/>
              <w:bottom w:val="single" w:sz="4" w:space="0" w:color="808080"/>
              <w:right w:val="single" w:sz="4" w:space="0" w:color="auto"/>
            </w:tcBorders>
            <w:shd w:val="clear" w:color="auto" w:fill="auto"/>
            <w:noWrap/>
            <w:vAlign w:val="bottom"/>
            <w:hideMark/>
          </w:tcPr>
          <w:p w14:paraId="75C11D8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839.56</w:t>
            </w:r>
          </w:p>
        </w:tc>
        <w:tc>
          <w:tcPr>
            <w:tcW w:w="209" w:type="pct"/>
            <w:tcBorders>
              <w:top w:val="nil"/>
              <w:left w:val="nil"/>
              <w:bottom w:val="single" w:sz="4" w:space="0" w:color="808080"/>
              <w:right w:val="single" w:sz="4" w:space="0" w:color="808080"/>
            </w:tcBorders>
            <w:shd w:val="clear" w:color="auto" w:fill="auto"/>
            <w:noWrap/>
            <w:vAlign w:val="bottom"/>
            <w:hideMark/>
          </w:tcPr>
          <w:p w14:paraId="0C973C8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46.43%</w:t>
            </w:r>
          </w:p>
        </w:tc>
        <w:tc>
          <w:tcPr>
            <w:tcW w:w="240" w:type="pct"/>
            <w:tcBorders>
              <w:top w:val="nil"/>
              <w:left w:val="nil"/>
              <w:bottom w:val="single" w:sz="4" w:space="0" w:color="808080"/>
              <w:right w:val="single" w:sz="4" w:space="0" w:color="808080"/>
            </w:tcBorders>
            <w:shd w:val="clear" w:color="auto" w:fill="auto"/>
            <w:noWrap/>
            <w:vAlign w:val="bottom"/>
            <w:hideMark/>
          </w:tcPr>
          <w:p w14:paraId="20F906F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93.45%</w:t>
            </w:r>
          </w:p>
        </w:tc>
        <w:tc>
          <w:tcPr>
            <w:tcW w:w="209" w:type="pct"/>
            <w:tcBorders>
              <w:top w:val="nil"/>
              <w:left w:val="nil"/>
              <w:bottom w:val="single" w:sz="4" w:space="0" w:color="808080"/>
              <w:right w:val="single" w:sz="4" w:space="0" w:color="808080"/>
            </w:tcBorders>
            <w:shd w:val="clear" w:color="auto" w:fill="auto"/>
            <w:noWrap/>
            <w:vAlign w:val="bottom"/>
            <w:hideMark/>
          </w:tcPr>
          <w:p w14:paraId="0C8E07D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24.32%</w:t>
            </w:r>
          </w:p>
        </w:tc>
        <w:tc>
          <w:tcPr>
            <w:tcW w:w="239" w:type="pct"/>
            <w:tcBorders>
              <w:top w:val="nil"/>
              <w:left w:val="nil"/>
              <w:bottom w:val="single" w:sz="4" w:space="0" w:color="808080"/>
              <w:right w:val="single" w:sz="4" w:space="0" w:color="auto"/>
            </w:tcBorders>
            <w:shd w:val="clear" w:color="auto" w:fill="auto"/>
            <w:noWrap/>
            <w:vAlign w:val="bottom"/>
            <w:hideMark/>
          </w:tcPr>
          <w:p w14:paraId="3FD01E4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95.95%</w:t>
            </w:r>
          </w:p>
        </w:tc>
      </w:tr>
      <w:tr w:rsidR="00A022DF" w:rsidRPr="00E87E42" w14:paraId="0FF6BC85" w14:textId="77777777" w:rsidTr="00E801B3">
        <w:trPr>
          <w:trHeight w:val="227"/>
        </w:trPr>
        <w:tc>
          <w:tcPr>
            <w:tcW w:w="55" w:type="pct"/>
            <w:tcBorders>
              <w:top w:val="nil"/>
              <w:left w:val="single" w:sz="4" w:space="0" w:color="auto"/>
              <w:bottom w:val="single" w:sz="4" w:space="0" w:color="auto"/>
              <w:right w:val="nil"/>
            </w:tcBorders>
            <w:shd w:val="clear" w:color="auto" w:fill="auto"/>
            <w:noWrap/>
            <w:vAlign w:val="bottom"/>
            <w:hideMark/>
          </w:tcPr>
          <w:p w14:paraId="0801602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115" w:type="pct"/>
            <w:tcBorders>
              <w:top w:val="nil"/>
              <w:left w:val="single" w:sz="4" w:space="0" w:color="auto"/>
              <w:bottom w:val="single" w:sz="4" w:space="0" w:color="auto"/>
              <w:right w:val="single" w:sz="4" w:space="0" w:color="auto"/>
            </w:tcBorders>
            <w:shd w:val="clear" w:color="auto" w:fill="auto"/>
            <w:noWrap/>
            <w:vAlign w:val="bottom"/>
            <w:hideMark/>
          </w:tcPr>
          <w:p w14:paraId="37D31A4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w:t>
            </w:r>
          </w:p>
        </w:tc>
        <w:tc>
          <w:tcPr>
            <w:tcW w:w="85" w:type="pct"/>
            <w:tcBorders>
              <w:top w:val="nil"/>
              <w:left w:val="nil"/>
              <w:bottom w:val="single" w:sz="4" w:space="0" w:color="auto"/>
              <w:right w:val="single" w:sz="4" w:space="0" w:color="808080"/>
            </w:tcBorders>
            <w:shd w:val="clear" w:color="auto" w:fill="auto"/>
            <w:noWrap/>
            <w:vAlign w:val="bottom"/>
            <w:hideMark/>
          </w:tcPr>
          <w:p w14:paraId="38A4DD2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09" w:type="pct"/>
            <w:tcBorders>
              <w:top w:val="nil"/>
              <w:left w:val="nil"/>
              <w:bottom w:val="single" w:sz="4" w:space="0" w:color="auto"/>
              <w:right w:val="single" w:sz="4" w:space="0" w:color="808080"/>
            </w:tcBorders>
            <w:shd w:val="clear" w:color="auto" w:fill="auto"/>
            <w:noWrap/>
            <w:vAlign w:val="bottom"/>
            <w:hideMark/>
          </w:tcPr>
          <w:p w14:paraId="27C5119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0" w:type="pct"/>
            <w:tcBorders>
              <w:top w:val="nil"/>
              <w:left w:val="nil"/>
              <w:bottom w:val="single" w:sz="4" w:space="0" w:color="auto"/>
              <w:right w:val="single" w:sz="4" w:space="0" w:color="808080"/>
            </w:tcBorders>
            <w:shd w:val="clear" w:color="auto" w:fill="auto"/>
            <w:noWrap/>
            <w:vAlign w:val="bottom"/>
            <w:hideMark/>
          </w:tcPr>
          <w:p w14:paraId="4E3F867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89" w:type="pct"/>
            <w:tcBorders>
              <w:top w:val="nil"/>
              <w:left w:val="nil"/>
              <w:bottom w:val="single" w:sz="4" w:space="0" w:color="auto"/>
              <w:right w:val="single" w:sz="4" w:space="0" w:color="808080"/>
            </w:tcBorders>
            <w:shd w:val="clear" w:color="auto" w:fill="auto"/>
            <w:noWrap/>
            <w:vAlign w:val="bottom"/>
            <w:hideMark/>
          </w:tcPr>
          <w:p w14:paraId="76169C8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89" w:type="pct"/>
            <w:tcBorders>
              <w:top w:val="nil"/>
              <w:left w:val="nil"/>
              <w:bottom w:val="single" w:sz="4" w:space="0" w:color="auto"/>
              <w:right w:val="nil"/>
            </w:tcBorders>
            <w:shd w:val="clear" w:color="auto" w:fill="auto"/>
            <w:noWrap/>
            <w:vAlign w:val="bottom"/>
            <w:hideMark/>
          </w:tcPr>
          <w:p w14:paraId="5C7FFFA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85" w:type="pct"/>
            <w:tcBorders>
              <w:top w:val="nil"/>
              <w:left w:val="single" w:sz="4" w:space="0" w:color="auto"/>
              <w:bottom w:val="single" w:sz="4" w:space="0" w:color="auto"/>
              <w:right w:val="single" w:sz="4" w:space="0" w:color="808080"/>
            </w:tcBorders>
            <w:shd w:val="clear" w:color="auto" w:fill="auto"/>
            <w:noWrap/>
            <w:vAlign w:val="bottom"/>
            <w:hideMark/>
          </w:tcPr>
          <w:p w14:paraId="3580437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09" w:type="pct"/>
            <w:tcBorders>
              <w:top w:val="nil"/>
              <w:left w:val="nil"/>
              <w:bottom w:val="single" w:sz="4" w:space="0" w:color="auto"/>
              <w:right w:val="single" w:sz="4" w:space="0" w:color="808080"/>
            </w:tcBorders>
            <w:shd w:val="clear" w:color="auto" w:fill="auto"/>
            <w:noWrap/>
            <w:vAlign w:val="bottom"/>
            <w:hideMark/>
          </w:tcPr>
          <w:p w14:paraId="14A9589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0" w:type="pct"/>
            <w:tcBorders>
              <w:top w:val="nil"/>
              <w:left w:val="nil"/>
              <w:bottom w:val="single" w:sz="4" w:space="0" w:color="auto"/>
              <w:right w:val="single" w:sz="4" w:space="0" w:color="808080"/>
            </w:tcBorders>
            <w:shd w:val="clear" w:color="auto" w:fill="auto"/>
            <w:noWrap/>
            <w:vAlign w:val="bottom"/>
            <w:hideMark/>
          </w:tcPr>
          <w:p w14:paraId="3FB783D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9" w:type="pct"/>
            <w:tcBorders>
              <w:top w:val="nil"/>
              <w:left w:val="nil"/>
              <w:bottom w:val="single" w:sz="4" w:space="0" w:color="auto"/>
              <w:right w:val="single" w:sz="4" w:space="0" w:color="808080"/>
            </w:tcBorders>
            <w:shd w:val="clear" w:color="auto" w:fill="auto"/>
            <w:noWrap/>
            <w:vAlign w:val="bottom"/>
            <w:hideMark/>
          </w:tcPr>
          <w:p w14:paraId="7E4904A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89" w:type="pct"/>
            <w:tcBorders>
              <w:top w:val="nil"/>
              <w:left w:val="nil"/>
              <w:bottom w:val="single" w:sz="4" w:space="0" w:color="auto"/>
              <w:right w:val="single" w:sz="4" w:space="0" w:color="auto"/>
            </w:tcBorders>
            <w:shd w:val="clear" w:color="auto" w:fill="auto"/>
            <w:noWrap/>
            <w:vAlign w:val="bottom"/>
            <w:hideMark/>
          </w:tcPr>
          <w:p w14:paraId="5243593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85" w:type="pct"/>
            <w:tcBorders>
              <w:top w:val="nil"/>
              <w:left w:val="nil"/>
              <w:bottom w:val="single" w:sz="4" w:space="0" w:color="auto"/>
              <w:right w:val="single" w:sz="4" w:space="0" w:color="808080"/>
            </w:tcBorders>
            <w:shd w:val="clear" w:color="auto" w:fill="auto"/>
            <w:noWrap/>
            <w:vAlign w:val="bottom"/>
            <w:hideMark/>
          </w:tcPr>
          <w:p w14:paraId="7CC1C2B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09" w:type="pct"/>
            <w:tcBorders>
              <w:top w:val="nil"/>
              <w:left w:val="nil"/>
              <w:bottom w:val="single" w:sz="4" w:space="0" w:color="auto"/>
              <w:right w:val="single" w:sz="4" w:space="0" w:color="808080"/>
            </w:tcBorders>
            <w:shd w:val="clear" w:color="auto" w:fill="auto"/>
            <w:noWrap/>
            <w:vAlign w:val="bottom"/>
            <w:hideMark/>
          </w:tcPr>
          <w:p w14:paraId="30586B8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18.18%</w:t>
            </w:r>
          </w:p>
        </w:tc>
        <w:tc>
          <w:tcPr>
            <w:tcW w:w="210" w:type="pct"/>
            <w:tcBorders>
              <w:top w:val="nil"/>
              <w:left w:val="nil"/>
              <w:bottom w:val="single" w:sz="4" w:space="0" w:color="auto"/>
              <w:right w:val="single" w:sz="4" w:space="0" w:color="808080"/>
            </w:tcBorders>
            <w:shd w:val="clear" w:color="auto" w:fill="auto"/>
            <w:noWrap/>
            <w:vAlign w:val="bottom"/>
            <w:hideMark/>
          </w:tcPr>
          <w:p w14:paraId="4B2213F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11.11%</w:t>
            </w:r>
          </w:p>
        </w:tc>
        <w:tc>
          <w:tcPr>
            <w:tcW w:w="189" w:type="pct"/>
            <w:tcBorders>
              <w:top w:val="nil"/>
              <w:left w:val="nil"/>
              <w:bottom w:val="single" w:sz="4" w:space="0" w:color="auto"/>
              <w:right w:val="single" w:sz="4" w:space="0" w:color="808080"/>
            </w:tcBorders>
            <w:shd w:val="clear" w:color="auto" w:fill="auto"/>
            <w:noWrap/>
            <w:vAlign w:val="bottom"/>
            <w:hideMark/>
          </w:tcPr>
          <w:p w14:paraId="75643F6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29.43</w:t>
            </w:r>
          </w:p>
        </w:tc>
        <w:tc>
          <w:tcPr>
            <w:tcW w:w="159" w:type="pct"/>
            <w:tcBorders>
              <w:top w:val="nil"/>
              <w:left w:val="nil"/>
              <w:bottom w:val="single" w:sz="4" w:space="0" w:color="auto"/>
              <w:right w:val="nil"/>
            </w:tcBorders>
            <w:shd w:val="clear" w:color="auto" w:fill="auto"/>
            <w:noWrap/>
            <w:vAlign w:val="bottom"/>
            <w:hideMark/>
          </w:tcPr>
          <w:p w14:paraId="21E1EC8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5.70</w:t>
            </w:r>
          </w:p>
        </w:tc>
        <w:tc>
          <w:tcPr>
            <w:tcW w:w="85" w:type="pct"/>
            <w:tcBorders>
              <w:top w:val="nil"/>
              <w:left w:val="single" w:sz="4" w:space="0" w:color="auto"/>
              <w:bottom w:val="single" w:sz="4" w:space="0" w:color="auto"/>
              <w:right w:val="single" w:sz="4" w:space="0" w:color="808080"/>
            </w:tcBorders>
            <w:shd w:val="clear" w:color="auto" w:fill="auto"/>
            <w:noWrap/>
            <w:vAlign w:val="bottom"/>
            <w:hideMark/>
          </w:tcPr>
          <w:p w14:paraId="733BA5D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w:t>
            </w:r>
          </w:p>
        </w:tc>
        <w:tc>
          <w:tcPr>
            <w:tcW w:w="209" w:type="pct"/>
            <w:tcBorders>
              <w:top w:val="nil"/>
              <w:left w:val="nil"/>
              <w:bottom w:val="single" w:sz="4" w:space="0" w:color="auto"/>
              <w:right w:val="single" w:sz="4" w:space="0" w:color="808080"/>
            </w:tcBorders>
            <w:shd w:val="clear" w:color="auto" w:fill="auto"/>
            <w:noWrap/>
            <w:vAlign w:val="bottom"/>
            <w:hideMark/>
          </w:tcPr>
          <w:p w14:paraId="52574A0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81.82%</w:t>
            </w:r>
          </w:p>
        </w:tc>
        <w:tc>
          <w:tcPr>
            <w:tcW w:w="210" w:type="pct"/>
            <w:tcBorders>
              <w:top w:val="nil"/>
              <w:left w:val="nil"/>
              <w:bottom w:val="single" w:sz="4" w:space="0" w:color="auto"/>
              <w:right w:val="single" w:sz="4" w:space="0" w:color="808080"/>
            </w:tcBorders>
            <w:shd w:val="clear" w:color="auto" w:fill="auto"/>
            <w:noWrap/>
            <w:vAlign w:val="bottom"/>
            <w:hideMark/>
          </w:tcPr>
          <w:p w14:paraId="79BEFB1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21.43%</w:t>
            </w:r>
          </w:p>
        </w:tc>
        <w:tc>
          <w:tcPr>
            <w:tcW w:w="219" w:type="pct"/>
            <w:tcBorders>
              <w:top w:val="nil"/>
              <w:left w:val="nil"/>
              <w:bottom w:val="single" w:sz="4" w:space="0" w:color="auto"/>
              <w:right w:val="single" w:sz="4" w:space="0" w:color="808080"/>
            </w:tcBorders>
            <w:shd w:val="clear" w:color="auto" w:fill="auto"/>
            <w:noWrap/>
            <w:vAlign w:val="bottom"/>
            <w:hideMark/>
          </w:tcPr>
          <w:p w14:paraId="2EB30BA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240.45</w:t>
            </w:r>
          </w:p>
        </w:tc>
        <w:tc>
          <w:tcPr>
            <w:tcW w:w="189" w:type="pct"/>
            <w:tcBorders>
              <w:top w:val="nil"/>
              <w:left w:val="nil"/>
              <w:bottom w:val="single" w:sz="4" w:space="0" w:color="auto"/>
              <w:right w:val="single" w:sz="4" w:space="0" w:color="auto"/>
            </w:tcBorders>
            <w:shd w:val="clear" w:color="auto" w:fill="auto"/>
            <w:noWrap/>
            <w:vAlign w:val="bottom"/>
            <w:hideMark/>
          </w:tcPr>
          <w:p w14:paraId="25D1DF8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32.79</w:t>
            </w:r>
          </w:p>
        </w:tc>
        <w:tc>
          <w:tcPr>
            <w:tcW w:w="375" w:type="pct"/>
            <w:tcBorders>
              <w:top w:val="nil"/>
              <w:left w:val="nil"/>
              <w:bottom w:val="single" w:sz="4" w:space="0" w:color="auto"/>
              <w:right w:val="single" w:sz="4" w:space="0" w:color="auto"/>
            </w:tcBorders>
            <w:shd w:val="clear" w:color="auto" w:fill="auto"/>
            <w:noWrap/>
            <w:vAlign w:val="bottom"/>
            <w:hideMark/>
          </w:tcPr>
          <w:p w14:paraId="7F7A09A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202.08</w:t>
            </w:r>
          </w:p>
        </w:tc>
        <w:tc>
          <w:tcPr>
            <w:tcW w:w="209" w:type="pct"/>
            <w:tcBorders>
              <w:top w:val="nil"/>
              <w:left w:val="nil"/>
              <w:bottom w:val="single" w:sz="4" w:space="0" w:color="auto"/>
              <w:right w:val="single" w:sz="4" w:space="0" w:color="808080"/>
            </w:tcBorders>
            <w:shd w:val="clear" w:color="auto" w:fill="auto"/>
            <w:noWrap/>
            <w:vAlign w:val="bottom"/>
            <w:hideMark/>
          </w:tcPr>
          <w:p w14:paraId="07D2097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6.55%</w:t>
            </w:r>
          </w:p>
        </w:tc>
        <w:tc>
          <w:tcPr>
            <w:tcW w:w="240" w:type="pct"/>
            <w:tcBorders>
              <w:top w:val="nil"/>
              <w:left w:val="nil"/>
              <w:bottom w:val="single" w:sz="4" w:space="0" w:color="auto"/>
              <w:right w:val="single" w:sz="4" w:space="0" w:color="808080"/>
            </w:tcBorders>
            <w:shd w:val="clear" w:color="auto" w:fill="auto"/>
            <w:noWrap/>
            <w:vAlign w:val="bottom"/>
            <w:hideMark/>
          </w:tcPr>
          <w:p w14:paraId="1FC0F49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09" w:type="pct"/>
            <w:tcBorders>
              <w:top w:val="nil"/>
              <w:left w:val="nil"/>
              <w:bottom w:val="single" w:sz="4" w:space="0" w:color="auto"/>
              <w:right w:val="single" w:sz="4" w:space="0" w:color="808080"/>
            </w:tcBorders>
            <w:shd w:val="clear" w:color="auto" w:fill="auto"/>
            <w:noWrap/>
            <w:vAlign w:val="bottom"/>
            <w:hideMark/>
          </w:tcPr>
          <w:p w14:paraId="4873213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4.05%</w:t>
            </w:r>
          </w:p>
        </w:tc>
        <w:tc>
          <w:tcPr>
            <w:tcW w:w="239" w:type="pct"/>
            <w:tcBorders>
              <w:top w:val="nil"/>
              <w:left w:val="nil"/>
              <w:bottom w:val="single" w:sz="4" w:space="0" w:color="auto"/>
              <w:right w:val="single" w:sz="4" w:space="0" w:color="auto"/>
            </w:tcBorders>
            <w:shd w:val="clear" w:color="auto" w:fill="auto"/>
            <w:noWrap/>
            <w:vAlign w:val="bottom"/>
            <w:hideMark/>
          </w:tcPr>
          <w:p w14:paraId="03CDF9D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r>
      <w:tr w:rsidR="00A022DF" w:rsidRPr="00E87E42" w14:paraId="1D73BA79" w14:textId="77777777" w:rsidTr="00E801B3">
        <w:trPr>
          <w:trHeight w:val="227"/>
        </w:trPr>
        <w:tc>
          <w:tcPr>
            <w:tcW w:w="3728" w:type="pct"/>
            <w:gridSpan w:val="22"/>
            <w:tcBorders>
              <w:top w:val="single" w:sz="4" w:space="0" w:color="auto"/>
              <w:left w:val="single" w:sz="4" w:space="0" w:color="auto"/>
              <w:bottom w:val="single" w:sz="4" w:space="0" w:color="auto"/>
              <w:right w:val="single" w:sz="4" w:space="0" w:color="auto"/>
            </w:tcBorders>
            <w:shd w:val="clear" w:color="auto" w:fill="auto"/>
            <w:noWrap/>
            <w:vAlign w:val="bottom"/>
          </w:tcPr>
          <w:p w14:paraId="05EF884C" w14:textId="0ED393AE" w:rsidR="00A022DF" w:rsidRPr="00E87E42" w:rsidRDefault="00A022DF" w:rsidP="00A022DF">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Total weighted area damage</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4C6EE6" w14:textId="61F72D2F"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427.03</w:t>
            </w:r>
          </w:p>
        </w:tc>
        <w:tc>
          <w:tcPr>
            <w:tcW w:w="896"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CF711D4" w14:textId="77777777" w:rsidR="00A022DF" w:rsidRPr="00E87E42" w:rsidRDefault="00A022DF" w:rsidP="00A022DF">
            <w:pPr>
              <w:spacing w:after="0" w:line="240" w:lineRule="auto"/>
              <w:jc w:val="center"/>
              <w:rPr>
                <w:rFonts w:eastAsia="Times New Roman"/>
                <w:color w:val="000000"/>
                <w:sz w:val="16"/>
                <w:szCs w:val="16"/>
                <w:lang w:eastAsia="en-GB"/>
              </w:rPr>
            </w:pPr>
          </w:p>
        </w:tc>
      </w:tr>
    </w:tbl>
    <w:p w14:paraId="4D92815A" w14:textId="77777777" w:rsidR="00BF5E03" w:rsidRPr="00E87E42" w:rsidRDefault="00BF5E03" w:rsidP="00A47AB0">
      <w:pPr>
        <w:pStyle w:val="Caption"/>
        <w:spacing w:line="240" w:lineRule="auto"/>
      </w:pPr>
      <w:bookmarkStart w:id="36" w:name="_Ref506546186"/>
      <w:bookmarkStart w:id="37" w:name="_Ref506481905"/>
    </w:p>
    <w:p w14:paraId="2DC074AD" w14:textId="77777777" w:rsidR="00BF5E03" w:rsidRPr="00E87E42" w:rsidRDefault="00BF5E03">
      <w:pPr>
        <w:spacing w:after="0" w:line="240" w:lineRule="auto"/>
        <w:jc w:val="left"/>
        <w:rPr>
          <w:i/>
          <w:iCs/>
          <w:sz w:val="20"/>
          <w:szCs w:val="18"/>
        </w:rPr>
      </w:pPr>
      <w:r w:rsidRPr="00E87E42">
        <w:br w:type="page"/>
      </w:r>
    </w:p>
    <w:bookmarkEnd w:id="36"/>
    <w:bookmarkEnd w:id="37"/>
    <w:p w14:paraId="0C9CCEC7" w14:textId="77777777" w:rsidR="00EF6691" w:rsidRPr="00E87E42" w:rsidRDefault="00EF6691" w:rsidP="004A2F07">
      <w:pPr>
        <w:sectPr w:rsidR="00EF6691" w:rsidRPr="00E87E42" w:rsidSect="00B02E89">
          <w:type w:val="continuous"/>
          <w:pgSz w:w="16840" w:h="11907" w:orient="landscape" w:code="9"/>
          <w:pgMar w:top="618" w:right="1418" w:bottom="748" w:left="1077" w:header="567" w:footer="567" w:gutter="284"/>
          <w:cols w:space="454"/>
          <w:docGrid w:linePitch="360"/>
        </w:sectPr>
      </w:pPr>
    </w:p>
    <w:p w14:paraId="584D41CB" w14:textId="17145A06" w:rsidR="00864780" w:rsidRPr="00E87E42" w:rsidRDefault="00864780">
      <w:pPr>
        <w:pStyle w:val="Heading2"/>
        <w:numPr>
          <w:ilvl w:val="1"/>
          <w:numId w:val="35"/>
        </w:numPr>
        <w:spacing w:before="120"/>
      </w:pPr>
      <w:r w:rsidRPr="00E87E42">
        <w:lastRenderedPageBreak/>
        <w:t xml:space="preserve">AREA DAMAGE and percentage of fire spread </w:t>
      </w:r>
      <w:r w:rsidR="002907B7" w:rsidRPr="00E87E42">
        <w:t xml:space="preserve">in </w:t>
      </w:r>
      <w:r w:rsidRPr="00E87E42">
        <w:t>PD</w:t>
      </w:r>
      <w:r w:rsidR="00400374" w:rsidRPr="00E87E42">
        <w:t xml:space="preserve"> 7974-7</w:t>
      </w:r>
      <w:r w:rsidRPr="00E87E42">
        <w:t xml:space="preserve"> vs USA fire statistics</w:t>
      </w:r>
    </w:p>
    <w:p w14:paraId="5220A158" w14:textId="2BE5FCD1" w:rsidR="00864780" w:rsidRPr="00E87E42" w:rsidRDefault="00864780" w:rsidP="00DC7B93">
      <w:pPr>
        <w:pStyle w:val="Heading3"/>
        <w:numPr>
          <w:ilvl w:val="2"/>
          <w:numId w:val="35"/>
        </w:numPr>
        <w:spacing w:before="120"/>
      </w:pPr>
      <w:bookmarkStart w:id="38" w:name="_Ref506570820"/>
      <w:r w:rsidRPr="00E87E42">
        <w:t>TEXTILE INDUSTRY</w:t>
      </w:r>
      <w:bookmarkEnd w:id="38"/>
    </w:p>
    <w:p w14:paraId="680AB678" w14:textId="07BF258C" w:rsidR="00D52C59" w:rsidRPr="00E87E42" w:rsidRDefault="00864780" w:rsidP="008A55B5">
      <w:pPr>
        <w:spacing w:before="120"/>
      </w:pPr>
      <w:r w:rsidRPr="00E87E42">
        <w:t xml:space="preserve">Table A.4 in PD 7974-7 </w:t>
      </w:r>
      <w:r w:rsidR="00D52C59" w:rsidRPr="00E87E42">
        <w:t xml:space="preserve">summarizes the area damage in </w:t>
      </w:r>
      <w:r w:rsidR="001B682D" w:rsidRPr="00E87E42">
        <w:t>m</w:t>
      </w:r>
      <w:r w:rsidR="001B682D" w:rsidRPr="00E87E42">
        <w:rPr>
          <w:vertAlign w:val="superscript"/>
        </w:rPr>
        <w:t>2</w:t>
      </w:r>
      <w:r w:rsidR="001B682D" w:rsidRPr="00E87E42">
        <w:t xml:space="preserve"> </w:t>
      </w:r>
      <w:r w:rsidR="00D52C59" w:rsidRPr="00E87E42">
        <w:t xml:space="preserve">and percentage of fires for each category of fire spread in textile industry. Since the exact </w:t>
      </w:r>
      <w:r w:rsidR="002D3916" w:rsidRPr="00E87E42">
        <w:t xml:space="preserve">comparison to the textile industry </w:t>
      </w:r>
      <w:r w:rsidR="00D52C59" w:rsidRPr="00E87E42">
        <w:t xml:space="preserve">was not </w:t>
      </w:r>
      <w:r w:rsidR="002D3916" w:rsidRPr="00E87E42">
        <w:t>possible with</w:t>
      </w:r>
      <w:r w:rsidR="00D52C59" w:rsidRPr="00E87E42">
        <w:t xml:space="preserve"> the USA fire statistics</w:t>
      </w:r>
      <w:r w:rsidR="002D3916" w:rsidRPr="00E87E42">
        <w:t>, comparisons are made instead to</w:t>
      </w:r>
      <w:r w:rsidR="00D52C59" w:rsidRPr="00E87E42">
        <w:t xml:space="preserve"> </w:t>
      </w:r>
      <w:r w:rsidR="00EC29BD" w:rsidRPr="00E87E42">
        <w:rPr>
          <w:i/>
        </w:rPr>
        <w:t>Manufacturing, P</w:t>
      </w:r>
      <w:r w:rsidR="00D52C59" w:rsidRPr="00E87E42">
        <w:rPr>
          <w:i/>
        </w:rPr>
        <w:t>rocessing</w:t>
      </w:r>
      <w:r w:rsidR="00D52C59" w:rsidRPr="00E87E42">
        <w:t xml:space="preserve">. </w:t>
      </w:r>
      <w:r w:rsidR="002D3916" w:rsidRPr="00E87E42">
        <w:t>Table A.4</w:t>
      </w:r>
      <w:r w:rsidR="00D52C59" w:rsidRPr="00E87E42">
        <w:t xml:space="preserve"> </w:t>
      </w:r>
      <w:proofErr w:type="gramStart"/>
      <w:r w:rsidR="00D52C59" w:rsidRPr="00E87E42">
        <w:t>is divided</w:t>
      </w:r>
      <w:proofErr w:type="gramEnd"/>
      <w:r w:rsidR="00D52C59" w:rsidRPr="00E87E42">
        <w:t xml:space="preserve"> i</w:t>
      </w:r>
      <w:r w:rsidR="00196D31" w:rsidRPr="00E87E42">
        <w:t>n</w:t>
      </w:r>
      <w:r w:rsidR="002D3916" w:rsidRPr="00E87E42">
        <w:t>to</w:t>
      </w:r>
      <w:r w:rsidR="00196D31" w:rsidRPr="00E87E42">
        <w:t xml:space="preserve"> three different fire </w:t>
      </w:r>
      <w:r w:rsidR="00EC29BD" w:rsidRPr="00E87E42">
        <w:t>locations, which</w:t>
      </w:r>
      <w:r w:rsidR="00196D31" w:rsidRPr="00E87E42">
        <w:t xml:space="preserve"> have been </w:t>
      </w:r>
      <w:r w:rsidR="00EC29BD" w:rsidRPr="00E87E42">
        <w:t>reproduced in the USA fire statistics as follow</w:t>
      </w:r>
      <w:r w:rsidR="004558F5" w:rsidRPr="00E87E42">
        <w:t xml:space="preserve"> in the NFIRS</w:t>
      </w:r>
      <w:r w:rsidR="00EC29BD" w:rsidRPr="00E87E42">
        <w:t>:</w:t>
      </w:r>
      <w:r w:rsidR="00196D31" w:rsidRPr="00E87E42">
        <w:t xml:space="preserve"> </w:t>
      </w:r>
      <w:r w:rsidR="00D52C59" w:rsidRPr="00E87E42">
        <w:rPr>
          <w:u w:val="single"/>
        </w:rPr>
        <w:t>Production area</w:t>
      </w:r>
      <w:r w:rsidR="00EC29BD" w:rsidRPr="00E87E42">
        <w:t xml:space="preserve"> </w:t>
      </w:r>
      <w:r w:rsidR="002D3916" w:rsidRPr="00E87E42">
        <w:t xml:space="preserve">- </w:t>
      </w:r>
      <w:r w:rsidR="00EC29BD" w:rsidRPr="00E87E42">
        <w:t>Processing/manufacturing area, workroom, assembly area</w:t>
      </w:r>
      <w:r w:rsidR="004558F5" w:rsidRPr="00E87E42">
        <w:t xml:space="preserve">; </w:t>
      </w:r>
      <w:r w:rsidR="00D52C59" w:rsidRPr="00E87E42">
        <w:rPr>
          <w:u w:val="single"/>
        </w:rPr>
        <w:t>Storage area</w:t>
      </w:r>
      <w:r w:rsidR="00D52C59" w:rsidRPr="00E87E42">
        <w:t xml:space="preserve"> </w:t>
      </w:r>
      <w:r w:rsidR="002D3916" w:rsidRPr="00E87E42">
        <w:t xml:space="preserve">- </w:t>
      </w:r>
      <w:r w:rsidR="00EC29BD" w:rsidRPr="00E87E42">
        <w:t>Storage Areas</w:t>
      </w:r>
      <w:r w:rsidR="004558F5" w:rsidRPr="00E87E42">
        <w:t xml:space="preserve">; </w:t>
      </w:r>
      <w:r w:rsidR="00EC29BD" w:rsidRPr="00E87E42">
        <w:rPr>
          <w:u w:val="single"/>
        </w:rPr>
        <w:t>Other areas</w:t>
      </w:r>
      <w:r w:rsidR="00EC29BD" w:rsidRPr="00E87E42">
        <w:t xml:space="preserve"> </w:t>
      </w:r>
      <w:r w:rsidR="002D3916" w:rsidRPr="00E87E42">
        <w:t xml:space="preserve">- </w:t>
      </w:r>
      <w:r w:rsidR="00766A0C" w:rsidRPr="00E87E42">
        <w:t>a</w:t>
      </w:r>
      <w:r w:rsidR="00EC29BD" w:rsidRPr="00E87E42">
        <w:t xml:space="preserve">ll the other fire origin locations excluding </w:t>
      </w:r>
      <w:r w:rsidR="002D3916" w:rsidRPr="00E87E42">
        <w:t>those</w:t>
      </w:r>
      <w:r w:rsidR="00EC29BD" w:rsidRPr="00E87E42">
        <w:t xml:space="preserve"> previously considered.</w:t>
      </w:r>
    </w:p>
    <w:p w14:paraId="09994351" w14:textId="290EA67E" w:rsidR="00CF42EB" w:rsidRPr="00E87E42" w:rsidRDefault="00196D31" w:rsidP="00766A0C">
      <w:pPr>
        <w:spacing w:before="120"/>
      </w:pPr>
      <w:r w:rsidRPr="00E87E42">
        <w:t xml:space="preserve">The method explained in </w:t>
      </w:r>
      <w:r w:rsidR="003717CB" w:rsidRPr="00E87E42">
        <w:t>S</w:t>
      </w:r>
      <w:r w:rsidRPr="00E87E42">
        <w:t xml:space="preserve">ection </w:t>
      </w:r>
      <w:r w:rsidRPr="00E87E42">
        <w:fldChar w:fldCharType="begin"/>
      </w:r>
      <w:r w:rsidRPr="00E87E42">
        <w:instrText xml:space="preserve"> REF _Ref497742748 \r \h </w:instrText>
      </w:r>
      <w:r w:rsidR="00E87E42">
        <w:instrText xml:space="preserve"> \* MERGEFORMAT </w:instrText>
      </w:r>
      <w:r w:rsidRPr="00E87E42">
        <w:fldChar w:fldCharType="separate"/>
      </w:r>
      <w:r w:rsidR="009F6872">
        <w:t>6</w:t>
      </w:r>
      <w:r w:rsidRPr="00E87E42">
        <w:fldChar w:fldCharType="end"/>
      </w:r>
      <w:r w:rsidRPr="00E87E42">
        <w:t xml:space="preserve">, </w:t>
      </w:r>
      <w:proofErr w:type="gramStart"/>
      <w:r w:rsidRPr="00E87E42">
        <w:t>has been adopted</w:t>
      </w:r>
      <w:proofErr w:type="gramEnd"/>
      <w:r w:rsidRPr="00E87E42">
        <w:t xml:space="preserve"> with the only difference that a further classification</w:t>
      </w:r>
      <w:r w:rsidR="00766A0C" w:rsidRPr="00E87E42">
        <w:t xml:space="preserve"> has been applied regarding </w:t>
      </w:r>
      <w:r w:rsidRPr="00E87E42">
        <w:t>fire location</w:t>
      </w:r>
      <w:r w:rsidR="00014237" w:rsidRPr="00E87E42">
        <w:t>s</w:t>
      </w:r>
      <w:r w:rsidRPr="00E87E42">
        <w:t xml:space="preserve">. </w:t>
      </w:r>
      <w:r w:rsidR="004A3D1C" w:rsidRPr="00E87E42">
        <w:t xml:space="preserve">The influence of sprinkler systems on the response is also considered. </w:t>
      </w:r>
      <w:r w:rsidR="00A300F2" w:rsidRPr="00E87E42">
        <w:t xml:space="preserve">The </w:t>
      </w:r>
      <w:r w:rsidR="00170D75">
        <w:t>average area damage within</w:t>
      </w:r>
      <w:r w:rsidR="004A3D1C" w:rsidRPr="00E87E42">
        <w:t xml:space="preserve"> </w:t>
      </w:r>
      <w:r w:rsidR="002A4842" w:rsidRPr="00E87E42">
        <w:fldChar w:fldCharType="begin"/>
      </w:r>
      <w:r w:rsidR="002A4842" w:rsidRPr="00E87E42">
        <w:instrText xml:space="preserve"> REF _Ref508720294 \h </w:instrText>
      </w:r>
      <w:r w:rsidR="00E87E42">
        <w:instrText xml:space="preserve"> \* MERGEFORMAT </w:instrText>
      </w:r>
      <w:r w:rsidR="002A4842" w:rsidRPr="00E87E42">
        <w:fldChar w:fldCharType="separate"/>
      </w:r>
      <w:r w:rsidR="009F6872" w:rsidRPr="00E87E42">
        <w:t xml:space="preserve">Table </w:t>
      </w:r>
      <w:r w:rsidR="009F6872">
        <w:rPr>
          <w:i/>
          <w:iCs/>
          <w:noProof/>
        </w:rPr>
        <w:t>8</w:t>
      </w:r>
      <w:r w:rsidR="002A4842" w:rsidRPr="00E87E42">
        <w:fldChar w:fldCharType="end"/>
      </w:r>
      <w:r w:rsidR="004A3D1C" w:rsidRPr="00E87E42">
        <w:t xml:space="preserve"> (</w:t>
      </w:r>
      <w:r w:rsidR="00A300F2" w:rsidRPr="00E87E42">
        <w:t>last r</w:t>
      </w:r>
      <w:r w:rsidR="004A3D1C" w:rsidRPr="00E87E42">
        <w:t>o</w:t>
      </w:r>
      <w:r w:rsidR="00A300F2" w:rsidRPr="00E87E42">
        <w:t>w</w:t>
      </w:r>
      <w:r w:rsidR="004A3D1C" w:rsidRPr="00E87E42">
        <w:t>)</w:t>
      </w:r>
      <w:r w:rsidR="00A300F2" w:rsidRPr="00E87E42">
        <w:t xml:space="preserve"> </w:t>
      </w:r>
      <w:proofErr w:type="gramStart"/>
      <w:r w:rsidR="00014237" w:rsidRPr="00E87E42">
        <w:t>is obtained</w:t>
      </w:r>
      <w:proofErr w:type="gramEnd"/>
      <w:r w:rsidR="00014237" w:rsidRPr="00E87E42">
        <w:t xml:space="preserve"> </w:t>
      </w:r>
      <w:r w:rsidR="004A3D1C" w:rsidRPr="00E87E42">
        <w:t xml:space="preserve">by </w:t>
      </w:r>
      <w:r w:rsidR="00014237" w:rsidRPr="00E87E42">
        <w:t xml:space="preserve">multiplying the area damage for the related frequency for each class of fire spread </w:t>
      </w:r>
      <w:r w:rsidR="004A3D1C" w:rsidRPr="00E87E42">
        <w:t xml:space="preserve">and </w:t>
      </w:r>
      <w:r w:rsidR="00014237" w:rsidRPr="00E87E42">
        <w:t>summing all the values</w:t>
      </w:r>
      <w:r w:rsidR="004A3D1C" w:rsidRPr="00E87E42">
        <w:t>.</w:t>
      </w:r>
    </w:p>
    <w:p w14:paraId="0632669C" w14:textId="292E2C3D" w:rsidR="00CF42EB" w:rsidRPr="00E87E42" w:rsidRDefault="004A3D1C" w:rsidP="00CF42EB">
      <w:r w:rsidRPr="00E87E42">
        <w:t>In r</w:t>
      </w:r>
      <w:r w:rsidR="001C63E6" w:rsidRPr="00E87E42">
        <w:t xml:space="preserve">ecreating Table A.4 for </w:t>
      </w:r>
      <w:r w:rsidR="001C63E6" w:rsidRPr="00E87E42">
        <w:rPr>
          <w:b/>
        </w:rPr>
        <w:t>Production area</w:t>
      </w:r>
      <w:r w:rsidR="001C63E6" w:rsidRPr="00E87E42">
        <w:t xml:space="preserve"> </w:t>
      </w:r>
      <w:r w:rsidRPr="00E87E42">
        <w:t>using</w:t>
      </w:r>
      <w:r w:rsidR="00CF42EB" w:rsidRPr="00E87E42">
        <w:t xml:space="preserve"> NFIRS</w:t>
      </w:r>
      <w:r w:rsidRPr="00E87E42">
        <w:t xml:space="preserve"> data</w:t>
      </w:r>
      <w:r w:rsidR="00CF42EB" w:rsidRPr="00E87E42">
        <w:t xml:space="preserve">, </w:t>
      </w:r>
      <w:r w:rsidRPr="00E87E42">
        <w:t xml:space="preserve">for </w:t>
      </w:r>
      <w:proofErr w:type="spellStart"/>
      <w:r w:rsidR="00CF42EB" w:rsidRPr="00E87E42">
        <w:t>sprinkler</w:t>
      </w:r>
      <w:r w:rsidRPr="00E87E42">
        <w:t>ed</w:t>
      </w:r>
      <w:proofErr w:type="spellEnd"/>
      <w:r w:rsidRPr="00E87E42">
        <w:t xml:space="preserve"> buildings</w:t>
      </w:r>
      <w:r w:rsidR="00CF42EB" w:rsidRPr="00E87E42">
        <w:t xml:space="preserve">, 7 fire incidents have been recorded for spread confined to floor, 14 for spread confined to building and </w:t>
      </w:r>
      <w:proofErr w:type="gramStart"/>
      <w:r w:rsidR="00CF42EB" w:rsidRPr="00E87E42">
        <w:t>2</w:t>
      </w:r>
      <w:proofErr w:type="gramEnd"/>
      <w:r w:rsidR="00CF42EB" w:rsidRPr="00E87E42">
        <w:t xml:space="preserve"> for the one beyond building. For </w:t>
      </w:r>
      <w:r w:rsidRPr="00E87E42">
        <w:t>un-</w:t>
      </w:r>
      <w:proofErr w:type="spellStart"/>
      <w:r w:rsidRPr="00E87E42">
        <w:t>sprinklered</w:t>
      </w:r>
      <w:proofErr w:type="spellEnd"/>
      <w:r w:rsidRPr="00E87E42">
        <w:t xml:space="preserve"> buildings</w:t>
      </w:r>
      <w:r w:rsidR="00CF42EB" w:rsidRPr="00E87E42">
        <w:t xml:space="preserve">, </w:t>
      </w:r>
      <w:r w:rsidR="008D5D9B" w:rsidRPr="00E87E42">
        <w:t xml:space="preserve">only </w:t>
      </w:r>
      <w:proofErr w:type="gramStart"/>
      <w:r w:rsidR="008D5D9B" w:rsidRPr="00E87E42">
        <w:t>4</w:t>
      </w:r>
      <w:proofErr w:type="gramEnd"/>
      <w:r w:rsidR="00CF42EB" w:rsidRPr="00E87E42">
        <w:t xml:space="preserve"> </w:t>
      </w:r>
      <w:r w:rsidR="008D5D9B" w:rsidRPr="00E87E42">
        <w:t>incidents related to fire confined</w:t>
      </w:r>
      <w:r w:rsidR="002907B7" w:rsidRPr="00E87E42">
        <w:t xml:space="preserve"> to floor and 2 </w:t>
      </w:r>
      <w:r w:rsidRPr="00E87E42">
        <w:t>for</w:t>
      </w:r>
      <w:r w:rsidR="008D5D9B" w:rsidRPr="00E87E42">
        <w:t xml:space="preserve"> spreads beyond the building of origin. One </w:t>
      </w:r>
      <w:proofErr w:type="spellStart"/>
      <w:r w:rsidRPr="00E87E42">
        <w:t>sprinklered</w:t>
      </w:r>
      <w:proofErr w:type="spellEnd"/>
      <w:r w:rsidRPr="00E87E42">
        <w:t xml:space="preserve"> building damage value (spread confined to building) has been ignored </w:t>
      </w:r>
      <w:r w:rsidR="008D5D9B" w:rsidRPr="00E87E42">
        <w:t xml:space="preserve">value in the dataset </w:t>
      </w:r>
      <w:r w:rsidRPr="00E87E42">
        <w:t>as the median damage is</w:t>
      </w:r>
      <w:r w:rsidR="008D5D9B" w:rsidRPr="00E87E42">
        <w:t xml:space="preserve"> 85,935</w:t>
      </w:r>
      <w:r w:rsidRPr="00E87E42">
        <w:t xml:space="preserve"> m</w:t>
      </w:r>
      <w:r w:rsidRPr="00E87E42">
        <w:rPr>
          <w:vertAlign w:val="superscript"/>
        </w:rPr>
        <w:t>2</w:t>
      </w:r>
      <w:r w:rsidR="002907B7" w:rsidRPr="00E87E42">
        <w:t>, which</w:t>
      </w:r>
      <w:r w:rsidR="008D5D9B" w:rsidRPr="00E87E42">
        <w:t xml:space="preserve"> </w:t>
      </w:r>
      <w:r w:rsidRPr="00E87E42">
        <w:t xml:space="preserve">is </w:t>
      </w:r>
      <w:r w:rsidR="008D5D9B" w:rsidRPr="00E87E42">
        <w:t>not comparable with other</w:t>
      </w:r>
      <w:r w:rsidRPr="00E87E42">
        <w:t xml:space="preserve"> values</w:t>
      </w:r>
      <w:r w:rsidR="008D5D9B" w:rsidRPr="00E87E42">
        <w:t xml:space="preserve">. </w:t>
      </w:r>
    </w:p>
    <w:p w14:paraId="520B9E0E" w14:textId="50EC50FA" w:rsidR="00350A30" w:rsidRPr="00E87E42" w:rsidRDefault="002640E0" w:rsidP="004A2F07">
      <w:r w:rsidRPr="00E87E42">
        <w:t>Frequency of fire</w:t>
      </w:r>
      <w:r w:rsidR="004A3D1C" w:rsidRPr="00E87E42">
        <w:t>,</w:t>
      </w:r>
      <w:r w:rsidRPr="00E87E42">
        <w:t xml:space="preserve"> in </w:t>
      </w:r>
      <w:r w:rsidR="004A3D1C" w:rsidRPr="00E87E42">
        <w:t xml:space="preserve">Table A.4 of </w:t>
      </w:r>
      <w:r w:rsidRPr="00E87E42">
        <w:t>PD 7974-7</w:t>
      </w:r>
      <w:r w:rsidR="004A3D1C" w:rsidRPr="00E87E42">
        <w:t>,</w:t>
      </w:r>
      <w:r w:rsidRPr="00E87E42">
        <w:t xml:space="preserve"> not confined to the room of </w:t>
      </w:r>
      <w:r w:rsidR="00BA6D5C" w:rsidRPr="00E87E42">
        <w:t>origin</w:t>
      </w:r>
      <w:r w:rsidRPr="00E87E42">
        <w:t xml:space="preserve"> is equal to 4% for </w:t>
      </w:r>
      <w:proofErr w:type="spellStart"/>
      <w:r w:rsidRPr="00E87E42">
        <w:t>sprinklered</w:t>
      </w:r>
      <w:proofErr w:type="spellEnd"/>
      <w:r w:rsidRPr="00E87E42">
        <w:t xml:space="preserve"> and 12% for un</w:t>
      </w:r>
      <w:r w:rsidR="004A3D1C" w:rsidRPr="00E87E42">
        <w:t>-</w:t>
      </w:r>
      <w:proofErr w:type="spellStart"/>
      <w:r w:rsidRPr="00E87E42">
        <w:t>sprinklered</w:t>
      </w:r>
      <w:proofErr w:type="spellEnd"/>
      <w:r w:rsidRPr="00E87E42">
        <w:t xml:space="preserve">, </w:t>
      </w:r>
      <w:r w:rsidR="004A3D1C" w:rsidRPr="00E87E42">
        <w:t>indicating good</w:t>
      </w:r>
      <w:r w:rsidR="00BA6D5C" w:rsidRPr="00E87E42">
        <w:t xml:space="preserve"> </w:t>
      </w:r>
      <w:r w:rsidRPr="00E87E42">
        <w:t xml:space="preserve">compartmentation. </w:t>
      </w:r>
      <w:r w:rsidR="004A3D1C" w:rsidRPr="00E87E42">
        <w:t>However, i</w:t>
      </w:r>
      <w:r w:rsidRPr="00E87E42">
        <w:t xml:space="preserve">n the NFIRS, the spread beyond the room of origin is </w:t>
      </w:r>
      <w:r w:rsidR="004A3D1C" w:rsidRPr="00E87E42">
        <w:t xml:space="preserve">much </w:t>
      </w:r>
      <w:r w:rsidRPr="00E87E42">
        <w:t xml:space="preserve">greater </w:t>
      </w:r>
      <w:r w:rsidR="004A3D1C" w:rsidRPr="00E87E42">
        <w:t>at</w:t>
      </w:r>
      <w:r w:rsidRPr="00E87E42">
        <w:t xml:space="preserve"> </w:t>
      </w:r>
      <w:r w:rsidR="00DB54E9" w:rsidRPr="00E87E42">
        <w:t>24.07</w:t>
      </w:r>
      <w:r w:rsidRPr="00E87E42">
        <w:t xml:space="preserve">% for </w:t>
      </w:r>
      <w:proofErr w:type="spellStart"/>
      <w:r w:rsidRPr="00E87E42">
        <w:t>sprinklered</w:t>
      </w:r>
      <w:proofErr w:type="spellEnd"/>
      <w:r w:rsidRPr="00E87E42">
        <w:t xml:space="preserve"> and </w:t>
      </w:r>
      <w:r w:rsidR="00DB54E9" w:rsidRPr="00E87E42">
        <w:t>51.73</w:t>
      </w:r>
      <w:r w:rsidR="00354366" w:rsidRPr="00E87E42">
        <w:t>% for un</w:t>
      </w:r>
      <w:r w:rsidR="00084A30" w:rsidRPr="00E87E42">
        <w:t>-</w:t>
      </w:r>
      <w:proofErr w:type="spellStart"/>
      <w:r w:rsidR="00354366" w:rsidRPr="00E87E42">
        <w:t>sprinklered</w:t>
      </w:r>
      <w:proofErr w:type="spellEnd"/>
      <w:r w:rsidR="00354366" w:rsidRPr="00E87E42">
        <w:t xml:space="preserve"> (</w:t>
      </w:r>
      <w:r w:rsidR="00FB498D" w:rsidRPr="00E87E42">
        <w:fldChar w:fldCharType="begin"/>
      </w:r>
      <w:r w:rsidR="00FB498D" w:rsidRPr="00E87E42">
        <w:instrText xml:space="preserve"> REF _Ref508720294 \h </w:instrText>
      </w:r>
      <w:r w:rsidR="00E87E42">
        <w:instrText xml:space="preserve"> \* MERGEFORMAT </w:instrText>
      </w:r>
      <w:r w:rsidR="00FB498D" w:rsidRPr="00E87E42">
        <w:fldChar w:fldCharType="separate"/>
      </w:r>
      <w:r w:rsidR="009F6872" w:rsidRPr="00E87E42">
        <w:t xml:space="preserve">Table </w:t>
      </w:r>
      <w:r w:rsidR="009F6872">
        <w:rPr>
          <w:i/>
          <w:iCs/>
          <w:noProof/>
        </w:rPr>
        <w:t>8</w:t>
      </w:r>
      <w:r w:rsidR="00FB498D" w:rsidRPr="00E87E42">
        <w:fldChar w:fldCharType="end"/>
      </w:r>
      <w:r w:rsidR="00354366" w:rsidRPr="00E87E42">
        <w:t xml:space="preserve">). </w:t>
      </w:r>
      <w:r w:rsidR="00084A30" w:rsidRPr="00E87E42">
        <w:t>When considering damage, PD</w:t>
      </w:r>
      <w:r w:rsidR="00EA0D74" w:rsidRPr="00E87E42">
        <w:t xml:space="preserve"> </w:t>
      </w:r>
      <w:r w:rsidR="00084A30" w:rsidRPr="00E87E42">
        <w:t>7974</w:t>
      </w:r>
      <w:r w:rsidR="00EA0D74" w:rsidRPr="00E87E42">
        <w:t>-7</w:t>
      </w:r>
      <w:r w:rsidR="00084A30" w:rsidRPr="00E87E42">
        <w:t xml:space="preserve"> has identical areas of damage for </w:t>
      </w:r>
      <w:proofErr w:type="spellStart"/>
      <w:r w:rsidR="00084A30" w:rsidRPr="00E87E42">
        <w:t>sprinklered</w:t>
      </w:r>
      <w:proofErr w:type="spellEnd"/>
      <w:r w:rsidR="00084A30" w:rsidRPr="00E87E42">
        <w:t xml:space="preserve"> and un</w:t>
      </w:r>
      <w:r w:rsidR="005F6DB8" w:rsidRPr="00E87E42">
        <w:t>-</w:t>
      </w:r>
      <w:proofErr w:type="spellStart"/>
      <w:r w:rsidR="00084A30" w:rsidRPr="00E87E42">
        <w:t>sprinklered</w:t>
      </w:r>
      <w:proofErr w:type="spellEnd"/>
      <w:r w:rsidR="00084A30" w:rsidRPr="00E87E42">
        <w:t xml:space="preserve"> buildings, whereas in the NF</w:t>
      </w:r>
      <w:r w:rsidR="00407E2D" w:rsidRPr="00E87E42">
        <w:t>IR</w:t>
      </w:r>
      <w:r w:rsidR="00084A30" w:rsidRPr="00E87E42">
        <w:t>S analysis</w:t>
      </w:r>
      <w:r w:rsidR="003F4CE9" w:rsidRPr="00E87E42">
        <w:t xml:space="preserve"> the damage for </w:t>
      </w:r>
      <w:proofErr w:type="spellStart"/>
      <w:r w:rsidR="003F4CE9" w:rsidRPr="00E87E42">
        <w:t>sprinkler</w:t>
      </w:r>
      <w:r w:rsidR="00084A30" w:rsidRPr="00E87E42">
        <w:t>ed</w:t>
      </w:r>
      <w:proofErr w:type="spellEnd"/>
      <w:r w:rsidR="00084A30" w:rsidRPr="00E87E42">
        <w:t xml:space="preserve"> buildings is </w:t>
      </w:r>
      <w:r w:rsidR="00490360" w:rsidRPr="00E87E42">
        <w:t xml:space="preserve">always </w:t>
      </w:r>
      <w:r w:rsidR="00084A30" w:rsidRPr="00E87E42">
        <w:t>greater than for un-</w:t>
      </w:r>
      <w:proofErr w:type="spellStart"/>
      <w:r w:rsidR="00084A30" w:rsidRPr="00E87E42">
        <w:t>sprinklered</w:t>
      </w:r>
      <w:proofErr w:type="spellEnd"/>
      <w:r w:rsidR="00084A30" w:rsidRPr="00E87E42">
        <w:t>.</w:t>
      </w:r>
      <w:r w:rsidR="003F4CE9" w:rsidRPr="00E87E42">
        <w:t xml:space="preserve"> </w:t>
      </w:r>
      <w:r w:rsidR="00084A30" w:rsidRPr="00E87E42">
        <w:t>T</w:t>
      </w:r>
      <w:r w:rsidR="003F4CE9" w:rsidRPr="00E87E42">
        <w:t xml:space="preserve">his </w:t>
      </w:r>
      <w:proofErr w:type="gramStart"/>
      <w:r w:rsidR="00490360" w:rsidRPr="00E87E42">
        <w:t>is believed</w:t>
      </w:r>
      <w:proofErr w:type="gramEnd"/>
      <w:r w:rsidR="00490360" w:rsidRPr="00E87E42">
        <w:t xml:space="preserve"> to </w:t>
      </w:r>
      <w:r w:rsidR="003F4CE9" w:rsidRPr="00E87E42">
        <w:t>be due to the small number of fire recorded</w:t>
      </w:r>
      <w:r w:rsidR="00084A30" w:rsidRPr="00E87E42">
        <w:t xml:space="preserve"> in the case of </w:t>
      </w:r>
      <w:proofErr w:type="spellStart"/>
      <w:r w:rsidR="00084A30" w:rsidRPr="00E87E42">
        <w:t>sprinklered</w:t>
      </w:r>
      <w:proofErr w:type="spellEnd"/>
      <w:r w:rsidR="00084A30" w:rsidRPr="00E87E42">
        <w:t xml:space="preserve"> buildings</w:t>
      </w:r>
      <w:r w:rsidR="008D5D9B" w:rsidRPr="00E87E42">
        <w:t xml:space="preserve">. </w:t>
      </w:r>
    </w:p>
    <w:p w14:paraId="08414D80" w14:textId="3CE58968" w:rsidR="00B46794" w:rsidRPr="00E87E42" w:rsidRDefault="00B46794" w:rsidP="00B46794">
      <w:r w:rsidRPr="00E87E42">
        <w:t xml:space="preserve">For </w:t>
      </w:r>
      <w:proofErr w:type="gramStart"/>
      <w:r w:rsidRPr="00E87E42">
        <w:rPr>
          <w:b/>
        </w:rPr>
        <w:t>Storage</w:t>
      </w:r>
      <w:proofErr w:type="gramEnd"/>
      <w:r w:rsidRPr="00E87E42">
        <w:rPr>
          <w:b/>
        </w:rPr>
        <w:t xml:space="preserve"> areas</w:t>
      </w:r>
      <w:r w:rsidRPr="00E87E42">
        <w:t xml:space="preserve">, in the PD 7974-7 table, there are two mistakes: firstly the area damage confined to room, for </w:t>
      </w:r>
      <w:r w:rsidRPr="00E87E42">
        <w:rPr>
          <w:i/>
        </w:rPr>
        <w:t>contents only</w:t>
      </w:r>
      <w:r w:rsidRPr="00E87E42">
        <w:t xml:space="preserve"> and for </w:t>
      </w:r>
      <w:r w:rsidRPr="00E87E42">
        <w:rPr>
          <w:i/>
        </w:rPr>
        <w:t>structure involved</w:t>
      </w:r>
      <w:r w:rsidRPr="00E87E42">
        <w:t xml:space="preserve"> in </w:t>
      </w:r>
      <w:proofErr w:type="spellStart"/>
      <w:r w:rsidRPr="00E87E42">
        <w:t>sprinklered</w:t>
      </w:r>
      <w:proofErr w:type="spellEnd"/>
      <w:r w:rsidRPr="00E87E42">
        <w:t xml:space="preserve"> buildings, both have identical values of 19 m</w:t>
      </w:r>
      <w:r w:rsidRPr="00E87E42">
        <w:rPr>
          <w:vertAlign w:val="superscript"/>
        </w:rPr>
        <w:t>2</w:t>
      </w:r>
      <w:r w:rsidRPr="00E87E42">
        <w:t xml:space="preserve"> and 24% of frequency. If these values were real for both classes, then the cumulative frequency would exceed 100%. In this paper</w:t>
      </w:r>
      <w:r w:rsidR="00644435" w:rsidRPr="00E87E42">
        <w:t>,</w:t>
      </w:r>
      <w:r w:rsidRPr="00E87E42">
        <w:t xml:space="preserve"> we have combined the two classes and assigned them the 19 m</w:t>
      </w:r>
      <w:r w:rsidRPr="00E87E42">
        <w:rPr>
          <w:vertAlign w:val="superscript"/>
        </w:rPr>
        <w:t>2</w:t>
      </w:r>
      <w:r w:rsidRPr="00E87E42">
        <w:t xml:space="preserve"> and 24% damage and frequency, respectively. The second mistake is that the average area damage for buildings without automatic extinguish systems </w:t>
      </w:r>
      <w:proofErr w:type="gramStart"/>
      <w:r w:rsidRPr="00E87E42">
        <w:t>is wrongly evaluated</w:t>
      </w:r>
      <w:proofErr w:type="gramEnd"/>
      <w:r w:rsidRPr="00E87E42">
        <w:t xml:space="preserve"> since it should be equal to 533 m</w:t>
      </w:r>
      <w:r w:rsidRPr="00E87E42">
        <w:rPr>
          <w:vertAlign w:val="superscript"/>
        </w:rPr>
        <w:t>2</w:t>
      </w:r>
      <w:r w:rsidRPr="00E87E42">
        <w:t xml:space="preserve"> while in the PD 7974-7 table is 539 m</w:t>
      </w:r>
      <w:r w:rsidRPr="00E87E42">
        <w:rPr>
          <w:vertAlign w:val="superscript"/>
        </w:rPr>
        <w:t>2</w:t>
      </w:r>
      <w:r w:rsidRPr="00E87E42">
        <w:t xml:space="preserve">. </w:t>
      </w:r>
    </w:p>
    <w:p w14:paraId="27598B94" w14:textId="32F4D373" w:rsidR="00644435" w:rsidRPr="00E87E42" w:rsidRDefault="00B46794" w:rsidP="00B46794">
      <w:r w:rsidRPr="00E87E42">
        <w:t xml:space="preserve">In the USA fire statistics analysis, one fire has been neglected as its median area damaged is </w:t>
      </w:r>
      <w:proofErr w:type="gramStart"/>
      <w:r w:rsidRPr="00E87E42">
        <w:t>too</w:t>
      </w:r>
      <w:proofErr w:type="gramEnd"/>
      <w:r w:rsidRPr="00E87E42">
        <w:t xml:space="preserve"> high compared to the others 16,350 m</w:t>
      </w:r>
      <w:r w:rsidRPr="00E87E42">
        <w:rPr>
          <w:vertAlign w:val="superscript"/>
        </w:rPr>
        <w:t>2</w:t>
      </w:r>
      <w:r w:rsidR="00170D75">
        <w:t>. In the NFIRS, there are</w:t>
      </w:r>
      <w:r w:rsidRPr="00E87E42">
        <w:t xml:space="preserve"> no data for fire spread beyond the building of origin for </w:t>
      </w:r>
      <w:proofErr w:type="spellStart"/>
      <w:r w:rsidRPr="00E87E42">
        <w:t>sprinklered</w:t>
      </w:r>
      <w:proofErr w:type="spellEnd"/>
      <w:r w:rsidRPr="00E87E42">
        <w:t xml:space="preserve"> buildings, and limited fires for confined to floor, only 5, and confined to building there are only 7. Moreover, fire departments have attended an overall of 50 fires associated with buildings without sprinklers. The results </w:t>
      </w:r>
      <w:proofErr w:type="gramStart"/>
      <w:r w:rsidRPr="00E87E42">
        <w:t>should therefore be taken</w:t>
      </w:r>
      <w:proofErr w:type="gramEnd"/>
      <w:r w:rsidRPr="00E87E42">
        <w:t xml:space="preserve"> with caution. In </w:t>
      </w:r>
      <w:r w:rsidR="00047DDD" w:rsidRPr="00E87E42">
        <w:t xml:space="preserve">Table A.4 of </w:t>
      </w:r>
      <w:r w:rsidRPr="00E87E42">
        <w:t>PD 7974-7, fire freque</w:t>
      </w:r>
      <w:r w:rsidR="00047DDD" w:rsidRPr="00E87E42">
        <w:t xml:space="preserve">ncy decreases as </w:t>
      </w:r>
      <w:r w:rsidRPr="00E87E42">
        <w:t xml:space="preserve">the </w:t>
      </w:r>
      <w:r w:rsidR="00047DDD" w:rsidRPr="00E87E42">
        <w:t xml:space="preserve">fire </w:t>
      </w:r>
      <w:r w:rsidRPr="00E87E42">
        <w:t>spread</w:t>
      </w:r>
      <w:r w:rsidR="002C3601" w:rsidRPr="00E87E42">
        <w:t xml:space="preserve"> class, and</w:t>
      </w:r>
      <w:r w:rsidRPr="00E87E42">
        <w:t xml:space="preserve"> damage</w:t>
      </w:r>
      <w:r w:rsidR="002C3601" w:rsidRPr="00E87E42">
        <w:t>,</w:t>
      </w:r>
      <w:r w:rsidRPr="00E87E42">
        <w:t xml:space="preserve"> increase. In the USA fire statistics, the fire frequency for </w:t>
      </w:r>
      <w:r w:rsidR="00644435" w:rsidRPr="00E87E42">
        <w:t>spread within</w:t>
      </w:r>
      <w:r w:rsidRPr="00E87E42">
        <w:t xml:space="preserve"> room of origin is 68.97% for </w:t>
      </w:r>
      <w:proofErr w:type="spellStart"/>
      <w:r w:rsidRPr="00E87E42">
        <w:lastRenderedPageBreak/>
        <w:t>sprinklered</w:t>
      </w:r>
      <w:proofErr w:type="spellEnd"/>
      <w:r w:rsidRPr="00E87E42">
        <w:t xml:space="preserve"> and 19.35% for un-</w:t>
      </w:r>
      <w:proofErr w:type="spellStart"/>
      <w:r w:rsidRPr="00E87E42">
        <w:t>sprinklered</w:t>
      </w:r>
      <w:proofErr w:type="spellEnd"/>
      <w:r w:rsidRPr="00E87E42">
        <w:t xml:space="preserve"> buildings (</w:t>
      </w:r>
      <w:r w:rsidRPr="00E87E42">
        <w:fldChar w:fldCharType="begin"/>
      </w:r>
      <w:r w:rsidRPr="00E87E42">
        <w:instrText xml:space="preserve"> REF _Ref508720294 \h </w:instrText>
      </w:r>
      <w:r w:rsidR="00E87E42">
        <w:instrText xml:space="preserve"> \* MERGEFORMAT </w:instrText>
      </w:r>
      <w:r w:rsidRPr="00E87E42">
        <w:fldChar w:fldCharType="separate"/>
      </w:r>
      <w:r w:rsidR="009F6872" w:rsidRPr="00E87E42">
        <w:t xml:space="preserve">Table </w:t>
      </w:r>
      <w:r w:rsidR="009F6872">
        <w:rPr>
          <w:i/>
          <w:iCs/>
          <w:noProof/>
        </w:rPr>
        <w:t>8</w:t>
      </w:r>
      <w:r w:rsidRPr="00E87E42">
        <w:fldChar w:fldCharType="end"/>
      </w:r>
      <w:r w:rsidRPr="00E87E42">
        <w:t>). There is also a significant 58.06% of fires confined to building of origin in un-</w:t>
      </w:r>
      <w:proofErr w:type="spellStart"/>
      <w:r w:rsidRPr="00E87E42">
        <w:t>sprinklered</w:t>
      </w:r>
      <w:proofErr w:type="spellEnd"/>
      <w:r w:rsidRPr="00E87E42">
        <w:t xml:space="preserve"> buildings. In general, as seen in Section </w:t>
      </w:r>
      <w:r w:rsidRPr="00E87E42">
        <w:fldChar w:fldCharType="begin"/>
      </w:r>
      <w:r w:rsidRPr="00E87E42">
        <w:instrText xml:space="preserve"> REF _Ref506571006 \r \h </w:instrText>
      </w:r>
      <w:r w:rsidR="00E87E42">
        <w:instrText xml:space="preserve"> \* MERGEFORMAT </w:instrText>
      </w:r>
      <w:r w:rsidRPr="00E87E42">
        <w:fldChar w:fldCharType="separate"/>
      </w:r>
      <w:r w:rsidR="009F6872">
        <w:t>6.1</w:t>
      </w:r>
      <w:r w:rsidRPr="00E87E42">
        <w:fldChar w:fldCharType="end"/>
      </w:r>
      <w:r w:rsidRPr="00E87E42">
        <w:t xml:space="preserve">, the presence of sprinklers decreases the damage and spread of fire as </w:t>
      </w:r>
      <w:proofErr w:type="gramStart"/>
      <w:r w:rsidRPr="00E87E42">
        <w:t>can be seen</w:t>
      </w:r>
      <w:proofErr w:type="gramEnd"/>
      <w:r w:rsidRPr="00E87E42">
        <w:t xml:space="preserve"> in </w:t>
      </w:r>
      <w:r w:rsidRPr="00E87E42">
        <w:fldChar w:fldCharType="begin"/>
      </w:r>
      <w:r w:rsidRPr="00E87E42">
        <w:instrText xml:space="preserve"> REF _Ref508720294 \h </w:instrText>
      </w:r>
      <w:r w:rsidR="00E87E42">
        <w:instrText xml:space="preserve"> \* MERGEFORMAT </w:instrText>
      </w:r>
      <w:r w:rsidRPr="00E87E42">
        <w:fldChar w:fldCharType="separate"/>
      </w:r>
      <w:r w:rsidR="009F6872" w:rsidRPr="00E87E42">
        <w:t xml:space="preserve">Table </w:t>
      </w:r>
      <w:r w:rsidR="009F6872">
        <w:rPr>
          <w:i/>
          <w:iCs/>
          <w:noProof/>
        </w:rPr>
        <w:t>8</w:t>
      </w:r>
      <w:r w:rsidRPr="00E87E42">
        <w:fldChar w:fldCharType="end"/>
      </w:r>
      <w:r w:rsidRPr="00E87E42">
        <w:t xml:space="preserve"> where for </w:t>
      </w:r>
      <w:proofErr w:type="spellStart"/>
      <w:r w:rsidRPr="00E87E42">
        <w:t>sprinklered</w:t>
      </w:r>
      <w:proofErr w:type="spellEnd"/>
      <w:r w:rsidRPr="00E87E42">
        <w:t xml:space="preserve"> see 31% of fires spread beyond room of origin compared to 80% for un-</w:t>
      </w:r>
      <w:proofErr w:type="spellStart"/>
      <w:r w:rsidRPr="00E87E42">
        <w:t>sprinklered</w:t>
      </w:r>
      <w:proofErr w:type="spellEnd"/>
      <w:r w:rsidRPr="00E87E42">
        <w:t xml:space="preserve"> buildings. </w:t>
      </w:r>
      <w:proofErr w:type="gramStart"/>
      <w:r w:rsidRPr="00E87E42">
        <w:t>This results</w:t>
      </w:r>
      <w:proofErr w:type="gramEnd"/>
      <w:r w:rsidRPr="00E87E42">
        <w:t xml:space="preserve"> in the average damage in un-</w:t>
      </w:r>
      <w:proofErr w:type="spellStart"/>
      <w:r w:rsidRPr="00E87E42">
        <w:t>sprinklered</w:t>
      </w:r>
      <w:proofErr w:type="spellEnd"/>
      <w:r w:rsidRPr="00E87E42">
        <w:t xml:space="preserve"> buildings being more that 1</w:t>
      </w:r>
      <w:r w:rsidR="00BA3778" w:rsidRPr="00E87E42">
        <w:t>.</w:t>
      </w:r>
      <w:r w:rsidRPr="00E87E42">
        <w:t xml:space="preserve">49% of </w:t>
      </w:r>
      <w:proofErr w:type="spellStart"/>
      <w:r w:rsidRPr="00E87E42">
        <w:t>sprinklered</w:t>
      </w:r>
      <w:proofErr w:type="spellEnd"/>
      <w:r w:rsidRPr="00E87E42">
        <w:t xml:space="preserve"> buildings. </w:t>
      </w:r>
    </w:p>
    <w:p w14:paraId="02068FC7" w14:textId="6D380F9B" w:rsidR="00B46794" w:rsidRPr="00E87E42" w:rsidRDefault="00B46794" w:rsidP="00B46794">
      <w:r w:rsidRPr="00E87E42">
        <w:t xml:space="preserve">Last part of Table A.4 regards </w:t>
      </w:r>
      <w:proofErr w:type="gramStart"/>
      <w:r w:rsidRPr="00E87E42">
        <w:rPr>
          <w:b/>
        </w:rPr>
        <w:t>Other</w:t>
      </w:r>
      <w:proofErr w:type="gramEnd"/>
      <w:r w:rsidRPr="00E87E42">
        <w:rPr>
          <w:b/>
        </w:rPr>
        <w:t xml:space="preserve"> areas</w:t>
      </w:r>
      <w:r w:rsidRPr="00E87E42">
        <w:t xml:space="preserve">. In the PD 7974-7 table, fire frequency and area damage have the same trend as for Storage areas: fire frequency decreases with the increase of </w:t>
      </w:r>
      <w:r w:rsidR="00644435" w:rsidRPr="00E87E42">
        <w:t xml:space="preserve">the </w:t>
      </w:r>
      <w:r w:rsidRPr="00E87E42">
        <w:t>spread of fire</w:t>
      </w:r>
      <w:r w:rsidR="00644435" w:rsidRPr="00E87E42">
        <w:t xml:space="preserve"> class</w:t>
      </w:r>
      <w:r w:rsidRPr="00E87E42">
        <w:t xml:space="preserve"> while the area damage increases with the increase of the extension of fire (</w:t>
      </w:r>
      <w:r w:rsidRPr="00E87E42">
        <w:fldChar w:fldCharType="begin"/>
      </w:r>
      <w:r w:rsidRPr="00E87E42">
        <w:instrText xml:space="preserve"> REF _Ref508720294 \h </w:instrText>
      </w:r>
      <w:r w:rsidR="00E87E42">
        <w:instrText xml:space="preserve"> \* MERGEFORMAT </w:instrText>
      </w:r>
      <w:r w:rsidRPr="00E87E42">
        <w:fldChar w:fldCharType="separate"/>
      </w:r>
      <w:r w:rsidR="009F6872" w:rsidRPr="00E87E42">
        <w:t xml:space="preserve">Table </w:t>
      </w:r>
      <w:r w:rsidR="009F6872">
        <w:rPr>
          <w:i/>
          <w:iCs/>
          <w:noProof/>
        </w:rPr>
        <w:t>8</w:t>
      </w:r>
      <w:r w:rsidRPr="00E87E42">
        <w:fldChar w:fldCharType="end"/>
      </w:r>
      <w:r w:rsidRPr="00E87E42">
        <w:t xml:space="preserve">). In the NFIRS, for </w:t>
      </w:r>
      <w:proofErr w:type="spellStart"/>
      <w:r w:rsidRPr="00E87E42">
        <w:t>sprinklered</w:t>
      </w:r>
      <w:proofErr w:type="spellEnd"/>
      <w:r w:rsidRPr="00E87E42">
        <w:t xml:space="preserve"> building, only </w:t>
      </w:r>
      <w:proofErr w:type="gramStart"/>
      <w:r w:rsidRPr="00E87E42">
        <w:t>6</w:t>
      </w:r>
      <w:proofErr w:type="gramEnd"/>
      <w:r w:rsidRPr="00E87E42">
        <w:t xml:space="preserve"> fire incidents are recorded for fire beyond the building of origin. In the USA fire analysis, the spread wit</w:t>
      </w:r>
      <w:r w:rsidR="004559B5">
        <w:t>hin the room of origin is equal</w:t>
      </w:r>
      <w:r w:rsidRPr="00E87E42">
        <w:t xml:space="preserve"> to 66.67% and 40.19% respectively for </w:t>
      </w:r>
      <w:proofErr w:type="spellStart"/>
      <w:r w:rsidRPr="00E87E42">
        <w:t>sprinklered</w:t>
      </w:r>
      <w:proofErr w:type="spellEnd"/>
      <w:r w:rsidRPr="00E87E42">
        <w:t xml:space="preserve"> and un-</w:t>
      </w:r>
      <w:proofErr w:type="spellStart"/>
      <w:r w:rsidRPr="00E87E42">
        <w:t>sprinklered</w:t>
      </w:r>
      <w:proofErr w:type="spellEnd"/>
      <w:r w:rsidRPr="00E87E42">
        <w:t xml:space="preserve"> buildings. There is also a 43.93% for fires confined to building of origin for un-</w:t>
      </w:r>
      <w:proofErr w:type="spellStart"/>
      <w:r w:rsidRPr="00E87E42">
        <w:t>sprinklered</w:t>
      </w:r>
      <w:proofErr w:type="spellEnd"/>
      <w:r w:rsidRPr="00E87E42">
        <w:t xml:space="preserve"> buildings. The average damage caused by the fire in the USA analysis is slightly lower in </w:t>
      </w:r>
      <w:proofErr w:type="spellStart"/>
      <w:r w:rsidRPr="00E87E42">
        <w:t>sprinklered</w:t>
      </w:r>
      <w:proofErr w:type="spellEnd"/>
      <w:r w:rsidRPr="00E87E42">
        <w:t xml:space="preserve"> than in un-</w:t>
      </w:r>
      <w:proofErr w:type="spellStart"/>
      <w:r w:rsidRPr="00E87E42">
        <w:t>spri</w:t>
      </w:r>
      <w:r w:rsidR="00BA3778" w:rsidRPr="00E87E42">
        <w:t>nklered</w:t>
      </w:r>
      <w:proofErr w:type="spellEnd"/>
      <w:r w:rsidR="00BA3778" w:rsidRPr="00E87E42">
        <w:t xml:space="preserve"> fires. </w:t>
      </w:r>
      <w:r w:rsidR="002C3601" w:rsidRPr="00E87E42">
        <w:t>The reason(s) behind this needs</w:t>
      </w:r>
      <w:r w:rsidRPr="00E87E42">
        <w:t xml:space="preserve"> further investigation, but it is possible to say that sprinklers in other areas do limit the spread of fire as seen by the spread beyond room values of 33.3</w:t>
      </w:r>
      <w:r w:rsidR="00644435" w:rsidRPr="00E87E42">
        <w:t>3% and 59.82</w:t>
      </w:r>
      <w:r w:rsidRPr="00E87E42">
        <w:t xml:space="preserve">% for </w:t>
      </w:r>
      <w:proofErr w:type="spellStart"/>
      <w:r w:rsidRPr="00E87E42">
        <w:t>sprinklered</w:t>
      </w:r>
      <w:proofErr w:type="spellEnd"/>
      <w:r w:rsidRPr="00E87E42">
        <w:t xml:space="preserve"> and un-</w:t>
      </w:r>
      <w:proofErr w:type="spellStart"/>
      <w:r w:rsidRPr="00E87E42">
        <w:t>sprinklered</w:t>
      </w:r>
      <w:proofErr w:type="spellEnd"/>
      <w:r w:rsidRPr="00E87E42">
        <w:t xml:space="preserve"> structures, respectively.</w:t>
      </w:r>
    </w:p>
    <w:p w14:paraId="329AEE24" w14:textId="77777777" w:rsidR="00B46794" w:rsidRPr="00E87E42" w:rsidRDefault="00B46794" w:rsidP="008A55B5">
      <w:pPr>
        <w:pStyle w:val="Heading3"/>
        <w:numPr>
          <w:ilvl w:val="2"/>
          <w:numId w:val="35"/>
        </w:numPr>
        <w:spacing w:before="120"/>
      </w:pPr>
      <w:r w:rsidRPr="00E87E42">
        <w:t>PUBS, CLUBS AND RESTAURANTS</w:t>
      </w:r>
    </w:p>
    <w:p w14:paraId="7CAEB7C3" w14:textId="63C86AC8" w:rsidR="00B46794" w:rsidRPr="00E87E42" w:rsidRDefault="00B46794" w:rsidP="00B46794">
      <w:pPr>
        <w:spacing w:before="120"/>
      </w:pPr>
      <w:proofErr w:type="gramStart"/>
      <w:r w:rsidRPr="00E87E42">
        <w:t>Table A.5 is focused on pubs, clubs and restaurants and in order to recreate a direct comparison with the USA fire statistics, within the property type of assembly, the following subclasses have been considered and the results for each of them summed together:</w:t>
      </w:r>
      <w:r w:rsidRPr="00E87E42">
        <w:rPr>
          <w:rFonts w:cs="Joanna MT Std"/>
          <w:color w:val="000000"/>
        </w:rPr>
        <w:t xml:space="preserve"> </w:t>
      </w:r>
      <w:r w:rsidR="00644435" w:rsidRPr="00E87E42">
        <w:rPr>
          <w:rFonts w:cs="Joanna MT Std"/>
          <w:color w:val="000000"/>
        </w:rPr>
        <w:t>Athletic or health club (i</w:t>
      </w:r>
      <w:r w:rsidRPr="00E87E42">
        <w:rPr>
          <w:rFonts w:cs="Joanna MT Std"/>
          <w:color w:val="000000"/>
        </w:rPr>
        <w:t>ncludes YMCA or YWCA, lodge, swimming, and baths</w:t>
      </w:r>
      <w:r w:rsidR="00644435" w:rsidRPr="00E87E42">
        <w:rPr>
          <w:rFonts w:cs="Joanna MT Std"/>
          <w:color w:val="000000"/>
        </w:rPr>
        <w:t>)</w:t>
      </w:r>
      <w:r w:rsidRPr="00E87E42">
        <w:rPr>
          <w:rFonts w:cs="Joanna MT Std"/>
          <w:color w:val="000000"/>
        </w:rPr>
        <w:t xml:space="preserve">; </w:t>
      </w:r>
      <w:r w:rsidRPr="00E87E42">
        <w:rPr>
          <w:color w:val="000000"/>
        </w:rPr>
        <w:t>Clubhouse associated with country club that includes golf, tennis, hunting, fishing, and riding activities;</w:t>
      </w:r>
      <w:r w:rsidRPr="00E87E42">
        <w:rPr>
          <w:rFonts w:cs="Joanna MT Std"/>
          <w:color w:val="000000"/>
        </w:rPr>
        <w:t xml:space="preserve"> Yacht club (includes boating and yacht club facilities; excludes marinas, boat mooring facilities; boat </w:t>
      </w:r>
      <w:r w:rsidRPr="00E87E42">
        <w:rPr>
          <w:rFonts w:cs="Joanna MT Std"/>
          <w:color w:val="211D1E"/>
        </w:rPr>
        <w:t xml:space="preserve">repair/refuelling facilities; or boat sales, services, and repairs); </w:t>
      </w:r>
      <w:r w:rsidR="004A209E" w:rsidRPr="00E87E42">
        <w:rPr>
          <w:color w:val="000000"/>
        </w:rPr>
        <w:t>Casino, gambling clubs (includes bingo halls - u</w:t>
      </w:r>
      <w:r w:rsidRPr="00E87E42">
        <w:rPr>
          <w:color w:val="000000"/>
        </w:rPr>
        <w:t>se only where primary use is for gambling</w:t>
      </w:r>
      <w:r w:rsidR="004A209E" w:rsidRPr="00E87E42">
        <w:rPr>
          <w:color w:val="000000"/>
        </w:rPr>
        <w:t>)</w:t>
      </w:r>
      <w:r w:rsidRPr="00E87E42">
        <w:rPr>
          <w:color w:val="000000"/>
        </w:rPr>
        <w:t xml:space="preserve">; Clubs, others; </w:t>
      </w:r>
      <w:r w:rsidRPr="00E87E42">
        <w:rPr>
          <w:rFonts w:cs="Joanna MT Std"/>
          <w:color w:val="000000"/>
        </w:rPr>
        <w:t>Restaurant or cafeteria, places specializing in on-premises consumption of food (includes carryout and drive-</w:t>
      </w:r>
      <w:r w:rsidRPr="00E87E42">
        <w:rPr>
          <w:rFonts w:cs="Joanna MT Std"/>
          <w:color w:val="211D1E"/>
        </w:rPr>
        <w:t xml:space="preserve">through restaurants); </w:t>
      </w:r>
      <w:r w:rsidRPr="00E87E42">
        <w:rPr>
          <w:color w:val="000000"/>
        </w:rPr>
        <w:t>Bar, nightclub, saloon, tavern, pub; Eating, drinking places, others.</w:t>
      </w:r>
      <w:proofErr w:type="gramEnd"/>
    </w:p>
    <w:p w14:paraId="55CCA821" w14:textId="17EE3BCC" w:rsidR="00B46794" w:rsidRPr="00E87E42" w:rsidRDefault="00B46794" w:rsidP="00B46794">
      <w:r w:rsidRPr="00E87E42">
        <w:t>As for Table A.4, Table A.5 presents fire frequency decreasing with increasing fire spread</w:t>
      </w:r>
      <w:r w:rsidR="004A209E" w:rsidRPr="00E87E42">
        <w:t xml:space="preserve"> classes</w:t>
      </w:r>
      <w:r w:rsidRPr="00E87E42">
        <w:t xml:space="preserve"> and increasing area damaged. In USA fire statistics, in presence of sprinklers, only </w:t>
      </w:r>
      <w:proofErr w:type="gramStart"/>
      <w:r w:rsidRPr="00E87E42">
        <w:t>7</w:t>
      </w:r>
      <w:proofErr w:type="gramEnd"/>
      <w:r w:rsidRPr="00E87E42">
        <w:t xml:space="preserve"> fires occurred for the class of fire beyond the building of origin. Fire frequency, from the US</w:t>
      </w:r>
      <w:r w:rsidR="006728B6" w:rsidRPr="00E87E42">
        <w:t>A</w:t>
      </w:r>
      <w:r w:rsidRPr="00E87E42">
        <w:t xml:space="preserve"> statistics, of spread confined to the room of origin is 70.23% and 50.38% for </w:t>
      </w:r>
      <w:proofErr w:type="spellStart"/>
      <w:r w:rsidRPr="00E87E42">
        <w:t>sprinklered</w:t>
      </w:r>
      <w:proofErr w:type="spellEnd"/>
      <w:r w:rsidRPr="00E87E42">
        <w:t xml:space="preserve"> and un-</w:t>
      </w:r>
      <w:proofErr w:type="spellStart"/>
      <w:r w:rsidRPr="00E87E42">
        <w:t>sprinklered</w:t>
      </w:r>
      <w:proofErr w:type="spellEnd"/>
      <w:r w:rsidRPr="00E87E42">
        <w:t xml:space="preserve"> buildings, respectively (</w:t>
      </w:r>
      <w:r w:rsidR="00BA3778" w:rsidRPr="00E87E42">
        <w:fldChar w:fldCharType="begin"/>
      </w:r>
      <w:r w:rsidR="00BA3778" w:rsidRPr="00E87E42">
        <w:instrText xml:space="preserve"> REF _Ref518159400 \h </w:instrText>
      </w:r>
      <w:r w:rsidR="00E87E42">
        <w:instrText xml:space="preserve"> \* MERGEFORMAT </w:instrText>
      </w:r>
      <w:r w:rsidR="00BA3778" w:rsidRPr="00E87E42">
        <w:fldChar w:fldCharType="separate"/>
      </w:r>
      <w:r w:rsidR="009F6872" w:rsidRPr="00E87E42">
        <w:t xml:space="preserve">Table </w:t>
      </w:r>
      <w:r w:rsidR="009F6872">
        <w:rPr>
          <w:noProof/>
        </w:rPr>
        <w:t>9</w:t>
      </w:r>
      <w:r w:rsidR="00BA3778" w:rsidRPr="00E87E42">
        <w:fldChar w:fldCharType="end"/>
      </w:r>
      <w:r w:rsidRPr="00E87E42">
        <w:t xml:space="preserve">). Average area damage for both countries present lower values when buildings are equipped with sprinklers, and is significantly less when  considering damage beyond room of origin. </w:t>
      </w:r>
    </w:p>
    <w:p w14:paraId="275AD03C" w14:textId="773294C8" w:rsidR="00B46794" w:rsidRPr="00E87E42" w:rsidRDefault="00B46794" w:rsidP="00B46794">
      <w:r w:rsidRPr="00E87E42">
        <w:t xml:space="preserve">The data recreated for Tables A.4 and A.5 show that the PD 7974-7 statistics </w:t>
      </w:r>
      <w:r w:rsidR="00B0233F" w:rsidRPr="00E87E42">
        <w:t xml:space="preserve">may be </w:t>
      </w:r>
      <w:r w:rsidRPr="00E87E42">
        <w:t xml:space="preserve">no longer representative of the damage and frequency </w:t>
      </w:r>
      <w:r w:rsidR="00B0233F" w:rsidRPr="00E87E42">
        <w:t xml:space="preserve">of fires as </w:t>
      </w:r>
      <w:r w:rsidRPr="00E87E42">
        <w:t>observed in fire statistics from the USA.</w:t>
      </w:r>
    </w:p>
    <w:p w14:paraId="53367B61" w14:textId="77777777" w:rsidR="00B46794" w:rsidRPr="00E87E42" w:rsidRDefault="00B46794" w:rsidP="00B46794">
      <w:pPr>
        <w:sectPr w:rsidR="00B46794" w:rsidRPr="00E87E42" w:rsidSect="00330D9C">
          <w:type w:val="continuous"/>
          <w:pgSz w:w="11907" w:h="16840" w:code="9"/>
          <w:pgMar w:top="1077" w:right="618" w:bottom="1418" w:left="748" w:header="567" w:footer="567" w:gutter="284"/>
          <w:cols w:space="454"/>
          <w:docGrid w:linePitch="360"/>
        </w:sectPr>
      </w:pPr>
    </w:p>
    <w:p w14:paraId="4F2CD992" w14:textId="336A0205" w:rsidR="002A1FEF" w:rsidRPr="00E87E42" w:rsidRDefault="00EF441B" w:rsidP="008A55B5">
      <w:pPr>
        <w:pStyle w:val="Caption"/>
      </w:pPr>
      <w:bookmarkStart w:id="39" w:name="_Ref508720294"/>
      <w:r w:rsidRPr="00E87E42">
        <w:lastRenderedPageBreak/>
        <w:t xml:space="preserve">Table </w:t>
      </w:r>
      <w:r w:rsidR="0078370B" w:rsidRPr="00E87E42">
        <w:fldChar w:fldCharType="begin"/>
      </w:r>
      <w:r w:rsidR="0078370B" w:rsidRPr="00E87E42">
        <w:rPr>
          <w:i w:val="0"/>
          <w:iCs w:val="0"/>
        </w:rPr>
        <w:instrText xml:space="preserve"> SEQ Table \* ARABIC </w:instrText>
      </w:r>
      <w:r w:rsidR="0078370B" w:rsidRPr="00E87E42">
        <w:fldChar w:fldCharType="separate"/>
      </w:r>
      <w:r w:rsidR="009F6872">
        <w:rPr>
          <w:i w:val="0"/>
          <w:iCs w:val="0"/>
          <w:noProof/>
        </w:rPr>
        <w:t>8</w:t>
      </w:r>
      <w:r w:rsidR="0078370B" w:rsidRPr="00E87E42">
        <w:rPr>
          <w:noProof/>
        </w:rPr>
        <w:fldChar w:fldCharType="end"/>
      </w:r>
      <w:bookmarkEnd w:id="39"/>
      <w:r w:rsidRPr="00E87E42">
        <w:t>: Table A.4 Area damage and percentage of fire for each category of fire spread in textile industry, PD 7974-7 vs USA fire statistics</w:t>
      </w:r>
    </w:p>
    <w:tbl>
      <w:tblPr>
        <w:tblW w:w="5000" w:type="pct"/>
        <w:tblCellMar>
          <w:left w:w="57" w:type="dxa"/>
          <w:right w:w="57" w:type="dxa"/>
        </w:tblCellMar>
        <w:tblLook w:val="04A0" w:firstRow="1" w:lastRow="0" w:firstColumn="1" w:lastColumn="0" w:noHBand="0" w:noVBand="1"/>
      </w:tblPr>
      <w:tblGrid>
        <w:gridCol w:w="713"/>
        <w:gridCol w:w="713"/>
        <w:gridCol w:w="416"/>
        <w:gridCol w:w="582"/>
        <w:gridCol w:w="417"/>
        <w:gridCol w:w="582"/>
        <w:gridCol w:w="462"/>
        <w:gridCol w:w="628"/>
        <w:gridCol w:w="462"/>
        <w:gridCol w:w="628"/>
        <w:gridCol w:w="482"/>
        <w:gridCol w:w="582"/>
        <w:gridCol w:w="482"/>
        <w:gridCol w:w="648"/>
        <w:gridCol w:w="462"/>
        <w:gridCol w:w="628"/>
        <w:gridCol w:w="462"/>
        <w:gridCol w:w="628"/>
        <w:gridCol w:w="482"/>
        <w:gridCol w:w="582"/>
        <w:gridCol w:w="482"/>
        <w:gridCol w:w="648"/>
        <w:gridCol w:w="462"/>
        <w:gridCol w:w="628"/>
        <w:gridCol w:w="462"/>
        <w:gridCol w:w="617"/>
      </w:tblGrid>
      <w:tr w:rsidR="00B46794" w:rsidRPr="00E87E42" w14:paraId="07ECC87C" w14:textId="77777777" w:rsidTr="008A55B5">
        <w:trPr>
          <w:trHeight w:val="20"/>
        </w:trPr>
        <w:tc>
          <w:tcPr>
            <w:tcW w:w="249" w:type="pct"/>
            <w:tcBorders>
              <w:top w:val="nil"/>
              <w:left w:val="nil"/>
              <w:bottom w:val="nil"/>
              <w:right w:val="nil"/>
            </w:tcBorders>
            <w:shd w:val="clear" w:color="auto" w:fill="auto"/>
            <w:noWrap/>
            <w:vAlign w:val="center"/>
            <w:hideMark/>
          </w:tcPr>
          <w:p w14:paraId="7C18457F" w14:textId="77777777" w:rsidR="00B46794" w:rsidRPr="00E87E42" w:rsidRDefault="00B46794" w:rsidP="008A55B5">
            <w:pPr>
              <w:spacing w:after="0" w:line="240" w:lineRule="auto"/>
              <w:jc w:val="center"/>
              <w:rPr>
                <w:rFonts w:eastAsia="Times New Roman"/>
                <w:sz w:val="16"/>
                <w:szCs w:val="16"/>
                <w:lang w:eastAsia="en-GB"/>
              </w:rPr>
            </w:pPr>
          </w:p>
        </w:tc>
        <w:tc>
          <w:tcPr>
            <w:tcW w:w="249" w:type="pct"/>
            <w:tcBorders>
              <w:top w:val="nil"/>
              <w:left w:val="nil"/>
              <w:bottom w:val="nil"/>
              <w:right w:val="nil"/>
            </w:tcBorders>
            <w:shd w:val="clear" w:color="auto" w:fill="auto"/>
            <w:noWrap/>
            <w:vAlign w:val="center"/>
            <w:hideMark/>
          </w:tcPr>
          <w:p w14:paraId="4A2F21BB" w14:textId="77777777" w:rsidR="00B46794" w:rsidRPr="00E87E42" w:rsidRDefault="00B46794" w:rsidP="008A55B5">
            <w:pPr>
              <w:spacing w:after="0" w:line="240" w:lineRule="auto"/>
              <w:jc w:val="center"/>
              <w:rPr>
                <w:rFonts w:eastAsia="Times New Roman"/>
                <w:sz w:val="16"/>
                <w:szCs w:val="16"/>
                <w:lang w:eastAsia="en-GB"/>
              </w:rPr>
            </w:pPr>
          </w:p>
        </w:tc>
        <w:tc>
          <w:tcPr>
            <w:tcW w:w="1456"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2DED69" w14:textId="77777777" w:rsidR="00B46794" w:rsidRPr="00E87E42" w:rsidRDefault="00B46794" w:rsidP="00B46794">
            <w:pPr>
              <w:spacing w:after="0" w:line="240" w:lineRule="auto"/>
              <w:jc w:val="center"/>
              <w:rPr>
                <w:rFonts w:eastAsia="Times New Roman"/>
                <w:b/>
                <w:bCs/>
                <w:color w:val="000000"/>
                <w:sz w:val="16"/>
                <w:szCs w:val="16"/>
                <w:u w:val="single"/>
                <w:lang w:eastAsia="en-GB"/>
              </w:rPr>
            </w:pPr>
            <w:r w:rsidRPr="00E87E42">
              <w:rPr>
                <w:rFonts w:eastAsia="Times New Roman"/>
                <w:b/>
                <w:bCs/>
                <w:color w:val="000000"/>
                <w:sz w:val="16"/>
                <w:szCs w:val="16"/>
                <w:u w:val="single"/>
                <w:lang w:eastAsia="en-GB"/>
              </w:rPr>
              <w:t>Production area</w:t>
            </w:r>
          </w:p>
        </w:tc>
        <w:tc>
          <w:tcPr>
            <w:tcW w:w="1525"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35F98CE4" w14:textId="77777777" w:rsidR="00B46794" w:rsidRPr="00E87E42" w:rsidRDefault="00B46794" w:rsidP="00B46794">
            <w:pPr>
              <w:spacing w:after="0" w:line="240" w:lineRule="auto"/>
              <w:jc w:val="center"/>
              <w:rPr>
                <w:rFonts w:eastAsia="Times New Roman"/>
                <w:b/>
                <w:bCs/>
                <w:color w:val="000000"/>
                <w:sz w:val="16"/>
                <w:szCs w:val="16"/>
                <w:u w:val="single"/>
                <w:lang w:eastAsia="en-GB"/>
              </w:rPr>
            </w:pPr>
            <w:r w:rsidRPr="00E87E42">
              <w:rPr>
                <w:rFonts w:eastAsia="Times New Roman"/>
                <w:b/>
                <w:bCs/>
                <w:color w:val="000000"/>
                <w:sz w:val="16"/>
                <w:szCs w:val="16"/>
                <w:u w:val="single"/>
                <w:lang w:eastAsia="en-GB"/>
              </w:rPr>
              <w:t>Storage area</w:t>
            </w:r>
          </w:p>
        </w:tc>
        <w:tc>
          <w:tcPr>
            <w:tcW w:w="1521"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419EE610" w14:textId="77777777" w:rsidR="00B46794" w:rsidRPr="00E87E42" w:rsidRDefault="00B46794" w:rsidP="00A27212">
            <w:pPr>
              <w:spacing w:after="0" w:line="240" w:lineRule="auto"/>
              <w:jc w:val="center"/>
              <w:rPr>
                <w:rFonts w:eastAsia="Times New Roman"/>
                <w:b/>
                <w:bCs/>
                <w:color w:val="000000"/>
                <w:sz w:val="16"/>
                <w:szCs w:val="16"/>
                <w:u w:val="single"/>
                <w:lang w:eastAsia="en-GB"/>
              </w:rPr>
            </w:pPr>
            <w:r w:rsidRPr="00E87E42">
              <w:rPr>
                <w:rFonts w:eastAsia="Times New Roman"/>
                <w:b/>
                <w:bCs/>
                <w:color w:val="000000"/>
                <w:sz w:val="16"/>
                <w:szCs w:val="16"/>
                <w:u w:val="single"/>
                <w:lang w:eastAsia="en-GB"/>
              </w:rPr>
              <w:t>Other areas</w:t>
            </w:r>
          </w:p>
        </w:tc>
      </w:tr>
      <w:tr w:rsidR="00B46794" w:rsidRPr="00E87E42" w14:paraId="4C4A7927" w14:textId="77777777" w:rsidTr="008A55B5">
        <w:trPr>
          <w:trHeight w:val="20"/>
        </w:trPr>
        <w:tc>
          <w:tcPr>
            <w:tcW w:w="249" w:type="pct"/>
            <w:tcBorders>
              <w:top w:val="nil"/>
              <w:left w:val="nil"/>
              <w:bottom w:val="nil"/>
              <w:right w:val="nil"/>
            </w:tcBorders>
            <w:shd w:val="clear" w:color="auto" w:fill="auto"/>
            <w:noWrap/>
            <w:vAlign w:val="center"/>
            <w:hideMark/>
          </w:tcPr>
          <w:p w14:paraId="21D3FA44" w14:textId="77777777" w:rsidR="00B46794" w:rsidRPr="00E87E42" w:rsidRDefault="00B46794" w:rsidP="00B46794">
            <w:pPr>
              <w:spacing w:after="0" w:line="240" w:lineRule="auto"/>
              <w:jc w:val="center"/>
              <w:rPr>
                <w:rFonts w:eastAsia="Times New Roman"/>
                <w:b/>
                <w:bCs/>
                <w:color w:val="000000"/>
                <w:sz w:val="16"/>
                <w:szCs w:val="16"/>
                <w:u w:val="single"/>
                <w:lang w:eastAsia="en-GB"/>
              </w:rPr>
            </w:pPr>
          </w:p>
        </w:tc>
        <w:tc>
          <w:tcPr>
            <w:tcW w:w="249" w:type="pct"/>
            <w:tcBorders>
              <w:top w:val="nil"/>
              <w:left w:val="nil"/>
              <w:bottom w:val="nil"/>
              <w:right w:val="nil"/>
            </w:tcBorders>
            <w:shd w:val="clear" w:color="auto" w:fill="auto"/>
            <w:noWrap/>
            <w:vAlign w:val="center"/>
            <w:hideMark/>
          </w:tcPr>
          <w:p w14:paraId="5C34C58A" w14:textId="77777777" w:rsidR="00B46794" w:rsidRPr="00E87E42" w:rsidRDefault="00B46794" w:rsidP="00B46794">
            <w:pPr>
              <w:spacing w:after="0" w:line="240" w:lineRule="auto"/>
              <w:jc w:val="center"/>
              <w:rPr>
                <w:rFonts w:eastAsia="Times New Roman"/>
                <w:sz w:val="16"/>
                <w:szCs w:val="16"/>
                <w:lang w:eastAsia="en-GB"/>
              </w:rPr>
            </w:pPr>
          </w:p>
        </w:tc>
        <w:tc>
          <w:tcPr>
            <w:tcW w:w="6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B19DE" w14:textId="29FE0AA5" w:rsidR="00B46794" w:rsidRPr="00E87E42" w:rsidRDefault="00B46794" w:rsidP="00B46794">
            <w:pPr>
              <w:spacing w:after="0" w:line="240" w:lineRule="auto"/>
              <w:jc w:val="center"/>
              <w:rPr>
                <w:rFonts w:eastAsia="Times New Roman"/>
                <w:b/>
                <w:color w:val="000000"/>
                <w:sz w:val="16"/>
                <w:szCs w:val="16"/>
                <w:u w:val="single"/>
                <w:lang w:eastAsia="en-GB"/>
              </w:rPr>
            </w:pPr>
            <w:r w:rsidRPr="00E87E42">
              <w:rPr>
                <w:rFonts w:eastAsia="Times New Roman"/>
                <w:b/>
                <w:color w:val="000000"/>
                <w:sz w:val="16"/>
                <w:szCs w:val="16"/>
                <w:u w:val="single"/>
                <w:lang w:eastAsia="en-GB"/>
              </w:rPr>
              <w:t>Area damage m</w:t>
            </w:r>
            <w:r w:rsidRPr="00E87E42">
              <w:rPr>
                <w:rFonts w:eastAsia="Times New Roman"/>
                <w:b/>
                <w:color w:val="000000"/>
                <w:sz w:val="16"/>
                <w:szCs w:val="16"/>
                <w:u w:val="single"/>
                <w:vertAlign w:val="superscript"/>
                <w:lang w:eastAsia="en-GB"/>
              </w:rPr>
              <w:t>2</w:t>
            </w:r>
          </w:p>
        </w:tc>
        <w:tc>
          <w:tcPr>
            <w:tcW w:w="760" w:type="pct"/>
            <w:gridSpan w:val="4"/>
            <w:tcBorders>
              <w:top w:val="single" w:sz="4" w:space="0" w:color="auto"/>
              <w:left w:val="nil"/>
              <w:bottom w:val="single" w:sz="4" w:space="0" w:color="auto"/>
              <w:right w:val="single" w:sz="4" w:space="0" w:color="auto"/>
            </w:tcBorders>
            <w:shd w:val="clear" w:color="auto" w:fill="auto"/>
            <w:noWrap/>
            <w:vAlign w:val="center"/>
            <w:hideMark/>
          </w:tcPr>
          <w:p w14:paraId="466C5894" w14:textId="77777777" w:rsidR="00B46794" w:rsidRPr="00E87E42" w:rsidRDefault="00B46794" w:rsidP="00B46794">
            <w:pPr>
              <w:spacing w:after="0" w:line="240" w:lineRule="auto"/>
              <w:jc w:val="center"/>
              <w:rPr>
                <w:rFonts w:eastAsia="Times New Roman"/>
                <w:b/>
                <w:color w:val="000000"/>
                <w:sz w:val="16"/>
                <w:szCs w:val="16"/>
                <w:u w:val="single"/>
                <w:lang w:eastAsia="en-GB"/>
              </w:rPr>
            </w:pPr>
            <w:r w:rsidRPr="00E87E42">
              <w:rPr>
                <w:rFonts w:eastAsia="Times New Roman"/>
                <w:b/>
                <w:color w:val="000000"/>
                <w:sz w:val="16"/>
                <w:szCs w:val="16"/>
                <w:u w:val="single"/>
                <w:lang w:eastAsia="en-GB"/>
              </w:rPr>
              <w:t>Frequency</w:t>
            </w:r>
          </w:p>
        </w:tc>
        <w:tc>
          <w:tcPr>
            <w:tcW w:w="765" w:type="pct"/>
            <w:gridSpan w:val="4"/>
            <w:tcBorders>
              <w:top w:val="single" w:sz="4" w:space="0" w:color="auto"/>
              <w:left w:val="nil"/>
              <w:bottom w:val="single" w:sz="4" w:space="0" w:color="auto"/>
              <w:right w:val="single" w:sz="4" w:space="0" w:color="auto"/>
            </w:tcBorders>
            <w:shd w:val="clear" w:color="auto" w:fill="auto"/>
            <w:noWrap/>
            <w:vAlign w:val="center"/>
            <w:hideMark/>
          </w:tcPr>
          <w:p w14:paraId="458EF437" w14:textId="741F413F" w:rsidR="00B46794" w:rsidRPr="00E87E42" w:rsidRDefault="00B46794" w:rsidP="00B46794">
            <w:pPr>
              <w:spacing w:after="0" w:line="240" w:lineRule="auto"/>
              <w:jc w:val="center"/>
              <w:rPr>
                <w:rFonts w:eastAsia="Times New Roman"/>
                <w:b/>
                <w:color w:val="000000"/>
                <w:sz w:val="16"/>
                <w:szCs w:val="16"/>
                <w:u w:val="single"/>
                <w:lang w:eastAsia="en-GB"/>
              </w:rPr>
            </w:pPr>
            <w:r w:rsidRPr="00E87E42">
              <w:rPr>
                <w:rFonts w:eastAsia="Times New Roman"/>
                <w:b/>
                <w:color w:val="000000"/>
                <w:sz w:val="16"/>
                <w:szCs w:val="16"/>
                <w:u w:val="single"/>
                <w:lang w:eastAsia="en-GB"/>
              </w:rPr>
              <w:t>Area damage m</w:t>
            </w:r>
            <w:r w:rsidRPr="00E87E42">
              <w:rPr>
                <w:rFonts w:eastAsia="Times New Roman"/>
                <w:b/>
                <w:color w:val="000000"/>
                <w:sz w:val="16"/>
                <w:szCs w:val="16"/>
                <w:u w:val="single"/>
                <w:vertAlign w:val="superscript"/>
                <w:lang w:eastAsia="en-GB"/>
              </w:rPr>
              <w:t>2</w:t>
            </w:r>
          </w:p>
        </w:tc>
        <w:tc>
          <w:tcPr>
            <w:tcW w:w="760" w:type="pct"/>
            <w:gridSpan w:val="4"/>
            <w:tcBorders>
              <w:top w:val="single" w:sz="4" w:space="0" w:color="auto"/>
              <w:left w:val="nil"/>
              <w:bottom w:val="single" w:sz="4" w:space="0" w:color="auto"/>
              <w:right w:val="single" w:sz="4" w:space="0" w:color="auto"/>
            </w:tcBorders>
            <w:shd w:val="clear" w:color="auto" w:fill="auto"/>
            <w:noWrap/>
            <w:vAlign w:val="center"/>
            <w:hideMark/>
          </w:tcPr>
          <w:p w14:paraId="183BC2A4" w14:textId="77777777" w:rsidR="00B46794" w:rsidRPr="00E87E42" w:rsidRDefault="00B46794" w:rsidP="00A27212">
            <w:pPr>
              <w:spacing w:after="0" w:line="240" w:lineRule="auto"/>
              <w:jc w:val="center"/>
              <w:rPr>
                <w:rFonts w:eastAsia="Times New Roman"/>
                <w:b/>
                <w:color w:val="000000"/>
                <w:sz w:val="16"/>
                <w:szCs w:val="16"/>
                <w:u w:val="single"/>
                <w:lang w:eastAsia="en-GB"/>
              </w:rPr>
            </w:pPr>
            <w:r w:rsidRPr="00E87E42">
              <w:rPr>
                <w:rFonts w:eastAsia="Times New Roman"/>
                <w:b/>
                <w:color w:val="000000"/>
                <w:sz w:val="16"/>
                <w:szCs w:val="16"/>
                <w:u w:val="single"/>
                <w:lang w:eastAsia="en-GB"/>
              </w:rPr>
              <w:t>Frequency</w:t>
            </w:r>
          </w:p>
        </w:tc>
        <w:tc>
          <w:tcPr>
            <w:tcW w:w="765" w:type="pct"/>
            <w:gridSpan w:val="4"/>
            <w:tcBorders>
              <w:top w:val="single" w:sz="4" w:space="0" w:color="auto"/>
              <w:left w:val="nil"/>
              <w:bottom w:val="single" w:sz="4" w:space="0" w:color="auto"/>
              <w:right w:val="single" w:sz="4" w:space="0" w:color="auto"/>
            </w:tcBorders>
            <w:shd w:val="clear" w:color="auto" w:fill="auto"/>
            <w:noWrap/>
            <w:vAlign w:val="center"/>
            <w:hideMark/>
          </w:tcPr>
          <w:p w14:paraId="47A6CD31" w14:textId="46C78C09" w:rsidR="00B46794" w:rsidRPr="00E87E42" w:rsidRDefault="00B46794" w:rsidP="001019D3">
            <w:pPr>
              <w:spacing w:after="0" w:line="240" w:lineRule="auto"/>
              <w:jc w:val="center"/>
              <w:rPr>
                <w:rFonts w:eastAsia="Times New Roman"/>
                <w:b/>
                <w:color w:val="000000"/>
                <w:sz w:val="16"/>
                <w:szCs w:val="16"/>
                <w:u w:val="single"/>
                <w:lang w:eastAsia="en-GB"/>
              </w:rPr>
            </w:pPr>
            <w:r w:rsidRPr="00E87E42">
              <w:rPr>
                <w:rFonts w:eastAsia="Times New Roman"/>
                <w:b/>
                <w:color w:val="000000"/>
                <w:sz w:val="16"/>
                <w:szCs w:val="16"/>
                <w:u w:val="single"/>
                <w:lang w:eastAsia="en-GB"/>
              </w:rPr>
              <w:t>Area damage m</w:t>
            </w:r>
            <w:r w:rsidRPr="00E87E42">
              <w:rPr>
                <w:rFonts w:eastAsia="Times New Roman"/>
                <w:b/>
                <w:color w:val="000000"/>
                <w:sz w:val="16"/>
                <w:szCs w:val="16"/>
                <w:u w:val="single"/>
                <w:vertAlign w:val="superscript"/>
                <w:lang w:eastAsia="en-GB"/>
              </w:rPr>
              <w:t>2</w:t>
            </w:r>
          </w:p>
        </w:tc>
        <w:tc>
          <w:tcPr>
            <w:tcW w:w="756" w:type="pct"/>
            <w:gridSpan w:val="4"/>
            <w:tcBorders>
              <w:top w:val="single" w:sz="4" w:space="0" w:color="auto"/>
              <w:left w:val="nil"/>
              <w:bottom w:val="single" w:sz="4" w:space="0" w:color="auto"/>
              <w:right w:val="single" w:sz="4" w:space="0" w:color="auto"/>
            </w:tcBorders>
            <w:shd w:val="clear" w:color="auto" w:fill="auto"/>
            <w:noWrap/>
            <w:vAlign w:val="center"/>
            <w:hideMark/>
          </w:tcPr>
          <w:p w14:paraId="651AB2CE" w14:textId="77777777" w:rsidR="00B46794" w:rsidRPr="00E87E42" w:rsidRDefault="00B46794" w:rsidP="001019D3">
            <w:pPr>
              <w:spacing w:after="0" w:line="240" w:lineRule="auto"/>
              <w:jc w:val="center"/>
              <w:rPr>
                <w:rFonts w:eastAsia="Times New Roman"/>
                <w:b/>
                <w:color w:val="000000"/>
                <w:sz w:val="16"/>
                <w:szCs w:val="16"/>
                <w:u w:val="single"/>
                <w:lang w:eastAsia="en-GB"/>
              </w:rPr>
            </w:pPr>
            <w:r w:rsidRPr="00E87E42">
              <w:rPr>
                <w:rFonts w:eastAsia="Times New Roman"/>
                <w:b/>
                <w:color w:val="000000"/>
                <w:sz w:val="16"/>
                <w:szCs w:val="16"/>
                <w:u w:val="single"/>
                <w:lang w:eastAsia="en-GB"/>
              </w:rPr>
              <w:t>Frequency</w:t>
            </w:r>
          </w:p>
        </w:tc>
      </w:tr>
      <w:tr w:rsidR="00B46794" w:rsidRPr="00E87E42" w14:paraId="4C5B95B2" w14:textId="77777777" w:rsidTr="008A55B5">
        <w:trPr>
          <w:trHeight w:val="20"/>
        </w:trPr>
        <w:tc>
          <w:tcPr>
            <w:tcW w:w="249" w:type="pct"/>
            <w:tcBorders>
              <w:top w:val="nil"/>
              <w:left w:val="nil"/>
              <w:bottom w:val="nil"/>
              <w:right w:val="nil"/>
            </w:tcBorders>
            <w:shd w:val="clear" w:color="auto" w:fill="auto"/>
            <w:noWrap/>
            <w:vAlign w:val="center"/>
            <w:hideMark/>
          </w:tcPr>
          <w:p w14:paraId="6016B1B8" w14:textId="77777777" w:rsidR="00B46794" w:rsidRPr="00E87E42" w:rsidRDefault="00B46794" w:rsidP="00B46794">
            <w:pPr>
              <w:spacing w:after="0" w:line="240" w:lineRule="auto"/>
              <w:jc w:val="center"/>
              <w:rPr>
                <w:rFonts w:eastAsia="Times New Roman"/>
                <w:color w:val="000000"/>
                <w:sz w:val="16"/>
                <w:szCs w:val="16"/>
                <w:lang w:eastAsia="en-GB"/>
              </w:rPr>
            </w:pPr>
          </w:p>
        </w:tc>
        <w:tc>
          <w:tcPr>
            <w:tcW w:w="249" w:type="pct"/>
            <w:tcBorders>
              <w:top w:val="nil"/>
              <w:left w:val="nil"/>
              <w:bottom w:val="nil"/>
              <w:right w:val="nil"/>
            </w:tcBorders>
            <w:shd w:val="clear" w:color="auto" w:fill="auto"/>
            <w:noWrap/>
            <w:vAlign w:val="center"/>
            <w:hideMark/>
          </w:tcPr>
          <w:p w14:paraId="61ACD6E7" w14:textId="77777777" w:rsidR="00B46794" w:rsidRPr="00E87E42" w:rsidRDefault="00B46794" w:rsidP="008A55B5">
            <w:pPr>
              <w:spacing w:after="0" w:line="240" w:lineRule="auto"/>
              <w:jc w:val="center"/>
              <w:rPr>
                <w:rFonts w:eastAsia="Times New Roman"/>
                <w:sz w:val="16"/>
                <w:szCs w:val="16"/>
                <w:lang w:eastAsia="en-GB"/>
              </w:rPr>
            </w:pP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D4DCF" w14:textId="77777777" w:rsidR="00B46794" w:rsidRPr="00E87E42" w:rsidRDefault="00B46794" w:rsidP="00B46794">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Sprinklers</w:t>
            </w:r>
          </w:p>
        </w:tc>
        <w:tc>
          <w:tcPr>
            <w:tcW w:w="34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5EDBA2" w14:textId="77777777" w:rsidR="00B46794" w:rsidRPr="00E87E42" w:rsidRDefault="00B46794" w:rsidP="00B46794">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No Sprinklers</w:t>
            </w:r>
          </w:p>
        </w:tc>
        <w:tc>
          <w:tcPr>
            <w:tcW w:w="3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1CC318" w14:textId="77777777" w:rsidR="00B46794" w:rsidRPr="00E87E42" w:rsidRDefault="00B46794" w:rsidP="00A2721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Sprinklers</w:t>
            </w:r>
          </w:p>
        </w:tc>
        <w:tc>
          <w:tcPr>
            <w:tcW w:w="3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7569A0" w14:textId="77777777" w:rsidR="00B46794" w:rsidRPr="00E87E42" w:rsidRDefault="00B46794" w:rsidP="001019D3">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No Sprinklers</w:t>
            </w:r>
          </w:p>
        </w:tc>
        <w:tc>
          <w:tcPr>
            <w:tcW w:w="37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620D59" w14:textId="77777777" w:rsidR="00B46794" w:rsidRPr="00E87E42" w:rsidRDefault="00B46794" w:rsidP="001019D3">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Sprinklers</w:t>
            </w:r>
          </w:p>
        </w:tc>
        <w:tc>
          <w:tcPr>
            <w:tcW w:w="39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A6CA4D" w14:textId="77777777" w:rsidR="00B46794" w:rsidRPr="00E87E42" w:rsidRDefault="00B46794">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No Sprinklers</w:t>
            </w:r>
          </w:p>
        </w:tc>
        <w:tc>
          <w:tcPr>
            <w:tcW w:w="3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ABC3F0" w14:textId="77777777" w:rsidR="00B46794" w:rsidRPr="00E87E42" w:rsidRDefault="00B46794">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Sprinklers</w:t>
            </w:r>
          </w:p>
        </w:tc>
        <w:tc>
          <w:tcPr>
            <w:tcW w:w="3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88B177" w14:textId="77777777" w:rsidR="00B46794" w:rsidRPr="00E87E42" w:rsidRDefault="00B46794">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No Sprinklers</w:t>
            </w:r>
          </w:p>
        </w:tc>
        <w:tc>
          <w:tcPr>
            <w:tcW w:w="37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0D15EB" w14:textId="77777777" w:rsidR="00B46794" w:rsidRPr="00E87E42" w:rsidRDefault="00B46794">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Sprinklers</w:t>
            </w:r>
          </w:p>
        </w:tc>
        <w:tc>
          <w:tcPr>
            <w:tcW w:w="39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0EC398" w14:textId="77777777" w:rsidR="00B46794" w:rsidRPr="00E87E42" w:rsidRDefault="00B46794">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No Sprinklers</w:t>
            </w:r>
          </w:p>
        </w:tc>
        <w:tc>
          <w:tcPr>
            <w:tcW w:w="3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C727549" w14:textId="77777777" w:rsidR="00B46794" w:rsidRPr="00E87E42" w:rsidRDefault="00B46794">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Sprinklers</w:t>
            </w:r>
          </w:p>
        </w:tc>
        <w:tc>
          <w:tcPr>
            <w:tcW w:w="376"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0A4DE8" w14:textId="77777777" w:rsidR="00B46794" w:rsidRPr="00E87E42" w:rsidRDefault="00B46794">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No Sprinklers</w:t>
            </w:r>
          </w:p>
        </w:tc>
      </w:tr>
      <w:tr w:rsidR="00B46794" w:rsidRPr="00E87E42" w14:paraId="65EFBB8D" w14:textId="77777777" w:rsidTr="008A55B5">
        <w:trPr>
          <w:trHeight w:val="20"/>
        </w:trPr>
        <w:tc>
          <w:tcPr>
            <w:tcW w:w="249" w:type="pct"/>
            <w:tcBorders>
              <w:top w:val="nil"/>
              <w:left w:val="nil"/>
              <w:bottom w:val="nil"/>
              <w:right w:val="nil"/>
            </w:tcBorders>
            <w:shd w:val="clear" w:color="auto" w:fill="auto"/>
            <w:noWrap/>
            <w:vAlign w:val="center"/>
            <w:hideMark/>
          </w:tcPr>
          <w:p w14:paraId="708AB463" w14:textId="77777777" w:rsidR="00B46794" w:rsidRPr="00E87E42" w:rsidRDefault="00B46794" w:rsidP="00B46794">
            <w:pPr>
              <w:spacing w:after="0" w:line="240" w:lineRule="auto"/>
              <w:jc w:val="center"/>
              <w:rPr>
                <w:rFonts w:eastAsia="Times New Roman"/>
                <w:color w:val="000000"/>
                <w:sz w:val="16"/>
                <w:szCs w:val="16"/>
                <w:lang w:eastAsia="en-GB"/>
              </w:rPr>
            </w:pPr>
          </w:p>
        </w:tc>
        <w:tc>
          <w:tcPr>
            <w:tcW w:w="249" w:type="pct"/>
            <w:tcBorders>
              <w:top w:val="nil"/>
              <w:left w:val="nil"/>
              <w:bottom w:val="nil"/>
              <w:right w:val="nil"/>
            </w:tcBorders>
            <w:shd w:val="clear" w:color="auto" w:fill="auto"/>
            <w:noWrap/>
            <w:vAlign w:val="center"/>
            <w:hideMark/>
          </w:tcPr>
          <w:p w14:paraId="14373B4B" w14:textId="77777777" w:rsidR="00B46794" w:rsidRPr="00E87E42" w:rsidRDefault="00B46794" w:rsidP="008A55B5">
            <w:pPr>
              <w:spacing w:after="0" w:line="240" w:lineRule="auto"/>
              <w:jc w:val="center"/>
              <w:rPr>
                <w:rFonts w:eastAsia="Times New Roman"/>
                <w:sz w:val="16"/>
                <w:szCs w:val="16"/>
                <w:lang w:eastAsia="en-GB"/>
              </w:rPr>
            </w:pPr>
          </w:p>
        </w:tc>
        <w:tc>
          <w:tcPr>
            <w:tcW w:w="145" w:type="pct"/>
            <w:tcBorders>
              <w:top w:val="nil"/>
              <w:left w:val="single" w:sz="4" w:space="0" w:color="auto"/>
              <w:bottom w:val="single" w:sz="4" w:space="0" w:color="auto"/>
              <w:right w:val="single" w:sz="4" w:space="0" w:color="auto"/>
            </w:tcBorders>
            <w:shd w:val="clear" w:color="auto" w:fill="auto"/>
            <w:noWrap/>
            <w:vAlign w:val="center"/>
            <w:hideMark/>
          </w:tcPr>
          <w:p w14:paraId="25EA7381"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w:t>
            </w:r>
          </w:p>
        </w:tc>
        <w:tc>
          <w:tcPr>
            <w:tcW w:w="203" w:type="pct"/>
            <w:tcBorders>
              <w:top w:val="nil"/>
              <w:left w:val="nil"/>
              <w:bottom w:val="single" w:sz="4" w:space="0" w:color="auto"/>
              <w:right w:val="single" w:sz="4" w:space="0" w:color="auto"/>
            </w:tcBorders>
            <w:shd w:val="clear" w:color="auto" w:fill="auto"/>
            <w:noWrap/>
            <w:vAlign w:val="center"/>
            <w:hideMark/>
          </w:tcPr>
          <w:p w14:paraId="2E5DEBBD"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w:t>
            </w:r>
          </w:p>
        </w:tc>
        <w:tc>
          <w:tcPr>
            <w:tcW w:w="145" w:type="pct"/>
            <w:tcBorders>
              <w:top w:val="nil"/>
              <w:left w:val="nil"/>
              <w:bottom w:val="single" w:sz="4" w:space="0" w:color="auto"/>
              <w:right w:val="single" w:sz="4" w:space="0" w:color="auto"/>
            </w:tcBorders>
            <w:shd w:val="clear" w:color="auto" w:fill="auto"/>
            <w:noWrap/>
            <w:vAlign w:val="center"/>
            <w:hideMark/>
          </w:tcPr>
          <w:p w14:paraId="64297D43"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w:t>
            </w:r>
          </w:p>
        </w:tc>
        <w:tc>
          <w:tcPr>
            <w:tcW w:w="203" w:type="pct"/>
            <w:tcBorders>
              <w:top w:val="nil"/>
              <w:left w:val="nil"/>
              <w:bottom w:val="single" w:sz="4" w:space="0" w:color="auto"/>
              <w:right w:val="single" w:sz="4" w:space="0" w:color="auto"/>
            </w:tcBorders>
            <w:shd w:val="clear" w:color="auto" w:fill="auto"/>
            <w:noWrap/>
            <w:vAlign w:val="center"/>
            <w:hideMark/>
          </w:tcPr>
          <w:p w14:paraId="26B757BF" w14:textId="77777777" w:rsidR="00B46794" w:rsidRPr="00E87E42" w:rsidRDefault="00B46794" w:rsidP="001019D3">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w:t>
            </w:r>
          </w:p>
        </w:tc>
        <w:tc>
          <w:tcPr>
            <w:tcW w:w="161" w:type="pct"/>
            <w:tcBorders>
              <w:top w:val="nil"/>
              <w:left w:val="nil"/>
              <w:bottom w:val="single" w:sz="4" w:space="0" w:color="auto"/>
              <w:right w:val="single" w:sz="4" w:space="0" w:color="auto"/>
            </w:tcBorders>
            <w:shd w:val="clear" w:color="auto" w:fill="auto"/>
            <w:noWrap/>
            <w:vAlign w:val="center"/>
            <w:hideMark/>
          </w:tcPr>
          <w:p w14:paraId="62ADFD25" w14:textId="77777777" w:rsidR="00B46794" w:rsidRPr="00E87E42" w:rsidRDefault="00B46794" w:rsidP="001019D3">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w:t>
            </w:r>
          </w:p>
        </w:tc>
        <w:tc>
          <w:tcPr>
            <w:tcW w:w="219" w:type="pct"/>
            <w:tcBorders>
              <w:top w:val="nil"/>
              <w:left w:val="nil"/>
              <w:bottom w:val="single" w:sz="4" w:space="0" w:color="auto"/>
              <w:right w:val="single" w:sz="4" w:space="0" w:color="auto"/>
            </w:tcBorders>
            <w:shd w:val="clear" w:color="auto" w:fill="auto"/>
            <w:noWrap/>
            <w:vAlign w:val="center"/>
            <w:hideMark/>
          </w:tcPr>
          <w:p w14:paraId="47D56E93"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w:t>
            </w:r>
          </w:p>
        </w:tc>
        <w:tc>
          <w:tcPr>
            <w:tcW w:w="161" w:type="pct"/>
            <w:tcBorders>
              <w:top w:val="nil"/>
              <w:left w:val="nil"/>
              <w:bottom w:val="single" w:sz="4" w:space="0" w:color="auto"/>
              <w:right w:val="single" w:sz="4" w:space="0" w:color="auto"/>
            </w:tcBorders>
            <w:shd w:val="clear" w:color="auto" w:fill="auto"/>
            <w:noWrap/>
            <w:vAlign w:val="center"/>
            <w:hideMark/>
          </w:tcPr>
          <w:p w14:paraId="61FFDA16"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w:t>
            </w:r>
          </w:p>
        </w:tc>
        <w:tc>
          <w:tcPr>
            <w:tcW w:w="219" w:type="pct"/>
            <w:tcBorders>
              <w:top w:val="nil"/>
              <w:left w:val="nil"/>
              <w:bottom w:val="single" w:sz="4" w:space="0" w:color="auto"/>
              <w:right w:val="single" w:sz="4" w:space="0" w:color="auto"/>
            </w:tcBorders>
            <w:shd w:val="clear" w:color="auto" w:fill="auto"/>
            <w:noWrap/>
            <w:vAlign w:val="center"/>
            <w:hideMark/>
          </w:tcPr>
          <w:p w14:paraId="2F5E7248"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w:t>
            </w:r>
          </w:p>
        </w:tc>
        <w:tc>
          <w:tcPr>
            <w:tcW w:w="168" w:type="pct"/>
            <w:tcBorders>
              <w:top w:val="nil"/>
              <w:left w:val="nil"/>
              <w:bottom w:val="single" w:sz="4" w:space="0" w:color="auto"/>
              <w:right w:val="single" w:sz="4" w:space="0" w:color="auto"/>
            </w:tcBorders>
            <w:shd w:val="clear" w:color="auto" w:fill="auto"/>
            <w:noWrap/>
            <w:vAlign w:val="center"/>
            <w:hideMark/>
          </w:tcPr>
          <w:p w14:paraId="55530A66"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w:t>
            </w:r>
          </w:p>
        </w:tc>
        <w:tc>
          <w:tcPr>
            <w:tcW w:w="203" w:type="pct"/>
            <w:tcBorders>
              <w:top w:val="nil"/>
              <w:left w:val="nil"/>
              <w:bottom w:val="single" w:sz="4" w:space="0" w:color="auto"/>
              <w:right w:val="single" w:sz="4" w:space="0" w:color="auto"/>
            </w:tcBorders>
            <w:shd w:val="clear" w:color="auto" w:fill="auto"/>
            <w:noWrap/>
            <w:vAlign w:val="center"/>
            <w:hideMark/>
          </w:tcPr>
          <w:p w14:paraId="6DC2C784"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w:t>
            </w:r>
          </w:p>
        </w:tc>
        <w:tc>
          <w:tcPr>
            <w:tcW w:w="168" w:type="pct"/>
            <w:tcBorders>
              <w:top w:val="nil"/>
              <w:left w:val="nil"/>
              <w:bottom w:val="single" w:sz="4" w:space="0" w:color="auto"/>
              <w:right w:val="single" w:sz="4" w:space="0" w:color="auto"/>
            </w:tcBorders>
            <w:shd w:val="clear" w:color="auto" w:fill="auto"/>
            <w:noWrap/>
            <w:vAlign w:val="center"/>
            <w:hideMark/>
          </w:tcPr>
          <w:p w14:paraId="646CF256"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w:t>
            </w:r>
          </w:p>
        </w:tc>
        <w:tc>
          <w:tcPr>
            <w:tcW w:w="226" w:type="pct"/>
            <w:tcBorders>
              <w:top w:val="nil"/>
              <w:left w:val="nil"/>
              <w:bottom w:val="single" w:sz="4" w:space="0" w:color="auto"/>
              <w:right w:val="single" w:sz="4" w:space="0" w:color="auto"/>
            </w:tcBorders>
            <w:shd w:val="clear" w:color="auto" w:fill="auto"/>
            <w:noWrap/>
            <w:vAlign w:val="center"/>
            <w:hideMark/>
          </w:tcPr>
          <w:p w14:paraId="4299AFEC"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w:t>
            </w:r>
          </w:p>
        </w:tc>
        <w:tc>
          <w:tcPr>
            <w:tcW w:w="161" w:type="pct"/>
            <w:tcBorders>
              <w:top w:val="nil"/>
              <w:left w:val="nil"/>
              <w:bottom w:val="single" w:sz="4" w:space="0" w:color="auto"/>
              <w:right w:val="single" w:sz="4" w:space="0" w:color="auto"/>
            </w:tcBorders>
            <w:shd w:val="clear" w:color="auto" w:fill="auto"/>
            <w:noWrap/>
            <w:vAlign w:val="center"/>
            <w:hideMark/>
          </w:tcPr>
          <w:p w14:paraId="1CFED30B"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w:t>
            </w:r>
          </w:p>
        </w:tc>
        <w:tc>
          <w:tcPr>
            <w:tcW w:w="219" w:type="pct"/>
            <w:tcBorders>
              <w:top w:val="nil"/>
              <w:left w:val="nil"/>
              <w:bottom w:val="single" w:sz="4" w:space="0" w:color="auto"/>
              <w:right w:val="single" w:sz="4" w:space="0" w:color="auto"/>
            </w:tcBorders>
            <w:shd w:val="clear" w:color="auto" w:fill="auto"/>
            <w:noWrap/>
            <w:vAlign w:val="center"/>
            <w:hideMark/>
          </w:tcPr>
          <w:p w14:paraId="76F30C75"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w:t>
            </w:r>
          </w:p>
        </w:tc>
        <w:tc>
          <w:tcPr>
            <w:tcW w:w="161" w:type="pct"/>
            <w:tcBorders>
              <w:top w:val="nil"/>
              <w:left w:val="nil"/>
              <w:bottom w:val="single" w:sz="4" w:space="0" w:color="auto"/>
              <w:right w:val="single" w:sz="4" w:space="0" w:color="auto"/>
            </w:tcBorders>
            <w:shd w:val="clear" w:color="auto" w:fill="auto"/>
            <w:noWrap/>
            <w:vAlign w:val="center"/>
            <w:hideMark/>
          </w:tcPr>
          <w:p w14:paraId="6531DEEF"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w:t>
            </w:r>
          </w:p>
        </w:tc>
        <w:tc>
          <w:tcPr>
            <w:tcW w:w="219" w:type="pct"/>
            <w:tcBorders>
              <w:top w:val="nil"/>
              <w:left w:val="nil"/>
              <w:bottom w:val="single" w:sz="4" w:space="0" w:color="auto"/>
              <w:right w:val="single" w:sz="4" w:space="0" w:color="auto"/>
            </w:tcBorders>
            <w:shd w:val="clear" w:color="auto" w:fill="auto"/>
            <w:noWrap/>
            <w:vAlign w:val="center"/>
            <w:hideMark/>
          </w:tcPr>
          <w:p w14:paraId="45426F89"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w:t>
            </w:r>
          </w:p>
        </w:tc>
        <w:tc>
          <w:tcPr>
            <w:tcW w:w="168" w:type="pct"/>
            <w:tcBorders>
              <w:top w:val="nil"/>
              <w:left w:val="nil"/>
              <w:bottom w:val="single" w:sz="4" w:space="0" w:color="auto"/>
              <w:right w:val="single" w:sz="4" w:space="0" w:color="auto"/>
            </w:tcBorders>
            <w:shd w:val="clear" w:color="auto" w:fill="auto"/>
            <w:noWrap/>
            <w:vAlign w:val="center"/>
            <w:hideMark/>
          </w:tcPr>
          <w:p w14:paraId="20BDA626"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w:t>
            </w:r>
          </w:p>
        </w:tc>
        <w:tc>
          <w:tcPr>
            <w:tcW w:w="203" w:type="pct"/>
            <w:tcBorders>
              <w:top w:val="nil"/>
              <w:left w:val="nil"/>
              <w:bottom w:val="single" w:sz="4" w:space="0" w:color="auto"/>
              <w:right w:val="single" w:sz="4" w:space="0" w:color="auto"/>
            </w:tcBorders>
            <w:shd w:val="clear" w:color="auto" w:fill="auto"/>
            <w:noWrap/>
            <w:vAlign w:val="center"/>
            <w:hideMark/>
          </w:tcPr>
          <w:p w14:paraId="269BCF4E"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w:t>
            </w:r>
          </w:p>
        </w:tc>
        <w:tc>
          <w:tcPr>
            <w:tcW w:w="168" w:type="pct"/>
            <w:tcBorders>
              <w:top w:val="nil"/>
              <w:left w:val="nil"/>
              <w:bottom w:val="single" w:sz="4" w:space="0" w:color="auto"/>
              <w:right w:val="single" w:sz="4" w:space="0" w:color="auto"/>
            </w:tcBorders>
            <w:shd w:val="clear" w:color="auto" w:fill="auto"/>
            <w:noWrap/>
            <w:vAlign w:val="center"/>
            <w:hideMark/>
          </w:tcPr>
          <w:p w14:paraId="426CB276"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w:t>
            </w:r>
          </w:p>
        </w:tc>
        <w:tc>
          <w:tcPr>
            <w:tcW w:w="226" w:type="pct"/>
            <w:tcBorders>
              <w:top w:val="nil"/>
              <w:left w:val="nil"/>
              <w:bottom w:val="single" w:sz="4" w:space="0" w:color="auto"/>
              <w:right w:val="single" w:sz="4" w:space="0" w:color="auto"/>
            </w:tcBorders>
            <w:shd w:val="clear" w:color="auto" w:fill="auto"/>
            <w:noWrap/>
            <w:vAlign w:val="center"/>
            <w:hideMark/>
          </w:tcPr>
          <w:p w14:paraId="5F072B83"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w:t>
            </w:r>
          </w:p>
        </w:tc>
        <w:tc>
          <w:tcPr>
            <w:tcW w:w="161" w:type="pct"/>
            <w:tcBorders>
              <w:top w:val="nil"/>
              <w:left w:val="nil"/>
              <w:bottom w:val="single" w:sz="4" w:space="0" w:color="auto"/>
              <w:right w:val="single" w:sz="4" w:space="0" w:color="auto"/>
            </w:tcBorders>
            <w:shd w:val="clear" w:color="auto" w:fill="auto"/>
            <w:noWrap/>
            <w:vAlign w:val="center"/>
            <w:hideMark/>
          </w:tcPr>
          <w:p w14:paraId="311D27D8"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w:t>
            </w:r>
          </w:p>
        </w:tc>
        <w:tc>
          <w:tcPr>
            <w:tcW w:w="219" w:type="pct"/>
            <w:tcBorders>
              <w:top w:val="nil"/>
              <w:left w:val="nil"/>
              <w:bottom w:val="single" w:sz="4" w:space="0" w:color="auto"/>
              <w:right w:val="single" w:sz="4" w:space="0" w:color="auto"/>
            </w:tcBorders>
            <w:shd w:val="clear" w:color="auto" w:fill="auto"/>
            <w:noWrap/>
            <w:vAlign w:val="center"/>
            <w:hideMark/>
          </w:tcPr>
          <w:p w14:paraId="468E487C"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w:t>
            </w:r>
          </w:p>
        </w:tc>
        <w:tc>
          <w:tcPr>
            <w:tcW w:w="161" w:type="pct"/>
            <w:tcBorders>
              <w:top w:val="nil"/>
              <w:left w:val="nil"/>
              <w:bottom w:val="single" w:sz="4" w:space="0" w:color="auto"/>
              <w:right w:val="single" w:sz="4" w:space="0" w:color="auto"/>
            </w:tcBorders>
            <w:shd w:val="clear" w:color="auto" w:fill="auto"/>
            <w:noWrap/>
            <w:vAlign w:val="center"/>
            <w:hideMark/>
          </w:tcPr>
          <w:p w14:paraId="5B7F8DAB"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w:t>
            </w:r>
          </w:p>
        </w:tc>
        <w:tc>
          <w:tcPr>
            <w:tcW w:w="215" w:type="pct"/>
            <w:tcBorders>
              <w:top w:val="nil"/>
              <w:left w:val="nil"/>
              <w:bottom w:val="single" w:sz="4" w:space="0" w:color="auto"/>
              <w:right w:val="single" w:sz="4" w:space="0" w:color="auto"/>
            </w:tcBorders>
            <w:shd w:val="clear" w:color="auto" w:fill="auto"/>
            <w:noWrap/>
            <w:vAlign w:val="center"/>
            <w:hideMark/>
          </w:tcPr>
          <w:p w14:paraId="476AC40B"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w:t>
            </w:r>
          </w:p>
        </w:tc>
      </w:tr>
      <w:tr w:rsidR="00D67C6B" w:rsidRPr="00E87E42" w14:paraId="707646FC" w14:textId="77777777" w:rsidTr="00B46794">
        <w:trPr>
          <w:trHeight w:val="20"/>
        </w:trPr>
        <w:tc>
          <w:tcPr>
            <w:tcW w:w="49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8FAFD18"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Confined to object</w:t>
            </w:r>
          </w:p>
        </w:tc>
        <w:tc>
          <w:tcPr>
            <w:tcW w:w="145" w:type="pct"/>
            <w:tcBorders>
              <w:top w:val="nil"/>
              <w:left w:val="nil"/>
              <w:bottom w:val="single" w:sz="4" w:space="0" w:color="auto"/>
              <w:right w:val="single" w:sz="4" w:space="0" w:color="auto"/>
            </w:tcBorders>
            <w:shd w:val="clear" w:color="auto" w:fill="auto"/>
            <w:noWrap/>
            <w:vAlign w:val="center"/>
            <w:hideMark/>
          </w:tcPr>
          <w:p w14:paraId="0FCC58A4"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203" w:type="pct"/>
            <w:tcBorders>
              <w:top w:val="nil"/>
              <w:left w:val="nil"/>
              <w:bottom w:val="single" w:sz="4" w:space="0" w:color="auto"/>
              <w:right w:val="single" w:sz="4" w:space="0" w:color="auto"/>
            </w:tcBorders>
            <w:shd w:val="clear" w:color="auto" w:fill="auto"/>
            <w:noWrap/>
            <w:vAlign w:val="center"/>
            <w:hideMark/>
          </w:tcPr>
          <w:p w14:paraId="2D7133AB"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292.13</w:t>
            </w:r>
          </w:p>
        </w:tc>
        <w:tc>
          <w:tcPr>
            <w:tcW w:w="145" w:type="pct"/>
            <w:tcBorders>
              <w:top w:val="nil"/>
              <w:left w:val="nil"/>
              <w:bottom w:val="single" w:sz="4" w:space="0" w:color="auto"/>
              <w:right w:val="nil"/>
            </w:tcBorders>
            <w:shd w:val="clear" w:color="auto" w:fill="auto"/>
            <w:noWrap/>
            <w:vAlign w:val="center"/>
            <w:hideMark/>
          </w:tcPr>
          <w:p w14:paraId="6AD7E16A" w14:textId="77777777" w:rsidR="00B46794" w:rsidRPr="00E87E42" w:rsidRDefault="00B46794" w:rsidP="001019D3">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76EF857B" w14:textId="77777777" w:rsidR="00B46794" w:rsidRPr="00E87E42" w:rsidRDefault="00B46794" w:rsidP="001019D3">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22.38</w:t>
            </w:r>
          </w:p>
        </w:tc>
        <w:tc>
          <w:tcPr>
            <w:tcW w:w="161" w:type="pct"/>
            <w:tcBorders>
              <w:top w:val="nil"/>
              <w:left w:val="nil"/>
              <w:bottom w:val="single" w:sz="4" w:space="0" w:color="auto"/>
              <w:right w:val="single" w:sz="4" w:space="0" w:color="auto"/>
            </w:tcBorders>
            <w:shd w:val="clear" w:color="auto" w:fill="auto"/>
            <w:noWrap/>
            <w:vAlign w:val="center"/>
            <w:hideMark/>
          </w:tcPr>
          <w:p w14:paraId="5DE0C820"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72%</w:t>
            </w:r>
          </w:p>
        </w:tc>
        <w:tc>
          <w:tcPr>
            <w:tcW w:w="219" w:type="pct"/>
            <w:tcBorders>
              <w:top w:val="nil"/>
              <w:left w:val="nil"/>
              <w:bottom w:val="single" w:sz="4" w:space="0" w:color="auto"/>
              <w:right w:val="single" w:sz="4" w:space="0" w:color="auto"/>
            </w:tcBorders>
            <w:shd w:val="clear" w:color="auto" w:fill="auto"/>
            <w:noWrap/>
            <w:vAlign w:val="center"/>
            <w:hideMark/>
          </w:tcPr>
          <w:p w14:paraId="136A6AFD"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22.22%</w:t>
            </w:r>
          </w:p>
        </w:tc>
        <w:tc>
          <w:tcPr>
            <w:tcW w:w="161" w:type="pct"/>
            <w:tcBorders>
              <w:top w:val="nil"/>
              <w:left w:val="nil"/>
              <w:bottom w:val="single" w:sz="4" w:space="0" w:color="auto"/>
              <w:right w:val="single" w:sz="4" w:space="0" w:color="auto"/>
            </w:tcBorders>
            <w:shd w:val="clear" w:color="auto" w:fill="auto"/>
            <w:noWrap/>
            <w:vAlign w:val="center"/>
            <w:hideMark/>
          </w:tcPr>
          <w:p w14:paraId="74972CF2"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43%</w:t>
            </w:r>
          </w:p>
        </w:tc>
        <w:tc>
          <w:tcPr>
            <w:tcW w:w="219" w:type="pct"/>
            <w:tcBorders>
              <w:top w:val="nil"/>
              <w:left w:val="nil"/>
              <w:bottom w:val="single" w:sz="4" w:space="0" w:color="auto"/>
              <w:right w:val="single" w:sz="4" w:space="0" w:color="auto"/>
            </w:tcBorders>
            <w:shd w:val="clear" w:color="auto" w:fill="auto"/>
            <w:noWrap/>
            <w:vAlign w:val="center"/>
            <w:hideMark/>
          </w:tcPr>
          <w:p w14:paraId="66A4333A"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13.79%</w:t>
            </w:r>
          </w:p>
        </w:tc>
        <w:tc>
          <w:tcPr>
            <w:tcW w:w="168" w:type="pct"/>
            <w:tcBorders>
              <w:top w:val="nil"/>
              <w:left w:val="nil"/>
              <w:bottom w:val="single" w:sz="4" w:space="0" w:color="auto"/>
              <w:right w:val="single" w:sz="4" w:space="0" w:color="auto"/>
            </w:tcBorders>
            <w:shd w:val="clear" w:color="auto" w:fill="auto"/>
            <w:noWrap/>
            <w:vAlign w:val="center"/>
            <w:hideMark/>
          </w:tcPr>
          <w:p w14:paraId="444E26E4"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203" w:type="pct"/>
            <w:tcBorders>
              <w:top w:val="nil"/>
              <w:left w:val="nil"/>
              <w:bottom w:val="single" w:sz="4" w:space="0" w:color="auto"/>
              <w:right w:val="single" w:sz="4" w:space="0" w:color="auto"/>
            </w:tcBorders>
            <w:shd w:val="clear" w:color="auto" w:fill="auto"/>
            <w:noWrap/>
            <w:vAlign w:val="center"/>
            <w:hideMark/>
          </w:tcPr>
          <w:p w14:paraId="0536C51C"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38.32</w:t>
            </w:r>
          </w:p>
        </w:tc>
        <w:tc>
          <w:tcPr>
            <w:tcW w:w="168" w:type="pct"/>
            <w:tcBorders>
              <w:top w:val="nil"/>
              <w:left w:val="nil"/>
              <w:bottom w:val="single" w:sz="4" w:space="0" w:color="auto"/>
              <w:right w:val="single" w:sz="4" w:space="0" w:color="auto"/>
            </w:tcBorders>
            <w:shd w:val="clear" w:color="auto" w:fill="auto"/>
            <w:noWrap/>
            <w:vAlign w:val="center"/>
            <w:hideMark/>
          </w:tcPr>
          <w:p w14:paraId="21347334"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w:t>
            </w:r>
          </w:p>
        </w:tc>
        <w:tc>
          <w:tcPr>
            <w:tcW w:w="226" w:type="pct"/>
            <w:tcBorders>
              <w:top w:val="nil"/>
              <w:left w:val="nil"/>
              <w:bottom w:val="single" w:sz="4" w:space="0" w:color="auto"/>
              <w:right w:val="single" w:sz="4" w:space="0" w:color="auto"/>
            </w:tcBorders>
            <w:shd w:val="clear" w:color="auto" w:fill="auto"/>
            <w:noWrap/>
            <w:vAlign w:val="center"/>
            <w:hideMark/>
          </w:tcPr>
          <w:p w14:paraId="743455EC"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3.62</w:t>
            </w:r>
          </w:p>
        </w:tc>
        <w:tc>
          <w:tcPr>
            <w:tcW w:w="161" w:type="pct"/>
            <w:tcBorders>
              <w:top w:val="nil"/>
              <w:left w:val="nil"/>
              <w:bottom w:val="single" w:sz="4" w:space="0" w:color="auto"/>
              <w:right w:val="single" w:sz="4" w:space="0" w:color="auto"/>
            </w:tcBorders>
            <w:shd w:val="clear" w:color="auto" w:fill="auto"/>
            <w:noWrap/>
            <w:vAlign w:val="center"/>
            <w:hideMark/>
          </w:tcPr>
          <w:p w14:paraId="16D13C3E"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72%</w:t>
            </w:r>
          </w:p>
        </w:tc>
        <w:tc>
          <w:tcPr>
            <w:tcW w:w="219" w:type="pct"/>
            <w:tcBorders>
              <w:top w:val="nil"/>
              <w:left w:val="nil"/>
              <w:bottom w:val="single" w:sz="4" w:space="0" w:color="auto"/>
              <w:right w:val="single" w:sz="4" w:space="0" w:color="auto"/>
            </w:tcBorders>
            <w:shd w:val="clear" w:color="auto" w:fill="auto"/>
            <w:noWrap/>
            <w:vAlign w:val="center"/>
            <w:hideMark/>
          </w:tcPr>
          <w:p w14:paraId="7400D396"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20.69%</w:t>
            </w:r>
          </w:p>
        </w:tc>
        <w:tc>
          <w:tcPr>
            <w:tcW w:w="161" w:type="pct"/>
            <w:tcBorders>
              <w:top w:val="nil"/>
              <w:left w:val="nil"/>
              <w:bottom w:val="single" w:sz="4" w:space="0" w:color="auto"/>
              <w:right w:val="single" w:sz="4" w:space="0" w:color="auto"/>
            </w:tcBorders>
            <w:shd w:val="clear" w:color="auto" w:fill="auto"/>
            <w:noWrap/>
            <w:vAlign w:val="center"/>
            <w:hideMark/>
          </w:tcPr>
          <w:p w14:paraId="5EC2231E"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w:t>
            </w:r>
          </w:p>
        </w:tc>
        <w:tc>
          <w:tcPr>
            <w:tcW w:w="219" w:type="pct"/>
            <w:tcBorders>
              <w:top w:val="nil"/>
              <w:left w:val="nil"/>
              <w:bottom w:val="single" w:sz="4" w:space="0" w:color="auto"/>
              <w:right w:val="single" w:sz="4" w:space="0" w:color="auto"/>
            </w:tcBorders>
            <w:shd w:val="clear" w:color="auto" w:fill="auto"/>
            <w:noWrap/>
            <w:vAlign w:val="center"/>
            <w:hideMark/>
          </w:tcPr>
          <w:p w14:paraId="58CA1907"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6.45%</w:t>
            </w:r>
          </w:p>
        </w:tc>
        <w:tc>
          <w:tcPr>
            <w:tcW w:w="168" w:type="pct"/>
            <w:tcBorders>
              <w:top w:val="nil"/>
              <w:left w:val="nil"/>
              <w:bottom w:val="single" w:sz="4" w:space="0" w:color="auto"/>
              <w:right w:val="single" w:sz="4" w:space="0" w:color="auto"/>
            </w:tcBorders>
            <w:shd w:val="clear" w:color="auto" w:fill="auto"/>
            <w:noWrap/>
            <w:vAlign w:val="center"/>
            <w:hideMark/>
          </w:tcPr>
          <w:p w14:paraId="5C2F074B"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03" w:type="pct"/>
            <w:tcBorders>
              <w:top w:val="nil"/>
              <w:left w:val="nil"/>
              <w:bottom w:val="single" w:sz="4" w:space="0" w:color="auto"/>
              <w:right w:val="single" w:sz="4" w:space="0" w:color="auto"/>
            </w:tcBorders>
            <w:shd w:val="clear" w:color="auto" w:fill="auto"/>
            <w:noWrap/>
            <w:vAlign w:val="center"/>
            <w:hideMark/>
          </w:tcPr>
          <w:p w14:paraId="1337BBB7"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228.11</w:t>
            </w:r>
          </w:p>
        </w:tc>
        <w:tc>
          <w:tcPr>
            <w:tcW w:w="168" w:type="pct"/>
            <w:tcBorders>
              <w:top w:val="nil"/>
              <w:left w:val="nil"/>
              <w:bottom w:val="single" w:sz="4" w:space="0" w:color="auto"/>
              <w:right w:val="nil"/>
            </w:tcBorders>
            <w:shd w:val="clear" w:color="auto" w:fill="auto"/>
            <w:noWrap/>
            <w:vAlign w:val="center"/>
            <w:hideMark/>
          </w:tcPr>
          <w:p w14:paraId="5C290B6F"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26" w:type="pct"/>
            <w:tcBorders>
              <w:top w:val="nil"/>
              <w:left w:val="single" w:sz="4" w:space="0" w:color="auto"/>
              <w:bottom w:val="single" w:sz="4" w:space="0" w:color="auto"/>
              <w:right w:val="single" w:sz="4" w:space="0" w:color="auto"/>
            </w:tcBorders>
            <w:shd w:val="clear" w:color="auto" w:fill="auto"/>
            <w:noWrap/>
            <w:vAlign w:val="center"/>
            <w:hideMark/>
          </w:tcPr>
          <w:p w14:paraId="2DA884C1"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99.35</w:t>
            </w:r>
          </w:p>
        </w:tc>
        <w:tc>
          <w:tcPr>
            <w:tcW w:w="161" w:type="pct"/>
            <w:tcBorders>
              <w:top w:val="nil"/>
              <w:left w:val="nil"/>
              <w:bottom w:val="single" w:sz="4" w:space="0" w:color="auto"/>
              <w:right w:val="single" w:sz="4" w:space="0" w:color="auto"/>
            </w:tcBorders>
            <w:shd w:val="clear" w:color="auto" w:fill="auto"/>
            <w:noWrap/>
            <w:vAlign w:val="center"/>
            <w:hideMark/>
          </w:tcPr>
          <w:p w14:paraId="34F9BB60"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66%</w:t>
            </w:r>
          </w:p>
        </w:tc>
        <w:tc>
          <w:tcPr>
            <w:tcW w:w="219" w:type="pct"/>
            <w:tcBorders>
              <w:top w:val="nil"/>
              <w:left w:val="nil"/>
              <w:bottom w:val="single" w:sz="4" w:space="0" w:color="auto"/>
              <w:right w:val="single" w:sz="4" w:space="0" w:color="auto"/>
            </w:tcBorders>
            <w:shd w:val="clear" w:color="auto" w:fill="auto"/>
            <w:noWrap/>
            <w:vAlign w:val="center"/>
            <w:hideMark/>
          </w:tcPr>
          <w:p w14:paraId="6B9634DA"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32.52%</w:t>
            </w:r>
          </w:p>
        </w:tc>
        <w:tc>
          <w:tcPr>
            <w:tcW w:w="161" w:type="pct"/>
            <w:tcBorders>
              <w:top w:val="nil"/>
              <w:left w:val="nil"/>
              <w:bottom w:val="single" w:sz="4" w:space="0" w:color="auto"/>
              <w:right w:val="single" w:sz="4" w:space="0" w:color="auto"/>
            </w:tcBorders>
            <w:shd w:val="clear" w:color="auto" w:fill="auto"/>
            <w:noWrap/>
            <w:vAlign w:val="center"/>
            <w:hideMark/>
          </w:tcPr>
          <w:p w14:paraId="7C768D5F"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42%</w:t>
            </w:r>
          </w:p>
        </w:tc>
        <w:tc>
          <w:tcPr>
            <w:tcW w:w="215" w:type="pct"/>
            <w:tcBorders>
              <w:top w:val="nil"/>
              <w:left w:val="nil"/>
              <w:bottom w:val="single" w:sz="4" w:space="0" w:color="auto"/>
              <w:right w:val="single" w:sz="4" w:space="0" w:color="auto"/>
            </w:tcBorders>
            <w:shd w:val="clear" w:color="auto" w:fill="auto"/>
            <w:noWrap/>
            <w:vAlign w:val="center"/>
            <w:hideMark/>
          </w:tcPr>
          <w:p w14:paraId="6B1A7137"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15.89%</w:t>
            </w:r>
          </w:p>
        </w:tc>
      </w:tr>
      <w:tr w:rsidR="00D67C6B" w:rsidRPr="00E87E42" w14:paraId="68710AEB" w14:textId="77777777" w:rsidTr="00B46794">
        <w:trPr>
          <w:trHeight w:val="20"/>
        </w:trPr>
        <w:tc>
          <w:tcPr>
            <w:tcW w:w="249" w:type="pct"/>
            <w:vMerge w:val="restart"/>
            <w:tcBorders>
              <w:top w:val="nil"/>
              <w:left w:val="single" w:sz="4" w:space="0" w:color="auto"/>
              <w:bottom w:val="single" w:sz="4" w:space="0" w:color="auto"/>
              <w:right w:val="single" w:sz="4" w:space="0" w:color="auto"/>
            </w:tcBorders>
            <w:shd w:val="clear" w:color="auto" w:fill="auto"/>
            <w:vAlign w:val="center"/>
            <w:hideMark/>
          </w:tcPr>
          <w:p w14:paraId="048E2311"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Confined to room</w:t>
            </w:r>
          </w:p>
        </w:tc>
        <w:tc>
          <w:tcPr>
            <w:tcW w:w="249" w:type="pct"/>
            <w:tcBorders>
              <w:top w:val="nil"/>
              <w:left w:val="nil"/>
              <w:bottom w:val="single" w:sz="4" w:space="0" w:color="auto"/>
              <w:right w:val="single" w:sz="4" w:space="0" w:color="auto"/>
            </w:tcBorders>
            <w:shd w:val="clear" w:color="auto" w:fill="auto"/>
            <w:vAlign w:val="center"/>
            <w:hideMark/>
          </w:tcPr>
          <w:p w14:paraId="5BE3FDD8"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Contents only</w:t>
            </w:r>
          </w:p>
        </w:tc>
        <w:tc>
          <w:tcPr>
            <w:tcW w:w="145" w:type="pct"/>
            <w:tcBorders>
              <w:top w:val="nil"/>
              <w:left w:val="nil"/>
              <w:bottom w:val="single" w:sz="4" w:space="0" w:color="auto"/>
              <w:right w:val="single" w:sz="4" w:space="0" w:color="auto"/>
            </w:tcBorders>
            <w:shd w:val="clear" w:color="auto" w:fill="auto"/>
            <w:noWrap/>
            <w:vAlign w:val="center"/>
            <w:hideMark/>
          </w:tcPr>
          <w:p w14:paraId="548E29EC"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w:t>
            </w:r>
          </w:p>
        </w:tc>
        <w:tc>
          <w:tcPr>
            <w:tcW w:w="2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CEB367F" w14:textId="77777777" w:rsidR="00B46794" w:rsidRPr="00E87E42" w:rsidRDefault="00B46794" w:rsidP="001019D3">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499.52</w:t>
            </w:r>
          </w:p>
        </w:tc>
        <w:tc>
          <w:tcPr>
            <w:tcW w:w="145" w:type="pct"/>
            <w:tcBorders>
              <w:top w:val="nil"/>
              <w:left w:val="nil"/>
              <w:bottom w:val="single" w:sz="4" w:space="0" w:color="auto"/>
              <w:right w:val="nil"/>
            </w:tcBorders>
            <w:shd w:val="clear" w:color="auto" w:fill="auto"/>
            <w:noWrap/>
            <w:vAlign w:val="center"/>
            <w:hideMark/>
          </w:tcPr>
          <w:p w14:paraId="16969855" w14:textId="77777777" w:rsidR="00B46794" w:rsidRPr="00E87E42" w:rsidRDefault="00B46794" w:rsidP="001019D3">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w:t>
            </w:r>
          </w:p>
        </w:tc>
        <w:tc>
          <w:tcPr>
            <w:tcW w:w="2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A5EA177"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14.38</w:t>
            </w:r>
          </w:p>
        </w:tc>
        <w:tc>
          <w:tcPr>
            <w:tcW w:w="161" w:type="pct"/>
            <w:tcBorders>
              <w:top w:val="nil"/>
              <w:left w:val="nil"/>
              <w:bottom w:val="single" w:sz="4" w:space="0" w:color="auto"/>
              <w:right w:val="single" w:sz="4" w:space="0" w:color="auto"/>
            </w:tcBorders>
            <w:shd w:val="clear" w:color="auto" w:fill="auto"/>
            <w:noWrap/>
            <w:vAlign w:val="center"/>
            <w:hideMark/>
          </w:tcPr>
          <w:p w14:paraId="0B6508A2"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w:t>
            </w:r>
          </w:p>
        </w:tc>
        <w:tc>
          <w:tcPr>
            <w:tcW w:w="21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E08DD62"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53.70%</w:t>
            </w:r>
          </w:p>
        </w:tc>
        <w:tc>
          <w:tcPr>
            <w:tcW w:w="161" w:type="pct"/>
            <w:tcBorders>
              <w:top w:val="nil"/>
              <w:left w:val="nil"/>
              <w:bottom w:val="single" w:sz="4" w:space="0" w:color="auto"/>
              <w:right w:val="single" w:sz="4" w:space="0" w:color="auto"/>
            </w:tcBorders>
            <w:shd w:val="clear" w:color="auto" w:fill="auto"/>
            <w:noWrap/>
            <w:vAlign w:val="center"/>
            <w:hideMark/>
          </w:tcPr>
          <w:p w14:paraId="7521CAB8"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w:t>
            </w:r>
          </w:p>
        </w:tc>
        <w:tc>
          <w:tcPr>
            <w:tcW w:w="21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C6AF80B"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34.48%</w:t>
            </w:r>
          </w:p>
        </w:tc>
        <w:tc>
          <w:tcPr>
            <w:tcW w:w="168" w:type="pct"/>
            <w:vMerge w:val="restart"/>
            <w:tcBorders>
              <w:top w:val="nil"/>
              <w:left w:val="single" w:sz="4" w:space="0" w:color="auto"/>
              <w:bottom w:val="single" w:sz="4" w:space="0" w:color="000000"/>
              <w:right w:val="single" w:sz="4" w:space="0" w:color="auto"/>
            </w:tcBorders>
            <w:shd w:val="clear" w:color="000000" w:fill="FF0000"/>
            <w:noWrap/>
            <w:vAlign w:val="center"/>
            <w:hideMark/>
          </w:tcPr>
          <w:p w14:paraId="1EBA99EF"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w:t>
            </w:r>
          </w:p>
        </w:tc>
        <w:tc>
          <w:tcPr>
            <w:tcW w:w="2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7B03ACA"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170.71</w:t>
            </w:r>
          </w:p>
        </w:tc>
        <w:tc>
          <w:tcPr>
            <w:tcW w:w="168" w:type="pct"/>
            <w:tcBorders>
              <w:top w:val="nil"/>
              <w:left w:val="nil"/>
              <w:bottom w:val="single" w:sz="4" w:space="0" w:color="auto"/>
              <w:right w:val="single" w:sz="4" w:space="0" w:color="auto"/>
            </w:tcBorders>
            <w:shd w:val="clear" w:color="auto" w:fill="auto"/>
            <w:noWrap/>
            <w:vAlign w:val="center"/>
            <w:hideMark/>
          </w:tcPr>
          <w:p w14:paraId="3ECC56D6"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w:t>
            </w:r>
          </w:p>
        </w:tc>
        <w:tc>
          <w:tcPr>
            <w:tcW w:w="22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02C2888"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16.41</w:t>
            </w:r>
          </w:p>
        </w:tc>
        <w:tc>
          <w:tcPr>
            <w:tcW w:w="161" w:type="pct"/>
            <w:vMerge w:val="restart"/>
            <w:tcBorders>
              <w:top w:val="nil"/>
              <w:left w:val="single" w:sz="4" w:space="0" w:color="auto"/>
              <w:bottom w:val="single" w:sz="4" w:space="0" w:color="000000"/>
              <w:right w:val="single" w:sz="4" w:space="0" w:color="auto"/>
            </w:tcBorders>
            <w:shd w:val="clear" w:color="000000" w:fill="FF0000"/>
            <w:noWrap/>
            <w:vAlign w:val="center"/>
            <w:hideMark/>
          </w:tcPr>
          <w:p w14:paraId="791BCC9C"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w:t>
            </w:r>
          </w:p>
        </w:tc>
        <w:tc>
          <w:tcPr>
            <w:tcW w:w="21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A856965"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48.28%</w:t>
            </w:r>
          </w:p>
        </w:tc>
        <w:tc>
          <w:tcPr>
            <w:tcW w:w="161" w:type="pct"/>
            <w:tcBorders>
              <w:top w:val="nil"/>
              <w:left w:val="nil"/>
              <w:bottom w:val="single" w:sz="4" w:space="0" w:color="auto"/>
              <w:right w:val="single" w:sz="4" w:space="0" w:color="auto"/>
            </w:tcBorders>
            <w:shd w:val="clear" w:color="auto" w:fill="auto"/>
            <w:noWrap/>
            <w:vAlign w:val="center"/>
            <w:hideMark/>
          </w:tcPr>
          <w:p w14:paraId="2B2910C0"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w:t>
            </w:r>
          </w:p>
        </w:tc>
        <w:tc>
          <w:tcPr>
            <w:tcW w:w="21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1744D0C"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12.90%</w:t>
            </w:r>
          </w:p>
        </w:tc>
        <w:tc>
          <w:tcPr>
            <w:tcW w:w="168" w:type="pct"/>
            <w:tcBorders>
              <w:top w:val="nil"/>
              <w:left w:val="nil"/>
              <w:bottom w:val="single" w:sz="4" w:space="0" w:color="auto"/>
              <w:right w:val="single" w:sz="4" w:space="0" w:color="auto"/>
            </w:tcBorders>
            <w:shd w:val="clear" w:color="auto" w:fill="auto"/>
            <w:noWrap/>
            <w:vAlign w:val="center"/>
            <w:hideMark/>
          </w:tcPr>
          <w:p w14:paraId="45BCA126"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w:t>
            </w:r>
          </w:p>
        </w:tc>
        <w:tc>
          <w:tcPr>
            <w:tcW w:w="2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07EF5D6"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428.92</w:t>
            </w:r>
          </w:p>
        </w:tc>
        <w:tc>
          <w:tcPr>
            <w:tcW w:w="168" w:type="pct"/>
            <w:tcBorders>
              <w:top w:val="nil"/>
              <w:left w:val="nil"/>
              <w:bottom w:val="single" w:sz="4" w:space="0" w:color="auto"/>
              <w:right w:val="nil"/>
            </w:tcBorders>
            <w:shd w:val="clear" w:color="auto" w:fill="auto"/>
            <w:noWrap/>
            <w:vAlign w:val="center"/>
            <w:hideMark/>
          </w:tcPr>
          <w:p w14:paraId="51A9F413"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22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00554F3"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71.11</w:t>
            </w:r>
          </w:p>
        </w:tc>
        <w:tc>
          <w:tcPr>
            <w:tcW w:w="161" w:type="pct"/>
            <w:tcBorders>
              <w:top w:val="nil"/>
              <w:left w:val="nil"/>
              <w:bottom w:val="single" w:sz="4" w:space="0" w:color="auto"/>
              <w:right w:val="single" w:sz="4" w:space="0" w:color="auto"/>
            </w:tcBorders>
            <w:shd w:val="clear" w:color="auto" w:fill="auto"/>
            <w:noWrap/>
            <w:vAlign w:val="center"/>
            <w:hideMark/>
          </w:tcPr>
          <w:p w14:paraId="67988BCC"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w:t>
            </w:r>
          </w:p>
        </w:tc>
        <w:tc>
          <w:tcPr>
            <w:tcW w:w="21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23800AD"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34.15%</w:t>
            </w:r>
          </w:p>
        </w:tc>
        <w:tc>
          <w:tcPr>
            <w:tcW w:w="161" w:type="pct"/>
            <w:tcBorders>
              <w:top w:val="nil"/>
              <w:left w:val="nil"/>
              <w:bottom w:val="single" w:sz="4" w:space="0" w:color="auto"/>
              <w:right w:val="single" w:sz="4" w:space="0" w:color="auto"/>
            </w:tcBorders>
            <w:shd w:val="clear" w:color="auto" w:fill="auto"/>
            <w:noWrap/>
            <w:vAlign w:val="center"/>
            <w:hideMark/>
          </w:tcPr>
          <w:p w14:paraId="197EE64F"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w:t>
            </w:r>
          </w:p>
        </w:tc>
        <w:tc>
          <w:tcPr>
            <w:tcW w:w="21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4562909"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24.30%</w:t>
            </w:r>
          </w:p>
        </w:tc>
      </w:tr>
      <w:tr w:rsidR="00D67C6B" w:rsidRPr="00E87E42" w14:paraId="43B78CF3" w14:textId="77777777" w:rsidTr="00B46794">
        <w:trPr>
          <w:trHeight w:val="20"/>
        </w:trPr>
        <w:tc>
          <w:tcPr>
            <w:tcW w:w="249" w:type="pct"/>
            <w:vMerge/>
            <w:tcBorders>
              <w:top w:val="nil"/>
              <w:left w:val="single" w:sz="4" w:space="0" w:color="auto"/>
              <w:bottom w:val="single" w:sz="4" w:space="0" w:color="auto"/>
              <w:right w:val="single" w:sz="4" w:space="0" w:color="auto"/>
            </w:tcBorders>
            <w:vAlign w:val="center"/>
            <w:hideMark/>
          </w:tcPr>
          <w:p w14:paraId="53BCD29B"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49" w:type="pct"/>
            <w:tcBorders>
              <w:top w:val="nil"/>
              <w:left w:val="nil"/>
              <w:bottom w:val="single" w:sz="4" w:space="0" w:color="auto"/>
              <w:right w:val="single" w:sz="4" w:space="0" w:color="auto"/>
            </w:tcBorders>
            <w:shd w:val="clear" w:color="auto" w:fill="auto"/>
            <w:vAlign w:val="center"/>
            <w:hideMark/>
          </w:tcPr>
          <w:p w14:paraId="0DE85A1B"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Structure involved</w:t>
            </w:r>
          </w:p>
        </w:tc>
        <w:tc>
          <w:tcPr>
            <w:tcW w:w="145" w:type="pct"/>
            <w:tcBorders>
              <w:top w:val="nil"/>
              <w:left w:val="nil"/>
              <w:bottom w:val="single" w:sz="4" w:space="0" w:color="auto"/>
              <w:right w:val="single" w:sz="4" w:space="0" w:color="auto"/>
            </w:tcBorders>
            <w:shd w:val="clear" w:color="auto" w:fill="auto"/>
            <w:noWrap/>
            <w:vAlign w:val="center"/>
            <w:hideMark/>
          </w:tcPr>
          <w:p w14:paraId="25D57076"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113</w:t>
            </w:r>
          </w:p>
        </w:tc>
        <w:tc>
          <w:tcPr>
            <w:tcW w:w="203" w:type="pct"/>
            <w:vMerge/>
            <w:tcBorders>
              <w:top w:val="nil"/>
              <w:left w:val="single" w:sz="4" w:space="0" w:color="auto"/>
              <w:bottom w:val="single" w:sz="4" w:space="0" w:color="000000"/>
              <w:right w:val="single" w:sz="4" w:space="0" w:color="auto"/>
            </w:tcBorders>
            <w:vAlign w:val="center"/>
            <w:hideMark/>
          </w:tcPr>
          <w:p w14:paraId="0848309E"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145" w:type="pct"/>
            <w:tcBorders>
              <w:top w:val="nil"/>
              <w:left w:val="nil"/>
              <w:bottom w:val="single" w:sz="4" w:space="0" w:color="auto"/>
              <w:right w:val="nil"/>
            </w:tcBorders>
            <w:shd w:val="clear" w:color="auto" w:fill="auto"/>
            <w:noWrap/>
            <w:vAlign w:val="center"/>
            <w:hideMark/>
          </w:tcPr>
          <w:p w14:paraId="547DD764"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475</w:t>
            </w:r>
          </w:p>
        </w:tc>
        <w:tc>
          <w:tcPr>
            <w:tcW w:w="203" w:type="pct"/>
            <w:vMerge/>
            <w:tcBorders>
              <w:top w:val="nil"/>
              <w:left w:val="single" w:sz="4" w:space="0" w:color="auto"/>
              <w:bottom w:val="single" w:sz="4" w:space="0" w:color="000000"/>
              <w:right w:val="single" w:sz="4" w:space="0" w:color="auto"/>
            </w:tcBorders>
            <w:vAlign w:val="center"/>
            <w:hideMark/>
          </w:tcPr>
          <w:p w14:paraId="7ABD07CB"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161" w:type="pct"/>
            <w:tcBorders>
              <w:top w:val="nil"/>
              <w:left w:val="nil"/>
              <w:bottom w:val="single" w:sz="4" w:space="0" w:color="auto"/>
              <w:right w:val="single" w:sz="4" w:space="0" w:color="auto"/>
            </w:tcBorders>
            <w:shd w:val="clear" w:color="auto" w:fill="auto"/>
            <w:noWrap/>
            <w:vAlign w:val="center"/>
            <w:hideMark/>
          </w:tcPr>
          <w:p w14:paraId="40E0E93D"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w:t>
            </w:r>
          </w:p>
        </w:tc>
        <w:tc>
          <w:tcPr>
            <w:tcW w:w="219" w:type="pct"/>
            <w:vMerge/>
            <w:tcBorders>
              <w:top w:val="nil"/>
              <w:left w:val="single" w:sz="4" w:space="0" w:color="auto"/>
              <w:bottom w:val="single" w:sz="4" w:space="0" w:color="000000"/>
              <w:right w:val="single" w:sz="4" w:space="0" w:color="auto"/>
            </w:tcBorders>
            <w:vAlign w:val="center"/>
            <w:hideMark/>
          </w:tcPr>
          <w:p w14:paraId="0F60919E"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161" w:type="pct"/>
            <w:tcBorders>
              <w:top w:val="nil"/>
              <w:left w:val="nil"/>
              <w:bottom w:val="single" w:sz="4" w:space="0" w:color="auto"/>
              <w:right w:val="single" w:sz="4" w:space="0" w:color="auto"/>
            </w:tcBorders>
            <w:shd w:val="clear" w:color="auto" w:fill="auto"/>
            <w:noWrap/>
            <w:vAlign w:val="center"/>
            <w:hideMark/>
          </w:tcPr>
          <w:p w14:paraId="06BF26AE"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w:t>
            </w:r>
          </w:p>
        </w:tc>
        <w:tc>
          <w:tcPr>
            <w:tcW w:w="219" w:type="pct"/>
            <w:vMerge/>
            <w:tcBorders>
              <w:top w:val="nil"/>
              <w:left w:val="single" w:sz="4" w:space="0" w:color="auto"/>
              <w:bottom w:val="single" w:sz="4" w:space="0" w:color="000000"/>
              <w:right w:val="single" w:sz="4" w:space="0" w:color="auto"/>
            </w:tcBorders>
            <w:vAlign w:val="center"/>
            <w:hideMark/>
          </w:tcPr>
          <w:p w14:paraId="6E3B913D"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168" w:type="pct"/>
            <w:vMerge/>
            <w:tcBorders>
              <w:top w:val="nil"/>
              <w:left w:val="single" w:sz="4" w:space="0" w:color="auto"/>
              <w:bottom w:val="single" w:sz="4" w:space="0" w:color="000000"/>
              <w:right w:val="single" w:sz="4" w:space="0" w:color="auto"/>
            </w:tcBorders>
            <w:vAlign w:val="center"/>
            <w:hideMark/>
          </w:tcPr>
          <w:p w14:paraId="7E3FBB8E"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03" w:type="pct"/>
            <w:vMerge/>
            <w:tcBorders>
              <w:top w:val="nil"/>
              <w:left w:val="single" w:sz="4" w:space="0" w:color="auto"/>
              <w:bottom w:val="single" w:sz="4" w:space="0" w:color="000000"/>
              <w:right w:val="single" w:sz="4" w:space="0" w:color="auto"/>
            </w:tcBorders>
            <w:vAlign w:val="center"/>
            <w:hideMark/>
          </w:tcPr>
          <w:p w14:paraId="6E0B3417"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168" w:type="pct"/>
            <w:tcBorders>
              <w:top w:val="nil"/>
              <w:left w:val="nil"/>
              <w:bottom w:val="single" w:sz="4" w:space="0" w:color="auto"/>
              <w:right w:val="single" w:sz="4" w:space="0" w:color="auto"/>
            </w:tcBorders>
            <w:shd w:val="clear" w:color="auto" w:fill="auto"/>
            <w:noWrap/>
            <w:vAlign w:val="center"/>
            <w:hideMark/>
          </w:tcPr>
          <w:p w14:paraId="3EDA39C9"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262</w:t>
            </w:r>
          </w:p>
        </w:tc>
        <w:tc>
          <w:tcPr>
            <w:tcW w:w="226" w:type="pct"/>
            <w:vMerge/>
            <w:tcBorders>
              <w:top w:val="nil"/>
              <w:left w:val="single" w:sz="4" w:space="0" w:color="auto"/>
              <w:bottom w:val="single" w:sz="4" w:space="0" w:color="000000"/>
              <w:right w:val="single" w:sz="4" w:space="0" w:color="auto"/>
            </w:tcBorders>
            <w:vAlign w:val="center"/>
            <w:hideMark/>
          </w:tcPr>
          <w:p w14:paraId="54E7AF5B"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161" w:type="pct"/>
            <w:vMerge/>
            <w:tcBorders>
              <w:top w:val="nil"/>
              <w:left w:val="single" w:sz="4" w:space="0" w:color="auto"/>
              <w:bottom w:val="single" w:sz="4" w:space="0" w:color="000000"/>
              <w:right w:val="single" w:sz="4" w:space="0" w:color="auto"/>
            </w:tcBorders>
            <w:vAlign w:val="center"/>
            <w:hideMark/>
          </w:tcPr>
          <w:p w14:paraId="573F2002"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19" w:type="pct"/>
            <w:vMerge/>
            <w:tcBorders>
              <w:top w:val="nil"/>
              <w:left w:val="single" w:sz="4" w:space="0" w:color="auto"/>
              <w:bottom w:val="single" w:sz="4" w:space="0" w:color="000000"/>
              <w:right w:val="single" w:sz="4" w:space="0" w:color="auto"/>
            </w:tcBorders>
            <w:vAlign w:val="center"/>
            <w:hideMark/>
          </w:tcPr>
          <w:p w14:paraId="2BBBC06C"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161" w:type="pct"/>
            <w:tcBorders>
              <w:top w:val="nil"/>
              <w:left w:val="nil"/>
              <w:bottom w:val="single" w:sz="4" w:space="0" w:color="auto"/>
              <w:right w:val="single" w:sz="4" w:space="0" w:color="auto"/>
            </w:tcBorders>
            <w:shd w:val="clear" w:color="auto" w:fill="auto"/>
            <w:noWrap/>
            <w:vAlign w:val="center"/>
            <w:hideMark/>
          </w:tcPr>
          <w:p w14:paraId="5CD1C4F3"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38%</w:t>
            </w:r>
          </w:p>
        </w:tc>
        <w:tc>
          <w:tcPr>
            <w:tcW w:w="219" w:type="pct"/>
            <w:vMerge/>
            <w:tcBorders>
              <w:top w:val="nil"/>
              <w:left w:val="single" w:sz="4" w:space="0" w:color="auto"/>
              <w:bottom w:val="single" w:sz="4" w:space="0" w:color="000000"/>
              <w:right w:val="single" w:sz="4" w:space="0" w:color="auto"/>
            </w:tcBorders>
            <w:vAlign w:val="center"/>
            <w:hideMark/>
          </w:tcPr>
          <w:p w14:paraId="767D96AF"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168" w:type="pct"/>
            <w:tcBorders>
              <w:top w:val="nil"/>
              <w:left w:val="nil"/>
              <w:bottom w:val="single" w:sz="4" w:space="0" w:color="auto"/>
              <w:right w:val="single" w:sz="4" w:space="0" w:color="auto"/>
            </w:tcBorders>
            <w:shd w:val="clear" w:color="auto" w:fill="auto"/>
            <w:noWrap/>
            <w:vAlign w:val="center"/>
            <w:hideMark/>
          </w:tcPr>
          <w:p w14:paraId="4B0AB3CE"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68</w:t>
            </w:r>
          </w:p>
        </w:tc>
        <w:tc>
          <w:tcPr>
            <w:tcW w:w="203" w:type="pct"/>
            <w:vMerge/>
            <w:tcBorders>
              <w:top w:val="nil"/>
              <w:left w:val="single" w:sz="4" w:space="0" w:color="auto"/>
              <w:bottom w:val="single" w:sz="4" w:space="0" w:color="000000"/>
              <w:right w:val="single" w:sz="4" w:space="0" w:color="auto"/>
            </w:tcBorders>
            <w:vAlign w:val="center"/>
            <w:hideMark/>
          </w:tcPr>
          <w:p w14:paraId="74A0C5F7"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168" w:type="pct"/>
            <w:tcBorders>
              <w:top w:val="nil"/>
              <w:left w:val="nil"/>
              <w:bottom w:val="single" w:sz="4" w:space="0" w:color="auto"/>
              <w:right w:val="nil"/>
            </w:tcBorders>
            <w:shd w:val="clear" w:color="auto" w:fill="auto"/>
            <w:noWrap/>
            <w:vAlign w:val="center"/>
            <w:hideMark/>
          </w:tcPr>
          <w:p w14:paraId="56D796A8"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68</w:t>
            </w:r>
          </w:p>
        </w:tc>
        <w:tc>
          <w:tcPr>
            <w:tcW w:w="226" w:type="pct"/>
            <w:vMerge/>
            <w:tcBorders>
              <w:top w:val="nil"/>
              <w:left w:val="single" w:sz="4" w:space="0" w:color="auto"/>
              <w:bottom w:val="single" w:sz="4" w:space="0" w:color="000000"/>
              <w:right w:val="single" w:sz="4" w:space="0" w:color="auto"/>
            </w:tcBorders>
            <w:vAlign w:val="center"/>
            <w:hideMark/>
          </w:tcPr>
          <w:p w14:paraId="27BB83AC"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161" w:type="pct"/>
            <w:tcBorders>
              <w:top w:val="nil"/>
              <w:left w:val="nil"/>
              <w:bottom w:val="single" w:sz="4" w:space="0" w:color="auto"/>
              <w:right w:val="single" w:sz="4" w:space="0" w:color="auto"/>
            </w:tcBorders>
            <w:shd w:val="clear" w:color="auto" w:fill="auto"/>
            <w:noWrap/>
            <w:vAlign w:val="center"/>
            <w:hideMark/>
          </w:tcPr>
          <w:p w14:paraId="5FB732C0"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w:t>
            </w:r>
          </w:p>
        </w:tc>
        <w:tc>
          <w:tcPr>
            <w:tcW w:w="219" w:type="pct"/>
            <w:vMerge/>
            <w:tcBorders>
              <w:top w:val="nil"/>
              <w:left w:val="single" w:sz="4" w:space="0" w:color="auto"/>
              <w:bottom w:val="single" w:sz="4" w:space="0" w:color="000000"/>
              <w:right w:val="single" w:sz="4" w:space="0" w:color="auto"/>
            </w:tcBorders>
            <w:vAlign w:val="center"/>
            <w:hideMark/>
          </w:tcPr>
          <w:p w14:paraId="1222E4B7"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161" w:type="pct"/>
            <w:tcBorders>
              <w:top w:val="nil"/>
              <w:left w:val="nil"/>
              <w:bottom w:val="single" w:sz="4" w:space="0" w:color="auto"/>
              <w:right w:val="single" w:sz="4" w:space="0" w:color="auto"/>
            </w:tcBorders>
            <w:shd w:val="clear" w:color="auto" w:fill="auto"/>
            <w:noWrap/>
            <w:vAlign w:val="center"/>
            <w:hideMark/>
          </w:tcPr>
          <w:p w14:paraId="5FAD08B6"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w:t>
            </w:r>
          </w:p>
        </w:tc>
        <w:tc>
          <w:tcPr>
            <w:tcW w:w="215" w:type="pct"/>
            <w:vMerge/>
            <w:tcBorders>
              <w:top w:val="nil"/>
              <w:left w:val="single" w:sz="4" w:space="0" w:color="auto"/>
              <w:bottom w:val="single" w:sz="4" w:space="0" w:color="000000"/>
              <w:right w:val="single" w:sz="4" w:space="0" w:color="auto"/>
            </w:tcBorders>
            <w:vAlign w:val="center"/>
            <w:hideMark/>
          </w:tcPr>
          <w:p w14:paraId="0C340BDB" w14:textId="77777777" w:rsidR="00B46794" w:rsidRPr="00E87E42" w:rsidRDefault="00B46794" w:rsidP="008A55B5">
            <w:pPr>
              <w:spacing w:after="0" w:line="240" w:lineRule="auto"/>
              <w:jc w:val="center"/>
              <w:rPr>
                <w:rFonts w:eastAsia="Times New Roman"/>
                <w:color w:val="000000"/>
                <w:sz w:val="16"/>
                <w:szCs w:val="16"/>
                <w:lang w:eastAsia="en-GB"/>
              </w:rPr>
            </w:pPr>
          </w:p>
        </w:tc>
      </w:tr>
      <w:tr w:rsidR="00D67C6B" w:rsidRPr="00E87E42" w14:paraId="574460EE" w14:textId="77777777" w:rsidTr="00B46794">
        <w:trPr>
          <w:trHeight w:val="20"/>
        </w:trPr>
        <w:tc>
          <w:tcPr>
            <w:tcW w:w="249" w:type="pct"/>
            <w:vMerge w:val="restart"/>
            <w:tcBorders>
              <w:top w:val="nil"/>
              <w:left w:val="single" w:sz="4" w:space="0" w:color="auto"/>
              <w:bottom w:val="single" w:sz="4" w:space="0" w:color="auto"/>
              <w:right w:val="single" w:sz="4" w:space="0" w:color="auto"/>
            </w:tcBorders>
            <w:shd w:val="clear" w:color="auto" w:fill="auto"/>
            <w:vAlign w:val="center"/>
            <w:hideMark/>
          </w:tcPr>
          <w:p w14:paraId="73A72F8C"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Spread beyond room</w:t>
            </w:r>
          </w:p>
        </w:tc>
        <w:tc>
          <w:tcPr>
            <w:tcW w:w="249" w:type="pct"/>
            <w:tcBorders>
              <w:top w:val="nil"/>
              <w:left w:val="nil"/>
              <w:bottom w:val="single" w:sz="4" w:space="0" w:color="auto"/>
              <w:right w:val="single" w:sz="4" w:space="0" w:color="auto"/>
            </w:tcBorders>
            <w:shd w:val="clear" w:color="auto" w:fill="auto"/>
            <w:vAlign w:val="center"/>
            <w:hideMark/>
          </w:tcPr>
          <w:p w14:paraId="6FD815ED"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Confined to floor</w:t>
            </w:r>
          </w:p>
        </w:tc>
        <w:tc>
          <w:tcPr>
            <w:tcW w:w="1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FCE1FE8"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694</w:t>
            </w:r>
          </w:p>
        </w:tc>
        <w:tc>
          <w:tcPr>
            <w:tcW w:w="203" w:type="pct"/>
            <w:tcBorders>
              <w:top w:val="nil"/>
              <w:left w:val="nil"/>
              <w:bottom w:val="single" w:sz="4" w:space="0" w:color="auto"/>
              <w:right w:val="single" w:sz="4" w:space="0" w:color="auto"/>
            </w:tcBorders>
            <w:shd w:val="clear" w:color="auto" w:fill="auto"/>
            <w:noWrap/>
            <w:vAlign w:val="center"/>
            <w:hideMark/>
          </w:tcPr>
          <w:p w14:paraId="31AAD608" w14:textId="77777777" w:rsidR="00B46794" w:rsidRPr="00E87E42" w:rsidRDefault="00B46794" w:rsidP="001019D3">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198.32</w:t>
            </w:r>
          </w:p>
        </w:tc>
        <w:tc>
          <w:tcPr>
            <w:tcW w:w="145" w:type="pct"/>
            <w:vMerge w:val="restart"/>
            <w:tcBorders>
              <w:top w:val="nil"/>
              <w:left w:val="single" w:sz="4" w:space="0" w:color="auto"/>
              <w:bottom w:val="single" w:sz="4" w:space="0" w:color="auto"/>
              <w:right w:val="nil"/>
            </w:tcBorders>
            <w:shd w:val="clear" w:color="auto" w:fill="auto"/>
            <w:noWrap/>
            <w:vAlign w:val="center"/>
            <w:hideMark/>
          </w:tcPr>
          <w:p w14:paraId="01E1C714" w14:textId="77777777" w:rsidR="00B46794" w:rsidRPr="00E87E42" w:rsidRDefault="00B46794" w:rsidP="001019D3">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694</w:t>
            </w:r>
          </w:p>
        </w:tc>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4D9EF965"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39.25</w:t>
            </w:r>
          </w:p>
        </w:tc>
        <w:tc>
          <w:tcPr>
            <w:tcW w:w="161" w:type="pct"/>
            <w:vMerge w:val="restart"/>
            <w:tcBorders>
              <w:top w:val="nil"/>
              <w:left w:val="nil"/>
              <w:bottom w:val="single" w:sz="4" w:space="0" w:color="auto"/>
              <w:right w:val="single" w:sz="4" w:space="0" w:color="auto"/>
            </w:tcBorders>
            <w:shd w:val="clear" w:color="auto" w:fill="auto"/>
            <w:noWrap/>
            <w:vAlign w:val="center"/>
            <w:hideMark/>
          </w:tcPr>
          <w:p w14:paraId="66D27B32"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219" w:type="pct"/>
            <w:tcBorders>
              <w:top w:val="nil"/>
              <w:left w:val="nil"/>
              <w:bottom w:val="single" w:sz="4" w:space="0" w:color="auto"/>
              <w:right w:val="single" w:sz="4" w:space="0" w:color="auto"/>
            </w:tcBorders>
            <w:shd w:val="clear" w:color="auto" w:fill="auto"/>
            <w:noWrap/>
            <w:vAlign w:val="center"/>
            <w:hideMark/>
          </w:tcPr>
          <w:p w14:paraId="33CD2666"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7.41%</w:t>
            </w:r>
          </w:p>
        </w:tc>
        <w:tc>
          <w:tcPr>
            <w:tcW w:w="1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046ECD9"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w:t>
            </w:r>
          </w:p>
        </w:tc>
        <w:tc>
          <w:tcPr>
            <w:tcW w:w="219" w:type="pct"/>
            <w:tcBorders>
              <w:top w:val="nil"/>
              <w:left w:val="nil"/>
              <w:bottom w:val="single" w:sz="4" w:space="0" w:color="auto"/>
              <w:right w:val="single" w:sz="4" w:space="0" w:color="auto"/>
            </w:tcBorders>
            <w:shd w:val="clear" w:color="auto" w:fill="auto"/>
            <w:noWrap/>
            <w:vAlign w:val="center"/>
            <w:hideMark/>
          </w:tcPr>
          <w:p w14:paraId="1BF919D9"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3.45%</w:t>
            </w:r>
          </w:p>
        </w:tc>
        <w:tc>
          <w:tcPr>
            <w:tcW w:w="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E616B94"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1712</w:t>
            </w:r>
          </w:p>
        </w:tc>
        <w:tc>
          <w:tcPr>
            <w:tcW w:w="203" w:type="pct"/>
            <w:tcBorders>
              <w:top w:val="nil"/>
              <w:left w:val="nil"/>
              <w:bottom w:val="single" w:sz="4" w:space="0" w:color="auto"/>
              <w:right w:val="single" w:sz="4" w:space="0" w:color="auto"/>
            </w:tcBorders>
            <w:shd w:val="clear" w:color="auto" w:fill="auto"/>
            <w:noWrap/>
            <w:vAlign w:val="center"/>
            <w:hideMark/>
          </w:tcPr>
          <w:p w14:paraId="3A68ED20"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75.45</w:t>
            </w:r>
          </w:p>
        </w:tc>
        <w:tc>
          <w:tcPr>
            <w:tcW w:w="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65DAEBA"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1712</w:t>
            </w:r>
          </w:p>
        </w:tc>
        <w:tc>
          <w:tcPr>
            <w:tcW w:w="226" w:type="pct"/>
            <w:tcBorders>
              <w:top w:val="nil"/>
              <w:left w:val="nil"/>
              <w:bottom w:val="single" w:sz="4" w:space="0" w:color="auto"/>
              <w:right w:val="single" w:sz="4" w:space="0" w:color="auto"/>
            </w:tcBorders>
            <w:shd w:val="clear" w:color="auto" w:fill="auto"/>
            <w:noWrap/>
            <w:vAlign w:val="center"/>
            <w:hideMark/>
          </w:tcPr>
          <w:p w14:paraId="33050810"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84.89</w:t>
            </w:r>
          </w:p>
        </w:tc>
        <w:tc>
          <w:tcPr>
            <w:tcW w:w="1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3131644"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219" w:type="pct"/>
            <w:tcBorders>
              <w:top w:val="nil"/>
              <w:left w:val="nil"/>
              <w:bottom w:val="single" w:sz="4" w:space="0" w:color="auto"/>
              <w:right w:val="single" w:sz="4" w:space="0" w:color="auto"/>
            </w:tcBorders>
            <w:shd w:val="clear" w:color="auto" w:fill="auto"/>
            <w:noWrap/>
            <w:vAlign w:val="center"/>
            <w:hideMark/>
          </w:tcPr>
          <w:p w14:paraId="6E4A2157"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13.79%</w:t>
            </w:r>
          </w:p>
        </w:tc>
        <w:tc>
          <w:tcPr>
            <w:tcW w:w="16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CEE035D"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w:t>
            </w:r>
          </w:p>
        </w:tc>
        <w:tc>
          <w:tcPr>
            <w:tcW w:w="219" w:type="pct"/>
            <w:tcBorders>
              <w:top w:val="nil"/>
              <w:left w:val="nil"/>
              <w:bottom w:val="single" w:sz="4" w:space="0" w:color="auto"/>
              <w:right w:val="single" w:sz="4" w:space="0" w:color="auto"/>
            </w:tcBorders>
            <w:shd w:val="clear" w:color="auto" w:fill="auto"/>
            <w:noWrap/>
            <w:vAlign w:val="center"/>
            <w:hideMark/>
          </w:tcPr>
          <w:p w14:paraId="4203CAE5"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16.13%</w:t>
            </w:r>
          </w:p>
        </w:tc>
        <w:tc>
          <w:tcPr>
            <w:tcW w:w="16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68B914E"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1007</w:t>
            </w:r>
          </w:p>
        </w:tc>
        <w:tc>
          <w:tcPr>
            <w:tcW w:w="203" w:type="pct"/>
            <w:tcBorders>
              <w:top w:val="nil"/>
              <w:left w:val="nil"/>
              <w:bottom w:val="single" w:sz="4" w:space="0" w:color="auto"/>
              <w:right w:val="single" w:sz="4" w:space="0" w:color="auto"/>
            </w:tcBorders>
            <w:shd w:val="clear" w:color="auto" w:fill="auto"/>
            <w:noWrap/>
            <w:vAlign w:val="center"/>
            <w:hideMark/>
          </w:tcPr>
          <w:p w14:paraId="53521635"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62.64</w:t>
            </w:r>
          </w:p>
        </w:tc>
        <w:tc>
          <w:tcPr>
            <w:tcW w:w="16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F2AC3ED"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1007</w:t>
            </w:r>
          </w:p>
        </w:tc>
        <w:tc>
          <w:tcPr>
            <w:tcW w:w="226" w:type="pct"/>
            <w:tcBorders>
              <w:top w:val="nil"/>
              <w:left w:val="nil"/>
              <w:bottom w:val="single" w:sz="4" w:space="0" w:color="auto"/>
              <w:right w:val="single" w:sz="4" w:space="0" w:color="auto"/>
            </w:tcBorders>
            <w:shd w:val="clear" w:color="auto" w:fill="auto"/>
            <w:noWrap/>
            <w:vAlign w:val="center"/>
            <w:hideMark/>
          </w:tcPr>
          <w:p w14:paraId="76AB1850"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31.91</w:t>
            </w:r>
          </w:p>
        </w:tc>
        <w:tc>
          <w:tcPr>
            <w:tcW w:w="16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CD09E44"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219" w:type="pct"/>
            <w:tcBorders>
              <w:top w:val="nil"/>
              <w:left w:val="nil"/>
              <w:bottom w:val="single" w:sz="4" w:space="0" w:color="auto"/>
              <w:right w:val="single" w:sz="4" w:space="0" w:color="auto"/>
            </w:tcBorders>
            <w:shd w:val="clear" w:color="auto" w:fill="auto"/>
            <w:noWrap/>
            <w:vAlign w:val="center"/>
            <w:hideMark/>
          </w:tcPr>
          <w:p w14:paraId="0A544B15"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11.38%</w:t>
            </w:r>
          </w:p>
        </w:tc>
        <w:tc>
          <w:tcPr>
            <w:tcW w:w="16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ED116D4"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w:t>
            </w:r>
          </w:p>
        </w:tc>
        <w:tc>
          <w:tcPr>
            <w:tcW w:w="215" w:type="pct"/>
            <w:tcBorders>
              <w:top w:val="nil"/>
              <w:left w:val="nil"/>
              <w:bottom w:val="single" w:sz="4" w:space="0" w:color="auto"/>
              <w:right w:val="single" w:sz="4" w:space="0" w:color="auto"/>
            </w:tcBorders>
            <w:shd w:val="clear" w:color="auto" w:fill="auto"/>
            <w:noWrap/>
            <w:vAlign w:val="center"/>
            <w:hideMark/>
          </w:tcPr>
          <w:p w14:paraId="1665B7AF"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9.35%</w:t>
            </w:r>
          </w:p>
        </w:tc>
      </w:tr>
      <w:tr w:rsidR="00D67C6B" w:rsidRPr="00E87E42" w14:paraId="2BB0772E" w14:textId="77777777" w:rsidTr="00B46794">
        <w:trPr>
          <w:trHeight w:val="20"/>
        </w:trPr>
        <w:tc>
          <w:tcPr>
            <w:tcW w:w="249" w:type="pct"/>
            <w:vMerge/>
            <w:tcBorders>
              <w:top w:val="nil"/>
              <w:left w:val="single" w:sz="4" w:space="0" w:color="auto"/>
              <w:bottom w:val="single" w:sz="4" w:space="0" w:color="auto"/>
              <w:right w:val="single" w:sz="4" w:space="0" w:color="auto"/>
            </w:tcBorders>
            <w:vAlign w:val="center"/>
            <w:hideMark/>
          </w:tcPr>
          <w:p w14:paraId="754778AD"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49" w:type="pct"/>
            <w:tcBorders>
              <w:top w:val="nil"/>
              <w:left w:val="nil"/>
              <w:bottom w:val="single" w:sz="4" w:space="0" w:color="auto"/>
              <w:right w:val="single" w:sz="4" w:space="0" w:color="auto"/>
            </w:tcBorders>
            <w:shd w:val="clear" w:color="auto" w:fill="auto"/>
            <w:vAlign w:val="center"/>
            <w:hideMark/>
          </w:tcPr>
          <w:p w14:paraId="51ED8C78"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Confined to building</w:t>
            </w:r>
          </w:p>
        </w:tc>
        <w:tc>
          <w:tcPr>
            <w:tcW w:w="145" w:type="pct"/>
            <w:vMerge/>
            <w:tcBorders>
              <w:top w:val="nil"/>
              <w:left w:val="single" w:sz="4" w:space="0" w:color="auto"/>
              <w:bottom w:val="single" w:sz="4" w:space="0" w:color="000000"/>
              <w:right w:val="single" w:sz="4" w:space="0" w:color="auto"/>
            </w:tcBorders>
            <w:vAlign w:val="center"/>
            <w:hideMark/>
          </w:tcPr>
          <w:p w14:paraId="2132A8BE"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03" w:type="pct"/>
            <w:tcBorders>
              <w:top w:val="nil"/>
              <w:left w:val="nil"/>
              <w:bottom w:val="single" w:sz="4" w:space="0" w:color="auto"/>
              <w:right w:val="single" w:sz="4" w:space="0" w:color="auto"/>
            </w:tcBorders>
            <w:shd w:val="clear" w:color="auto" w:fill="auto"/>
            <w:noWrap/>
            <w:vAlign w:val="center"/>
            <w:hideMark/>
          </w:tcPr>
          <w:p w14:paraId="2F805000"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429.16</w:t>
            </w:r>
          </w:p>
        </w:tc>
        <w:tc>
          <w:tcPr>
            <w:tcW w:w="145" w:type="pct"/>
            <w:vMerge/>
            <w:tcBorders>
              <w:top w:val="nil"/>
              <w:left w:val="single" w:sz="4" w:space="0" w:color="auto"/>
              <w:bottom w:val="single" w:sz="4" w:space="0" w:color="auto"/>
              <w:right w:val="nil"/>
            </w:tcBorders>
            <w:vAlign w:val="center"/>
            <w:hideMark/>
          </w:tcPr>
          <w:p w14:paraId="6889D4B5"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0AB21340"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379.08</w:t>
            </w:r>
          </w:p>
        </w:tc>
        <w:tc>
          <w:tcPr>
            <w:tcW w:w="161" w:type="pct"/>
            <w:vMerge/>
            <w:tcBorders>
              <w:top w:val="nil"/>
              <w:left w:val="nil"/>
              <w:bottom w:val="single" w:sz="4" w:space="0" w:color="auto"/>
              <w:right w:val="single" w:sz="4" w:space="0" w:color="auto"/>
            </w:tcBorders>
            <w:vAlign w:val="center"/>
            <w:hideMark/>
          </w:tcPr>
          <w:p w14:paraId="6C993C83"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19" w:type="pct"/>
            <w:tcBorders>
              <w:top w:val="nil"/>
              <w:left w:val="nil"/>
              <w:bottom w:val="single" w:sz="4" w:space="0" w:color="auto"/>
              <w:right w:val="single" w:sz="4" w:space="0" w:color="auto"/>
            </w:tcBorders>
            <w:shd w:val="clear" w:color="auto" w:fill="auto"/>
            <w:noWrap/>
            <w:vAlign w:val="center"/>
            <w:hideMark/>
          </w:tcPr>
          <w:p w14:paraId="4DB36B9E"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14.81%</w:t>
            </w:r>
          </w:p>
        </w:tc>
        <w:tc>
          <w:tcPr>
            <w:tcW w:w="161" w:type="pct"/>
            <w:vMerge/>
            <w:tcBorders>
              <w:top w:val="nil"/>
              <w:left w:val="single" w:sz="4" w:space="0" w:color="auto"/>
              <w:bottom w:val="single" w:sz="4" w:space="0" w:color="auto"/>
              <w:right w:val="single" w:sz="4" w:space="0" w:color="auto"/>
            </w:tcBorders>
            <w:vAlign w:val="center"/>
            <w:hideMark/>
          </w:tcPr>
          <w:p w14:paraId="77347A51"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19" w:type="pct"/>
            <w:tcBorders>
              <w:top w:val="nil"/>
              <w:left w:val="nil"/>
              <w:bottom w:val="single" w:sz="4" w:space="0" w:color="auto"/>
              <w:right w:val="single" w:sz="4" w:space="0" w:color="auto"/>
            </w:tcBorders>
            <w:shd w:val="clear" w:color="auto" w:fill="auto"/>
            <w:noWrap/>
            <w:vAlign w:val="center"/>
            <w:hideMark/>
          </w:tcPr>
          <w:p w14:paraId="3345612C"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41.38%</w:t>
            </w:r>
          </w:p>
        </w:tc>
        <w:tc>
          <w:tcPr>
            <w:tcW w:w="168" w:type="pct"/>
            <w:vMerge/>
            <w:tcBorders>
              <w:top w:val="nil"/>
              <w:left w:val="single" w:sz="4" w:space="0" w:color="auto"/>
              <w:bottom w:val="single" w:sz="4" w:space="0" w:color="auto"/>
              <w:right w:val="single" w:sz="4" w:space="0" w:color="auto"/>
            </w:tcBorders>
            <w:vAlign w:val="center"/>
            <w:hideMark/>
          </w:tcPr>
          <w:p w14:paraId="07ADB69F"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03" w:type="pct"/>
            <w:tcBorders>
              <w:top w:val="nil"/>
              <w:left w:val="nil"/>
              <w:bottom w:val="single" w:sz="4" w:space="0" w:color="auto"/>
              <w:right w:val="single" w:sz="4" w:space="0" w:color="auto"/>
            </w:tcBorders>
            <w:shd w:val="clear" w:color="auto" w:fill="auto"/>
            <w:noWrap/>
            <w:vAlign w:val="center"/>
            <w:hideMark/>
          </w:tcPr>
          <w:p w14:paraId="2E4398E0"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137.05</w:t>
            </w:r>
          </w:p>
        </w:tc>
        <w:tc>
          <w:tcPr>
            <w:tcW w:w="168" w:type="pct"/>
            <w:vMerge/>
            <w:tcBorders>
              <w:top w:val="nil"/>
              <w:left w:val="single" w:sz="4" w:space="0" w:color="auto"/>
              <w:bottom w:val="single" w:sz="4" w:space="0" w:color="auto"/>
              <w:right w:val="single" w:sz="4" w:space="0" w:color="auto"/>
            </w:tcBorders>
            <w:vAlign w:val="center"/>
            <w:hideMark/>
          </w:tcPr>
          <w:p w14:paraId="724C9C2B"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26" w:type="pct"/>
            <w:tcBorders>
              <w:top w:val="nil"/>
              <w:left w:val="nil"/>
              <w:bottom w:val="single" w:sz="4" w:space="0" w:color="auto"/>
              <w:right w:val="single" w:sz="4" w:space="0" w:color="auto"/>
            </w:tcBorders>
            <w:shd w:val="clear" w:color="auto" w:fill="auto"/>
            <w:noWrap/>
            <w:vAlign w:val="center"/>
            <w:hideMark/>
          </w:tcPr>
          <w:p w14:paraId="001012D0"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161.70</w:t>
            </w:r>
          </w:p>
        </w:tc>
        <w:tc>
          <w:tcPr>
            <w:tcW w:w="161" w:type="pct"/>
            <w:vMerge/>
            <w:tcBorders>
              <w:top w:val="nil"/>
              <w:left w:val="single" w:sz="4" w:space="0" w:color="auto"/>
              <w:bottom w:val="single" w:sz="4" w:space="0" w:color="auto"/>
              <w:right w:val="single" w:sz="4" w:space="0" w:color="auto"/>
            </w:tcBorders>
            <w:vAlign w:val="center"/>
            <w:hideMark/>
          </w:tcPr>
          <w:p w14:paraId="03AE6C57"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19" w:type="pct"/>
            <w:tcBorders>
              <w:top w:val="nil"/>
              <w:left w:val="nil"/>
              <w:bottom w:val="single" w:sz="4" w:space="0" w:color="auto"/>
              <w:right w:val="single" w:sz="4" w:space="0" w:color="auto"/>
            </w:tcBorders>
            <w:shd w:val="clear" w:color="auto" w:fill="auto"/>
            <w:noWrap/>
            <w:vAlign w:val="center"/>
            <w:hideMark/>
          </w:tcPr>
          <w:p w14:paraId="557EF09D"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17.24%</w:t>
            </w:r>
          </w:p>
        </w:tc>
        <w:tc>
          <w:tcPr>
            <w:tcW w:w="161" w:type="pct"/>
            <w:vMerge/>
            <w:tcBorders>
              <w:top w:val="nil"/>
              <w:left w:val="single" w:sz="4" w:space="0" w:color="auto"/>
              <w:bottom w:val="single" w:sz="4" w:space="0" w:color="auto"/>
              <w:right w:val="single" w:sz="4" w:space="0" w:color="auto"/>
            </w:tcBorders>
            <w:vAlign w:val="center"/>
            <w:hideMark/>
          </w:tcPr>
          <w:p w14:paraId="01E1A893"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19" w:type="pct"/>
            <w:tcBorders>
              <w:top w:val="nil"/>
              <w:left w:val="nil"/>
              <w:bottom w:val="single" w:sz="4" w:space="0" w:color="auto"/>
              <w:right w:val="single" w:sz="4" w:space="0" w:color="auto"/>
            </w:tcBorders>
            <w:shd w:val="clear" w:color="auto" w:fill="auto"/>
            <w:noWrap/>
            <w:vAlign w:val="center"/>
            <w:hideMark/>
          </w:tcPr>
          <w:p w14:paraId="490CC221"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58.06%</w:t>
            </w:r>
          </w:p>
        </w:tc>
        <w:tc>
          <w:tcPr>
            <w:tcW w:w="168" w:type="pct"/>
            <w:vMerge/>
            <w:tcBorders>
              <w:top w:val="nil"/>
              <w:left w:val="single" w:sz="4" w:space="0" w:color="auto"/>
              <w:bottom w:val="single" w:sz="4" w:space="0" w:color="000000"/>
              <w:right w:val="single" w:sz="4" w:space="0" w:color="auto"/>
            </w:tcBorders>
            <w:vAlign w:val="center"/>
            <w:hideMark/>
          </w:tcPr>
          <w:p w14:paraId="098044B6"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03" w:type="pct"/>
            <w:tcBorders>
              <w:top w:val="nil"/>
              <w:left w:val="nil"/>
              <w:bottom w:val="single" w:sz="4" w:space="0" w:color="auto"/>
              <w:right w:val="single" w:sz="4" w:space="0" w:color="auto"/>
            </w:tcBorders>
            <w:shd w:val="clear" w:color="auto" w:fill="auto"/>
            <w:noWrap/>
            <w:vAlign w:val="center"/>
            <w:hideMark/>
          </w:tcPr>
          <w:p w14:paraId="18D8A0A2"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472.93</w:t>
            </w:r>
          </w:p>
        </w:tc>
        <w:tc>
          <w:tcPr>
            <w:tcW w:w="168" w:type="pct"/>
            <w:vMerge/>
            <w:tcBorders>
              <w:top w:val="nil"/>
              <w:left w:val="single" w:sz="4" w:space="0" w:color="auto"/>
              <w:bottom w:val="single" w:sz="4" w:space="0" w:color="000000"/>
              <w:right w:val="single" w:sz="4" w:space="0" w:color="auto"/>
            </w:tcBorders>
            <w:vAlign w:val="center"/>
            <w:hideMark/>
          </w:tcPr>
          <w:p w14:paraId="49972844"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26" w:type="pct"/>
            <w:tcBorders>
              <w:top w:val="nil"/>
              <w:left w:val="nil"/>
              <w:bottom w:val="single" w:sz="4" w:space="0" w:color="auto"/>
              <w:right w:val="single" w:sz="4" w:space="0" w:color="auto"/>
            </w:tcBorders>
            <w:shd w:val="clear" w:color="auto" w:fill="auto"/>
            <w:noWrap/>
            <w:vAlign w:val="center"/>
            <w:hideMark/>
          </w:tcPr>
          <w:p w14:paraId="46F08222"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1004.24</w:t>
            </w:r>
          </w:p>
        </w:tc>
        <w:tc>
          <w:tcPr>
            <w:tcW w:w="161" w:type="pct"/>
            <w:vMerge/>
            <w:tcBorders>
              <w:top w:val="nil"/>
              <w:left w:val="single" w:sz="4" w:space="0" w:color="auto"/>
              <w:bottom w:val="single" w:sz="4" w:space="0" w:color="000000"/>
              <w:right w:val="single" w:sz="4" w:space="0" w:color="auto"/>
            </w:tcBorders>
            <w:vAlign w:val="center"/>
            <w:hideMark/>
          </w:tcPr>
          <w:p w14:paraId="13BD2C7E"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19" w:type="pct"/>
            <w:tcBorders>
              <w:top w:val="nil"/>
              <w:left w:val="nil"/>
              <w:bottom w:val="single" w:sz="4" w:space="0" w:color="auto"/>
              <w:right w:val="single" w:sz="4" w:space="0" w:color="auto"/>
            </w:tcBorders>
            <w:shd w:val="clear" w:color="auto" w:fill="auto"/>
            <w:noWrap/>
            <w:vAlign w:val="center"/>
            <w:hideMark/>
          </w:tcPr>
          <w:p w14:paraId="5B60A4F4"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19.51%</w:t>
            </w:r>
          </w:p>
        </w:tc>
        <w:tc>
          <w:tcPr>
            <w:tcW w:w="161" w:type="pct"/>
            <w:vMerge/>
            <w:tcBorders>
              <w:top w:val="nil"/>
              <w:left w:val="single" w:sz="4" w:space="0" w:color="auto"/>
              <w:bottom w:val="single" w:sz="4" w:space="0" w:color="000000"/>
              <w:right w:val="single" w:sz="4" w:space="0" w:color="auto"/>
            </w:tcBorders>
            <w:vAlign w:val="center"/>
            <w:hideMark/>
          </w:tcPr>
          <w:p w14:paraId="25A513E9"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15" w:type="pct"/>
            <w:tcBorders>
              <w:top w:val="nil"/>
              <w:left w:val="nil"/>
              <w:bottom w:val="single" w:sz="4" w:space="0" w:color="auto"/>
              <w:right w:val="single" w:sz="4" w:space="0" w:color="auto"/>
            </w:tcBorders>
            <w:shd w:val="clear" w:color="auto" w:fill="auto"/>
            <w:noWrap/>
            <w:vAlign w:val="center"/>
            <w:hideMark/>
          </w:tcPr>
          <w:p w14:paraId="48F9A15E"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43.93%</w:t>
            </w:r>
          </w:p>
        </w:tc>
      </w:tr>
      <w:tr w:rsidR="00D67C6B" w:rsidRPr="00E87E42" w14:paraId="56C6B1C8" w14:textId="77777777" w:rsidTr="00B46794">
        <w:trPr>
          <w:trHeight w:val="20"/>
        </w:trPr>
        <w:tc>
          <w:tcPr>
            <w:tcW w:w="249" w:type="pct"/>
            <w:vMerge/>
            <w:tcBorders>
              <w:top w:val="nil"/>
              <w:left w:val="single" w:sz="4" w:space="0" w:color="auto"/>
              <w:bottom w:val="single" w:sz="4" w:space="0" w:color="auto"/>
              <w:right w:val="single" w:sz="4" w:space="0" w:color="auto"/>
            </w:tcBorders>
            <w:vAlign w:val="center"/>
            <w:hideMark/>
          </w:tcPr>
          <w:p w14:paraId="2BD8E5FF"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49" w:type="pct"/>
            <w:tcBorders>
              <w:top w:val="nil"/>
              <w:left w:val="nil"/>
              <w:bottom w:val="single" w:sz="4" w:space="0" w:color="auto"/>
              <w:right w:val="single" w:sz="4" w:space="0" w:color="auto"/>
            </w:tcBorders>
            <w:shd w:val="clear" w:color="auto" w:fill="auto"/>
            <w:vAlign w:val="center"/>
            <w:hideMark/>
          </w:tcPr>
          <w:p w14:paraId="3AFC29A6"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Beyond building of origin</w:t>
            </w:r>
          </w:p>
        </w:tc>
        <w:tc>
          <w:tcPr>
            <w:tcW w:w="145" w:type="pct"/>
            <w:vMerge/>
            <w:tcBorders>
              <w:top w:val="nil"/>
              <w:left w:val="single" w:sz="4" w:space="0" w:color="auto"/>
              <w:bottom w:val="single" w:sz="4" w:space="0" w:color="000000"/>
              <w:right w:val="single" w:sz="4" w:space="0" w:color="auto"/>
            </w:tcBorders>
            <w:vAlign w:val="center"/>
            <w:hideMark/>
          </w:tcPr>
          <w:p w14:paraId="76D6A01D"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03" w:type="pct"/>
            <w:tcBorders>
              <w:top w:val="nil"/>
              <w:left w:val="nil"/>
              <w:bottom w:val="single" w:sz="4" w:space="0" w:color="auto"/>
              <w:right w:val="single" w:sz="4" w:space="0" w:color="auto"/>
            </w:tcBorders>
            <w:shd w:val="clear" w:color="auto" w:fill="auto"/>
            <w:noWrap/>
            <w:vAlign w:val="center"/>
            <w:hideMark/>
          </w:tcPr>
          <w:p w14:paraId="22C97E6F"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768.00</w:t>
            </w:r>
          </w:p>
        </w:tc>
        <w:tc>
          <w:tcPr>
            <w:tcW w:w="145" w:type="pct"/>
            <w:vMerge/>
            <w:tcBorders>
              <w:top w:val="nil"/>
              <w:left w:val="single" w:sz="4" w:space="0" w:color="auto"/>
              <w:bottom w:val="single" w:sz="4" w:space="0" w:color="auto"/>
              <w:right w:val="nil"/>
            </w:tcBorders>
            <w:vAlign w:val="center"/>
            <w:hideMark/>
          </w:tcPr>
          <w:p w14:paraId="27043294"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671531D4"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164.68</w:t>
            </w:r>
          </w:p>
        </w:tc>
        <w:tc>
          <w:tcPr>
            <w:tcW w:w="161" w:type="pct"/>
            <w:vMerge/>
            <w:tcBorders>
              <w:top w:val="nil"/>
              <w:left w:val="nil"/>
              <w:bottom w:val="single" w:sz="4" w:space="0" w:color="auto"/>
              <w:right w:val="single" w:sz="4" w:space="0" w:color="auto"/>
            </w:tcBorders>
            <w:vAlign w:val="center"/>
            <w:hideMark/>
          </w:tcPr>
          <w:p w14:paraId="33257898"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19" w:type="pct"/>
            <w:tcBorders>
              <w:top w:val="nil"/>
              <w:left w:val="nil"/>
              <w:bottom w:val="single" w:sz="4" w:space="0" w:color="auto"/>
              <w:right w:val="single" w:sz="4" w:space="0" w:color="auto"/>
            </w:tcBorders>
            <w:shd w:val="clear" w:color="auto" w:fill="auto"/>
            <w:noWrap/>
            <w:vAlign w:val="center"/>
            <w:hideMark/>
          </w:tcPr>
          <w:p w14:paraId="3F902C3F"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1.85%</w:t>
            </w:r>
          </w:p>
        </w:tc>
        <w:tc>
          <w:tcPr>
            <w:tcW w:w="161" w:type="pct"/>
            <w:vMerge/>
            <w:tcBorders>
              <w:top w:val="nil"/>
              <w:left w:val="single" w:sz="4" w:space="0" w:color="auto"/>
              <w:bottom w:val="single" w:sz="4" w:space="0" w:color="auto"/>
              <w:right w:val="single" w:sz="4" w:space="0" w:color="auto"/>
            </w:tcBorders>
            <w:vAlign w:val="center"/>
            <w:hideMark/>
          </w:tcPr>
          <w:p w14:paraId="18FE3C3D"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19" w:type="pct"/>
            <w:tcBorders>
              <w:top w:val="nil"/>
              <w:left w:val="nil"/>
              <w:bottom w:val="single" w:sz="4" w:space="0" w:color="auto"/>
              <w:right w:val="single" w:sz="4" w:space="0" w:color="auto"/>
            </w:tcBorders>
            <w:shd w:val="clear" w:color="auto" w:fill="auto"/>
            <w:noWrap/>
            <w:vAlign w:val="center"/>
            <w:hideMark/>
          </w:tcPr>
          <w:p w14:paraId="6C59B158"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6.90%</w:t>
            </w:r>
          </w:p>
        </w:tc>
        <w:tc>
          <w:tcPr>
            <w:tcW w:w="168" w:type="pct"/>
            <w:vMerge/>
            <w:tcBorders>
              <w:top w:val="nil"/>
              <w:left w:val="single" w:sz="4" w:space="0" w:color="auto"/>
              <w:bottom w:val="single" w:sz="4" w:space="0" w:color="auto"/>
              <w:right w:val="single" w:sz="4" w:space="0" w:color="auto"/>
            </w:tcBorders>
            <w:vAlign w:val="center"/>
            <w:hideMark/>
          </w:tcPr>
          <w:p w14:paraId="47F57E38"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03" w:type="pct"/>
            <w:tcBorders>
              <w:top w:val="nil"/>
              <w:left w:val="nil"/>
              <w:bottom w:val="single" w:sz="4" w:space="0" w:color="auto"/>
              <w:right w:val="single" w:sz="4" w:space="0" w:color="auto"/>
            </w:tcBorders>
            <w:shd w:val="clear" w:color="auto" w:fill="auto"/>
            <w:noWrap/>
            <w:vAlign w:val="center"/>
            <w:hideMark/>
          </w:tcPr>
          <w:p w14:paraId="2FF810EC"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168" w:type="pct"/>
            <w:vMerge/>
            <w:tcBorders>
              <w:top w:val="nil"/>
              <w:left w:val="single" w:sz="4" w:space="0" w:color="auto"/>
              <w:bottom w:val="single" w:sz="4" w:space="0" w:color="auto"/>
              <w:right w:val="single" w:sz="4" w:space="0" w:color="auto"/>
            </w:tcBorders>
            <w:vAlign w:val="center"/>
            <w:hideMark/>
          </w:tcPr>
          <w:p w14:paraId="5AADFAC2"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26" w:type="pct"/>
            <w:tcBorders>
              <w:top w:val="nil"/>
              <w:left w:val="nil"/>
              <w:bottom w:val="single" w:sz="4" w:space="0" w:color="auto"/>
              <w:right w:val="single" w:sz="4" w:space="0" w:color="auto"/>
            </w:tcBorders>
            <w:shd w:val="clear" w:color="auto" w:fill="auto"/>
            <w:noWrap/>
            <w:vAlign w:val="center"/>
            <w:hideMark/>
          </w:tcPr>
          <w:p w14:paraId="5F79DA30"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1176.10</w:t>
            </w:r>
          </w:p>
        </w:tc>
        <w:tc>
          <w:tcPr>
            <w:tcW w:w="161" w:type="pct"/>
            <w:vMerge/>
            <w:tcBorders>
              <w:top w:val="nil"/>
              <w:left w:val="single" w:sz="4" w:space="0" w:color="auto"/>
              <w:bottom w:val="single" w:sz="4" w:space="0" w:color="auto"/>
              <w:right w:val="single" w:sz="4" w:space="0" w:color="auto"/>
            </w:tcBorders>
            <w:vAlign w:val="center"/>
            <w:hideMark/>
          </w:tcPr>
          <w:p w14:paraId="60B44AFD"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19" w:type="pct"/>
            <w:tcBorders>
              <w:top w:val="nil"/>
              <w:left w:val="nil"/>
              <w:bottom w:val="single" w:sz="4" w:space="0" w:color="auto"/>
              <w:right w:val="single" w:sz="4" w:space="0" w:color="auto"/>
            </w:tcBorders>
            <w:shd w:val="clear" w:color="auto" w:fill="auto"/>
            <w:noWrap/>
            <w:vAlign w:val="center"/>
            <w:hideMark/>
          </w:tcPr>
          <w:p w14:paraId="7FADA6CB"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1" w:type="pct"/>
            <w:vMerge/>
            <w:tcBorders>
              <w:top w:val="nil"/>
              <w:left w:val="single" w:sz="4" w:space="0" w:color="auto"/>
              <w:bottom w:val="single" w:sz="4" w:space="0" w:color="auto"/>
              <w:right w:val="single" w:sz="4" w:space="0" w:color="auto"/>
            </w:tcBorders>
            <w:vAlign w:val="center"/>
            <w:hideMark/>
          </w:tcPr>
          <w:p w14:paraId="43E4C69D"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19" w:type="pct"/>
            <w:tcBorders>
              <w:top w:val="nil"/>
              <w:left w:val="nil"/>
              <w:bottom w:val="single" w:sz="4" w:space="0" w:color="auto"/>
              <w:right w:val="single" w:sz="4" w:space="0" w:color="auto"/>
            </w:tcBorders>
            <w:shd w:val="clear" w:color="auto" w:fill="auto"/>
            <w:noWrap/>
            <w:vAlign w:val="center"/>
            <w:hideMark/>
          </w:tcPr>
          <w:p w14:paraId="3AA43B18"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6.45%</w:t>
            </w:r>
          </w:p>
        </w:tc>
        <w:tc>
          <w:tcPr>
            <w:tcW w:w="168" w:type="pct"/>
            <w:vMerge/>
            <w:tcBorders>
              <w:top w:val="nil"/>
              <w:left w:val="single" w:sz="4" w:space="0" w:color="auto"/>
              <w:bottom w:val="single" w:sz="4" w:space="0" w:color="000000"/>
              <w:right w:val="single" w:sz="4" w:space="0" w:color="auto"/>
            </w:tcBorders>
            <w:vAlign w:val="center"/>
            <w:hideMark/>
          </w:tcPr>
          <w:p w14:paraId="497BDB30"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03" w:type="pct"/>
            <w:tcBorders>
              <w:top w:val="nil"/>
              <w:left w:val="nil"/>
              <w:bottom w:val="single" w:sz="4" w:space="0" w:color="auto"/>
              <w:right w:val="single" w:sz="4" w:space="0" w:color="auto"/>
            </w:tcBorders>
            <w:shd w:val="clear" w:color="auto" w:fill="auto"/>
            <w:noWrap/>
            <w:vAlign w:val="center"/>
            <w:hideMark/>
          </w:tcPr>
          <w:p w14:paraId="2F94A79D"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89.72</w:t>
            </w:r>
          </w:p>
        </w:tc>
        <w:tc>
          <w:tcPr>
            <w:tcW w:w="168" w:type="pct"/>
            <w:vMerge/>
            <w:tcBorders>
              <w:top w:val="nil"/>
              <w:left w:val="single" w:sz="4" w:space="0" w:color="auto"/>
              <w:bottom w:val="single" w:sz="4" w:space="0" w:color="000000"/>
              <w:right w:val="single" w:sz="4" w:space="0" w:color="auto"/>
            </w:tcBorders>
            <w:vAlign w:val="center"/>
            <w:hideMark/>
          </w:tcPr>
          <w:p w14:paraId="74EF1071"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26" w:type="pct"/>
            <w:tcBorders>
              <w:top w:val="nil"/>
              <w:left w:val="nil"/>
              <w:bottom w:val="single" w:sz="4" w:space="0" w:color="auto"/>
              <w:right w:val="single" w:sz="4" w:space="0" w:color="auto"/>
            </w:tcBorders>
            <w:shd w:val="clear" w:color="auto" w:fill="auto"/>
            <w:noWrap/>
            <w:vAlign w:val="center"/>
            <w:hideMark/>
          </w:tcPr>
          <w:p w14:paraId="1256BA29"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86.14</w:t>
            </w:r>
          </w:p>
        </w:tc>
        <w:tc>
          <w:tcPr>
            <w:tcW w:w="161" w:type="pct"/>
            <w:vMerge/>
            <w:tcBorders>
              <w:top w:val="nil"/>
              <w:left w:val="single" w:sz="4" w:space="0" w:color="auto"/>
              <w:bottom w:val="single" w:sz="4" w:space="0" w:color="000000"/>
              <w:right w:val="single" w:sz="4" w:space="0" w:color="auto"/>
            </w:tcBorders>
            <w:vAlign w:val="center"/>
            <w:hideMark/>
          </w:tcPr>
          <w:p w14:paraId="24307B28"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19" w:type="pct"/>
            <w:tcBorders>
              <w:top w:val="nil"/>
              <w:left w:val="nil"/>
              <w:bottom w:val="single" w:sz="4" w:space="0" w:color="auto"/>
              <w:right w:val="single" w:sz="4" w:space="0" w:color="auto"/>
            </w:tcBorders>
            <w:shd w:val="clear" w:color="auto" w:fill="auto"/>
            <w:noWrap/>
            <w:vAlign w:val="center"/>
            <w:hideMark/>
          </w:tcPr>
          <w:p w14:paraId="72F17336"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2.44%</w:t>
            </w:r>
          </w:p>
        </w:tc>
        <w:tc>
          <w:tcPr>
            <w:tcW w:w="161" w:type="pct"/>
            <w:vMerge/>
            <w:tcBorders>
              <w:top w:val="nil"/>
              <w:left w:val="single" w:sz="4" w:space="0" w:color="auto"/>
              <w:bottom w:val="single" w:sz="4" w:space="0" w:color="000000"/>
              <w:right w:val="single" w:sz="4" w:space="0" w:color="auto"/>
            </w:tcBorders>
            <w:vAlign w:val="center"/>
            <w:hideMark/>
          </w:tcPr>
          <w:p w14:paraId="33DDDBF9" w14:textId="77777777" w:rsidR="00B46794" w:rsidRPr="00E87E42" w:rsidRDefault="00B46794" w:rsidP="008A55B5">
            <w:pPr>
              <w:spacing w:after="0" w:line="240" w:lineRule="auto"/>
              <w:jc w:val="center"/>
              <w:rPr>
                <w:rFonts w:eastAsia="Times New Roman"/>
                <w:color w:val="000000"/>
                <w:sz w:val="16"/>
                <w:szCs w:val="16"/>
                <w:lang w:eastAsia="en-GB"/>
              </w:rPr>
            </w:pPr>
          </w:p>
        </w:tc>
        <w:tc>
          <w:tcPr>
            <w:tcW w:w="215" w:type="pct"/>
            <w:tcBorders>
              <w:top w:val="nil"/>
              <w:left w:val="nil"/>
              <w:bottom w:val="single" w:sz="4" w:space="0" w:color="auto"/>
              <w:right w:val="single" w:sz="4" w:space="0" w:color="auto"/>
            </w:tcBorders>
            <w:shd w:val="clear" w:color="auto" w:fill="auto"/>
            <w:noWrap/>
            <w:vAlign w:val="center"/>
            <w:hideMark/>
          </w:tcPr>
          <w:p w14:paraId="614CB4F3"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6.54%</w:t>
            </w:r>
          </w:p>
        </w:tc>
      </w:tr>
      <w:tr w:rsidR="00D67C6B" w:rsidRPr="00E87E42" w14:paraId="5D1AC3FA" w14:textId="77777777" w:rsidTr="00B46794">
        <w:trPr>
          <w:trHeight w:val="20"/>
        </w:trPr>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9F27E4"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Average</w:t>
            </w:r>
          </w:p>
        </w:tc>
        <w:tc>
          <w:tcPr>
            <w:tcW w:w="145" w:type="pct"/>
            <w:tcBorders>
              <w:top w:val="nil"/>
              <w:left w:val="nil"/>
              <w:bottom w:val="single" w:sz="4" w:space="0" w:color="auto"/>
              <w:right w:val="single" w:sz="4" w:space="0" w:color="auto"/>
            </w:tcBorders>
            <w:shd w:val="clear" w:color="auto" w:fill="auto"/>
            <w:noWrap/>
            <w:vAlign w:val="center"/>
            <w:hideMark/>
          </w:tcPr>
          <w:p w14:paraId="37CA0E53" w14:textId="77777777" w:rsidR="00B46794" w:rsidRPr="00E87E42" w:rsidRDefault="00B46794" w:rsidP="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w:t>
            </w:r>
          </w:p>
        </w:tc>
        <w:tc>
          <w:tcPr>
            <w:tcW w:w="203" w:type="pct"/>
            <w:tcBorders>
              <w:top w:val="nil"/>
              <w:left w:val="nil"/>
              <w:bottom w:val="single" w:sz="4" w:space="0" w:color="auto"/>
              <w:right w:val="single" w:sz="4" w:space="0" w:color="auto"/>
            </w:tcBorders>
            <w:shd w:val="clear" w:color="auto" w:fill="auto"/>
            <w:noWrap/>
            <w:vAlign w:val="center"/>
            <w:hideMark/>
          </w:tcPr>
          <w:p w14:paraId="5D945E57"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425.67</w:t>
            </w:r>
          </w:p>
        </w:tc>
        <w:tc>
          <w:tcPr>
            <w:tcW w:w="145" w:type="pct"/>
            <w:tcBorders>
              <w:top w:val="nil"/>
              <w:left w:val="nil"/>
              <w:bottom w:val="single" w:sz="4" w:space="0" w:color="auto"/>
              <w:right w:val="nil"/>
            </w:tcBorders>
            <w:shd w:val="clear" w:color="000000" w:fill="FF0000"/>
            <w:noWrap/>
            <w:vAlign w:val="center"/>
            <w:hideMark/>
          </w:tcPr>
          <w:p w14:paraId="1FF427CB" w14:textId="77777777" w:rsidR="00B46794" w:rsidRPr="00E87E42" w:rsidRDefault="00B46794" w:rsidP="001019D3">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153</w:t>
            </w:r>
          </w:p>
        </w:tc>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74A757B5" w14:textId="77777777" w:rsidR="00B46794" w:rsidRPr="00E87E42" w:rsidRDefault="00B46794" w:rsidP="001019D3">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177.62</w:t>
            </w:r>
          </w:p>
        </w:tc>
        <w:tc>
          <w:tcPr>
            <w:tcW w:w="76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2DCA719" w14:textId="31448D31" w:rsidR="00B46794" w:rsidRPr="00E87E42" w:rsidRDefault="00B46794">
            <w:pPr>
              <w:spacing w:after="0" w:line="240" w:lineRule="auto"/>
              <w:jc w:val="center"/>
              <w:rPr>
                <w:rFonts w:eastAsia="Times New Roman"/>
                <w:color w:val="000000"/>
                <w:sz w:val="16"/>
                <w:szCs w:val="16"/>
                <w:lang w:eastAsia="en-GB"/>
              </w:rPr>
            </w:pPr>
          </w:p>
        </w:tc>
        <w:tc>
          <w:tcPr>
            <w:tcW w:w="168" w:type="pct"/>
            <w:tcBorders>
              <w:top w:val="nil"/>
              <w:left w:val="nil"/>
              <w:bottom w:val="single" w:sz="4" w:space="0" w:color="auto"/>
              <w:right w:val="single" w:sz="4" w:space="0" w:color="auto"/>
            </w:tcBorders>
            <w:shd w:val="clear" w:color="auto" w:fill="auto"/>
            <w:noWrap/>
            <w:vAlign w:val="center"/>
            <w:hideMark/>
          </w:tcPr>
          <w:p w14:paraId="76035D18"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76</w:t>
            </w:r>
          </w:p>
        </w:tc>
        <w:tc>
          <w:tcPr>
            <w:tcW w:w="203" w:type="pct"/>
            <w:tcBorders>
              <w:top w:val="nil"/>
              <w:left w:val="nil"/>
              <w:bottom w:val="single" w:sz="4" w:space="0" w:color="auto"/>
              <w:right w:val="single" w:sz="4" w:space="0" w:color="auto"/>
            </w:tcBorders>
            <w:shd w:val="clear" w:color="auto" w:fill="auto"/>
            <w:noWrap/>
            <w:vAlign w:val="center"/>
            <w:hideMark/>
          </w:tcPr>
          <w:p w14:paraId="7A175AF3"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124.38</w:t>
            </w:r>
          </w:p>
        </w:tc>
        <w:tc>
          <w:tcPr>
            <w:tcW w:w="168" w:type="pct"/>
            <w:tcBorders>
              <w:top w:val="nil"/>
              <w:left w:val="nil"/>
              <w:bottom w:val="single" w:sz="4" w:space="0" w:color="auto"/>
              <w:right w:val="single" w:sz="4" w:space="0" w:color="auto"/>
            </w:tcBorders>
            <w:shd w:val="clear" w:color="000000" w:fill="FF0000"/>
            <w:noWrap/>
            <w:vAlign w:val="center"/>
            <w:hideMark/>
          </w:tcPr>
          <w:p w14:paraId="6D091895" w14:textId="77777777" w:rsidR="00B46794" w:rsidRPr="00E87E42" w:rsidRDefault="00B46794">
            <w:pPr>
              <w:spacing w:after="0" w:line="240" w:lineRule="auto"/>
              <w:jc w:val="center"/>
              <w:rPr>
                <w:rFonts w:eastAsia="Times New Roman"/>
                <w:sz w:val="16"/>
                <w:szCs w:val="16"/>
                <w:lang w:eastAsia="en-GB"/>
              </w:rPr>
            </w:pPr>
            <w:r w:rsidRPr="00E87E42">
              <w:rPr>
                <w:rFonts w:eastAsia="Times New Roman"/>
                <w:sz w:val="16"/>
                <w:szCs w:val="16"/>
                <w:lang w:eastAsia="en-GB"/>
              </w:rPr>
              <w:t>533</w:t>
            </w:r>
          </w:p>
        </w:tc>
        <w:tc>
          <w:tcPr>
            <w:tcW w:w="226" w:type="pct"/>
            <w:tcBorders>
              <w:top w:val="nil"/>
              <w:left w:val="nil"/>
              <w:bottom w:val="single" w:sz="4" w:space="0" w:color="auto"/>
              <w:right w:val="single" w:sz="4" w:space="0" w:color="auto"/>
            </w:tcBorders>
            <w:shd w:val="clear" w:color="auto" w:fill="auto"/>
            <w:noWrap/>
            <w:vAlign w:val="center"/>
            <w:hideMark/>
          </w:tcPr>
          <w:p w14:paraId="1100F329"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185.81</w:t>
            </w:r>
          </w:p>
        </w:tc>
        <w:tc>
          <w:tcPr>
            <w:tcW w:w="76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C7D1614" w14:textId="2DE96971" w:rsidR="00B46794" w:rsidRPr="00E87E42" w:rsidRDefault="00B46794">
            <w:pPr>
              <w:spacing w:after="0" w:line="240" w:lineRule="auto"/>
              <w:jc w:val="center"/>
              <w:rPr>
                <w:rFonts w:eastAsia="Times New Roman"/>
                <w:color w:val="000000"/>
                <w:sz w:val="16"/>
                <w:szCs w:val="16"/>
                <w:lang w:eastAsia="en-GB"/>
              </w:rPr>
            </w:pPr>
          </w:p>
        </w:tc>
        <w:tc>
          <w:tcPr>
            <w:tcW w:w="168" w:type="pct"/>
            <w:tcBorders>
              <w:top w:val="nil"/>
              <w:left w:val="nil"/>
              <w:bottom w:val="single" w:sz="4" w:space="0" w:color="auto"/>
              <w:right w:val="single" w:sz="4" w:space="0" w:color="auto"/>
            </w:tcBorders>
            <w:shd w:val="clear" w:color="auto" w:fill="auto"/>
            <w:noWrap/>
            <w:vAlign w:val="center"/>
            <w:hideMark/>
          </w:tcPr>
          <w:p w14:paraId="15C4E139"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49</w:t>
            </w:r>
          </w:p>
        </w:tc>
        <w:tc>
          <w:tcPr>
            <w:tcW w:w="203" w:type="pct"/>
            <w:tcBorders>
              <w:top w:val="nil"/>
              <w:left w:val="nil"/>
              <w:bottom w:val="single" w:sz="4" w:space="0" w:color="auto"/>
              <w:right w:val="single" w:sz="4" w:space="0" w:color="auto"/>
            </w:tcBorders>
            <w:shd w:val="clear" w:color="auto" w:fill="auto"/>
            <w:noWrap/>
            <w:vAlign w:val="center"/>
            <w:hideMark/>
          </w:tcPr>
          <w:p w14:paraId="3D01072C"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322.24</w:t>
            </w:r>
          </w:p>
        </w:tc>
        <w:tc>
          <w:tcPr>
            <w:tcW w:w="168" w:type="pct"/>
            <w:tcBorders>
              <w:top w:val="nil"/>
              <w:left w:val="nil"/>
              <w:bottom w:val="single" w:sz="4" w:space="0" w:color="auto"/>
              <w:right w:val="nil"/>
            </w:tcBorders>
            <w:shd w:val="clear" w:color="000000" w:fill="FFFFFF"/>
            <w:noWrap/>
            <w:vAlign w:val="center"/>
            <w:hideMark/>
          </w:tcPr>
          <w:p w14:paraId="6B7CF70D"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165</w:t>
            </w:r>
          </w:p>
        </w:tc>
        <w:tc>
          <w:tcPr>
            <w:tcW w:w="226" w:type="pct"/>
            <w:tcBorders>
              <w:top w:val="nil"/>
              <w:left w:val="single" w:sz="4" w:space="0" w:color="auto"/>
              <w:bottom w:val="single" w:sz="4" w:space="0" w:color="auto"/>
              <w:right w:val="single" w:sz="4" w:space="0" w:color="auto"/>
            </w:tcBorders>
            <w:shd w:val="clear" w:color="auto" w:fill="auto"/>
            <w:noWrap/>
            <w:vAlign w:val="center"/>
            <w:hideMark/>
          </w:tcPr>
          <w:p w14:paraId="341EA649" w14:textId="77777777" w:rsidR="00B46794" w:rsidRPr="00E87E42" w:rsidRDefault="00B46794">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482.80</w:t>
            </w:r>
          </w:p>
        </w:tc>
        <w:tc>
          <w:tcPr>
            <w:tcW w:w="75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6DDFC0A" w14:textId="6E7EE951" w:rsidR="00B46794" w:rsidRPr="00E87E42" w:rsidRDefault="00B46794">
            <w:pPr>
              <w:spacing w:after="0" w:line="240" w:lineRule="auto"/>
              <w:jc w:val="center"/>
              <w:rPr>
                <w:rFonts w:eastAsia="Times New Roman"/>
                <w:color w:val="000000"/>
                <w:sz w:val="16"/>
                <w:szCs w:val="16"/>
                <w:lang w:eastAsia="en-GB"/>
              </w:rPr>
            </w:pPr>
          </w:p>
        </w:tc>
      </w:tr>
    </w:tbl>
    <w:p w14:paraId="6EDAD52F" w14:textId="5BC3294E" w:rsidR="00427BD3" w:rsidRPr="00E87E42" w:rsidRDefault="00427BD3" w:rsidP="004A2F07"/>
    <w:p w14:paraId="1FC24B36" w14:textId="6D54980D" w:rsidR="00B46794" w:rsidRPr="00E87E42" w:rsidRDefault="00B46794" w:rsidP="00B46794">
      <w:pPr>
        <w:pStyle w:val="Caption"/>
      </w:pPr>
      <w:bookmarkStart w:id="40" w:name="_Ref518159400"/>
      <w:r w:rsidRPr="00E87E42">
        <w:t xml:space="preserve">Table </w:t>
      </w:r>
      <w:r w:rsidR="00BC5ED7" w:rsidRPr="00E87E42">
        <w:rPr>
          <w:noProof/>
        </w:rPr>
        <w:fldChar w:fldCharType="begin"/>
      </w:r>
      <w:r w:rsidR="00BC5ED7" w:rsidRPr="00E87E42">
        <w:rPr>
          <w:noProof/>
        </w:rPr>
        <w:instrText xml:space="preserve"> SEQ Table \* ARABIC </w:instrText>
      </w:r>
      <w:r w:rsidR="00BC5ED7" w:rsidRPr="00E87E42">
        <w:rPr>
          <w:noProof/>
        </w:rPr>
        <w:fldChar w:fldCharType="separate"/>
      </w:r>
      <w:r w:rsidR="009F6872">
        <w:rPr>
          <w:noProof/>
        </w:rPr>
        <w:t>9</w:t>
      </w:r>
      <w:r w:rsidR="00BC5ED7" w:rsidRPr="00E87E42">
        <w:rPr>
          <w:noProof/>
        </w:rPr>
        <w:fldChar w:fldCharType="end"/>
      </w:r>
      <w:bookmarkEnd w:id="40"/>
      <w:r w:rsidRPr="00E87E42">
        <w:t xml:space="preserve">: </w:t>
      </w:r>
      <w:r w:rsidR="002612B7" w:rsidRPr="00E87E42">
        <w:t xml:space="preserve">Table A.5 </w:t>
      </w:r>
      <w:r w:rsidRPr="00E87E42">
        <w:t>Area damage and percentage of fire for each category of fire spread in Pubs, Clubs and Restaurants, PD 7974-7 vs USA fire statistics</w:t>
      </w:r>
    </w:p>
    <w:tbl>
      <w:tblPr>
        <w:tblW w:w="0" w:type="auto"/>
        <w:tblLayout w:type="fixed"/>
        <w:tblCellMar>
          <w:left w:w="57" w:type="dxa"/>
          <w:right w:w="57" w:type="dxa"/>
        </w:tblCellMar>
        <w:tblLook w:val="04A0" w:firstRow="1" w:lastRow="0" w:firstColumn="1" w:lastColumn="0" w:noHBand="0" w:noVBand="1"/>
      </w:tblPr>
      <w:tblGrid>
        <w:gridCol w:w="1448"/>
        <w:gridCol w:w="1781"/>
        <w:gridCol w:w="319"/>
        <w:gridCol w:w="474"/>
        <w:gridCol w:w="393"/>
        <w:gridCol w:w="615"/>
        <w:gridCol w:w="408"/>
        <w:gridCol w:w="608"/>
        <w:gridCol w:w="408"/>
        <w:gridCol w:w="608"/>
      </w:tblGrid>
      <w:tr w:rsidR="00B46794" w:rsidRPr="00E87E42" w14:paraId="11147F10" w14:textId="77777777" w:rsidTr="008A55B5">
        <w:trPr>
          <w:trHeight w:val="227"/>
        </w:trPr>
        <w:tc>
          <w:tcPr>
            <w:tcW w:w="1448" w:type="dxa"/>
            <w:tcBorders>
              <w:top w:val="nil"/>
              <w:left w:val="nil"/>
              <w:bottom w:val="nil"/>
              <w:right w:val="nil"/>
            </w:tcBorders>
            <w:shd w:val="clear" w:color="auto" w:fill="auto"/>
            <w:noWrap/>
            <w:vAlign w:val="bottom"/>
            <w:hideMark/>
          </w:tcPr>
          <w:p w14:paraId="7BCC291C" w14:textId="77777777" w:rsidR="00B46794" w:rsidRPr="00E87E42" w:rsidRDefault="00B46794" w:rsidP="00A27212">
            <w:pPr>
              <w:spacing w:after="0" w:line="240" w:lineRule="auto"/>
              <w:jc w:val="left"/>
              <w:rPr>
                <w:rFonts w:eastAsia="Times New Roman"/>
                <w:sz w:val="16"/>
                <w:szCs w:val="16"/>
                <w:lang w:eastAsia="en-GB"/>
              </w:rPr>
            </w:pPr>
          </w:p>
        </w:tc>
        <w:tc>
          <w:tcPr>
            <w:tcW w:w="1781" w:type="dxa"/>
            <w:tcBorders>
              <w:top w:val="nil"/>
              <w:left w:val="nil"/>
              <w:bottom w:val="nil"/>
              <w:right w:val="nil"/>
            </w:tcBorders>
            <w:shd w:val="clear" w:color="auto" w:fill="auto"/>
            <w:noWrap/>
            <w:vAlign w:val="bottom"/>
            <w:hideMark/>
          </w:tcPr>
          <w:p w14:paraId="625216D9" w14:textId="77777777" w:rsidR="00B46794" w:rsidRPr="00E87E42" w:rsidRDefault="00B46794" w:rsidP="00A27212">
            <w:pPr>
              <w:spacing w:after="0" w:line="240" w:lineRule="auto"/>
              <w:jc w:val="center"/>
              <w:rPr>
                <w:rFonts w:eastAsia="Times New Roman"/>
                <w:sz w:val="16"/>
                <w:szCs w:val="16"/>
                <w:lang w:eastAsia="en-GB"/>
              </w:rPr>
            </w:pPr>
          </w:p>
        </w:tc>
        <w:tc>
          <w:tcPr>
            <w:tcW w:w="18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37075" w14:textId="77777777" w:rsidR="00B46794" w:rsidRPr="00E87E42" w:rsidRDefault="00B46794" w:rsidP="00A27212">
            <w:pPr>
              <w:spacing w:after="0" w:line="240" w:lineRule="auto"/>
              <w:jc w:val="center"/>
              <w:rPr>
                <w:rFonts w:eastAsia="Times New Roman"/>
                <w:b/>
                <w:color w:val="000000"/>
                <w:sz w:val="16"/>
                <w:szCs w:val="16"/>
                <w:u w:val="single"/>
                <w:lang w:eastAsia="en-GB"/>
              </w:rPr>
            </w:pPr>
            <w:r w:rsidRPr="00E87E42">
              <w:rPr>
                <w:rFonts w:eastAsia="Times New Roman"/>
                <w:b/>
                <w:color w:val="000000"/>
                <w:sz w:val="16"/>
                <w:szCs w:val="16"/>
                <w:u w:val="single"/>
                <w:lang w:eastAsia="en-GB"/>
              </w:rPr>
              <w:t>Area damage m</w:t>
            </w:r>
            <w:r w:rsidRPr="00E87E42">
              <w:rPr>
                <w:rFonts w:eastAsia="Times New Roman"/>
                <w:b/>
                <w:color w:val="000000"/>
                <w:sz w:val="16"/>
                <w:szCs w:val="16"/>
                <w:u w:val="single"/>
                <w:vertAlign w:val="superscript"/>
                <w:lang w:eastAsia="en-GB"/>
              </w:rPr>
              <w:t>2</w:t>
            </w:r>
          </w:p>
        </w:tc>
        <w:tc>
          <w:tcPr>
            <w:tcW w:w="203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03DE203" w14:textId="77777777" w:rsidR="00B46794" w:rsidRPr="00E87E42" w:rsidRDefault="00B46794" w:rsidP="00A27212">
            <w:pPr>
              <w:spacing w:after="0" w:line="240" w:lineRule="auto"/>
              <w:jc w:val="center"/>
              <w:rPr>
                <w:rFonts w:eastAsia="Times New Roman"/>
                <w:b/>
                <w:color w:val="000000"/>
                <w:sz w:val="16"/>
                <w:szCs w:val="16"/>
                <w:u w:val="single"/>
                <w:lang w:eastAsia="en-GB"/>
              </w:rPr>
            </w:pPr>
            <w:r w:rsidRPr="00E87E42">
              <w:rPr>
                <w:rFonts w:eastAsia="Times New Roman"/>
                <w:b/>
                <w:color w:val="000000"/>
                <w:sz w:val="16"/>
                <w:szCs w:val="16"/>
                <w:u w:val="single"/>
                <w:lang w:eastAsia="en-GB"/>
              </w:rPr>
              <w:t>Frequency</w:t>
            </w:r>
          </w:p>
        </w:tc>
      </w:tr>
      <w:tr w:rsidR="00B46794" w:rsidRPr="00E87E42" w14:paraId="168CBBAF" w14:textId="77777777" w:rsidTr="008A55B5">
        <w:trPr>
          <w:trHeight w:val="227"/>
        </w:trPr>
        <w:tc>
          <w:tcPr>
            <w:tcW w:w="1448" w:type="dxa"/>
            <w:tcBorders>
              <w:top w:val="nil"/>
              <w:left w:val="nil"/>
              <w:bottom w:val="nil"/>
              <w:right w:val="nil"/>
            </w:tcBorders>
            <w:shd w:val="clear" w:color="auto" w:fill="auto"/>
            <w:noWrap/>
            <w:vAlign w:val="bottom"/>
            <w:hideMark/>
          </w:tcPr>
          <w:p w14:paraId="5A5B377E" w14:textId="77777777" w:rsidR="00B46794" w:rsidRPr="00E87E42" w:rsidRDefault="00B46794" w:rsidP="00A27212">
            <w:pPr>
              <w:spacing w:after="0" w:line="240" w:lineRule="auto"/>
              <w:jc w:val="center"/>
              <w:rPr>
                <w:rFonts w:eastAsia="Times New Roman"/>
                <w:color w:val="000000"/>
                <w:sz w:val="16"/>
                <w:szCs w:val="16"/>
                <w:lang w:eastAsia="en-GB"/>
              </w:rPr>
            </w:pPr>
          </w:p>
        </w:tc>
        <w:tc>
          <w:tcPr>
            <w:tcW w:w="1781" w:type="dxa"/>
            <w:tcBorders>
              <w:top w:val="nil"/>
              <w:left w:val="nil"/>
              <w:bottom w:val="nil"/>
              <w:right w:val="nil"/>
            </w:tcBorders>
            <w:shd w:val="clear" w:color="auto" w:fill="auto"/>
            <w:noWrap/>
            <w:vAlign w:val="bottom"/>
            <w:hideMark/>
          </w:tcPr>
          <w:p w14:paraId="786CBCD4" w14:textId="77777777" w:rsidR="00B46794" w:rsidRPr="00E87E42" w:rsidRDefault="00B46794" w:rsidP="00A27212">
            <w:pPr>
              <w:spacing w:after="0" w:line="240" w:lineRule="auto"/>
              <w:jc w:val="left"/>
              <w:rPr>
                <w:rFonts w:eastAsia="Times New Roman"/>
                <w:sz w:val="16"/>
                <w:szCs w:val="16"/>
                <w:lang w:eastAsia="en-GB"/>
              </w:rPr>
            </w:pP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50BF8" w14:textId="77777777" w:rsidR="00B46794" w:rsidRPr="00E87E42" w:rsidRDefault="00B46794" w:rsidP="00A2721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Sprinklers</w:t>
            </w:r>
          </w:p>
        </w:tc>
        <w:tc>
          <w:tcPr>
            <w:tcW w:w="10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F92C25" w14:textId="77777777" w:rsidR="00B46794" w:rsidRPr="00E87E42" w:rsidRDefault="00B46794" w:rsidP="00A2721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No Sprinklers</w:t>
            </w:r>
          </w:p>
        </w:tc>
        <w:tc>
          <w:tcPr>
            <w:tcW w:w="10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1F5572" w14:textId="77777777" w:rsidR="00B46794" w:rsidRPr="00E87E42" w:rsidRDefault="00B46794" w:rsidP="00A2721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Sprinklers</w:t>
            </w:r>
          </w:p>
        </w:tc>
        <w:tc>
          <w:tcPr>
            <w:tcW w:w="10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1DAD44" w14:textId="77777777" w:rsidR="00B46794" w:rsidRPr="00E87E42" w:rsidRDefault="00B46794" w:rsidP="00A2721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No Sprinklers</w:t>
            </w:r>
          </w:p>
        </w:tc>
      </w:tr>
      <w:tr w:rsidR="00B46794" w:rsidRPr="00E87E42" w14:paraId="04B65AA8" w14:textId="77777777" w:rsidTr="008A55B5">
        <w:trPr>
          <w:trHeight w:val="227"/>
        </w:trPr>
        <w:tc>
          <w:tcPr>
            <w:tcW w:w="1448" w:type="dxa"/>
            <w:tcBorders>
              <w:top w:val="nil"/>
              <w:left w:val="nil"/>
              <w:bottom w:val="nil"/>
              <w:right w:val="nil"/>
            </w:tcBorders>
            <w:shd w:val="clear" w:color="auto" w:fill="auto"/>
            <w:noWrap/>
            <w:vAlign w:val="bottom"/>
            <w:hideMark/>
          </w:tcPr>
          <w:p w14:paraId="3008E1F8" w14:textId="77777777" w:rsidR="00B46794" w:rsidRPr="00E87E42" w:rsidRDefault="00B46794" w:rsidP="00A27212">
            <w:pPr>
              <w:spacing w:after="0" w:line="240" w:lineRule="auto"/>
              <w:jc w:val="center"/>
              <w:rPr>
                <w:rFonts w:eastAsia="Times New Roman"/>
                <w:color w:val="000000"/>
                <w:sz w:val="16"/>
                <w:szCs w:val="16"/>
                <w:lang w:eastAsia="en-GB"/>
              </w:rPr>
            </w:pPr>
          </w:p>
        </w:tc>
        <w:tc>
          <w:tcPr>
            <w:tcW w:w="1781" w:type="dxa"/>
            <w:tcBorders>
              <w:top w:val="nil"/>
              <w:left w:val="nil"/>
              <w:bottom w:val="nil"/>
              <w:right w:val="nil"/>
            </w:tcBorders>
            <w:shd w:val="clear" w:color="auto" w:fill="auto"/>
            <w:noWrap/>
            <w:vAlign w:val="bottom"/>
            <w:hideMark/>
          </w:tcPr>
          <w:p w14:paraId="5FD1C62D" w14:textId="77777777" w:rsidR="00B46794" w:rsidRPr="00E87E42" w:rsidRDefault="00B46794" w:rsidP="00A27212">
            <w:pPr>
              <w:spacing w:after="0" w:line="240" w:lineRule="auto"/>
              <w:jc w:val="left"/>
              <w:rPr>
                <w:rFonts w:eastAsia="Times New Roman"/>
                <w:sz w:val="16"/>
                <w:szCs w:val="16"/>
                <w:lang w:eastAsia="en-GB"/>
              </w:rPr>
            </w:pPr>
          </w:p>
        </w:tc>
        <w:tc>
          <w:tcPr>
            <w:tcW w:w="319" w:type="dxa"/>
            <w:tcBorders>
              <w:top w:val="nil"/>
              <w:left w:val="single" w:sz="4" w:space="0" w:color="auto"/>
              <w:bottom w:val="single" w:sz="4" w:space="0" w:color="auto"/>
              <w:right w:val="single" w:sz="4" w:space="0" w:color="auto"/>
            </w:tcBorders>
            <w:shd w:val="clear" w:color="auto" w:fill="auto"/>
            <w:noWrap/>
            <w:vAlign w:val="bottom"/>
            <w:hideMark/>
          </w:tcPr>
          <w:p w14:paraId="0DAC9972"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w:t>
            </w:r>
          </w:p>
        </w:tc>
        <w:tc>
          <w:tcPr>
            <w:tcW w:w="474" w:type="dxa"/>
            <w:tcBorders>
              <w:top w:val="nil"/>
              <w:left w:val="nil"/>
              <w:bottom w:val="single" w:sz="4" w:space="0" w:color="auto"/>
              <w:right w:val="single" w:sz="4" w:space="0" w:color="auto"/>
            </w:tcBorders>
            <w:shd w:val="clear" w:color="auto" w:fill="auto"/>
            <w:noWrap/>
            <w:vAlign w:val="bottom"/>
            <w:hideMark/>
          </w:tcPr>
          <w:p w14:paraId="31876FE0"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w:t>
            </w:r>
          </w:p>
        </w:tc>
        <w:tc>
          <w:tcPr>
            <w:tcW w:w="393" w:type="dxa"/>
            <w:tcBorders>
              <w:top w:val="nil"/>
              <w:left w:val="nil"/>
              <w:bottom w:val="single" w:sz="4" w:space="0" w:color="auto"/>
              <w:right w:val="single" w:sz="4" w:space="0" w:color="auto"/>
            </w:tcBorders>
            <w:shd w:val="clear" w:color="auto" w:fill="auto"/>
            <w:noWrap/>
            <w:vAlign w:val="bottom"/>
            <w:hideMark/>
          </w:tcPr>
          <w:p w14:paraId="33DBA676"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w:t>
            </w:r>
          </w:p>
        </w:tc>
        <w:tc>
          <w:tcPr>
            <w:tcW w:w="615" w:type="dxa"/>
            <w:tcBorders>
              <w:top w:val="nil"/>
              <w:left w:val="nil"/>
              <w:bottom w:val="single" w:sz="4" w:space="0" w:color="auto"/>
              <w:right w:val="single" w:sz="4" w:space="0" w:color="auto"/>
            </w:tcBorders>
            <w:shd w:val="clear" w:color="auto" w:fill="auto"/>
            <w:noWrap/>
            <w:vAlign w:val="bottom"/>
            <w:hideMark/>
          </w:tcPr>
          <w:p w14:paraId="0C8DDEA7"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w:t>
            </w:r>
          </w:p>
        </w:tc>
        <w:tc>
          <w:tcPr>
            <w:tcW w:w="408" w:type="dxa"/>
            <w:tcBorders>
              <w:top w:val="nil"/>
              <w:left w:val="nil"/>
              <w:bottom w:val="single" w:sz="4" w:space="0" w:color="auto"/>
              <w:right w:val="single" w:sz="4" w:space="0" w:color="auto"/>
            </w:tcBorders>
            <w:shd w:val="clear" w:color="auto" w:fill="auto"/>
            <w:noWrap/>
            <w:vAlign w:val="bottom"/>
            <w:hideMark/>
          </w:tcPr>
          <w:p w14:paraId="39A361B8"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w:t>
            </w:r>
          </w:p>
        </w:tc>
        <w:tc>
          <w:tcPr>
            <w:tcW w:w="608" w:type="dxa"/>
            <w:tcBorders>
              <w:top w:val="nil"/>
              <w:left w:val="nil"/>
              <w:bottom w:val="single" w:sz="4" w:space="0" w:color="auto"/>
              <w:right w:val="single" w:sz="4" w:space="0" w:color="auto"/>
            </w:tcBorders>
            <w:shd w:val="clear" w:color="auto" w:fill="auto"/>
            <w:noWrap/>
            <w:vAlign w:val="bottom"/>
            <w:hideMark/>
          </w:tcPr>
          <w:p w14:paraId="4BE89A66"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w:t>
            </w:r>
          </w:p>
        </w:tc>
        <w:tc>
          <w:tcPr>
            <w:tcW w:w="408" w:type="dxa"/>
            <w:tcBorders>
              <w:top w:val="nil"/>
              <w:left w:val="nil"/>
              <w:bottom w:val="single" w:sz="4" w:space="0" w:color="auto"/>
              <w:right w:val="single" w:sz="4" w:space="0" w:color="auto"/>
            </w:tcBorders>
            <w:shd w:val="clear" w:color="auto" w:fill="auto"/>
            <w:noWrap/>
            <w:vAlign w:val="bottom"/>
            <w:hideMark/>
          </w:tcPr>
          <w:p w14:paraId="35780AA1"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w:t>
            </w:r>
          </w:p>
        </w:tc>
        <w:tc>
          <w:tcPr>
            <w:tcW w:w="608" w:type="dxa"/>
            <w:tcBorders>
              <w:top w:val="nil"/>
              <w:left w:val="nil"/>
              <w:bottom w:val="single" w:sz="4" w:space="0" w:color="auto"/>
              <w:right w:val="single" w:sz="4" w:space="0" w:color="auto"/>
            </w:tcBorders>
            <w:shd w:val="clear" w:color="auto" w:fill="auto"/>
            <w:noWrap/>
            <w:vAlign w:val="bottom"/>
            <w:hideMark/>
          </w:tcPr>
          <w:p w14:paraId="593C9894"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w:t>
            </w:r>
          </w:p>
        </w:tc>
      </w:tr>
      <w:tr w:rsidR="00B46794" w:rsidRPr="00E87E42" w14:paraId="28D7BCDF" w14:textId="77777777" w:rsidTr="008A55B5">
        <w:trPr>
          <w:trHeight w:val="227"/>
        </w:trPr>
        <w:tc>
          <w:tcPr>
            <w:tcW w:w="32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0A04B"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Confined to object</w:t>
            </w:r>
          </w:p>
        </w:tc>
        <w:tc>
          <w:tcPr>
            <w:tcW w:w="319" w:type="dxa"/>
            <w:tcBorders>
              <w:top w:val="nil"/>
              <w:left w:val="nil"/>
              <w:bottom w:val="single" w:sz="4" w:space="0" w:color="auto"/>
              <w:right w:val="single" w:sz="4" w:space="0" w:color="auto"/>
            </w:tcBorders>
            <w:shd w:val="clear" w:color="auto" w:fill="auto"/>
            <w:noWrap/>
            <w:vAlign w:val="bottom"/>
            <w:hideMark/>
          </w:tcPr>
          <w:p w14:paraId="12D23F1B"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474" w:type="dxa"/>
            <w:tcBorders>
              <w:top w:val="nil"/>
              <w:left w:val="nil"/>
              <w:bottom w:val="single" w:sz="4" w:space="0" w:color="auto"/>
              <w:right w:val="single" w:sz="4" w:space="0" w:color="auto"/>
            </w:tcBorders>
            <w:shd w:val="clear" w:color="auto" w:fill="auto"/>
            <w:noWrap/>
            <w:vAlign w:val="bottom"/>
            <w:hideMark/>
          </w:tcPr>
          <w:p w14:paraId="26CBAAD4"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31.30</w:t>
            </w:r>
          </w:p>
        </w:tc>
        <w:tc>
          <w:tcPr>
            <w:tcW w:w="393" w:type="dxa"/>
            <w:tcBorders>
              <w:top w:val="nil"/>
              <w:left w:val="nil"/>
              <w:bottom w:val="single" w:sz="4" w:space="0" w:color="auto"/>
              <w:right w:val="single" w:sz="4" w:space="0" w:color="auto"/>
            </w:tcBorders>
            <w:shd w:val="clear" w:color="auto" w:fill="auto"/>
            <w:noWrap/>
            <w:vAlign w:val="bottom"/>
            <w:hideMark/>
          </w:tcPr>
          <w:p w14:paraId="6E654D72"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615" w:type="dxa"/>
            <w:tcBorders>
              <w:top w:val="nil"/>
              <w:left w:val="nil"/>
              <w:bottom w:val="single" w:sz="4" w:space="0" w:color="auto"/>
              <w:right w:val="single" w:sz="4" w:space="0" w:color="auto"/>
            </w:tcBorders>
            <w:shd w:val="clear" w:color="auto" w:fill="auto"/>
            <w:noWrap/>
            <w:vAlign w:val="bottom"/>
            <w:hideMark/>
          </w:tcPr>
          <w:p w14:paraId="3F5904BA"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4.19</w:t>
            </w:r>
          </w:p>
        </w:tc>
        <w:tc>
          <w:tcPr>
            <w:tcW w:w="408" w:type="dxa"/>
            <w:tcBorders>
              <w:top w:val="nil"/>
              <w:left w:val="nil"/>
              <w:bottom w:val="single" w:sz="4" w:space="0" w:color="auto"/>
              <w:right w:val="single" w:sz="4" w:space="0" w:color="auto"/>
            </w:tcBorders>
            <w:shd w:val="clear" w:color="auto" w:fill="auto"/>
            <w:noWrap/>
            <w:vAlign w:val="bottom"/>
            <w:hideMark/>
          </w:tcPr>
          <w:p w14:paraId="55172637"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59%</w:t>
            </w:r>
          </w:p>
        </w:tc>
        <w:tc>
          <w:tcPr>
            <w:tcW w:w="608" w:type="dxa"/>
            <w:tcBorders>
              <w:top w:val="nil"/>
              <w:left w:val="nil"/>
              <w:bottom w:val="single" w:sz="4" w:space="0" w:color="auto"/>
              <w:right w:val="single" w:sz="4" w:space="0" w:color="auto"/>
            </w:tcBorders>
            <w:shd w:val="clear" w:color="auto" w:fill="auto"/>
            <w:noWrap/>
            <w:vAlign w:val="bottom"/>
            <w:hideMark/>
          </w:tcPr>
          <w:p w14:paraId="7421F33B"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25.58%</w:t>
            </w:r>
          </w:p>
        </w:tc>
        <w:tc>
          <w:tcPr>
            <w:tcW w:w="408" w:type="dxa"/>
            <w:tcBorders>
              <w:top w:val="nil"/>
              <w:left w:val="nil"/>
              <w:bottom w:val="single" w:sz="4" w:space="0" w:color="auto"/>
              <w:right w:val="single" w:sz="4" w:space="0" w:color="auto"/>
            </w:tcBorders>
            <w:shd w:val="clear" w:color="auto" w:fill="auto"/>
            <w:noWrap/>
            <w:vAlign w:val="bottom"/>
            <w:hideMark/>
          </w:tcPr>
          <w:p w14:paraId="557D03D0"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26%</w:t>
            </w:r>
          </w:p>
        </w:tc>
        <w:tc>
          <w:tcPr>
            <w:tcW w:w="608" w:type="dxa"/>
            <w:tcBorders>
              <w:top w:val="nil"/>
              <w:left w:val="nil"/>
              <w:bottom w:val="single" w:sz="4" w:space="0" w:color="auto"/>
              <w:right w:val="single" w:sz="4" w:space="0" w:color="auto"/>
            </w:tcBorders>
            <w:shd w:val="clear" w:color="auto" w:fill="auto"/>
            <w:noWrap/>
            <w:vAlign w:val="bottom"/>
            <w:hideMark/>
          </w:tcPr>
          <w:p w14:paraId="38081343"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20.38%</w:t>
            </w:r>
          </w:p>
        </w:tc>
      </w:tr>
      <w:tr w:rsidR="005D67A7" w:rsidRPr="00E87E42" w14:paraId="3A82C7EC" w14:textId="77777777" w:rsidTr="00A056AD">
        <w:trPr>
          <w:trHeight w:val="227"/>
        </w:trPr>
        <w:tc>
          <w:tcPr>
            <w:tcW w:w="14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756E15"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Confined to room</w:t>
            </w:r>
          </w:p>
        </w:tc>
        <w:tc>
          <w:tcPr>
            <w:tcW w:w="1781" w:type="dxa"/>
            <w:tcBorders>
              <w:top w:val="nil"/>
              <w:left w:val="nil"/>
              <w:bottom w:val="single" w:sz="4" w:space="0" w:color="auto"/>
              <w:right w:val="single" w:sz="4" w:space="0" w:color="auto"/>
            </w:tcBorders>
            <w:shd w:val="clear" w:color="auto" w:fill="auto"/>
            <w:noWrap/>
            <w:vAlign w:val="bottom"/>
            <w:hideMark/>
          </w:tcPr>
          <w:p w14:paraId="6F0D08DF"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Contents only</w:t>
            </w:r>
          </w:p>
        </w:tc>
        <w:tc>
          <w:tcPr>
            <w:tcW w:w="319" w:type="dxa"/>
            <w:tcBorders>
              <w:top w:val="nil"/>
              <w:left w:val="nil"/>
              <w:bottom w:val="single" w:sz="4" w:space="0" w:color="auto"/>
              <w:right w:val="single" w:sz="4" w:space="0" w:color="auto"/>
            </w:tcBorders>
            <w:shd w:val="clear" w:color="auto" w:fill="auto"/>
            <w:noWrap/>
            <w:vAlign w:val="bottom"/>
            <w:hideMark/>
          </w:tcPr>
          <w:p w14:paraId="621A4CEB"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4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05C198"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24.11</w:t>
            </w:r>
          </w:p>
        </w:tc>
        <w:tc>
          <w:tcPr>
            <w:tcW w:w="393" w:type="dxa"/>
            <w:tcBorders>
              <w:top w:val="nil"/>
              <w:left w:val="nil"/>
              <w:bottom w:val="single" w:sz="4" w:space="0" w:color="auto"/>
              <w:right w:val="single" w:sz="4" w:space="0" w:color="auto"/>
            </w:tcBorders>
            <w:shd w:val="clear" w:color="auto" w:fill="auto"/>
            <w:noWrap/>
            <w:vAlign w:val="bottom"/>
            <w:hideMark/>
          </w:tcPr>
          <w:p w14:paraId="45E09F1D"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6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44EC88"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13.81</w:t>
            </w:r>
          </w:p>
        </w:tc>
        <w:tc>
          <w:tcPr>
            <w:tcW w:w="408" w:type="dxa"/>
            <w:tcBorders>
              <w:top w:val="nil"/>
              <w:left w:val="nil"/>
              <w:bottom w:val="single" w:sz="4" w:space="0" w:color="auto"/>
              <w:right w:val="single" w:sz="4" w:space="0" w:color="auto"/>
            </w:tcBorders>
            <w:shd w:val="clear" w:color="auto" w:fill="auto"/>
            <w:noWrap/>
            <w:vAlign w:val="bottom"/>
            <w:hideMark/>
          </w:tcPr>
          <w:p w14:paraId="503304CE"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w:t>
            </w:r>
          </w:p>
        </w:tc>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4C4626"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44.65%</w:t>
            </w:r>
          </w:p>
        </w:tc>
        <w:tc>
          <w:tcPr>
            <w:tcW w:w="408" w:type="dxa"/>
            <w:tcBorders>
              <w:top w:val="nil"/>
              <w:left w:val="nil"/>
              <w:bottom w:val="single" w:sz="4" w:space="0" w:color="auto"/>
              <w:right w:val="single" w:sz="4" w:space="0" w:color="auto"/>
            </w:tcBorders>
            <w:shd w:val="clear" w:color="auto" w:fill="auto"/>
            <w:noWrap/>
            <w:vAlign w:val="bottom"/>
            <w:hideMark/>
          </w:tcPr>
          <w:p w14:paraId="192C0E8D"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w:t>
            </w:r>
          </w:p>
        </w:tc>
        <w:tc>
          <w:tcPr>
            <w:tcW w:w="6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36FC88"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30.00%</w:t>
            </w:r>
          </w:p>
        </w:tc>
      </w:tr>
      <w:tr w:rsidR="005D67A7" w:rsidRPr="00E87E42" w14:paraId="644F784F" w14:textId="77777777" w:rsidTr="00A056AD">
        <w:trPr>
          <w:trHeight w:val="227"/>
        </w:trPr>
        <w:tc>
          <w:tcPr>
            <w:tcW w:w="1448" w:type="dxa"/>
            <w:vMerge/>
            <w:tcBorders>
              <w:top w:val="nil"/>
              <w:left w:val="single" w:sz="4" w:space="0" w:color="auto"/>
              <w:bottom w:val="single" w:sz="4" w:space="0" w:color="auto"/>
              <w:right w:val="single" w:sz="4" w:space="0" w:color="auto"/>
            </w:tcBorders>
            <w:vAlign w:val="center"/>
            <w:hideMark/>
          </w:tcPr>
          <w:p w14:paraId="463C6C65" w14:textId="77777777" w:rsidR="00B46794" w:rsidRPr="00E87E42" w:rsidRDefault="00B46794" w:rsidP="00A27212">
            <w:pPr>
              <w:spacing w:after="0" w:line="240" w:lineRule="auto"/>
              <w:jc w:val="left"/>
              <w:rPr>
                <w:rFonts w:eastAsia="Times New Roman"/>
                <w:color w:val="000000"/>
                <w:sz w:val="16"/>
                <w:szCs w:val="16"/>
                <w:lang w:eastAsia="en-GB"/>
              </w:rPr>
            </w:pPr>
          </w:p>
        </w:tc>
        <w:tc>
          <w:tcPr>
            <w:tcW w:w="1781" w:type="dxa"/>
            <w:tcBorders>
              <w:top w:val="nil"/>
              <w:left w:val="nil"/>
              <w:bottom w:val="single" w:sz="4" w:space="0" w:color="auto"/>
              <w:right w:val="single" w:sz="4" w:space="0" w:color="auto"/>
            </w:tcBorders>
            <w:shd w:val="clear" w:color="auto" w:fill="auto"/>
            <w:noWrap/>
            <w:vAlign w:val="bottom"/>
            <w:hideMark/>
          </w:tcPr>
          <w:p w14:paraId="1717395C"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Structure involved</w:t>
            </w:r>
          </w:p>
        </w:tc>
        <w:tc>
          <w:tcPr>
            <w:tcW w:w="319" w:type="dxa"/>
            <w:tcBorders>
              <w:top w:val="nil"/>
              <w:left w:val="nil"/>
              <w:bottom w:val="single" w:sz="4" w:space="0" w:color="auto"/>
              <w:right w:val="single" w:sz="4" w:space="0" w:color="auto"/>
            </w:tcBorders>
            <w:shd w:val="clear" w:color="auto" w:fill="auto"/>
            <w:noWrap/>
            <w:vAlign w:val="bottom"/>
            <w:hideMark/>
          </w:tcPr>
          <w:p w14:paraId="710029A7"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474" w:type="dxa"/>
            <w:vMerge/>
            <w:tcBorders>
              <w:top w:val="nil"/>
              <w:left w:val="single" w:sz="4" w:space="0" w:color="auto"/>
              <w:bottom w:val="single" w:sz="4" w:space="0" w:color="auto"/>
              <w:right w:val="single" w:sz="4" w:space="0" w:color="auto"/>
            </w:tcBorders>
            <w:vAlign w:val="center"/>
            <w:hideMark/>
          </w:tcPr>
          <w:p w14:paraId="2E4AE474" w14:textId="77777777" w:rsidR="00B46794" w:rsidRPr="00E87E42" w:rsidRDefault="00B46794" w:rsidP="00A27212">
            <w:pPr>
              <w:spacing w:after="0" w:line="240" w:lineRule="auto"/>
              <w:jc w:val="left"/>
              <w:rPr>
                <w:rFonts w:eastAsia="Times New Roman"/>
                <w:color w:val="000000"/>
                <w:sz w:val="16"/>
                <w:szCs w:val="16"/>
                <w:lang w:eastAsia="en-GB"/>
              </w:rPr>
            </w:pPr>
          </w:p>
        </w:tc>
        <w:tc>
          <w:tcPr>
            <w:tcW w:w="393" w:type="dxa"/>
            <w:tcBorders>
              <w:top w:val="nil"/>
              <w:left w:val="nil"/>
              <w:bottom w:val="single" w:sz="4" w:space="0" w:color="auto"/>
              <w:right w:val="single" w:sz="4" w:space="0" w:color="auto"/>
            </w:tcBorders>
            <w:shd w:val="clear" w:color="auto" w:fill="auto"/>
            <w:noWrap/>
            <w:vAlign w:val="bottom"/>
            <w:hideMark/>
          </w:tcPr>
          <w:p w14:paraId="0A2B087E"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w:t>
            </w:r>
          </w:p>
        </w:tc>
        <w:tc>
          <w:tcPr>
            <w:tcW w:w="615" w:type="dxa"/>
            <w:vMerge/>
            <w:tcBorders>
              <w:top w:val="nil"/>
              <w:left w:val="single" w:sz="4" w:space="0" w:color="auto"/>
              <w:bottom w:val="single" w:sz="4" w:space="0" w:color="auto"/>
              <w:right w:val="single" w:sz="4" w:space="0" w:color="auto"/>
            </w:tcBorders>
            <w:vAlign w:val="center"/>
            <w:hideMark/>
          </w:tcPr>
          <w:p w14:paraId="2FF16ECA" w14:textId="77777777" w:rsidR="00B46794" w:rsidRPr="00E87E42" w:rsidRDefault="00B46794" w:rsidP="00A27212">
            <w:pPr>
              <w:spacing w:after="0" w:line="240" w:lineRule="auto"/>
              <w:jc w:val="left"/>
              <w:rPr>
                <w:rFonts w:eastAsia="Times New Roman"/>
                <w:color w:val="000000"/>
                <w:sz w:val="16"/>
                <w:szCs w:val="16"/>
                <w:lang w:eastAsia="en-GB"/>
              </w:rPr>
            </w:pPr>
          </w:p>
        </w:tc>
        <w:tc>
          <w:tcPr>
            <w:tcW w:w="408" w:type="dxa"/>
            <w:tcBorders>
              <w:top w:val="nil"/>
              <w:left w:val="nil"/>
              <w:bottom w:val="single" w:sz="4" w:space="0" w:color="auto"/>
              <w:right w:val="single" w:sz="4" w:space="0" w:color="auto"/>
            </w:tcBorders>
            <w:shd w:val="clear" w:color="auto" w:fill="auto"/>
            <w:noWrap/>
            <w:vAlign w:val="bottom"/>
            <w:hideMark/>
          </w:tcPr>
          <w:p w14:paraId="5C340AE1"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w:t>
            </w:r>
          </w:p>
        </w:tc>
        <w:tc>
          <w:tcPr>
            <w:tcW w:w="608" w:type="dxa"/>
            <w:vMerge/>
            <w:tcBorders>
              <w:top w:val="nil"/>
              <w:left w:val="single" w:sz="4" w:space="0" w:color="auto"/>
              <w:bottom w:val="single" w:sz="4" w:space="0" w:color="auto"/>
              <w:right w:val="single" w:sz="4" w:space="0" w:color="auto"/>
            </w:tcBorders>
            <w:vAlign w:val="center"/>
            <w:hideMark/>
          </w:tcPr>
          <w:p w14:paraId="53924F3A" w14:textId="77777777" w:rsidR="00B46794" w:rsidRPr="00E87E42" w:rsidRDefault="00B46794" w:rsidP="00A27212">
            <w:pPr>
              <w:spacing w:after="0" w:line="240" w:lineRule="auto"/>
              <w:jc w:val="left"/>
              <w:rPr>
                <w:rFonts w:eastAsia="Times New Roman"/>
                <w:color w:val="000000"/>
                <w:sz w:val="16"/>
                <w:szCs w:val="16"/>
                <w:lang w:eastAsia="en-GB"/>
              </w:rPr>
            </w:pPr>
          </w:p>
        </w:tc>
        <w:tc>
          <w:tcPr>
            <w:tcW w:w="408" w:type="dxa"/>
            <w:tcBorders>
              <w:top w:val="nil"/>
              <w:left w:val="nil"/>
              <w:bottom w:val="single" w:sz="4" w:space="0" w:color="auto"/>
              <w:right w:val="single" w:sz="4" w:space="0" w:color="auto"/>
            </w:tcBorders>
            <w:shd w:val="clear" w:color="auto" w:fill="auto"/>
            <w:noWrap/>
            <w:vAlign w:val="bottom"/>
            <w:hideMark/>
          </w:tcPr>
          <w:p w14:paraId="2EF636B8"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45%</w:t>
            </w:r>
          </w:p>
        </w:tc>
        <w:tc>
          <w:tcPr>
            <w:tcW w:w="608" w:type="dxa"/>
            <w:vMerge/>
            <w:tcBorders>
              <w:top w:val="nil"/>
              <w:left w:val="single" w:sz="4" w:space="0" w:color="auto"/>
              <w:bottom w:val="single" w:sz="4" w:space="0" w:color="auto"/>
              <w:right w:val="single" w:sz="4" w:space="0" w:color="auto"/>
            </w:tcBorders>
            <w:vAlign w:val="center"/>
            <w:hideMark/>
          </w:tcPr>
          <w:p w14:paraId="369DF1BC" w14:textId="77777777" w:rsidR="00B46794" w:rsidRPr="00E87E42" w:rsidRDefault="00B46794" w:rsidP="00A27212">
            <w:pPr>
              <w:spacing w:after="0" w:line="240" w:lineRule="auto"/>
              <w:jc w:val="left"/>
              <w:rPr>
                <w:rFonts w:eastAsia="Times New Roman"/>
                <w:color w:val="000000"/>
                <w:sz w:val="16"/>
                <w:szCs w:val="16"/>
                <w:lang w:eastAsia="en-GB"/>
              </w:rPr>
            </w:pPr>
          </w:p>
        </w:tc>
      </w:tr>
      <w:tr w:rsidR="005D67A7" w:rsidRPr="00E87E42" w14:paraId="43166F0E" w14:textId="77777777" w:rsidTr="00A056AD">
        <w:trPr>
          <w:trHeight w:val="227"/>
        </w:trPr>
        <w:tc>
          <w:tcPr>
            <w:tcW w:w="14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C765AF"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Spread beyond room</w:t>
            </w:r>
          </w:p>
        </w:tc>
        <w:tc>
          <w:tcPr>
            <w:tcW w:w="1781" w:type="dxa"/>
            <w:tcBorders>
              <w:top w:val="nil"/>
              <w:left w:val="nil"/>
              <w:bottom w:val="single" w:sz="4" w:space="0" w:color="auto"/>
              <w:right w:val="single" w:sz="4" w:space="0" w:color="auto"/>
            </w:tcBorders>
            <w:shd w:val="clear" w:color="auto" w:fill="auto"/>
            <w:noWrap/>
            <w:vAlign w:val="bottom"/>
            <w:hideMark/>
          </w:tcPr>
          <w:p w14:paraId="1794D580"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Confined to floor</w:t>
            </w:r>
          </w:p>
        </w:tc>
        <w:tc>
          <w:tcPr>
            <w:tcW w:w="3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CF4AB2"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w:t>
            </w:r>
          </w:p>
        </w:tc>
        <w:tc>
          <w:tcPr>
            <w:tcW w:w="474" w:type="dxa"/>
            <w:tcBorders>
              <w:top w:val="nil"/>
              <w:left w:val="nil"/>
              <w:bottom w:val="single" w:sz="4" w:space="0" w:color="auto"/>
              <w:right w:val="single" w:sz="4" w:space="0" w:color="auto"/>
            </w:tcBorders>
            <w:shd w:val="clear" w:color="auto" w:fill="auto"/>
            <w:noWrap/>
            <w:vAlign w:val="bottom"/>
            <w:hideMark/>
          </w:tcPr>
          <w:p w14:paraId="0271552D"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2.18</w:t>
            </w: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DD4FE7"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101</w:t>
            </w:r>
          </w:p>
        </w:tc>
        <w:tc>
          <w:tcPr>
            <w:tcW w:w="615" w:type="dxa"/>
            <w:tcBorders>
              <w:top w:val="nil"/>
              <w:left w:val="nil"/>
              <w:bottom w:val="single" w:sz="4" w:space="0" w:color="auto"/>
              <w:right w:val="single" w:sz="4" w:space="0" w:color="auto"/>
            </w:tcBorders>
            <w:shd w:val="clear" w:color="auto" w:fill="auto"/>
            <w:noWrap/>
            <w:vAlign w:val="bottom"/>
            <w:hideMark/>
          </w:tcPr>
          <w:p w14:paraId="554F1F5F"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8.20</w:t>
            </w:r>
          </w:p>
        </w:tc>
        <w:tc>
          <w:tcPr>
            <w:tcW w:w="4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7350CF"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w:t>
            </w:r>
          </w:p>
        </w:tc>
        <w:tc>
          <w:tcPr>
            <w:tcW w:w="608" w:type="dxa"/>
            <w:tcBorders>
              <w:top w:val="nil"/>
              <w:left w:val="nil"/>
              <w:bottom w:val="single" w:sz="4" w:space="0" w:color="auto"/>
              <w:right w:val="single" w:sz="4" w:space="0" w:color="auto"/>
            </w:tcBorders>
            <w:shd w:val="clear" w:color="auto" w:fill="auto"/>
            <w:noWrap/>
            <w:vAlign w:val="bottom"/>
            <w:hideMark/>
          </w:tcPr>
          <w:p w14:paraId="7DEFF21B"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4.19%</w:t>
            </w:r>
          </w:p>
        </w:tc>
        <w:tc>
          <w:tcPr>
            <w:tcW w:w="4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27FF00"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w:t>
            </w:r>
          </w:p>
        </w:tc>
        <w:tc>
          <w:tcPr>
            <w:tcW w:w="608" w:type="dxa"/>
            <w:tcBorders>
              <w:top w:val="nil"/>
              <w:left w:val="nil"/>
              <w:bottom w:val="single" w:sz="4" w:space="0" w:color="auto"/>
              <w:right w:val="single" w:sz="4" w:space="0" w:color="auto"/>
            </w:tcBorders>
            <w:shd w:val="clear" w:color="auto" w:fill="auto"/>
            <w:noWrap/>
            <w:vAlign w:val="bottom"/>
            <w:hideMark/>
          </w:tcPr>
          <w:p w14:paraId="0E6E9352"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7.69%</w:t>
            </w:r>
          </w:p>
        </w:tc>
      </w:tr>
      <w:tr w:rsidR="005D67A7" w:rsidRPr="00E87E42" w14:paraId="0440532B" w14:textId="77777777" w:rsidTr="00A056AD">
        <w:trPr>
          <w:trHeight w:val="227"/>
        </w:trPr>
        <w:tc>
          <w:tcPr>
            <w:tcW w:w="1448" w:type="dxa"/>
            <w:vMerge/>
            <w:tcBorders>
              <w:top w:val="nil"/>
              <w:left w:val="single" w:sz="4" w:space="0" w:color="auto"/>
              <w:bottom w:val="single" w:sz="4" w:space="0" w:color="auto"/>
              <w:right w:val="single" w:sz="4" w:space="0" w:color="auto"/>
            </w:tcBorders>
            <w:vAlign w:val="center"/>
            <w:hideMark/>
          </w:tcPr>
          <w:p w14:paraId="4EAF43C0" w14:textId="77777777" w:rsidR="00B46794" w:rsidRPr="00E87E42" w:rsidRDefault="00B46794" w:rsidP="00A27212">
            <w:pPr>
              <w:spacing w:after="0" w:line="240" w:lineRule="auto"/>
              <w:jc w:val="left"/>
              <w:rPr>
                <w:rFonts w:eastAsia="Times New Roman"/>
                <w:color w:val="000000"/>
                <w:sz w:val="16"/>
                <w:szCs w:val="16"/>
                <w:lang w:eastAsia="en-GB"/>
              </w:rPr>
            </w:pPr>
          </w:p>
        </w:tc>
        <w:tc>
          <w:tcPr>
            <w:tcW w:w="1781" w:type="dxa"/>
            <w:tcBorders>
              <w:top w:val="nil"/>
              <w:left w:val="nil"/>
              <w:bottom w:val="single" w:sz="4" w:space="0" w:color="auto"/>
              <w:right w:val="single" w:sz="4" w:space="0" w:color="auto"/>
            </w:tcBorders>
            <w:shd w:val="clear" w:color="auto" w:fill="auto"/>
            <w:noWrap/>
            <w:vAlign w:val="bottom"/>
            <w:hideMark/>
          </w:tcPr>
          <w:p w14:paraId="34C70A85"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Confined to building</w:t>
            </w:r>
          </w:p>
        </w:tc>
        <w:tc>
          <w:tcPr>
            <w:tcW w:w="319" w:type="dxa"/>
            <w:vMerge/>
            <w:tcBorders>
              <w:top w:val="nil"/>
              <w:left w:val="single" w:sz="4" w:space="0" w:color="auto"/>
              <w:bottom w:val="single" w:sz="4" w:space="0" w:color="auto"/>
              <w:right w:val="single" w:sz="4" w:space="0" w:color="auto"/>
            </w:tcBorders>
            <w:vAlign w:val="center"/>
            <w:hideMark/>
          </w:tcPr>
          <w:p w14:paraId="52EB6E20" w14:textId="77777777" w:rsidR="00B46794" w:rsidRPr="00E87E42" w:rsidRDefault="00B46794" w:rsidP="00A27212">
            <w:pPr>
              <w:spacing w:after="0" w:line="240" w:lineRule="auto"/>
              <w:jc w:val="left"/>
              <w:rPr>
                <w:rFonts w:eastAsia="Times New Roman"/>
                <w:color w:val="000000"/>
                <w:sz w:val="16"/>
                <w:szCs w:val="16"/>
                <w:lang w:eastAsia="en-GB"/>
              </w:rPr>
            </w:pPr>
          </w:p>
        </w:tc>
        <w:tc>
          <w:tcPr>
            <w:tcW w:w="474" w:type="dxa"/>
            <w:tcBorders>
              <w:top w:val="nil"/>
              <w:left w:val="nil"/>
              <w:bottom w:val="single" w:sz="4" w:space="0" w:color="auto"/>
              <w:right w:val="single" w:sz="4" w:space="0" w:color="auto"/>
            </w:tcBorders>
            <w:shd w:val="clear" w:color="auto" w:fill="auto"/>
            <w:noWrap/>
            <w:vAlign w:val="bottom"/>
            <w:hideMark/>
          </w:tcPr>
          <w:p w14:paraId="2CECAB5A"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11.95</w:t>
            </w:r>
          </w:p>
        </w:tc>
        <w:tc>
          <w:tcPr>
            <w:tcW w:w="393" w:type="dxa"/>
            <w:vMerge/>
            <w:tcBorders>
              <w:top w:val="nil"/>
              <w:left w:val="single" w:sz="4" w:space="0" w:color="auto"/>
              <w:bottom w:val="single" w:sz="4" w:space="0" w:color="000000"/>
              <w:right w:val="single" w:sz="4" w:space="0" w:color="auto"/>
            </w:tcBorders>
            <w:vAlign w:val="center"/>
            <w:hideMark/>
          </w:tcPr>
          <w:p w14:paraId="0E765A7D" w14:textId="77777777" w:rsidR="00B46794" w:rsidRPr="00E87E42" w:rsidRDefault="00B46794" w:rsidP="00A27212">
            <w:pPr>
              <w:spacing w:after="0" w:line="240" w:lineRule="auto"/>
              <w:jc w:val="left"/>
              <w:rPr>
                <w:rFonts w:eastAsia="Times New Roman"/>
                <w:color w:val="000000"/>
                <w:sz w:val="16"/>
                <w:szCs w:val="16"/>
                <w:lang w:eastAsia="en-GB"/>
              </w:rPr>
            </w:pPr>
          </w:p>
        </w:tc>
        <w:tc>
          <w:tcPr>
            <w:tcW w:w="615" w:type="dxa"/>
            <w:tcBorders>
              <w:top w:val="nil"/>
              <w:left w:val="nil"/>
              <w:bottom w:val="single" w:sz="4" w:space="0" w:color="auto"/>
              <w:right w:val="single" w:sz="4" w:space="0" w:color="auto"/>
            </w:tcBorders>
            <w:shd w:val="clear" w:color="auto" w:fill="auto"/>
            <w:noWrap/>
            <w:vAlign w:val="bottom"/>
            <w:hideMark/>
          </w:tcPr>
          <w:p w14:paraId="6D7A2920"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126.67</w:t>
            </w:r>
          </w:p>
        </w:tc>
        <w:tc>
          <w:tcPr>
            <w:tcW w:w="408" w:type="dxa"/>
            <w:vMerge/>
            <w:tcBorders>
              <w:top w:val="nil"/>
              <w:left w:val="single" w:sz="4" w:space="0" w:color="auto"/>
              <w:bottom w:val="single" w:sz="4" w:space="0" w:color="auto"/>
              <w:right w:val="single" w:sz="4" w:space="0" w:color="auto"/>
            </w:tcBorders>
            <w:vAlign w:val="center"/>
            <w:hideMark/>
          </w:tcPr>
          <w:p w14:paraId="0288A7EA" w14:textId="77777777" w:rsidR="00B46794" w:rsidRPr="00E87E42" w:rsidRDefault="00B46794" w:rsidP="00A27212">
            <w:pPr>
              <w:spacing w:after="0" w:line="240" w:lineRule="auto"/>
              <w:jc w:val="left"/>
              <w:rPr>
                <w:rFonts w:eastAsia="Times New Roman"/>
                <w:color w:val="000000"/>
                <w:sz w:val="16"/>
                <w:szCs w:val="16"/>
                <w:lang w:eastAsia="en-GB"/>
              </w:rPr>
            </w:pPr>
          </w:p>
        </w:tc>
        <w:tc>
          <w:tcPr>
            <w:tcW w:w="608" w:type="dxa"/>
            <w:tcBorders>
              <w:top w:val="nil"/>
              <w:left w:val="nil"/>
              <w:bottom w:val="single" w:sz="4" w:space="0" w:color="auto"/>
              <w:right w:val="single" w:sz="4" w:space="0" w:color="auto"/>
            </w:tcBorders>
            <w:shd w:val="clear" w:color="auto" w:fill="auto"/>
            <w:noWrap/>
            <w:vAlign w:val="bottom"/>
            <w:hideMark/>
          </w:tcPr>
          <w:p w14:paraId="4F9E7614"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24.19%</w:t>
            </w:r>
          </w:p>
        </w:tc>
        <w:tc>
          <w:tcPr>
            <w:tcW w:w="408" w:type="dxa"/>
            <w:vMerge/>
            <w:tcBorders>
              <w:top w:val="nil"/>
              <w:left w:val="single" w:sz="4" w:space="0" w:color="auto"/>
              <w:bottom w:val="single" w:sz="4" w:space="0" w:color="auto"/>
              <w:right w:val="single" w:sz="4" w:space="0" w:color="auto"/>
            </w:tcBorders>
            <w:vAlign w:val="center"/>
            <w:hideMark/>
          </w:tcPr>
          <w:p w14:paraId="0D24AE58" w14:textId="77777777" w:rsidR="00B46794" w:rsidRPr="00E87E42" w:rsidRDefault="00B46794" w:rsidP="00A27212">
            <w:pPr>
              <w:spacing w:after="0" w:line="240" w:lineRule="auto"/>
              <w:jc w:val="left"/>
              <w:rPr>
                <w:rFonts w:eastAsia="Times New Roman"/>
                <w:color w:val="000000"/>
                <w:sz w:val="16"/>
                <w:szCs w:val="16"/>
                <w:lang w:eastAsia="en-GB"/>
              </w:rPr>
            </w:pPr>
          </w:p>
        </w:tc>
        <w:tc>
          <w:tcPr>
            <w:tcW w:w="608" w:type="dxa"/>
            <w:tcBorders>
              <w:top w:val="nil"/>
              <w:left w:val="nil"/>
              <w:bottom w:val="single" w:sz="4" w:space="0" w:color="auto"/>
              <w:right w:val="single" w:sz="4" w:space="0" w:color="auto"/>
            </w:tcBorders>
            <w:shd w:val="clear" w:color="auto" w:fill="auto"/>
            <w:noWrap/>
            <w:vAlign w:val="bottom"/>
            <w:hideMark/>
          </w:tcPr>
          <w:p w14:paraId="53411E9D"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37.31%</w:t>
            </w:r>
          </w:p>
        </w:tc>
      </w:tr>
      <w:tr w:rsidR="005D67A7" w:rsidRPr="00E87E42" w14:paraId="541FE211" w14:textId="77777777" w:rsidTr="00A056AD">
        <w:trPr>
          <w:trHeight w:val="227"/>
        </w:trPr>
        <w:tc>
          <w:tcPr>
            <w:tcW w:w="1448" w:type="dxa"/>
            <w:vMerge/>
            <w:tcBorders>
              <w:top w:val="nil"/>
              <w:left w:val="single" w:sz="4" w:space="0" w:color="auto"/>
              <w:bottom w:val="single" w:sz="4" w:space="0" w:color="auto"/>
              <w:right w:val="single" w:sz="4" w:space="0" w:color="auto"/>
            </w:tcBorders>
            <w:vAlign w:val="center"/>
            <w:hideMark/>
          </w:tcPr>
          <w:p w14:paraId="32C33BD7" w14:textId="77777777" w:rsidR="00B46794" w:rsidRPr="00E87E42" w:rsidRDefault="00B46794" w:rsidP="00A27212">
            <w:pPr>
              <w:spacing w:after="0" w:line="240" w:lineRule="auto"/>
              <w:jc w:val="left"/>
              <w:rPr>
                <w:rFonts w:eastAsia="Times New Roman"/>
                <w:color w:val="000000"/>
                <w:sz w:val="16"/>
                <w:szCs w:val="16"/>
                <w:lang w:eastAsia="en-GB"/>
              </w:rPr>
            </w:pPr>
          </w:p>
        </w:tc>
        <w:tc>
          <w:tcPr>
            <w:tcW w:w="1781" w:type="dxa"/>
            <w:tcBorders>
              <w:top w:val="nil"/>
              <w:left w:val="nil"/>
              <w:bottom w:val="single" w:sz="4" w:space="0" w:color="auto"/>
              <w:right w:val="single" w:sz="4" w:space="0" w:color="auto"/>
            </w:tcBorders>
            <w:shd w:val="clear" w:color="auto" w:fill="auto"/>
            <w:noWrap/>
            <w:vAlign w:val="bottom"/>
            <w:hideMark/>
          </w:tcPr>
          <w:p w14:paraId="06DB68D2"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Beyond building of origin</w:t>
            </w:r>
          </w:p>
        </w:tc>
        <w:tc>
          <w:tcPr>
            <w:tcW w:w="319" w:type="dxa"/>
            <w:vMerge/>
            <w:tcBorders>
              <w:top w:val="nil"/>
              <w:left w:val="single" w:sz="4" w:space="0" w:color="auto"/>
              <w:bottom w:val="single" w:sz="4" w:space="0" w:color="auto"/>
              <w:right w:val="single" w:sz="4" w:space="0" w:color="auto"/>
            </w:tcBorders>
            <w:vAlign w:val="center"/>
            <w:hideMark/>
          </w:tcPr>
          <w:p w14:paraId="2A50FF3B" w14:textId="77777777" w:rsidR="00B46794" w:rsidRPr="00E87E42" w:rsidRDefault="00B46794" w:rsidP="00A27212">
            <w:pPr>
              <w:spacing w:after="0" w:line="240" w:lineRule="auto"/>
              <w:jc w:val="left"/>
              <w:rPr>
                <w:rFonts w:eastAsia="Times New Roman"/>
                <w:color w:val="000000"/>
                <w:sz w:val="16"/>
                <w:szCs w:val="16"/>
                <w:lang w:eastAsia="en-GB"/>
              </w:rPr>
            </w:pPr>
          </w:p>
        </w:tc>
        <w:tc>
          <w:tcPr>
            <w:tcW w:w="474" w:type="dxa"/>
            <w:tcBorders>
              <w:top w:val="nil"/>
              <w:left w:val="nil"/>
              <w:bottom w:val="single" w:sz="4" w:space="0" w:color="auto"/>
              <w:right w:val="single" w:sz="4" w:space="0" w:color="auto"/>
            </w:tcBorders>
            <w:shd w:val="clear" w:color="auto" w:fill="auto"/>
            <w:noWrap/>
            <w:vAlign w:val="bottom"/>
            <w:hideMark/>
          </w:tcPr>
          <w:p w14:paraId="005C4418"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1.02</w:t>
            </w:r>
          </w:p>
        </w:tc>
        <w:tc>
          <w:tcPr>
            <w:tcW w:w="393" w:type="dxa"/>
            <w:vMerge/>
            <w:tcBorders>
              <w:top w:val="nil"/>
              <w:left w:val="single" w:sz="4" w:space="0" w:color="auto"/>
              <w:bottom w:val="single" w:sz="4" w:space="0" w:color="000000"/>
              <w:right w:val="single" w:sz="4" w:space="0" w:color="auto"/>
            </w:tcBorders>
            <w:vAlign w:val="center"/>
            <w:hideMark/>
          </w:tcPr>
          <w:p w14:paraId="6EACEF09" w14:textId="77777777" w:rsidR="00B46794" w:rsidRPr="00E87E42" w:rsidRDefault="00B46794" w:rsidP="00A27212">
            <w:pPr>
              <w:spacing w:after="0" w:line="240" w:lineRule="auto"/>
              <w:jc w:val="left"/>
              <w:rPr>
                <w:rFonts w:eastAsia="Times New Roman"/>
                <w:color w:val="000000"/>
                <w:sz w:val="16"/>
                <w:szCs w:val="16"/>
                <w:lang w:eastAsia="en-GB"/>
              </w:rPr>
            </w:pPr>
          </w:p>
        </w:tc>
        <w:tc>
          <w:tcPr>
            <w:tcW w:w="615" w:type="dxa"/>
            <w:tcBorders>
              <w:top w:val="nil"/>
              <w:left w:val="nil"/>
              <w:bottom w:val="single" w:sz="4" w:space="0" w:color="auto"/>
              <w:right w:val="single" w:sz="4" w:space="0" w:color="auto"/>
            </w:tcBorders>
            <w:shd w:val="clear" w:color="auto" w:fill="auto"/>
            <w:noWrap/>
            <w:vAlign w:val="bottom"/>
            <w:hideMark/>
          </w:tcPr>
          <w:p w14:paraId="7B5B0D73"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79.05</w:t>
            </w:r>
          </w:p>
        </w:tc>
        <w:tc>
          <w:tcPr>
            <w:tcW w:w="408" w:type="dxa"/>
            <w:vMerge/>
            <w:tcBorders>
              <w:top w:val="nil"/>
              <w:left w:val="single" w:sz="4" w:space="0" w:color="auto"/>
              <w:bottom w:val="single" w:sz="4" w:space="0" w:color="auto"/>
              <w:right w:val="single" w:sz="4" w:space="0" w:color="auto"/>
            </w:tcBorders>
            <w:vAlign w:val="center"/>
            <w:hideMark/>
          </w:tcPr>
          <w:p w14:paraId="6F1FF3A1" w14:textId="77777777" w:rsidR="00B46794" w:rsidRPr="00E87E42" w:rsidRDefault="00B46794" w:rsidP="00A27212">
            <w:pPr>
              <w:spacing w:after="0" w:line="240" w:lineRule="auto"/>
              <w:jc w:val="left"/>
              <w:rPr>
                <w:rFonts w:eastAsia="Times New Roman"/>
                <w:color w:val="000000"/>
                <w:sz w:val="16"/>
                <w:szCs w:val="16"/>
                <w:lang w:eastAsia="en-GB"/>
              </w:rPr>
            </w:pPr>
          </w:p>
        </w:tc>
        <w:tc>
          <w:tcPr>
            <w:tcW w:w="608" w:type="dxa"/>
            <w:tcBorders>
              <w:top w:val="nil"/>
              <w:left w:val="nil"/>
              <w:bottom w:val="single" w:sz="4" w:space="0" w:color="auto"/>
              <w:right w:val="single" w:sz="4" w:space="0" w:color="auto"/>
            </w:tcBorders>
            <w:shd w:val="clear" w:color="auto" w:fill="auto"/>
            <w:noWrap/>
            <w:vAlign w:val="bottom"/>
            <w:hideMark/>
          </w:tcPr>
          <w:p w14:paraId="37D25542"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1.40%</w:t>
            </w:r>
          </w:p>
        </w:tc>
        <w:tc>
          <w:tcPr>
            <w:tcW w:w="408" w:type="dxa"/>
            <w:vMerge/>
            <w:tcBorders>
              <w:top w:val="nil"/>
              <w:left w:val="single" w:sz="4" w:space="0" w:color="auto"/>
              <w:bottom w:val="single" w:sz="4" w:space="0" w:color="auto"/>
              <w:right w:val="single" w:sz="4" w:space="0" w:color="auto"/>
            </w:tcBorders>
            <w:vAlign w:val="center"/>
            <w:hideMark/>
          </w:tcPr>
          <w:p w14:paraId="1B1DA2DD" w14:textId="77777777" w:rsidR="00B46794" w:rsidRPr="00E87E42" w:rsidRDefault="00B46794" w:rsidP="00A27212">
            <w:pPr>
              <w:spacing w:after="0" w:line="240" w:lineRule="auto"/>
              <w:jc w:val="left"/>
              <w:rPr>
                <w:rFonts w:eastAsia="Times New Roman"/>
                <w:color w:val="000000"/>
                <w:sz w:val="16"/>
                <w:szCs w:val="16"/>
                <w:lang w:eastAsia="en-GB"/>
              </w:rPr>
            </w:pPr>
          </w:p>
        </w:tc>
        <w:tc>
          <w:tcPr>
            <w:tcW w:w="608" w:type="dxa"/>
            <w:tcBorders>
              <w:top w:val="nil"/>
              <w:left w:val="nil"/>
              <w:bottom w:val="single" w:sz="4" w:space="0" w:color="auto"/>
              <w:right w:val="single" w:sz="4" w:space="0" w:color="auto"/>
            </w:tcBorders>
            <w:shd w:val="clear" w:color="auto" w:fill="auto"/>
            <w:noWrap/>
            <w:vAlign w:val="bottom"/>
            <w:hideMark/>
          </w:tcPr>
          <w:p w14:paraId="5AFDC29D" w14:textId="77777777" w:rsidR="00B46794" w:rsidRPr="00E87E42" w:rsidRDefault="00B46794"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4.62%</w:t>
            </w:r>
          </w:p>
        </w:tc>
      </w:tr>
      <w:tr w:rsidR="002612B7" w:rsidRPr="00E87E42" w14:paraId="5F71693D" w14:textId="77777777" w:rsidTr="008A55B5">
        <w:trPr>
          <w:trHeight w:val="227"/>
        </w:trPr>
        <w:tc>
          <w:tcPr>
            <w:tcW w:w="32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088A1" w14:textId="77777777" w:rsidR="002612B7" w:rsidRPr="00E87E42" w:rsidRDefault="002612B7"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Average</w:t>
            </w:r>
          </w:p>
        </w:tc>
        <w:tc>
          <w:tcPr>
            <w:tcW w:w="319" w:type="dxa"/>
            <w:tcBorders>
              <w:top w:val="nil"/>
              <w:left w:val="nil"/>
              <w:bottom w:val="single" w:sz="4" w:space="0" w:color="auto"/>
              <w:right w:val="single" w:sz="4" w:space="0" w:color="auto"/>
            </w:tcBorders>
            <w:shd w:val="clear" w:color="auto" w:fill="auto"/>
            <w:noWrap/>
            <w:vAlign w:val="bottom"/>
            <w:hideMark/>
          </w:tcPr>
          <w:p w14:paraId="6EF67C40" w14:textId="77777777" w:rsidR="002612B7" w:rsidRPr="00E87E42" w:rsidRDefault="002612B7"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474" w:type="dxa"/>
            <w:tcBorders>
              <w:top w:val="nil"/>
              <w:left w:val="nil"/>
              <w:bottom w:val="single" w:sz="4" w:space="0" w:color="auto"/>
              <w:right w:val="single" w:sz="4" w:space="0" w:color="auto"/>
            </w:tcBorders>
            <w:shd w:val="clear" w:color="auto" w:fill="auto"/>
            <w:noWrap/>
            <w:vAlign w:val="bottom"/>
            <w:hideMark/>
          </w:tcPr>
          <w:p w14:paraId="01099572" w14:textId="77777777" w:rsidR="002612B7" w:rsidRPr="00E87E42" w:rsidRDefault="002612B7"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21.77</w:t>
            </w:r>
          </w:p>
        </w:tc>
        <w:tc>
          <w:tcPr>
            <w:tcW w:w="393" w:type="dxa"/>
            <w:tcBorders>
              <w:top w:val="nil"/>
              <w:left w:val="nil"/>
              <w:bottom w:val="single" w:sz="4" w:space="0" w:color="auto"/>
              <w:right w:val="nil"/>
            </w:tcBorders>
            <w:shd w:val="clear" w:color="000000" w:fill="FFFFFF"/>
            <w:noWrap/>
            <w:vAlign w:val="bottom"/>
            <w:hideMark/>
          </w:tcPr>
          <w:p w14:paraId="67B6E2FF" w14:textId="77777777" w:rsidR="002612B7" w:rsidRPr="00E87E42" w:rsidRDefault="002612B7"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w:t>
            </w:r>
          </w:p>
        </w:tc>
        <w:tc>
          <w:tcPr>
            <w:tcW w:w="615" w:type="dxa"/>
            <w:tcBorders>
              <w:top w:val="nil"/>
              <w:left w:val="single" w:sz="4" w:space="0" w:color="auto"/>
              <w:bottom w:val="single" w:sz="4" w:space="0" w:color="auto"/>
              <w:right w:val="single" w:sz="4" w:space="0" w:color="auto"/>
            </w:tcBorders>
            <w:shd w:val="clear" w:color="auto" w:fill="auto"/>
            <w:noWrap/>
            <w:vAlign w:val="bottom"/>
            <w:hideMark/>
          </w:tcPr>
          <w:p w14:paraId="6E2F2D66" w14:textId="77777777" w:rsidR="002612B7" w:rsidRPr="00E87E42" w:rsidRDefault="002612B7"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56.54</w:t>
            </w:r>
          </w:p>
        </w:tc>
        <w:tc>
          <w:tcPr>
            <w:tcW w:w="2032" w:type="dxa"/>
            <w:gridSpan w:val="4"/>
            <w:tcBorders>
              <w:top w:val="nil"/>
              <w:left w:val="nil"/>
              <w:bottom w:val="single" w:sz="4" w:space="0" w:color="auto"/>
              <w:right w:val="single" w:sz="4" w:space="0" w:color="auto"/>
            </w:tcBorders>
            <w:shd w:val="clear" w:color="auto" w:fill="auto"/>
            <w:noWrap/>
            <w:vAlign w:val="bottom"/>
            <w:hideMark/>
          </w:tcPr>
          <w:p w14:paraId="62D6A47E" w14:textId="0AF06833" w:rsidR="002612B7" w:rsidRPr="00E87E42" w:rsidRDefault="002612B7" w:rsidP="00A27212">
            <w:pPr>
              <w:spacing w:after="0" w:line="240" w:lineRule="auto"/>
              <w:jc w:val="center"/>
              <w:rPr>
                <w:rFonts w:eastAsia="Times New Roman"/>
                <w:color w:val="000000"/>
                <w:sz w:val="16"/>
                <w:szCs w:val="16"/>
                <w:lang w:eastAsia="en-GB"/>
              </w:rPr>
            </w:pPr>
          </w:p>
        </w:tc>
      </w:tr>
    </w:tbl>
    <w:p w14:paraId="3FDB07DD" w14:textId="375781FF" w:rsidR="00B46794" w:rsidRPr="00E87E42" w:rsidRDefault="00B46794" w:rsidP="004A2F07">
      <w:pPr>
        <w:sectPr w:rsidR="00B46794" w:rsidRPr="00E87E42" w:rsidSect="008A55B5">
          <w:pgSz w:w="16840" w:h="11907" w:orient="landscape" w:code="9"/>
          <w:pgMar w:top="618" w:right="1418" w:bottom="748" w:left="1077" w:header="567" w:footer="567" w:gutter="284"/>
          <w:cols w:space="454"/>
          <w:docGrid w:linePitch="360"/>
        </w:sectPr>
      </w:pPr>
    </w:p>
    <w:p w14:paraId="0DA0501B" w14:textId="0793B2AC" w:rsidR="00651656" w:rsidRPr="00E87E42" w:rsidRDefault="002A08FC" w:rsidP="008A55B5">
      <w:pPr>
        <w:pStyle w:val="Heading1"/>
        <w:numPr>
          <w:ilvl w:val="0"/>
          <w:numId w:val="35"/>
        </w:numPr>
        <w:spacing w:before="120"/>
      </w:pPr>
      <w:bookmarkStart w:id="41" w:name="_Ref497818768"/>
      <w:bookmarkStart w:id="42" w:name="_Ref506293612"/>
      <w:r w:rsidRPr="00E87E42">
        <w:lastRenderedPageBreak/>
        <w:t>freque</w:t>
      </w:r>
      <w:r w:rsidR="003D136B" w:rsidRPr="00E87E42">
        <w:t>ncy distribution of area damage</w:t>
      </w:r>
      <w:r w:rsidRPr="00E87E42">
        <w:t xml:space="preserve"> in terms of number of fire</w:t>
      </w:r>
      <w:bookmarkEnd w:id="41"/>
      <w:r w:rsidR="00FA2777" w:rsidRPr="00E87E42">
        <w:t>s</w:t>
      </w:r>
      <w:bookmarkEnd w:id="42"/>
    </w:p>
    <w:p w14:paraId="4D8A383D" w14:textId="1108273C" w:rsidR="000E5D81" w:rsidRPr="00E87E42" w:rsidRDefault="00354C3A" w:rsidP="00354C3A">
      <w:pPr>
        <w:spacing w:before="120"/>
      </w:pPr>
      <w:r w:rsidRPr="00E87E42">
        <w:t>Table</w:t>
      </w:r>
      <w:r w:rsidR="007F1174" w:rsidRPr="00E87E42">
        <w:t>s</w:t>
      </w:r>
      <w:r w:rsidRPr="00E87E42">
        <w:t xml:space="preserve"> A.6, A.7 and A.8 in PD 7974-7 describe the frequency distribution of area damage in terms of number of fires</w:t>
      </w:r>
      <w:r w:rsidR="00AC6901" w:rsidRPr="00E87E42">
        <w:t xml:space="preserve"> and fire origins</w:t>
      </w:r>
      <w:r w:rsidRPr="00E87E42">
        <w:t xml:space="preserve"> for </w:t>
      </w:r>
      <w:r w:rsidR="00AC6901" w:rsidRPr="00E87E42">
        <w:rPr>
          <w:i/>
        </w:rPr>
        <w:t>Offices</w:t>
      </w:r>
      <w:r w:rsidRPr="00E87E42">
        <w:rPr>
          <w:i/>
        </w:rPr>
        <w:t>, Retail premises</w:t>
      </w:r>
      <w:r w:rsidRPr="00E87E42">
        <w:t xml:space="preserve"> and </w:t>
      </w:r>
      <w:r w:rsidRPr="00E87E42">
        <w:rPr>
          <w:i/>
        </w:rPr>
        <w:t>Hotels</w:t>
      </w:r>
      <w:r w:rsidR="00AC6901" w:rsidRPr="00E87E42">
        <w:rPr>
          <w:i/>
        </w:rPr>
        <w:t>,</w:t>
      </w:r>
      <w:r w:rsidR="00AC6901" w:rsidRPr="00E87E42">
        <w:t xml:space="preserve"> respectively</w:t>
      </w:r>
      <w:r w:rsidR="005719E6" w:rsidRPr="00E87E42">
        <w:t xml:space="preserve">, with </w:t>
      </w:r>
      <w:r w:rsidRPr="00E87E42">
        <w:t xml:space="preserve">area damage </w:t>
      </w:r>
      <w:r w:rsidR="005719E6" w:rsidRPr="00E87E42">
        <w:t>ranging</w:t>
      </w:r>
      <w:r w:rsidRPr="00E87E42">
        <w:t xml:space="preserve"> </w:t>
      </w:r>
      <w:r w:rsidR="000E5D81" w:rsidRPr="00E87E42">
        <w:t>from ‘1</w:t>
      </w:r>
      <w:r w:rsidRPr="00E87E42">
        <w:t xml:space="preserve"> and under</w:t>
      </w:r>
      <w:r w:rsidR="000E5D81" w:rsidRPr="00E87E42">
        <w:t>’</w:t>
      </w:r>
      <w:r w:rsidRPr="00E87E42">
        <w:t xml:space="preserve"> to </w:t>
      </w:r>
      <w:r w:rsidR="000E5D81" w:rsidRPr="00E87E42">
        <w:t>‘</w:t>
      </w:r>
      <w:r w:rsidRPr="00E87E42">
        <w:t>1</w:t>
      </w:r>
      <w:r w:rsidR="008330EE" w:rsidRPr="00E87E42">
        <w:t>,</w:t>
      </w:r>
      <w:r w:rsidRPr="00E87E42">
        <w:t>000 and above</w:t>
      </w:r>
      <w:r w:rsidR="000E5D81" w:rsidRPr="00E87E42">
        <w:t>’</w:t>
      </w:r>
      <w:r w:rsidRPr="00E87E42">
        <w:t xml:space="preserve"> </w:t>
      </w:r>
      <w:r w:rsidR="00AC6901" w:rsidRPr="00E87E42">
        <w:t>m</w:t>
      </w:r>
      <w:r w:rsidR="00AC6901" w:rsidRPr="00E87E42">
        <w:rPr>
          <w:vertAlign w:val="superscript"/>
        </w:rPr>
        <w:t>2</w:t>
      </w:r>
      <w:r w:rsidRPr="00E87E42">
        <w:t>.</w:t>
      </w:r>
      <w:r w:rsidR="008330EE" w:rsidRPr="00E87E42">
        <w:t xml:space="preserve"> For each </w:t>
      </w:r>
      <w:r w:rsidR="00AC6901" w:rsidRPr="00E87E42">
        <w:t xml:space="preserve">area </w:t>
      </w:r>
      <w:r w:rsidR="008330EE" w:rsidRPr="00E87E42">
        <w:t>class</w:t>
      </w:r>
      <w:r w:rsidR="003D136B" w:rsidRPr="00E87E42">
        <w:t>,</w:t>
      </w:r>
      <w:r w:rsidR="008330EE" w:rsidRPr="00E87E42">
        <w:t xml:space="preserve"> the number of fire</w:t>
      </w:r>
      <w:r w:rsidR="00AC6901" w:rsidRPr="00E87E42">
        <w:t>s</w:t>
      </w:r>
      <w:r w:rsidR="008330EE" w:rsidRPr="00E87E42">
        <w:t xml:space="preserve"> and </w:t>
      </w:r>
      <w:r w:rsidRPr="00E87E42">
        <w:t>the percentage of fire</w:t>
      </w:r>
      <w:r w:rsidR="00AC6901" w:rsidRPr="00E87E42">
        <w:t>s</w:t>
      </w:r>
      <w:r w:rsidRPr="00E87E42">
        <w:t xml:space="preserve"> </w:t>
      </w:r>
      <w:r w:rsidR="008330EE" w:rsidRPr="00E87E42">
        <w:t>exceeding</w:t>
      </w:r>
      <w:r w:rsidRPr="00E87E42">
        <w:t xml:space="preserve"> the upper limit of the </w:t>
      </w:r>
      <w:r w:rsidR="008330EE" w:rsidRPr="00E87E42">
        <w:t>range</w:t>
      </w:r>
      <w:r w:rsidRPr="00E87E42">
        <w:t xml:space="preserve"> </w:t>
      </w:r>
      <w:r w:rsidR="005B1408" w:rsidRPr="00E87E42">
        <w:t>are</w:t>
      </w:r>
      <w:r w:rsidRPr="00E87E42">
        <w:t xml:space="preserve"> </w:t>
      </w:r>
      <w:r w:rsidR="00AC6901" w:rsidRPr="00E87E42">
        <w:t>given</w:t>
      </w:r>
      <w:r w:rsidRPr="00E87E42">
        <w:t xml:space="preserve">. A distinction is </w:t>
      </w:r>
      <w:r w:rsidR="00BC563F" w:rsidRPr="00E87E42">
        <w:t xml:space="preserve">present </w:t>
      </w:r>
      <w:r w:rsidRPr="00E87E42">
        <w:t xml:space="preserve">between </w:t>
      </w:r>
      <w:proofErr w:type="spellStart"/>
      <w:r w:rsidRPr="00E87E42">
        <w:t>sprinklered</w:t>
      </w:r>
      <w:proofErr w:type="spellEnd"/>
      <w:r w:rsidRPr="00E87E42">
        <w:t xml:space="preserve"> and un</w:t>
      </w:r>
      <w:r w:rsidR="00AC6901" w:rsidRPr="00E87E42">
        <w:t>-</w:t>
      </w:r>
      <w:proofErr w:type="spellStart"/>
      <w:r w:rsidRPr="00E87E42">
        <w:t>sprin</w:t>
      </w:r>
      <w:r w:rsidR="008330EE" w:rsidRPr="00E87E42">
        <w:t>klered</w:t>
      </w:r>
      <w:proofErr w:type="spellEnd"/>
      <w:r w:rsidR="008330EE" w:rsidRPr="00E87E42">
        <w:t xml:space="preserve"> building</w:t>
      </w:r>
      <w:r w:rsidR="00C35674" w:rsidRPr="00E87E42">
        <w:t xml:space="preserve">s. </w:t>
      </w:r>
      <w:r w:rsidRPr="00E87E42">
        <w:t>The data</w:t>
      </w:r>
      <w:r w:rsidR="0009703C" w:rsidRPr="00E87E42">
        <w:t xml:space="preserve"> used in </w:t>
      </w:r>
      <w:r w:rsidR="00A55C6E">
        <w:t>t</w:t>
      </w:r>
      <w:r w:rsidR="005719E6" w:rsidRPr="00E87E42">
        <w:t xml:space="preserve">ables </w:t>
      </w:r>
      <w:r w:rsidR="0009703C" w:rsidRPr="00E87E42">
        <w:t>A.6 to A.8</w:t>
      </w:r>
      <w:r w:rsidR="00EC772E" w:rsidRPr="00E87E42">
        <w:t xml:space="preserve"> of PD 7974-7</w:t>
      </w:r>
      <w:r w:rsidR="000E5D81" w:rsidRPr="00E87E42">
        <w:t xml:space="preserve"> </w:t>
      </w:r>
      <w:r w:rsidR="00AC6901" w:rsidRPr="00E87E42">
        <w:t xml:space="preserve">are </w:t>
      </w:r>
      <w:r w:rsidR="0009703C" w:rsidRPr="00E87E42">
        <w:t xml:space="preserve">from </w:t>
      </w:r>
      <w:r w:rsidR="008330EE" w:rsidRPr="00E87E42">
        <w:t>UK Fire</w:t>
      </w:r>
      <w:r w:rsidR="005B1408" w:rsidRPr="00E87E42">
        <w:t xml:space="preserve"> Statistics </w:t>
      </w:r>
      <w:r w:rsidR="00AC6901" w:rsidRPr="00E87E42">
        <w:t xml:space="preserve">from </w:t>
      </w:r>
      <w:r w:rsidR="008330EE" w:rsidRPr="00E87E42">
        <w:t>1979 and 1984 to 1987</w:t>
      </w:r>
      <w:r w:rsidR="000E5D81" w:rsidRPr="00E87E42">
        <w:t xml:space="preserve"> </w:t>
      </w:r>
      <w:r w:rsidR="00215300" w:rsidRPr="00E87E42">
        <w:t xml:space="preserve">and it is not clear if the </w:t>
      </w:r>
      <w:r w:rsidR="00E244BE" w:rsidRPr="00E87E42">
        <w:t xml:space="preserve">they </w:t>
      </w:r>
      <w:r w:rsidR="00215300" w:rsidRPr="00E87E42">
        <w:t>are grouped for the 5 years or n</w:t>
      </w:r>
      <w:r w:rsidR="003D136B" w:rsidRPr="00E87E42">
        <w:t>ot.</w:t>
      </w:r>
      <w:r w:rsidR="005719E6" w:rsidRPr="00E87E42">
        <w:t xml:space="preserve"> Fire size has been investigated more recently considering London Fire Brigade’s real fire library in dwellings and other buildings </w:t>
      </w:r>
      <w:r w:rsidR="005719E6" w:rsidRPr="00E87E42">
        <w:rPr>
          <w:sz w:val="20"/>
          <w:szCs w:val="18"/>
        </w:rPr>
        <w:fldChar w:fldCharType="begin" w:fldLock="1"/>
      </w:r>
      <w:r w:rsidR="00BC5ED7" w:rsidRPr="00E87E42">
        <w:instrText>ADDIN CSL_CITATION {"citationItems":[{"id":"ITEM-1","itemData":{"DOI":"10.1016/j.firesaf.2004.05.002","ISBN":"0379-7112","ISSN":"03797112","abstract":"London Fire Brigade's real fire library is a database of information collected from real fire incidents by specialist teams of experienced fire investigators operating in the Greater London Area. A sample of this data collected over a five-year period has been used to characterise the distributions of fire sizes, fire growth rates and times between events that occur in building fires in a form suitable for use with probabilistic risk assessment. The effect of occupancy type, ignition source, first material ignited, and first aid fire-fighting by the occupants on the form of these distributions was then examined. Incidents that produced very large losses, rapid growth rates and extended time delays were also analysed to try to determine the reasons why such extremes occur in real fires. © 2004 Elsevier Ltd. All rights reserved.","author":[{"dropping-particle":"","family":"Holborn","given":"P. G.","non-dropping-particle":"","parse-names":false,"suffix":""},{"dropping-particle":"","family":"Nolan","given":"P. F.","non-dropping-particle":"","parse-names":false,"suffix":""},{"dropping-particle":"","family":"Golt","given":"J.","non-dropping-particle":"","parse-names":false,"suffix":""}],"container-title":"Fire Safety Journal","id":"ITEM-1","issue":"6","issued":{"date-parts":[["2004"]]},"page":"481-524","title":"An analysis of fire sizes, fire growth rates and times between events using data from fire investigations","type":"article-journal","volume":"39"},"uris":["http://www.mendeley.com/documents/?uuid=f6271caa-3cd5-4701-a6fa-2b8897b487ef","http://www.mendeley.com/documents/?uuid=4b3d0660-449b-406c-b180-339de0917821"]}],"mendeley":{"formattedCitation":"[42]","plainTextFormattedCitation":"[42]","previouslyFormattedCitation":"[42]"},"properties":{"noteIndex":0},"schema":"https://github.com/citation-style-language/schema/raw/master/csl-citation.json"}</w:instrText>
      </w:r>
      <w:r w:rsidR="005719E6" w:rsidRPr="00E87E42">
        <w:rPr>
          <w:sz w:val="20"/>
          <w:szCs w:val="18"/>
        </w:rPr>
        <w:fldChar w:fldCharType="separate"/>
      </w:r>
      <w:r w:rsidR="00BC5ED7" w:rsidRPr="00E87E42">
        <w:rPr>
          <w:noProof/>
        </w:rPr>
        <w:t>[42]</w:t>
      </w:r>
      <w:r w:rsidR="005719E6" w:rsidRPr="00E87E42">
        <w:rPr>
          <w:sz w:val="20"/>
          <w:szCs w:val="18"/>
        </w:rPr>
        <w:fldChar w:fldCharType="end"/>
      </w:r>
      <w:r w:rsidR="005719E6" w:rsidRPr="00E87E42">
        <w:t xml:space="preserve">, </w:t>
      </w:r>
      <w:r w:rsidR="00EA237C" w:rsidRPr="00E87E42">
        <w:t>where the probability of fire exceeding specific classes of fire damage area is investigated</w:t>
      </w:r>
      <w:r w:rsidR="005719E6" w:rsidRPr="00E87E42">
        <w:t>.</w:t>
      </w:r>
    </w:p>
    <w:p w14:paraId="1F1E8D65" w14:textId="2A54E653" w:rsidR="00E244BE" w:rsidRPr="00E87E42" w:rsidRDefault="0009703C" w:rsidP="00750F7B">
      <w:r w:rsidRPr="00E87E42">
        <w:t xml:space="preserve">Again, </w:t>
      </w:r>
      <w:r w:rsidR="00C512F0" w:rsidRPr="00E87E42">
        <w:fldChar w:fldCharType="begin"/>
      </w:r>
      <w:r w:rsidR="00C512F0" w:rsidRPr="00E87E42">
        <w:instrText xml:space="preserve"> REF _Ref508274708 \h </w:instrText>
      </w:r>
      <w:r w:rsidR="00E87E42">
        <w:instrText xml:space="preserve"> \* MERGEFORMAT </w:instrText>
      </w:r>
      <w:r w:rsidR="00C512F0" w:rsidRPr="00E87E42">
        <w:fldChar w:fldCharType="separate"/>
      </w:r>
      <w:r w:rsidR="009F6872" w:rsidRPr="00E87E42">
        <w:t xml:space="preserve">Table </w:t>
      </w:r>
      <w:r w:rsidR="009F6872">
        <w:rPr>
          <w:noProof/>
        </w:rPr>
        <w:t>1</w:t>
      </w:r>
      <w:r w:rsidR="00C512F0" w:rsidRPr="00E87E42">
        <w:fldChar w:fldCharType="end"/>
      </w:r>
      <w:r w:rsidR="00F16828">
        <w:t xml:space="preserve"> summarizes the fields used to recreate these tables in</w:t>
      </w:r>
      <w:r w:rsidRPr="00E87E42">
        <w:t xml:space="preserve"> the NF</w:t>
      </w:r>
      <w:r w:rsidR="00407E2D" w:rsidRPr="00E87E42">
        <w:t>IR</w:t>
      </w:r>
      <w:r w:rsidR="00072E4E">
        <w:t xml:space="preserve">S data, </w:t>
      </w:r>
      <w:r w:rsidRPr="00E87E42">
        <w:t xml:space="preserve">classifying the fires with respect to the </w:t>
      </w:r>
      <w:proofErr w:type="gramStart"/>
      <w:r w:rsidRPr="00E87E42">
        <w:t>area damaged</w:t>
      </w:r>
      <w:proofErr w:type="gramEnd"/>
      <w:r w:rsidRPr="00E87E42">
        <w:t xml:space="preserve"> bands, </w:t>
      </w:r>
      <w:proofErr w:type="spellStart"/>
      <w:r w:rsidRPr="00E87E42">
        <w:t>sprinklered</w:t>
      </w:r>
      <w:proofErr w:type="spellEnd"/>
      <w:r w:rsidRPr="00E87E42">
        <w:t xml:space="preserve"> or un-</w:t>
      </w:r>
      <w:proofErr w:type="spellStart"/>
      <w:r w:rsidRPr="00E87E42">
        <w:t>sprinklered</w:t>
      </w:r>
      <w:proofErr w:type="spellEnd"/>
      <w:r w:rsidRPr="00E87E42">
        <w:t xml:space="preserve"> properties, and locations of ignition presented in </w:t>
      </w:r>
      <w:r w:rsidR="005719E6" w:rsidRPr="00E87E42">
        <w:t>t</w:t>
      </w:r>
      <w:r w:rsidRPr="00E87E42">
        <w:t>ables A.6, A.7, and A.8 of</w:t>
      </w:r>
      <w:r w:rsidR="008A5839" w:rsidRPr="00E87E42">
        <w:t xml:space="preserve"> </w:t>
      </w:r>
      <w:r w:rsidRPr="00E87E42">
        <w:t>PD</w:t>
      </w:r>
      <w:r w:rsidR="008A5839" w:rsidRPr="00E87E42">
        <w:t xml:space="preserve"> </w:t>
      </w:r>
      <w:r w:rsidRPr="00E87E42">
        <w:t>7974-7.</w:t>
      </w:r>
      <w:r w:rsidR="00354C3A" w:rsidRPr="00E87E42">
        <w:t xml:space="preserve"> </w:t>
      </w:r>
    </w:p>
    <w:p w14:paraId="429FDA4B" w14:textId="32E0EED2" w:rsidR="00F249E4" w:rsidRPr="00E87E42" w:rsidRDefault="00F249E4" w:rsidP="008A55B5">
      <w:pPr>
        <w:pStyle w:val="Heading2"/>
        <w:numPr>
          <w:ilvl w:val="1"/>
          <w:numId w:val="35"/>
        </w:numPr>
        <w:spacing w:before="120"/>
      </w:pPr>
      <w:r w:rsidRPr="00E87E42">
        <w:t>OFFICE BUILDINGS</w:t>
      </w:r>
    </w:p>
    <w:p w14:paraId="653DE580" w14:textId="086A01E6" w:rsidR="00D12E2E" w:rsidRPr="00E87E42" w:rsidRDefault="00F249E4" w:rsidP="008A55B5">
      <w:r w:rsidRPr="00E87E42">
        <w:t xml:space="preserve">Table A.6 in PD 7974-7 </w:t>
      </w:r>
      <w:proofErr w:type="gramStart"/>
      <w:r w:rsidRPr="00E87E42">
        <w:t>has been recreated</w:t>
      </w:r>
      <w:proofErr w:type="gramEnd"/>
      <w:r w:rsidRPr="00E87E42">
        <w:t xml:space="preserve"> according to the class of </w:t>
      </w:r>
      <w:r w:rsidR="004E7337" w:rsidRPr="00E87E42">
        <w:rPr>
          <w:i/>
          <w:color w:val="000000"/>
        </w:rPr>
        <w:t>Business office</w:t>
      </w:r>
      <w:r w:rsidR="00D52EE6" w:rsidRPr="00E87E42">
        <w:rPr>
          <w:color w:val="000000"/>
        </w:rPr>
        <w:t xml:space="preserve"> of the NFIRS database</w:t>
      </w:r>
      <w:r w:rsidRPr="00E87E42">
        <w:rPr>
          <w:color w:val="000000"/>
        </w:rPr>
        <w:t xml:space="preserve">. </w:t>
      </w:r>
      <w:r w:rsidR="0009703C" w:rsidRPr="00E87E42">
        <w:fldChar w:fldCharType="begin"/>
      </w:r>
      <w:r w:rsidR="0009703C" w:rsidRPr="00E87E42">
        <w:instrText xml:space="preserve"> REF _Ref497819540 \h </w:instrText>
      </w:r>
      <w:r w:rsidR="00E87E42">
        <w:instrText xml:space="preserve"> \* MERGEFORMAT </w:instrText>
      </w:r>
      <w:r w:rsidR="0009703C" w:rsidRPr="00E87E42">
        <w:fldChar w:fldCharType="separate"/>
      </w:r>
      <w:r w:rsidR="009F6872" w:rsidRPr="00E87E42">
        <w:t xml:space="preserve">Table </w:t>
      </w:r>
      <w:r w:rsidR="009F6872">
        <w:rPr>
          <w:noProof/>
        </w:rPr>
        <w:t>10</w:t>
      </w:r>
      <w:r w:rsidR="0009703C" w:rsidRPr="00E87E42">
        <w:fldChar w:fldCharType="end"/>
      </w:r>
      <w:r w:rsidR="0009703C" w:rsidRPr="00E87E42">
        <w:t xml:space="preserve"> compares the data from Table A.6 to the analysis using the US</w:t>
      </w:r>
      <w:r w:rsidR="006728B6" w:rsidRPr="00E87E42">
        <w:t>A</w:t>
      </w:r>
      <w:r w:rsidR="0009703C" w:rsidRPr="00E87E42">
        <w:t xml:space="preserve"> fire statistics, where </w:t>
      </w:r>
      <w:r w:rsidR="0009703C" w:rsidRPr="00E87E42">
        <w:rPr>
          <w:color w:val="000000"/>
        </w:rPr>
        <w:t>f</w:t>
      </w:r>
      <w:r w:rsidRPr="00E87E42">
        <w:rPr>
          <w:color w:val="000000"/>
        </w:rPr>
        <w:t xml:space="preserve">or fire origin, the fire locations </w:t>
      </w:r>
      <w:r w:rsidR="008F48CC" w:rsidRPr="00E87E42">
        <w:rPr>
          <w:color w:val="000000"/>
        </w:rPr>
        <w:t xml:space="preserve">in </w:t>
      </w:r>
      <w:r w:rsidR="0009703C" w:rsidRPr="00E87E42">
        <w:rPr>
          <w:color w:val="000000"/>
        </w:rPr>
        <w:t>Table A.6</w:t>
      </w:r>
      <w:r w:rsidRPr="00E87E42">
        <w:rPr>
          <w:color w:val="000000"/>
        </w:rPr>
        <w:t xml:space="preserve"> </w:t>
      </w:r>
      <w:r w:rsidR="0009703C" w:rsidRPr="00E87E42">
        <w:rPr>
          <w:color w:val="000000"/>
        </w:rPr>
        <w:t xml:space="preserve">(underlined) </w:t>
      </w:r>
      <w:proofErr w:type="gramStart"/>
      <w:r w:rsidR="0009703C" w:rsidRPr="00E87E42">
        <w:rPr>
          <w:color w:val="000000"/>
        </w:rPr>
        <w:t xml:space="preserve">are </w:t>
      </w:r>
      <w:r w:rsidRPr="00E87E42">
        <w:rPr>
          <w:color w:val="000000"/>
        </w:rPr>
        <w:t>represented</w:t>
      </w:r>
      <w:proofErr w:type="gramEnd"/>
      <w:r w:rsidRPr="00E87E42">
        <w:rPr>
          <w:color w:val="000000"/>
        </w:rPr>
        <w:t xml:space="preserve"> as follows</w:t>
      </w:r>
      <w:r w:rsidR="004558F5" w:rsidRPr="00E87E42">
        <w:rPr>
          <w:color w:val="000000"/>
        </w:rPr>
        <w:t xml:space="preserve"> in the NFIRS</w:t>
      </w:r>
      <w:r w:rsidRPr="00E87E42">
        <w:rPr>
          <w:color w:val="000000"/>
        </w:rPr>
        <w:t>:</w:t>
      </w:r>
      <w:r w:rsidR="004558F5" w:rsidRPr="00E87E42">
        <w:rPr>
          <w:u w:val="single"/>
        </w:rPr>
        <w:t xml:space="preserve"> </w:t>
      </w:r>
      <w:r w:rsidRPr="00E87E42">
        <w:rPr>
          <w:u w:val="single"/>
        </w:rPr>
        <w:t>Office room</w:t>
      </w:r>
      <w:r w:rsidR="004E7337" w:rsidRPr="00E87E42">
        <w:rPr>
          <w:u w:val="single"/>
        </w:rPr>
        <w:t>s</w:t>
      </w:r>
      <w:r w:rsidRPr="00E87E42">
        <w:t xml:space="preserve"> </w:t>
      </w:r>
      <w:r w:rsidR="004558F5" w:rsidRPr="00E87E42">
        <w:t>–</w:t>
      </w:r>
      <w:r w:rsidR="0009703C" w:rsidRPr="00E87E42">
        <w:t xml:space="preserve"> </w:t>
      </w:r>
      <w:r w:rsidRPr="00E87E42">
        <w:t>Office</w:t>
      </w:r>
      <w:r w:rsidR="004558F5" w:rsidRPr="00E87E42">
        <w:t xml:space="preserve">; </w:t>
      </w:r>
      <w:r w:rsidRPr="00E87E42">
        <w:rPr>
          <w:u w:val="single"/>
        </w:rPr>
        <w:t>Other rooms</w:t>
      </w:r>
      <w:r w:rsidRPr="00E87E42">
        <w:t xml:space="preserve"> </w:t>
      </w:r>
      <w:r w:rsidR="0009703C" w:rsidRPr="00E87E42">
        <w:t>-</w:t>
      </w:r>
      <w:r w:rsidRPr="00E87E42">
        <w:t xml:space="preserve"> </w:t>
      </w:r>
      <w:r w:rsidR="0009703C" w:rsidRPr="00E87E42">
        <w:t>a</w:t>
      </w:r>
      <w:r w:rsidRPr="00E87E42">
        <w:t>ll other area</w:t>
      </w:r>
      <w:r w:rsidR="002A2EBB" w:rsidRPr="00E87E42">
        <w:t>s of origin</w:t>
      </w:r>
      <w:r w:rsidR="004558F5" w:rsidRPr="00E87E42">
        <w:t xml:space="preserve"> </w:t>
      </w:r>
      <w:r w:rsidRPr="00E87E42">
        <w:t xml:space="preserve">excluding </w:t>
      </w:r>
      <w:r w:rsidR="0009703C" w:rsidRPr="00E87E42">
        <w:t>those</w:t>
      </w:r>
      <w:r w:rsidRPr="00E87E42">
        <w:t xml:space="preserve"> previously considered</w:t>
      </w:r>
      <w:r w:rsidR="00923096" w:rsidRPr="00E87E4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5129"/>
      </w:tblGrid>
      <w:tr w:rsidR="003B0354" w:rsidRPr="00E87E42" w14:paraId="2F53B6C5" w14:textId="77777777" w:rsidTr="006C4246">
        <w:tc>
          <w:tcPr>
            <w:tcW w:w="4436" w:type="dxa"/>
          </w:tcPr>
          <w:p w14:paraId="737C10FA" w14:textId="77777777" w:rsidR="003B0354" w:rsidRPr="00E87E42" w:rsidRDefault="003B0354" w:rsidP="004559B5">
            <w:pPr>
              <w:jc w:val="center"/>
              <w:rPr>
                <w:sz w:val="16"/>
              </w:rPr>
            </w:pPr>
            <w:r w:rsidRPr="00E87E42">
              <w:rPr>
                <w:noProof/>
                <w:lang w:eastAsia="en-GB"/>
              </w:rPr>
              <w:drawing>
                <wp:anchor distT="0" distB="0" distL="114300" distR="114300" simplePos="0" relativeHeight="253430784" behindDoc="0" locked="0" layoutInCell="1" allowOverlap="1" wp14:anchorId="04200B8B" wp14:editId="5C678360">
                  <wp:simplePos x="0" y="0"/>
                  <wp:positionH relativeFrom="column">
                    <wp:posOffset>-65405</wp:posOffset>
                  </wp:positionH>
                  <wp:positionV relativeFrom="paragraph">
                    <wp:posOffset>0</wp:posOffset>
                  </wp:positionV>
                  <wp:extent cx="3240000" cy="2880000"/>
                  <wp:effectExtent l="0" t="0" r="0" b="317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Pr="00E87E42">
              <w:t>(a)</w:t>
            </w:r>
          </w:p>
        </w:tc>
        <w:tc>
          <w:tcPr>
            <w:tcW w:w="5811" w:type="dxa"/>
          </w:tcPr>
          <w:p w14:paraId="79A44E10" w14:textId="77777777" w:rsidR="003B0354" w:rsidRPr="00E87E42" w:rsidRDefault="003B0354" w:rsidP="004559B5">
            <w:pPr>
              <w:jc w:val="center"/>
              <w:rPr>
                <w:sz w:val="16"/>
              </w:rPr>
            </w:pPr>
            <w:r w:rsidRPr="00E87E42">
              <w:rPr>
                <w:noProof/>
                <w:lang w:eastAsia="en-GB"/>
              </w:rPr>
              <w:drawing>
                <wp:anchor distT="0" distB="0" distL="114300" distR="114300" simplePos="0" relativeHeight="253431808" behindDoc="0" locked="0" layoutInCell="1" allowOverlap="1" wp14:anchorId="0A27D657" wp14:editId="355680A0">
                  <wp:simplePos x="0" y="0"/>
                  <wp:positionH relativeFrom="column">
                    <wp:posOffset>-65405</wp:posOffset>
                  </wp:positionH>
                  <wp:positionV relativeFrom="paragraph">
                    <wp:posOffset>0</wp:posOffset>
                  </wp:positionV>
                  <wp:extent cx="3240000" cy="2880000"/>
                  <wp:effectExtent l="0" t="0" r="0" b="3175"/>
                  <wp:wrapSquare wrapText="bothSides"/>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Pr="00E87E42">
              <w:t>(b)</w:t>
            </w:r>
          </w:p>
        </w:tc>
      </w:tr>
    </w:tbl>
    <w:p w14:paraId="39978041" w14:textId="06B4F8D4" w:rsidR="003B0354" w:rsidRPr="00E87E42" w:rsidRDefault="003B0354" w:rsidP="003B0354">
      <w:pPr>
        <w:pStyle w:val="Caption"/>
      </w:pPr>
      <w:bookmarkStart w:id="43" w:name="_Ref521501375"/>
      <w:r w:rsidRPr="00E87E42">
        <w:t xml:space="preserve">Figure </w:t>
      </w:r>
      <w:r w:rsidRPr="00E87E42">
        <w:rPr>
          <w:noProof/>
        </w:rPr>
        <w:fldChar w:fldCharType="begin"/>
      </w:r>
      <w:r w:rsidRPr="00E87E42">
        <w:rPr>
          <w:noProof/>
        </w:rPr>
        <w:instrText xml:space="preserve"> SEQ Figure \* ARABIC </w:instrText>
      </w:r>
      <w:r w:rsidRPr="00E87E42">
        <w:rPr>
          <w:noProof/>
        </w:rPr>
        <w:fldChar w:fldCharType="separate"/>
      </w:r>
      <w:r w:rsidR="009F6872">
        <w:rPr>
          <w:noProof/>
        </w:rPr>
        <w:t>13</w:t>
      </w:r>
      <w:r w:rsidRPr="00E87E42">
        <w:rPr>
          <w:noProof/>
        </w:rPr>
        <w:fldChar w:fldCharType="end"/>
      </w:r>
      <w:bookmarkEnd w:id="43"/>
      <w:r w:rsidRPr="00E87E42">
        <w:t xml:space="preserve">: Frequency distribution of area damage in terms of number of fires in Office buildings (Office rooms and </w:t>
      </w:r>
      <w:proofErr w:type="gramStart"/>
      <w:r w:rsidRPr="00E87E42">
        <w:t>Other</w:t>
      </w:r>
      <w:proofErr w:type="gramEnd"/>
      <w:r w:rsidRPr="00E87E42">
        <w:t xml:space="preserve"> rooms) for (a) presence and (b) absence of automatic extinguishing systems</w:t>
      </w:r>
    </w:p>
    <w:p w14:paraId="1FD3CA32" w14:textId="5118E2EE" w:rsidR="00796639" w:rsidRPr="00E87E42" w:rsidRDefault="00D12E2E" w:rsidP="008F48CC">
      <w:proofErr w:type="spellStart"/>
      <w:r w:rsidRPr="00E87E42">
        <w:rPr>
          <w:i/>
        </w:rPr>
        <w:t>Sprinklered</w:t>
      </w:r>
      <w:proofErr w:type="spellEnd"/>
      <w:r w:rsidRPr="00E87E42">
        <w:rPr>
          <w:i/>
        </w:rPr>
        <w:t xml:space="preserve"> </w:t>
      </w:r>
      <w:r w:rsidRPr="00E87E42">
        <w:rPr>
          <w:b/>
        </w:rPr>
        <w:t>Office room</w:t>
      </w:r>
      <w:r w:rsidRPr="00E87E42">
        <w:t xml:space="preserve"> fires are low in number </w:t>
      </w:r>
      <w:proofErr w:type="gramStart"/>
      <w:r w:rsidRPr="00E87E42">
        <w:t>both in the PD 7974-7 and the</w:t>
      </w:r>
      <w:proofErr w:type="gramEnd"/>
      <w:r w:rsidRPr="00E87E42">
        <w:t xml:space="preserve"> USA fire statistics. The PD 7974</w:t>
      </w:r>
      <w:r w:rsidR="00B57BF9" w:rsidRPr="00E87E42">
        <w:t>-7</w:t>
      </w:r>
      <w:r w:rsidRPr="00E87E42">
        <w:t xml:space="preserve"> data indicates that the maximum fire damage that</w:t>
      </w:r>
      <w:r w:rsidR="00B57BF9" w:rsidRPr="00E87E42">
        <w:t xml:space="preserve"> </w:t>
      </w:r>
      <w:r w:rsidRPr="00E87E42">
        <w:t>occur is limited to 19</w:t>
      </w:r>
      <w:r w:rsidR="008F48CC" w:rsidRPr="00E87E42">
        <w:t xml:space="preserve"> </w:t>
      </w:r>
      <w:r w:rsidRPr="00E87E42">
        <w:t>m</w:t>
      </w:r>
      <w:r w:rsidRPr="00E87E42">
        <w:rPr>
          <w:vertAlign w:val="superscript"/>
        </w:rPr>
        <w:t>2</w:t>
      </w:r>
      <w:r w:rsidRPr="00E87E42">
        <w:t>, whereas the analysis of USA fire statistics show that fires in office rooms have a 30-35% chance of exceeding 19</w:t>
      </w:r>
      <w:r w:rsidR="008F48CC" w:rsidRPr="00E87E42">
        <w:t xml:space="preserve"> </w:t>
      </w:r>
      <w:r w:rsidRPr="00E87E42">
        <w:t>m</w:t>
      </w:r>
      <w:r w:rsidRPr="00E87E42">
        <w:rPr>
          <w:vertAlign w:val="superscript"/>
        </w:rPr>
        <w:t>2</w:t>
      </w:r>
      <w:r w:rsidRPr="00E87E42">
        <w:t xml:space="preserve"> and an 8.7% chance of exceeding 999</w:t>
      </w:r>
      <w:r w:rsidR="008F48CC" w:rsidRPr="00E87E42">
        <w:t xml:space="preserve"> </w:t>
      </w:r>
      <w:r w:rsidRPr="00E87E42">
        <w:t>m</w:t>
      </w:r>
      <w:r w:rsidRPr="00E87E42">
        <w:rPr>
          <w:vertAlign w:val="superscript"/>
        </w:rPr>
        <w:t>2</w:t>
      </w:r>
      <w:r w:rsidRPr="00E87E42">
        <w:t xml:space="preserve">. </w:t>
      </w:r>
      <w:proofErr w:type="gramStart"/>
      <w:r w:rsidRPr="00E87E42">
        <w:lastRenderedPageBreak/>
        <w:t xml:space="preserve">The trends for the two countries start with quite similar values, however, in all the </w:t>
      </w:r>
      <w:r w:rsidR="000504B6" w:rsidRPr="00E87E42">
        <w:t xml:space="preserve">USA fire statistical </w:t>
      </w:r>
      <w:r w:rsidRPr="00E87E42">
        <w:t xml:space="preserve">analyses of damage and frequency, the </w:t>
      </w:r>
      <w:r w:rsidR="000504B6" w:rsidRPr="00E87E42">
        <w:t>trend</w:t>
      </w:r>
      <w:r w:rsidRPr="00E87E42">
        <w:t xml:space="preserve"> </w:t>
      </w:r>
      <w:r w:rsidR="000504B6" w:rsidRPr="00E87E42">
        <w:t>only once reaches</w:t>
      </w:r>
      <w:r w:rsidRPr="00E87E42">
        <w:t xml:space="preserve"> zero </w:t>
      </w:r>
      <w:r w:rsidR="000504B6" w:rsidRPr="00E87E42">
        <w:t>(</w:t>
      </w:r>
      <w:r w:rsidR="000504B6" w:rsidRPr="00E87E42">
        <w:fldChar w:fldCharType="begin"/>
      </w:r>
      <w:r w:rsidR="000504B6" w:rsidRPr="00E87E42">
        <w:instrText xml:space="preserve"> REF _Ref517775952 \h </w:instrText>
      </w:r>
      <w:r w:rsidR="00E87E42">
        <w:instrText xml:space="preserve"> \* MERGEFORMAT </w:instrText>
      </w:r>
      <w:r w:rsidR="000504B6" w:rsidRPr="00E87E42">
        <w:fldChar w:fldCharType="separate"/>
      </w:r>
      <w:r w:rsidR="009F6872" w:rsidRPr="00E87E42">
        <w:t xml:space="preserve">Table </w:t>
      </w:r>
      <w:r w:rsidR="009F6872">
        <w:rPr>
          <w:noProof/>
        </w:rPr>
        <w:t>VII</w:t>
      </w:r>
      <w:r w:rsidR="000504B6" w:rsidRPr="00E87E42">
        <w:fldChar w:fldCharType="end"/>
      </w:r>
      <w:r w:rsidR="000504B6" w:rsidRPr="00E87E42">
        <w:t xml:space="preserve"> in Appendix – Assembly areas) </w:t>
      </w:r>
      <w:r w:rsidRPr="00E87E42">
        <w:t>within the 1</w:t>
      </w:r>
      <w:r w:rsidR="00DE5906" w:rsidRPr="00E87E42">
        <w:t>,</w:t>
      </w:r>
      <w:r w:rsidRPr="00E87E42">
        <w:t>000</w:t>
      </w:r>
      <w:r w:rsidR="008F48CC" w:rsidRPr="00E87E42">
        <w:t xml:space="preserve"> </w:t>
      </w:r>
      <w:r w:rsidRPr="00E87E42">
        <w:t>m</w:t>
      </w:r>
      <w:r w:rsidRPr="00E87E42">
        <w:rPr>
          <w:vertAlign w:val="superscript"/>
        </w:rPr>
        <w:t>2</w:t>
      </w:r>
      <w:r w:rsidRPr="00E87E42">
        <w:t xml:space="preserve"> set of ranges, </w:t>
      </w:r>
      <w:r w:rsidR="000504B6" w:rsidRPr="00E87E42">
        <w:t xml:space="preserve">and almost always presents </w:t>
      </w:r>
      <w:r w:rsidRPr="00E87E42">
        <w:t>higher frequencies of fires exceeding the upper limit with the increased damaged areas (</w:t>
      </w:r>
      <w:r w:rsidR="00A901E4" w:rsidRPr="00E87E42">
        <w:fldChar w:fldCharType="begin"/>
      </w:r>
      <w:r w:rsidR="00A901E4" w:rsidRPr="00E87E42">
        <w:instrText xml:space="preserve"> REF _Ref521501375 \h </w:instrText>
      </w:r>
      <w:r w:rsidR="00E87E42">
        <w:instrText xml:space="preserve"> \* MERGEFORMAT </w:instrText>
      </w:r>
      <w:r w:rsidR="00A901E4" w:rsidRPr="00E87E42">
        <w:fldChar w:fldCharType="separate"/>
      </w:r>
      <w:r w:rsidR="009F6872" w:rsidRPr="00E87E42">
        <w:t xml:space="preserve">Figure </w:t>
      </w:r>
      <w:r w:rsidR="009F6872">
        <w:rPr>
          <w:noProof/>
        </w:rPr>
        <w:t>13</w:t>
      </w:r>
      <w:r w:rsidR="00A901E4" w:rsidRPr="00E87E42">
        <w:fldChar w:fldCharType="end"/>
      </w:r>
      <w:r w:rsidRPr="00E87E42">
        <w:t xml:space="preserve"> (a)).</w:t>
      </w:r>
      <w:proofErr w:type="gramEnd"/>
      <w:r w:rsidRPr="00E87E42">
        <w:t xml:space="preserve"> </w:t>
      </w:r>
    </w:p>
    <w:p w14:paraId="15D18B00" w14:textId="673CC888" w:rsidR="00796639" w:rsidRPr="00E87E42" w:rsidRDefault="00796639" w:rsidP="00796639">
      <w:r w:rsidRPr="00E87E42">
        <w:t xml:space="preserve">For </w:t>
      </w:r>
      <w:r w:rsidRPr="00E87E42">
        <w:rPr>
          <w:i/>
        </w:rPr>
        <w:t>un-</w:t>
      </w:r>
      <w:proofErr w:type="spellStart"/>
      <w:r w:rsidRPr="00E87E42">
        <w:rPr>
          <w:i/>
        </w:rPr>
        <w:t>sprinklered</w:t>
      </w:r>
      <w:proofErr w:type="spellEnd"/>
      <w:r w:rsidRPr="00E87E42">
        <w:t xml:space="preserve"> </w:t>
      </w:r>
      <w:r w:rsidRPr="00E87E42">
        <w:rPr>
          <w:i/>
        </w:rPr>
        <w:t>Office rooms</w:t>
      </w:r>
      <w:r w:rsidRPr="00E87E42">
        <w:t xml:space="preserve">, the total number of fire recorded for each country is very different: 1,860 in UK and 42 in USA. For both fire statistics, however, fires exceeding the first class of damage are very similar with 51.2% in PD 7974-7 data and 54.76% in the USA analysis. Comparing </w:t>
      </w:r>
      <w:proofErr w:type="spellStart"/>
      <w:r w:rsidRPr="00E87E42">
        <w:t>sprinklered</w:t>
      </w:r>
      <w:proofErr w:type="spellEnd"/>
      <w:r w:rsidRPr="00E87E42">
        <w:t xml:space="preserve"> and un-</w:t>
      </w:r>
      <w:proofErr w:type="spellStart"/>
      <w:r w:rsidRPr="00E87E42">
        <w:t>sprinklered</w:t>
      </w:r>
      <w:proofErr w:type="spellEnd"/>
      <w:r w:rsidRPr="00E87E42">
        <w:t xml:space="preserve"> fires, un-</w:t>
      </w:r>
      <w:proofErr w:type="spellStart"/>
      <w:r w:rsidRPr="00E87E42">
        <w:t>sprinklered</w:t>
      </w:r>
      <w:proofErr w:type="spellEnd"/>
      <w:r w:rsidRPr="00E87E42">
        <w:t xml:space="preserve"> fires more frequently experience damage up to 99 m</w:t>
      </w:r>
      <w:r w:rsidRPr="00E87E42">
        <w:rPr>
          <w:vertAlign w:val="superscript"/>
        </w:rPr>
        <w:t>2</w:t>
      </w:r>
      <w:r w:rsidRPr="00E87E42">
        <w:t xml:space="preserve">. </w:t>
      </w:r>
      <w:r w:rsidR="00A901E4" w:rsidRPr="00E87E42">
        <w:fldChar w:fldCharType="begin"/>
      </w:r>
      <w:r w:rsidR="00A901E4" w:rsidRPr="00E87E42">
        <w:instrText xml:space="preserve"> REF _Ref521501375 \h </w:instrText>
      </w:r>
      <w:r w:rsidR="00E87E42">
        <w:instrText xml:space="preserve"> \* MERGEFORMAT </w:instrText>
      </w:r>
      <w:r w:rsidR="00A901E4" w:rsidRPr="00E87E42">
        <w:fldChar w:fldCharType="separate"/>
      </w:r>
      <w:r w:rsidR="009F6872" w:rsidRPr="00E87E42">
        <w:t xml:space="preserve">Figure </w:t>
      </w:r>
      <w:r w:rsidR="009F6872">
        <w:rPr>
          <w:noProof/>
        </w:rPr>
        <w:t>13</w:t>
      </w:r>
      <w:r w:rsidR="00A901E4" w:rsidRPr="00E87E42">
        <w:fldChar w:fldCharType="end"/>
      </w:r>
      <w:r w:rsidRPr="00E87E42">
        <w:t xml:space="preserve"> also shows that the frequency of exceeding the damage band upper limit in the USA is higher than seen in PD 7974-7. However, there are few data points for both </w:t>
      </w:r>
      <w:proofErr w:type="spellStart"/>
      <w:r w:rsidRPr="00E87E42">
        <w:t>sprinklered</w:t>
      </w:r>
      <w:proofErr w:type="spellEnd"/>
      <w:r w:rsidRPr="00E87E42">
        <w:t xml:space="preserve"> and un-</w:t>
      </w:r>
      <w:proofErr w:type="spellStart"/>
      <w:r w:rsidRPr="00E87E42">
        <w:t>sprinklered</w:t>
      </w:r>
      <w:proofErr w:type="spellEnd"/>
      <w:r w:rsidRPr="00E87E42">
        <w:t xml:space="preserve"> fires, and in future research, greater fidelity of these relationships is required.</w:t>
      </w:r>
    </w:p>
    <w:p w14:paraId="16B55851" w14:textId="0C81E5E8" w:rsidR="00B12AFC" w:rsidRPr="00E87E42" w:rsidRDefault="00196A56" w:rsidP="005E093E">
      <w:pPr>
        <w:pStyle w:val="Caption"/>
      </w:pPr>
      <w:bookmarkStart w:id="44" w:name="_Ref506306573"/>
      <w:bookmarkStart w:id="45" w:name="_Ref497819540"/>
      <w:bookmarkStart w:id="46" w:name="_Ref497826209"/>
      <w:bookmarkStart w:id="47" w:name="_Toc376697619"/>
      <w:r w:rsidRPr="00E87E42">
        <w:t xml:space="preserve">Table </w:t>
      </w:r>
      <w:r w:rsidR="00A446AC" w:rsidRPr="00E87E42">
        <w:rPr>
          <w:noProof/>
        </w:rPr>
        <w:fldChar w:fldCharType="begin"/>
      </w:r>
      <w:r w:rsidR="00A446AC" w:rsidRPr="00E87E42">
        <w:rPr>
          <w:noProof/>
        </w:rPr>
        <w:instrText xml:space="preserve"> SEQ Table \* ARABIC </w:instrText>
      </w:r>
      <w:r w:rsidR="00A446AC" w:rsidRPr="00E87E42">
        <w:rPr>
          <w:noProof/>
        </w:rPr>
        <w:fldChar w:fldCharType="separate"/>
      </w:r>
      <w:r w:rsidR="009F6872">
        <w:rPr>
          <w:noProof/>
        </w:rPr>
        <w:t>10</w:t>
      </w:r>
      <w:r w:rsidR="00A446AC" w:rsidRPr="00E87E42">
        <w:rPr>
          <w:noProof/>
        </w:rPr>
        <w:fldChar w:fldCharType="end"/>
      </w:r>
      <w:bookmarkEnd w:id="44"/>
      <w:bookmarkEnd w:id="45"/>
      <w:r w:rsidRPr="00E87E42">
        <w:t xml:space="preserve">: Table A.6 Frequency distribution of area damage in terms of number of fires </w:t>
      </w:r>
      <w:r w:rsidR="006B7B12" w:rsidRPr="00E87E42">
        <w:t>i</w:t>
      </w:r>
      <w:r w:rsidR="00CD3608" w:rsidRPr="00E87E42">
        <w:t>n Office building</w:t>
      </w:r>
      <w:r w:rsidR="00AC5DCF">
        <w:t>s</w:t>
      </w:r>
      <w:r w:rsidR="006B7B12" w:rsidRPr="00E87E42">
        <w:t>, PD 7974-7 vs USA fire statistics</w:t>
      </w:r>
      <w:bookmarkEnd w:id="46"/>
      <w:bookmarkEnd w:id="47"/>
    </w:p>
    <w:tbl>
      <w:tblPr>
        <w:tblW w:w="0" w:type="auto"/>
        <w:tblLook w:val="04A0" w:firstRow="1" w:lastRow="0" w:firstColumn="1" w:lastColumn="0" w:noHBand="0" w:noVBand="1"/>
      </w:tblPr>
      <w:tblGrid>
        <w:gridCol w:w="1116"/>
        <w:gridCol w:w="660"/>
        <w:gridCol w:w="1624"/>
        <w:gridCol w:w="660"/>
        <w:gridCol w:w="1624"/>
        <w:gridCol w:w="660"/>
        <w:gridCol w:w="1624"/>
        <w:gridCol w:w="660"/>
        <w:gridCol w:w="1624"/>
      </w:tblGrid>
      <w:tr w:rsidR="00DD448C" w:rsidRPr="00E87E42" w14:paraId="52273869" w14:textId="77777777" w:rsidTr="00B67599">
        <w:trPr>
          <w:trHeight w:val="170"/>
        </w:trPr>
        <w:tc>
          <w:tcPr>
            <w:tcW w:w="0" w:type="auto"/>
            <w:tcBorders>
              <w:top w:val="nil"/>
              <w:left w:val="nil"/>
              <w:bottom w:val="nil"/>
              <w:right w:val="nil"/>
            </w:tcBorders>
            <w:shd w:val="clear" w:color="auto" w:fill="auto"/>
            <w:noWrap/>
            <w:vAlign w:val="bottom"/>
            <w:hideMark/>
          </w:tcPr>
          <w:p w14:paraId="1BC9BCDE" w14:textId="77777777" w:rsidR="00DD448C" w:rsidRPr="00E87E42" w:rsidRDefault="00DD448C" w:rsidP="008F48CC">
            <w:pPr>
              <w:spacing w:after="0" w:line="240" w:lineRule="auto"/>
              <w:jc w:val="left"/>
              <w:rPr>
                <w:rFonts w:eastAsia="Times New Roman"/>
                <w:sz w:val="16"/>
                <w:szCs w:val="16"/>
                <w:lang w:eastAsia="en-GB"/>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F4001" w14:textId="77777777" w:rsidR="00DD448C" w:rsidRPr="00E87E42" w:rsidRDefault="00DD448C" w:rsidP="008F48CC">
            <w:pPr>
              <w:spacing w:after="0" w:line="240" w:lineRule="auto"/>
              <w:jc w:val="center"/>
              <w:rPr>
                <w:rFonts w:eastAsia="Times New Roman"/>
                <w:b/>
                <w:color w:val="000000"/>
                <w:sz w:val="16"/>
                <w:szCs w:val="16"/>
                <w:u w:val="single"/>
                <w:lang w:eastAsia="en-GB"/>
              </w:rPr>
            </w:pPr>
            <w:r w:rsidRPr="00E87E42">
              <w:rPr>
                <w:rFonts w:eastAsia="Times New Roman"/>
                <w:b/>
                <w:color w:val="000000"/>
                <w:sz w:val="16"/>
                <w:szCs w:val="16"/>
                <w:u w:val="single"/>
                <w:lang w:eastAsia="en-GB"/>
              </w:rPr>
              <w:t>Office rooms</w:t>
            </w:r>
          </w:p>
        </w:tc>
      </w:tr>
      <w:tr w:rsidR="00DD448C" w:rsidRPr="00E87E42" w14:paraId="4C5D26C6" w14:textId="77777777" w:rsidTr="00B67599">
        <w:trPr>
          <w:trHeight w:val="170"/>
        </w:trPr>
        <w:tc>
          <w:tcPr>
            <w:tcW w:w="0" w:type="auto"/>
            <w:tcBorders>
              <w:top w:val="nil"/>
              <w:left w:val="nil"/>
              <w:bottom w:val="nil"/>
              <w:right w:val="nil"/>
            </w:tcBorders>
            <w:shd w:val="clear" w:color="auto" w:fill="auto"/>
            <w:noWrap/>
            <w:vAlign w:val="bottom"/>
            <w:hideMark/>
          </w:tcPr>
          <w:p w14:paraId="45ABEA03" w14:textId="77777777" w:rsidR="00DD448C" w:rsidRPr="00E87E42" w:rsidRDefault="00DD448C" w:rsidP="008F48CC">
            <w:pPr>
              <w:spacing w:after="0" w:line="240" w:lineRule="auto"/>
              <w:jc w:val="center"/>
              <w:rPr>
                <w:rFonts w:eastAsia="Times New Roman"/>
                <w:color w:val="000000"/>
                <w:sz w:val="16"/>
                <w:szCs w:val="16"/>
                <w:lang w:eastAsia="en-GB"/>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D5512" w14:textId="77777777" w:rsidR="00DD448C" w:rsidRPr="00E87E42" w:rsidRDefault="00DD448C" w:rsidP="008F48CC">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Sprinklers</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1EF58788" w14:textId="77777777" w:rsidR="00DD448C" w:rsidRPr="00E87E42" w:rsidRDefault="00DD448C" w:rsidP="008F48CC">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No sprinklers</w:t>
            </w:r>
          </w:p>
        </w:tc>
      </w:tr>
      <w:tr w:rsidR="00DD448C" w:rsidRPr="00E87E42" w14:paraId="2EB1D3AD" w14:textId="77777777" w:rsidTr="00B67599">
        <w:trPr>
          <w:trHeight w:val="170"/>
        </w:trPr>
        <w:tc>
          <w:tcPr>
            <w:tcW w:w="0" w:type="auto"/>
            <w:tcBorders>
              <w:top w:val="nil"/>
              <w:left w:val="nil"/>
              <w:bottom w:val="single" w:sz="4" w:space="0" w:color="auto"/>
              <w:right w:val="nil"/>
            </w:tcBorders>
            <w:shd w:val="clear" w:color="auto" w:fill="auto"/>
            <w:noWrap/>
            <w:vAlign w:val="bottom"/>
            <w:hideMark/>
          </w:tcPr>
          <w:p w14:paraId="2CA566E0" w14:textId="77777777" w:rsidR="00DD448C" w:rsidRPr="00E87E42" w:rsidRDefault="00DD448C" w:rsidP="008F48CC">
            <w:pPr>
              <w:spacing w:after="0" w:line="240" w:lineRule="auto"/>
              <w:jc w:val="center"/>
              <w:rPr>
                <w:rFonts w:eastAsia="Times New Roman"/>
                <w:color w:val="000000"/>
                <w:sz w:val="16"/>
                <w:szCs w:val="16"/>
                <w:lang w:eastAsia="en-GB"/>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87D42"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 7974-7</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39A3DAC"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 data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F3CAA27"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 7974-7</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5587CA1"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 data</w:t>
            </w:r>
          </w:p>
        </w:tc>
      </w:tr>
      <w:tr w:rsidR="00DD448C" w:rsidRPr="00E87E42" w14:paraId="15024410" w14:textId="77777777" w:rsidTr="00B67599">
        <w:trPr>
          <w:trHeight w:val="17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7126D9C"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Area damage (m</w:t>
            </w:r>
            <w:r w:rsidRPr="00E87E42">
              <w:rPr>
                <w:rFonts w:eastAsia="Times New Roman"/>
                <w:color w:val="000000"/>
                <w:sz w:val="16"/>
                <w:szCs w:val="16"/>
                <w:vertAlign w:val="superscript"/>
                <w:lang w:eastAsia="en-GB"/>
              </w:rPr>
              <w:t>2</w:t>
            </w:r>
            <w:r w:rsidRPr="00E87E42">
              <w:rPr>
                <w:rFonts w:eastAsia="Times New Roman"/>
                <w:color w:val="000000"/>
                <w:sz w:val="16"/>
                <w:szCs w:val="16"/>
                <w:lang w:eastAsia="en-GB"/>
              </w:rPr>
              <w:t>)</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903EABE"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n of fires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51323F"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fire exceeding upper limit</w:t>
            </w:r>
          </w:p>
        </w:tc>
        <w:tc>
          <w:tcPr>
            <w:tcW w:w="0" w:type="auto"/>
            <w:tcBorders>
              <w:top w:val="single" w:sz="4" w:space="0" w:color="auto"/>
              <w:left w:val="nil"/>
              <w:bottom w:val="single" w:sz="4" w:space="0" w:color="auto"/>
              <w:right w:val="nil"/>
            </w:tcBorders>
            <w:shd w:val="clear" w:color="auto" w:fill="auto"/>
            <w:noWrap/>
            <w:vAlign w:val="bottom"/>
            <w:hideMark/>
          </w:tcPr>
          <w:p w14:paraId="34016FB5"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n of fires</w:t>
            </w:r>
          </w:p>
        </w:tc>
        <w:tc>
          <w:tcPr>
            <w:tcW w:w="0" w:type="auto"/>
            <w:tcBorders>
              <w:top w:val="single" w:sz="4" w:space="0" w:color="auto"/>
              <w:left w:val="nil"/>
              <w:bottom w:val="single" w:sz="4" w:space="0" w:color="auto"/>
              <w:right w:val="nil"/>
            </w:tcBorders>
            <w:shd w:val="clear" w:color="auto" w:fill="auto"/>
            <w:noWrap/>
            <w:vAlign w:val="bottom"/>
            <w:hideMark/>
          </w:tcPr>
          <w:p w14:paraId="36273DE8"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fire exceeding upper limit</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A7ECE3E"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n of fires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BAD5A7"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fire exceeding upper limit</w:t>
            </w:r>
          </w:p>
        </w:tc>
        <w:tc>
          <w:tcPr>
            <w:tcW w:w="0" w:type="auto"/>
            <w:tcBorders>
              <w:top w:val="single" w:sz="4" w:space="0" w:color="auto"/>
              <w:left w:val="nil"/>
              <w:bottom w:val="single" w:sz="4" w:space="0" w:color="auto"/>
              <w:right w:val="nil"/>
            </w:tcBorders>
            <w:shd w:val="clear" w:color="auto" w:fill="auto"/>
            <w:noWrap/>
            <w:vAlign w:val="bottom"/>
            <w:hideMark/>
          </w:tcPr>
          <w:p w14:paraId="53A312D3"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n of fires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161A78"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fire exceeding upper limit</w:t>
            </w:r>
          </w:p>
        </w:tc>
      </w:tr>
      <w:tr w:rsidR="00DD448C" w:rsidRPr="00E87E42" w14:paraId="04FB8B3D" w14:textId="77777777" w:rsidTr="00B67599">
        <w:trPr>
          <w:trHeight w:val="170"/>
        </w:trPr>
        <w:tc>
          <w:tcPr>
            <w:tcW w:w="0" w:type="auto"/>
            <w:tcBorders>
              <w:top w:val="single" w:sz="4" w:space="0" w:color="auto"/>
              <w:left w:val="single" w:sz="4" w:space="0" w:color="auto"/>
              <w:bottom w:val="nil"/>
              <w:right w:val="nil"/>
            </w:tcBorders>
            <w:shd w:val="clear" w:color="auto" w:fill="auto"/>
            <w:noWrap/>
            <w:vAlign w:val="bottom"/>
            <w:hideMark/>
          </w:tcPr>
          <w:p w14:paraId="12F9E4D2"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 and under</w:t>
            </w:r>
          </w:p>
        </w:tc>
        <w:tc>
          <w:tcPr>
            <w:tcW w:w="0" w:type="auto"/>
            <w:tcBorders>
              <w:top w:val="single" w:sz="4" w:space="0" w:color="auto"/>
              <w:left w:val="single" w:sz="4" w:space="0" w:color="auto"/>
              <w:bottom w:val="nil"/>
              <w:right w:val="nil"/>
            </w:tcBorders>
            <w:shd w:val="clear" w:color="auto" w:fill="auto"/>
            <w:noWrap/>
            <w:vAlign w:val="bottom"/>
            <w:hideMark/>
          </w:tcPr>
          <w:p w14:paraId="17CBF8F3"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w:t>
            </w:r>
          </w:p>
        </w:tc>
        <w:tc>
          <w:tcPr>
            <w:tcW w:w="0" w:type="auto"/>
            <w:tcBorders>
              <w:top w:val="single" w:sz="4" w:space="0" w:color="auto"/>
              <w:left w:val="nil"/>
              <w:bottom w:val="nil"/>
              <w:right w:val="single" w:sz="4" w:space="0" w:color="auto"/>
            </w:tcBorders>
            <w:shd w:val="clear" w:color="auto" w:fill="auto"/>
            <w:noWrap/>
            <w:vAlign w:val="bottom"/>
            <w:hideMark/>
          </w:tcPr>
          <w:p w14:paraId="071A3FA6"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27.8%</w:t>
            </w:r>
          </w:p>
        </w:tc>
        <w:tc>
          <w:tcPr>
            <w:tcW w:w="0" w:type="auto"/>
            <w:tcBorders>
              <w:top w:val="single" w:sz="4" w:space="0" w:color="auto"/>
              <w:left w:val="nil"/>
              <w:bottom w:val="nil"/>
              <w:right w:val="nil"/>
            </w:tcBorders>
            <w:shd w:val="clear" w:color="auto" w:fill="auto"/>
            <w:noWrap/>
            <w:vAlign w:val="bottom"/>
            <w:hideMark/>
          </w:tcPr>
          <w:p w14:paraId="15086DB8"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w:t>
            </w:r>
          </w:p>
        </w:tc>
        <w:tc>
          <w:tcPr>
            <w:tcW w:w="0" w:type="auto"/>
            <w:tcBorders>
              <w:top w:val="single" w:sz="4" w:space="0" w:color="auto"/>
              <w:left w:val="nil"/>
              <w:bottom w:val="nil"/>
              <w:right w:val="nil"/>
            </w:tcBorders>
            <w:shd w:val="clear" w:color="auto" w:fill="auto"/>
            <w:noWrap/>
            <w:vAlign w:val="bottom"/>
            <w:hideMark/>
          </w:tcPr>
          <w:p w14:paraId="7F65D7F9"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34.78%</w:t>
            </w:r>
          </w:p>
        </w:tc>
        <w:tc>
          <w:tcPr>
            <w:tcW w:w="0" w:type="auto"/>
            <w:tcBorders>
              <w:top w:val="single" w:sz="4" w:space="0" w:color="auto"/>
              <w:left w:val="single" w:sz="4" w:space="0" w:color="auto"/>
              <w:bottom w:val="nil"/>
              <w:right w:val="nil"/>
            </w:tcBorders>
            <w:shd w:val="clear" w:color="auto" w:fill="auto"/>
            <w:noWrap/>
            <w:vAlign w:val="bottom"/>
            <w:hideMark/>
          </w:tcPr>
          <w:p w14:paraId="011B6B24"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908</w:t>
            </w:r>
          </w:p>
        </w:tc>
        <w:tc>
          <w:tcPr>
            <w:tcW w:w="0" w:type="auto"/>
            <w:tcBorders>
              <w:top w:val="single" w:sz="4" w:space="0" w:color="auto"/>
              <w:left w:val="nil"/>
              <w:bottom w:val="nil"/>
              <w:right w:val="single" w:sz="4" w:space="0" w:color="auto"/>
            </w:tcBorders>
            <w:shd w:val="clear" w:color="auto" w:fill="auto"/>
            <w:noWrap/>
            <w:vAlign w:val="bottom"/>
            <w:hideMark/>
          </w:tcPr>
          <w:p w14:paraId="13E9E4FA"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51.2%</w:t>
            </w:r>
          </w:p>
        </w:tc>
        <w:tc>
          <w:tcPr>
            <w:tcW w:w="0" w:type="auto"/>
            <w:tcBorders>
              <w:top w:val="single" w:sz="4" w:space="0" w:color="auto"/>
              <w:left w:val="nil"/>
              <w:bottom w:val="nil"/>
              <w:right w:val="nil"/>
            </w:tcBorders>
            <w:shd w:val="clear" w:color="auto" w:fill="auto"/>
            <w:noWrap/>
            <w:vAlign w:val="bottom"/>
            <w:hideMark/>
          </w:tcPr>
          <w:p w14:paraId="0F01F456"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w:t>
            </w:r>
          </w:p>
        </w:tc>
        <w:tc>
          <w:tcPr>
            <w:tcW w:w="0" w:type="auto"/>
            <w:tcBorders>
              <w:top w:val="single" w:sz="4" w:space="0" w:color="auto"/>
              <w:left w:val="nil"/>
              <w:bottom w:val="nil"/>
              <w:right w:val="single" w:sz="4" w:space="0" w:color="auto"/>
            </w:tcBorders>
            <w:shd w:val="clear" w:color="auto" w:fill="auto"/>
            <w:noWrap/>
            <w:vAlign w:val="bottom"/>
            <w:hideMark/>
          </w:tcPr>
          <w:p w14:paraId="590737FB"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54.76%</w:t>
            </w:r>
          </w:p>
        </w:tc>
      </w:tr>
      <w:tr w:rsidR="00DD448C" w:rsidRPr="00E87E42" w14:paraId="3A839FFC" w14:textId="77777777" w:rsidTr="00B67599">
        <w:trPr>
          <w:trHeight w:val="170"/>
        </w:trPr>
        <w:tc>
          <w:tcPr>
            <w:tcW w:w="0" w:type="auto"/>
            <w:tcBorders>
              <w:top w:val="nil"/>
              <w:left w:val="single" w:sz="4" w:space="0" w:color="auto"/>
              <w:bottom w:val="nil"/>
              <w:right w:val="nil"/>
            </w:tcBorders>
            <w:shd w:val="clear" w:color="auto" w:fill="auto"/>
            <w:noWrap/>
            <w:vAlign w:val="bottom"/>
            <w:hideMark/>
          </w:tcPr>
          <w:p w14:paraId="4119664C"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w:t>
            </w:r>
          </w:p>
        </w:tc>
        <w:tc>
          <w:tcPr>
            <w:tcW w:w="0" w:type="auto"/>
            <w:tcBorders>
              <w:top w:val="nil"/>
              <w:left w:val="single" w:sz="4" w:space="0" w:color="auto"/>
              <w:bottom w:val="nil"/>
              <w:right w:val="nil"/>
            </w:tcBorders>
            <w:shd w:val="clear" w:color="auto" w:fill="auto"/>
            <w:noWrap/>
            <w:vAlign w:val="bottom"/>
            <w:hideMark/>
          </w:tcPr>
          <w:p w14:paraId="067641DD"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0" w:type="auto"/>
            <w:tcBorders>
              <w:top w:val="nil"/>
              <w:left w:val="nil"/>
              <w:bottom w:val="nil"/>
              <w:right w:val="single" w:sz="4" w:space="0" w:color="auto"/>
            </w:tcBorders>
            <w:shd w:val="clear" w:color="auto" w:fill="auto"/>
            <w:noWrap/>
            <w:vAlign w:val="bottom"/>
            <w:hideMark/>
          </w:tcPr>
          <w:p w14:paraId="01C95D02"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11.1%</w:t>
            </w:r>
          </w:p>
        </w:tc>
        <w:tc>
          <w:tcPr>
            <w:tcW w:w="0" w:type="auto"/>
            <w:tcBorders>
              <w:top w:val="nil"/>
              <w:left w:val="nil"/>
              <w:bottom w:val="nil"/>
              <w:right w:val="nil"/>
            </w:tcBorders>
            <w:shd w:val="clear" w:color="auto" w:fill="auto"/>
            <w:noWrap/>
            <w:vAlign w:val="bottom"/>
            <w:hideMark/>
          </w:tcPr>
          <w:p w14:paraId="2501BF2A"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14:paraId="4F0F72E5"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34.78%</w:t>
            </w:r>
          </w:p>
        </w:tc>
        <w:tc>
          <w:tcPr>
            <w:tcW w:w="0" w:type="auto"/>
            <w:tcBorders>
              <w:top w:val="nil"/>
              <w:left w:val="single" w:sz="4" w:space="0" w:color="auto"/>
              <w:bottom w:val="nil"/>
              <w:right w:val="nil"/>
            </w:tcBorders>
            <w:shd w:val="clear" w:color="auto" w:fill="auto"/>
            <w:noWrap/>
            <w:vAlign w:val="bottom"/>
            <w:hideMark/>
          </w:tcPr>
          <w:p w14:paraId="1EB7945C"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379</w:t>
            </w:r>
          </w:p>
        </w:tc>
        <w:tc>
          <w:tcPr>
            <w:tcW w:w="0" w:type="auto"/>
            <w:tcBorders>
              <w:top w:val="nil"/>
              <w:left w:val="nil"/>
              <w:bottom w:val="nil"/>
              <w:right w:val="single" w:sz="4" w:space="0" w:color="auto"/>
            </w:tcBorders>
            <w:shd w:val="clear" w:color="auto" w:fill="auto"/>
            <w:noWrap/>
            <w:vAlign w:val="bottom"/>
            <w:hideMark/>
          </w:tcPr>
          <w:p w14:paraId="03C346BF"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30.8%</w:t>
            </w:r>
          </w:p>
        </w:tc>
        <w:tc>
          <w:tcPr>
            <w:tcW w:w="0" w:type="auto"/>
            <w:tcBorders>
              <w:top w:val="nil"/>
              <w:left w:val="nil"/>
              <w:bottom w:val="nil"/>
              <w:right w:val="nil"/>
            </w:tcBorders>
            <w:shd w:val="clear" w:color="auto" w:fill="auto"/>
            <w:noWrap/>
            <w:vAlign w:val="bottom"/>
            <w:hideMark/>
          </w:tcPr>
          <w:p w14:paraId="757DBF23"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single" w:sz="4" w:space="0" w:color="auto"/>
            </w:tcBorders>
            <w:shd w:val="clear" w:color="auto" w:fill="auto"/>
            <w:noWrap/>
            <w:vAlign w:val="bottom"/>
            <w:hideMark/>
          </w:tcPr>
          <w:p w14:paraId="741A92EE"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54.76%</w:t>
            </w:r>
          </w:p>
        </w:tc>
      </w:tr>
      <w:tr w:rsidR="00DD448C" w:rsidRPr="00E87E42" w14:paraId="0C959959" w14:textId="77777777" w:rsidTr="00B67599">
        <w:trPr>
          <w:trHeight w:val="170"/>
        </w:trPr>
        <w:tc>
          <w:tcPr>
            <w:tcW w:w="0" w:type="auto"/>
            <w:tcBorders>
              <w:top w:val="nil"/>
              <w:left w:val="single" w:sz="4" w:space="0" w:color="auto"/>
              <w:bottom w:val="nil"/>
              <w:right w:val="nil"/>
            </w:tcBorders>
            <w:shd w:val="clear" w:color="auto" w:fill="auto"/>
            <w:noWrap/>
            <w:vAlign w:val="bottom"/>
            <w:hideMark/>
          </w:tcPr>
          <w:p w14:paraId="669D5332"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5-9</w:t>
            </w:r>
          </w:p>
        </w:tc>
        <w:tc>
          <w:tcPr>
            <w:tcW w:w="0" w:type="auto"/>
            <w:tcBorders>
              <w:top w:val="nil"/>
              <w:left w:val="single" w:sz="4" w:space="0" w:color="auto"/>
              <w:bottom w:val="nil"/>
              <w:right w:val="nil"/>
            </w:tcBorders>
            <w:shd w:val="clear" w:color="auto" w:fill="auto"/>
            <w:noWrap/>
            <w:vAlign w:val="bottom"/>
            <w:hideMark/>
          </w:tcPr>
          <w:p w14:paraId="3C8D9E66"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single" w:sz="4" w:space="0" w:color="auto"/>
            </w:tcBorders>
            <w:shd w:val="clear" w:color="auto" w:fill="auto"/>
            <w:noWrap/>
            <w:vAlign w:val="bottom"/>
            <w:hideMark/>
          </w:tcPr>
          <w:p w14:paraId="200284DA"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11.1%</w:t>
            </w:r>
          </w:p>
        </w:tc>
        <w:tc>
          <w:tcPr>
            <w:tcW w:w="0" w:type="auto"/>
            <w:tcBorders>
              <w:top w:val="nil"/>
              <w:left w:val="nil"/>
              <w:bottom w:val="nil"/>
              <w:right w:val="nil"/>
            </w:tcBorders>
            <w:shd w:val="clear" w:color="auto" w:fill="auto"/>
            <w:noWrap/>
            <w:vAlign w:val="bottom"/>
            <w:hideMark/>
          </w:tcPr>
          <w:p w14:paraId="1BAF51D9"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14:paraId="2FE3C395"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34.78%</w:t>
            </w:r>
          </w:p>
        </w:tc>
        <w:tc>
          <w:tcPr>
            <w:tcW w:w="0" w:type="auto"/>
            <w:tcBorders>
              <w:top w:val="nil"/>
              <w:left w:val="single" w:sz="4" w:space="0" w:color="auto"/>
              <w:bottom w:val="nil"/>
              <w:right w:val="nil"/>
            </w:tcBorders>
            <w:shd w:val="clear" w:color="auto" w:fill="auto"/>
            <w:noWrap/>
            <w:vAlign w:val="bottom"/>
            <w:hideMark/>
          </w:tcPr>
          <w:p w14:paraId="4FD2E51F"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144</w:t>
            </w:r>
          </w:p>
        </w:tc>
        <w:tc>
          <w:tcPr>
            <w:tcW w:w="0" w:type="auto"/>
            <w:tcBorders>
              <w:top w:val="nil"/>
              <w:left w:val="nil"/>
              <w:bottom w:val="nil"/>
              <w:right w:val="single" w:sz="4" w:space="0" w:color="auto"/>
            </w:tcBorders>
            <w:shd w:val="clear" w:color="auto" w:fill="auto"/>
            <w:noWrap/>
            <w:vAlign w:val="bottom"/>
            <w:hideMark/>
          </w:tcPr>
          <w:p w14:paraId="68ACC6BA"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23.1%</w:t>
            </w:r>
          </w:p>
        </w:tc>
        <w:tc>
          <w:tcPr>
            <w:tcW w:w="0" w:type="auto"/>
            <w:tcBorders>
              <w:top w:val="nil"/>
              <w:left w:val="nil"/>
              <w:bottom w:val="nil"/>
              <w:right w:val="nil"/>
            </w:tcBorders>
            <w:shd w:val="clear" w:color="auto" w:fill="auto"/>
            <w:noWrap/>
            <w:vAlign w:val="bottom"/>
            <w:hideMark/>
          </w:tcPr>
          <w:p w14:paraId="4750C010"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0" w:type="auto"/>
            <w:tcBorders>
              <w:top w:val="nil"/>
              <w:left w:val="nil"/>
              <w:bottom w:val="nil"/>
              <w:right w:val="single" w:sz="4" w:space="0" w:color="auto"/>
            </w:tcBorders>
            <w:shd w:val="clear" w:color="auto" w:fill="auto"/>
            <w:noWrap/>
            <w:vAlign w:val="bottom"/>
            <w:hideMark/>
          </w:tcPr>
          <w:p w14:paraId="7FE4EE44"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50.00%</w:t>
            </w:r>
          </w:p>
        </w:tc>
      </w:tr>
      <w:tr w:rsidR="00DD448C" w:rsidRPr="00E87E42" w14:paraId="159CA2D6" w14:textId="77777777" w:rsidTr="00B67599">
        <w:trPr>
          <w:trHeight w:val="170"/>
        </w:trPr>
        <w:tc>
          <w:tcPr>
            <w:tcW w:w="0" w:type="auto"/>
            <w:tcBorders>
              <w:top w:val="nil"/>
              <w:left w:val="single" w:sz="4" w:space="0" w:color="auto"/>
              <w:bottom w:val="nil"/>
              <w:right w:val="nil"/>
            </w:tcBorders>
            <w:shd w:val="clear" w:color="auto" w:fill="auto"/>
            <w:noWrap/>
            <w:vAlign w:val="bottom"/>
            <w:hideMark/>
          </w:tcPr>
          <w:p w14:paraId="62289B82"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10-19</w:t>
            </w:r>
          </w:p>
        </w:tc>
        <w:tc>
          <w:tcPr>
            <w:tcW w:w="0" w:type="auto"/>
            <w:tcBorders>
              <w:top w:val="nil"/>
              <w:left w:val="single" w:sz="4" w:space="0" w:color="auto"/>
              <w:bottom w:val="nil"/>
              <w:right w:val="nil"/>
            </w:tcBorders>
            <w:shd w:val="clear" w:color="auto" w:fill="auto"/>
            <w:noWrap/>
            <w:vAlign w:val="bottom"/>
            <w:hideMark/>
          </w:tcPr>
          <w:p w14:paraId="4AE2C290"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0" w:type="auto"/>
            <w:tcBorders>
              <w:top w:val="nil"/>
              <w:left w:val="nil"/>
              <w:bottom w:val="nil"/>
              <w:right w:val="single" w:sz="4" w:space="0" w:color="auto"/>
            </w:tcBorders>
            <w:shd w:val="clear" w:color="auto" w:fill="auto"/>
            <w:noWrap/>
            <w:vAlign w:val="bottom"/>
            <w:hideMark/>
          </w:tcPr>
          <w:p w14:paraId="784EDD35"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nil"/>
              <w:right w:val="nil"/>
            </w:tcBorders>
            <w:shd w:val="clear" w:color="auto" w:fill="auto"/>
            <w:noWrap/>
            <w:vAlign w:val="bottom"/>
            <w:hideMark/>
          </w:tcPr>
          <w:p w14:paraId="048944BA"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14:paraId="211E3A76"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34.78%</w:t>
            </w:r>
          </w:p>
        </w:tc>
        <w:tc>
          <w:tcPr>
            <w:tcW w:w="0" w:type="auto"/>
            <w:tcBorders>
              <w:top w:val="nil"/>
              <w:left w:val="single" w:sz="4" w:space="0" w:color="auto"/>
              <w:bottom w:val="nil"/>
              <w:right w:val="nil"/>
            </w:tcBorders>
            <w:shd w:val="clear" w:color="auto" w:fill="auto"/>
            <w:noWrap/>
            <w:vAlign w:val="bottom"/>
            <w:hideMark/>
          </w:tcPr>
          <w:p w14:paraId="1FB57EC3"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116</w:t>
            </w:r>
          </w:p>
        </w:tc>
        <w:tc>
          <w:tcPr>
            <w:tcW w:w="0" w:type="auto"/>
            <w:tcBorders>
              <w:top w:val="nil"/>
              <w:left w:val="nil"/>
              <w:bottom w:val="nil"/>
              <w:right w:val="single" w:sz="4" w:space="0" w:color="auto"/>
            </w:tcBorders>
            <w:shd w:val="clear" w:color="auto" w:fill="auto"/>
            <w:noWrap/>
            <w:vAlign w:val="bottom"/>
            <w:hideMark/>
          </w:tcPr>
          <w:p w14:paraId="10CCB3AB"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16.8%</w:t>
            </w:r>
          </w:p>
        </w:tc>
        <w:tc>
          <w:tcPr>
            <w:tcW w:w="0" w:type="auto"/>
            <w:tcBorders>
              <w:top w:val="nil"/>
              <w:left w:val="nil"/>
              <w:bottom w:val="nil"/>
              <w:right w:val="nil"/>
            </w:tcBorders>
            <w:shd w:val="clear" w:color="auto" w:fill="auto"/>
            <w:noWrap/>
            <w:vAlign w:val="bottom"/>
            <w:hideMark/>
          </w:tcPr>
          <w:p w14:paraId="18155CC6"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single" w:sz="4" w:space="0" w:color="auto"/>
            </w:tcBorders>
            <w:shd w:val="clear" w:color="auto" w:fill="auto"/>
            <w:noWrap/>
            <w:vAlign w:val="bottom"/>
            <w:hideMark/>
          </w:tcPr>
          <w:p w14:paraId="0694CD82"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50.00%</w:t>
            </w:r>
          </w:p>
        </w:tc>
      </w:tr>
      <w:tr w:rsidR="00DD448C" w:rsidRPr="00E87E42" w14:paraId="48B6DC14" w14:textId="77777777" w:rsidTr="00B67599">
        <w:trPr>
          <w:trHeight w:val="170"/>
        </w:trPr>
        <w:tc>
          <w:tcPr>
            <w:tcW w:w="0" w:type="auto"/>
            <w:tcBorders>
              <w:top w:val="nil"/>
              <w:left w:val="single" w:sz="4" w:space="0" w:color="auto"/>
              <w:bottom w:val="nil"/>
              <w:right w:val="nil"/>
            </w:tcBorders>
            <w:shd w:val="clear" w:color="auto" w:fill="auto"/>
            <w:noWrap/>
            <w:vAlign w:val="bottom"/>
            <w:hideMark/>
          </w:tcPr>
          <w:p w14:paraId="351F9E78"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20-49</w:t>
            </w:r>
          </w:p>
        </w:tc>
        <w:tc>
          <w:tcPr>
            <w:tcW w:w="0" w:type="auto"/>
            <w:tcBorders>
              <w:top w:val="nil"/>
              <w:left w:val="single" w:sz="4" w:space="0" w:color="auto"/>
              <w:bottom w:val="nil"/>
              <w:right w:val="nil"/>
            </w:tcBorders>
            <w:shd w:val="clear" w:color="auto" w:fill="auto"/>
            <w:noWrap/>
            <w:vAlign w:val="bottom"/>
            <w:hideMark/>
          </w:tcPr>
          <w:p w14:paraId="190F3A50"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single" w:sz="4" w:space="0" w:color="auto"/>
            </w:tcBorders>
            <w:shd w:val="clear" w:color="auto" w:fill="auto"/>
            <w:noWrap/>
            <w:vAlign w:val="bottom"/>
            <w:hideMark/>
          </w:tcPr>
          <w:p w14:paraId="783CC4EF"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nil"/>
              <w:right w:val="nil"/>
            </w:tcBorders>
            <w:shd w:val="clear" w:color="auto" w:fill="auto"/>
            <w:noWrap/>
            <w:vAlign w:val="bottom"/>
            <w:hideMark/>
          </w:tcPr>
          <w:p w14:paraId="4E5BF5AA"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0" w:type="auto"/>
            <w:tcBorders>
              <w:top w:val="nil"/>
              <w:left w:val="nil"/>
              <w:bottom w:val="nil"/>
              <w:right w:val="nil"/>
            </w:tcBorders>
            <w:shd w:val="clear" w:color="auto" w:fill="auto"/>
            <w:noWrap/>
            <w:vAlign w:val="bottom"/>
            <w:hideMark/>
          </w:tcPr>
          <w:p w14:paraId="38EC69E1"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30.43%</w:t>
            </w:r>
          </w:p>
        </w:tc>
        <w:tc>
          <w:tcPr>
            <w:tcW w:w="0" w:type="auto"/>
            <w:tcBorders>
              <w:top w:val="nil"/>
              <w:left w:val="single" w:sz="4" w:space="0" w:color="auto"/>
              <w:bottom w:val="nil"/>
              <w:right w:val="nil"/>
            </w:tcBorders>
            <w:shd w:val="clear" w:color="auto" w:fill="auto"/>
            <w:noWrap/>
            <w:vAlign w:val="bottom"/>
            <w:hideMark/>
          </w:tcPr>
          <w:p w14:paraId="60A69E86"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154</w:t>
            </w:r>
          </w:p>
        </w:tc>
        <w:tc>
          <w:tcPr>
            <w:tcW w:w="0" w:type="auto"/>
            <w:tcBorders>
              <w:top w:val="nil"/>
              <w:left w:val="nil"/>
              <w:bottom w:val="nil"/>
              <w:right w:val="single" w:sz="4" w:space="0" w:color="auto"/>
            </w:tcBorders>
            <w:shd w:val="clear" w:color="auto" w:fill="auto"/>
            <w:noWrap/>
            <w:vAlign w:val="bottom"/>
            <w:hideMark/>
          </w:tcPr>
          <w:p w14:paraId="731C66F3"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8.5%</w:t>
            </w:r>
          </w:p>
        </w:tc>
        <w:tc>
          <w:tcPr>
            <w:tcW w:w="0" w:type="auto"/>
            <w:tcBorders>
              <w:top w:val="nil"/>
              <w:left w:val="nil"/>
              <w:bottom w:val="nil"/>
              <w:right w:val="nil"/>
            </w:tcBorders>
            <w:shd w:val="clear" w:color="auto" w:fill="auto"/>
            <w:noWrap/>
            <w:vAlign w:val="bottom"/>
            <w:hideMark/>
          </w:tcPr>
          <w:p w14:paraId="23A6642D"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0" w:type="auto"/>
            <w:tcBorders>
              <w:top w:val="nil"/>
              <w:left w:val="nil"/>
              <w:bottom w:val="nil"/>
              <w:right w:val="single" w:sz="4" w:space="0" w:color="auto"/>
            </w:tcBorders>
            <w:shd w:val="clear" w:color="auto" w:fill="auto"/>
            <w:noWrap/>
            <w:vAlign w:val="bottom"/>
            <w:hideMark/>
          </w:tcPr>
          <w:p w14:paraId="415DDB67"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45.24%</w:t>
            </w:r>
          </w:p>
        </w:tc>
      </w:tr>
      <w:tr w:rsidR="00DD448C" w:rsidRPr="00E87E42" w14:paraId="23535F4C" w14:textId="77777777" w:rsidTr="00B67599">
        <w:trPr>
          <w:trHeight w:val="170"/>
        </w:trPr>
        <w:tc>
          <w:tcPr>
            <w:tcW w:w="0" w:type="auto"/>
            <w:tcBorders>
              <w:top w:val="nil"/>
              <w:left w:val="single" w:sz="4" w:space="0" w:color="auto"/>
              <w:bottom w:val="nil"/>
              <w:right w:val="nil"/>
            </w:tcBorders>
            <w:shd w:val="clear" w:color="auto" w:fill="auto"/>
            <w:noWrap/>
            <w:vAlign w:val="bottom"/>
            <w:hideMark/>
          </w:tcPr>
          <w:p w14:paraId="2A25C70E"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50-99</w:t>
            </w:r>
          </w:p>
        </w:tc>
        <w:tc>
          <w:tcPr>
            <w:tcW w:w="0" w:type="auto"/>
            <w:tcBorders>
              <w:top w:val="nil"/>
              <w:left w:val="single" w:sz="4" w:space="0" w:color="auto"/>
              <w:bottom w:val="nil"/>
              <w:right w:val="nil"/>
            </w:tcBorders>
            <w:shd w:val="clear" w:color="auto" w:fill="auto"/>
            <w:noWrap/>
            <w:vAlign w:val="bottom"/>
            <w:hideMark/>
          </w:tcPr>
          <w:p w14:paraId="06522B1F"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single" w:sz="4" w:space="0" w:color="auto"/>
            </w:tcBorders>
            <w:shd w:val="clear" w:color="auto" w:fill="auto"/>
            <w:noWrap/>
            <w:vAlign w:val="bottom"/>
            <w:hideMark/>
          </w:tcPr>
          <w:p w14:paraId="194CFF3C"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nil"/>
              <w:right w:val="nil"/>
            </w:tcBorders>
            <w:shd w:val="clear" w:color="auto" w:fill="auto"/>
            <w:noWrap/>
            <w:vAlign w:val="bottom"/>
            <w:hideMark/>
          </w:tcPr>
          <w:p w14:paraId="39E85266"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14:paraId="20ADF656"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30.43%</w:t>
            </w:r>
          </w:p>
        </w:tc>
        <w:tc>
          <w:tcPr>
            <w:tcW w:w="0" w:type="auto"/>
            <w:tcBorders>
              <w:top w:val="nil"/>
              <w:left w:val="single" w:sz="4" w:space="0" w:color="auto"/>
              <w:bottom w:val="nil"/>
              <w:right w:val="nil"/>
            </w:tcBorders>
            <w:shd w:val="clear" w:color="auto" w:fill="auto"/>
            <w:noWrap/>
            <w:vAlign w:val="bottom"/>
            <w:hideMark/>
          </w:tcPr>
          <w:p w14:paraId="4CD00E91"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69</w:t>
            </w:r>
          </w:p>
        </w:tc>
        <w:tc>
          <w:tcPr>
            <w:tcW w:w="0" w:type="auto"/>
            <w:tcBorders>
              <w:top w:val="nil"/>
              <w:left w:val="nil"/>
              <w:bottom w:val="nil"/>
              <w:right w:val="single" w:sz="4" w:space="0" w:color="auto"/>
            </w:tcBorders>
            <w:shd w:val="clear" w:color="auto" w:fill="auto"/>
            <w:noWrap/>
            <w:vAlign w:val="bottom"/>
            <w:hideMark/>
          </w:tcPr>
          <w:p w14:paraId="64CBBBE5"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4.8%</w:t>
            </w:r>
          </w:p>
        </w:tc>
        <w:tc>
          <w:tcPr>
            <w:tcW w:w="0" w:type="auto"/>
            <w:tcBorders>
              <w:top w:val="nil"/>
              <w:left w:val="nil"/>
              <w:bottom w:val="nil"/>
              <w:right w:val="nil"/>
            </w:tcBorders>
            <w:shd w:val="clear" w:color="auto" w:fill="auto"/>
            <w:noWrap/>
            <w:vAlign w:val="bottom"/>
            <w:hideMark/>
          </w:tcPr>
          <w:p w14:paraId="76F43D9E"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w:t>
            </w:r>
          </w:p>
        </w:tc>
        <w:tc>
          <w:tcPr>
            <w:tcW w:w="0" w:type="auto"/>
            <w:tcBorders>
              <w:top w:val="nil"/>
              <w:left w:val="nil"/>
              <w:bottom w:val="nil"/>
              <w:right w:val="single" w:sz="4" w:space="0" w:color="auto"/>
            </w:tcBorders>
            <w:shd w:val="clear" w:color="auto" w:fill="auto"/>
            <w:noWrap/>
            <w:vAlign w:val="bottom"/>
            <w:hideMark/>
          </w:tcPr>
          <w:p w14:paraId="12ECD927"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28.57%</w:t>
            </w:r>
          </w:p>
        </w:tc>
      </w:tr>
      <w:tr w:rsidR="00DD448C" w:rsidRPr="00E87E42" w14:paraId="11F12B47" w14:textId="77777777" w:rsidTr="00B67599">
        <w:trPr>
          <w:trHeight w:val="170"/>
        </w:trPr>
        <w:tc>
          <w:tcPr>
            <w:tcW w:w="0" w:type="auto"/>
            <w:tcBorders>
              <w:top w:val="nil"/>
              <w:left w:val="single" w:sz="4" w:space="0" w:color="auto"/>
              <w:bottom w:val="nil"/>
              <w:right w:val="nil"/>
            </w:tcBorders>
            <w:shd w:val="clear" w:color="auto" w:fill="auto"/>
            <w:noWrap/>
            <w:vAlign w:val="bottom"/>
            <w:hideMark/>
          </w:tcPr>
          <w:p w14:paraId="507BADF1"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100-199</w:t>
            </w:r>
          </w:p>
        </w:tc>
        <w:tc>
          <w:tcPr>
            <w:tcW w:w="0" w:type="auto"/>
            <w:tcBorders>
              <w:top w:val="nil"/>
              <w:left w:val="single" w:sz="4" w:space="0" w:color="auto"/>
              <w:bottom w:val="nil"/>
              <w:right w:val="nil"/>
            </w:tcBorders>
            <w:shd w:val="clear" w:color="auto" w:fill="auto"/>
            <w:noWrap/>
            <w:vAlign w:val="bottom"/>
            <w:hideMark/>
          </w:tcPr>
          <w:p w14:paraId="33CCCD65"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single" w:sz="4" w:space="0" w:color="auto"/>
            </w:tcBorders>
            <w:shd w:val="clear" w:color="auto" w:fill="auto"/>
            <w:noWrap/>
            <w:vAlign w:val="bottom"/>
            <w:hideMark/>
          </w:tcPr>
          <w:p w14:paraId="52F0632C"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nil"/>
              <w:right w:val="nil"/>
            </w:tcBorders>
            <w:shd w:val="clear" w:color="auto" w:fill="auto"/>
            <w:noWrap/>
            <w:vAlign w:val="bottom"/>
            <w:hideMark/>
          </w:tcPr>
          <w:p w14:paraId="6B1973C3"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0" w:type="auto"/>
            <w:tcBorders>
              <w:top w:val="nil"/>
              <w:left w:val="nil"/>
              <w:bottom w:val="nil"/>
              <w:right w:val="nil"/>
            </w:tcBorders>
            <w:shd w:val="clear" w:color="auto" w:fill="auto"/>
            <w:noWrap/>
            <w:vAlign w:val="bottom"/>
            <w:hideMark/>
          </w:tcPr>
          <w:p w14:paraId="4A7AE571"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26.09%</w:t>
            </w:r>
          </w:p>
        </w:tc>
        <w:tc>
          <w:tcPr>
            <w:tcW w:w="0" w:type="auto"/>
            <w:tcBorders>
              <w:top w:val="nil"/>
              <w:left w:val="single" w:sz="4" w:space="0" w:color="auto"/>
              <w:bottom w:val="nil"/>
              <w:right w:val="nil"/>
            </w:tcBorders>
            <w:shd w:val="clear" w:color="auto" w:fill="auto"/>
            <w:noWrap/>
            <w:vAlign w:val="bottom"/>
            <w:hideMark/>
          </w:tcPr>
          <w:p w14:paraId="67C10594"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35</w:t>
            </w:r>
          </w:p>
        </w:tc>
        <w:tc>
          <w:tcPr>
            <w:tcW w:w="0" w:type="auto"/>
            <w:tcBorders>
              <w:top w:val="nil"/>
              <w:left w:val="nil"/>
              <w:bottom w:val="nil"/>
              <w:right w:val="single" w:sz="4" w:space="0" w:color="auto"/>
            </w:tcBorders>
            <w:shd w:val="clear" w:color="auto" w:fill="auto"/>
            <w:noWrap/>
            <w:vAlign w:val="bottom"/>
            <w:hideMark/>
          </w:tcPr>
          <w:p w14:paraId="72FFDD53"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3.0%</w:t>
            </w:r>
          </w:p>
        </w:tc>
        <w:tc>
          <w:tcPr>
            <w:tcW w:w="0" w:type="auto"/>
            <w:tcBorders>
              <w:top w:val="nil"/>
              <w:left w:val="nil"/>
              <w:bottom w:val="nil"/>
              <w:right w:val="nil"/>
            </w:tcBorders>
            <w:shd w:val="clear" w:color="auto" w:fill="auto"/>
            <w:noWrap/>
            <w:vAlign w:val="bottom"/>
            <w:hideMark/>
          </w:tcPr>
          <w:p w14:paraId="5CDA9BD5"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0" w:type="auto"/>
            <w:tcBorders>
              <w:top w:val="nil"/>
              <w:left w:val="nil"/>
              <w:bottom w:val="nil"/>
              <w:right w:val="single" w:sz="4" w:space="0" w:color="auto"/>
            </w:tcBorders>
            <w:shd w:val="clear" w:color="auto" w:fill="auto"/>
            <w:noWrap/>
            <w:vAlign w:val="bottom"/>
            <w:hideMark/>
          </w:tcPr>
          <w:p w14:paraId="49991CC2"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19.05%</w:t>
            </w:r>
          </w:p>
        </w:tc>
      </w:tr>
      <w:tr w:rsidR="00DD448C" w:rsidRPr="00E87E42" w14:paraId="3D917776" w14:textId="77777777" w:rsidTr="00B67599">
        <w:trPr>
          <w:trHeight w:val="170"/>
        </w:trPr>
        <w:tc>
          <w:tcPr>
            <w:tcW w:w="0" w:type="auto"/>
            <w:tcBorders>
              <w:top w:val="nil"/>
              <w:left w:val="single" w:sz="4" w:space="0" w:color="auto"/>
              <w:bottom w:val="nil"/>
              <w:right w:val="nil"/>
            </w:tcBorders>
            <w:shd w:val="clear" w:color="auto" w:fill="auto"/>
            <w:noWrap/>
            <w:vAlign w:val="bottom"/>
            <w:hideMark/>
          </w:tcPr>
          <w:p w14:paraId="6C15EC60"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200-499</w:t>
            </w:r>
          </w:p>
        </w:tc>
        <w:tc>
          <w:tcPr>
            <w:tcW w:w="0" w:type="auto"/>
            <w:tcBorders>
              <w:top w:val="nil"/>
              <w:left w:val="single" w:sz="4" w:space="0" w:color="auto"/>
              <w:bottom w:val="nil"/>
              <w:right w:val="nil"/>
            </w:tcBorders>
            <w:shd w:val="clear" w:color="auto" w:fill="auto"/>
            <w:noWrap/>
            <w:vAlign w:val="bottom"/>
            <w:hideMark/>
          </w:tcPr>
          <w:p w14:paraId="201A17D0"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single" w:sz="4" w:space="0" w:color="auto"/>
            </w:tcBorders>
            <w:shd w:val="clear" w:color="auto" w:fill="auto"/>
            <w:noWrap/>
            <w:vAlign w:val="bottom"/>
            <w:hideMark/>
          </w:tcPr>
          <w:p w14:paraId="241040A2"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nil"/>
              <w:right w:val="nil"/>
            </w:tcBorders>
            <w:shd w:val="clear" w:color="auto" w:fill="auto"/>
            <w:noWrap/>
            <w:vAlign w:val="bottom"/>
            <w:hideMark/>
          </w:tcPr>
          <w:p w14:paraId="1E8C57ED"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14:paraId="0915E71C"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8.70%</w:t>
            </w:r>
          </w:p>
        </w:tc>
        <w:tc>
          <w:tcPr>
            <w:tcW w:w="0" w:type="auto"/>
            <w:tcBorders>
              <w:top w:val="nil"/>
              <w:left w:val="single" w:sz="4" w:space="0" w:color="auto"/>
              <w:bottom w:val="nil"/>
              <w:right w:val="nil"/>
            </w:tcBorders>
            <w:shd w:val="clear" w:color="auto" w:fill="auto"/>
            <w:noWrap/>
            <w:vAlign w:val="bottom"/>
            <w:hideMark/>
          </w:tcPr>
          <w:p w14:paraId="284FBFA4"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w:t>
            </w:r>
          </w:p>
        </w:tc>
        <w:tc>
          <w:tcPr>
            <w:tcW w:w="0" w:type="auto"/>
            <w:tcBorders>
              <w:top w:val="nil"/>
              <w:left w:val="nil"/>
              <w:bottom w:val="nil"/>
              <w:right w:val="single" w:sz="4" w:space="0" w:color="auto"/>
            </w:tcBorders>
            <w:shd w:val="clear" w:color="auto" w:fill="auto"/>
            <w:noWrap/>
            <w:vAlign w:val="bottom"/>
            <w:hideMark/>
          </w:tcPr>
          <w:p w14:paraId="1677BF56"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w:t>
            </w:r>
          </w:p>
        </w:tc>
        <w:tc>
          <w:tcPr>
            <w:tcW w:w="0" w:type="auto"/>
            <w:tcBorders>
              <w:top w:val="nil"/>
              <w:left w:val="nil"/>
              <w:bottom w:val="nil"/>
              <w:right w:val="nil"/>
            </w:tcBorders>
            <w:shd w:val="clear" w:color="auto" w:fill="auto"/>
            <w:noWrap/>
            <w:vAlign w:val="bottom"/>
            <w:hideMark/>
          </w:tcPr>
          <w:p w14:paraId="0AF40808"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w:t>
            </w:r>
          </w:p>
        </w:tc>
        <w:tc>
          <w:tcPr>
            <w:tcW w:w="0" w:type="auto"/>
            <w:tcBorders>
              <w:top w:val="nil"/>
              <w:left w:val="nil"/>
              <w:bottom w:val="nil"/>
              <w:right w:val="single" w:sz="4" w:space="0" w:color="auto"/>
            </w:tcBorders>
            <w:shd w:val="clear" w:color="auto" w:fill="auto"/>
            <w:noWrap/>
            <w:vAlign w:val="bottom"/>
            <w:hideMark/>
          </w:tcPr>
          <w:p w14:paraId="4EE4E0D0"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4.76%</w:t>
            </w:r>
          </w:p>
        </w:tc>
      </w:tr>
      <w:tr w:rsidR="00DD448C" w:rsidRPr="00E87E42" w14:paraId="591A31B7" w14:textId="77777777" w:rsidTr="00B67599">
        <w:trPr>
          <w:trHeight w:val="170"/>
        </w:trPr>
        <w:tc>
          <w:tcPr>
            <w:tcW w:w="0" w:type="auto"/>
            <w:tcBorders>
              <w:top w:val="nil"/>
              <w:left w:val="single" w:sz="4" w:space="0" w:color="auto"/>
              <w:bottom w:val="nil"/>
              <w:right w:val="nil"/>
            </w:tcBorders>
            <w:shd w:val="clear" w:color="auto" w:fill="auto"/>
            <w:noWrap/>
            <w:vAlign w:val="bottom"/>
            <w:hideMark/>
          </w:tcPr>
          <w:p w14:paraId="10A0B2ED"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500-999</w:t>
            </w:r>
          </w:p>
        </w:tc>
        <w:tc>
          <w:tcPr>
            <w:tcW w:w="0" w:type="auto"/>
            <w:tcBorders>
              <w:top w:val="nil"/>
              <w:left w:val="single" w:sz="4" w:space="0" w:color="auto"/>
              <w:bottom w:val="nil"/>
              <w:right w:val="nil"/>
            </w:tcBorders>
            <w:shd w:val="clear" w:color="auto" w:fill="auto"/>
            <w:noWrap/>
            <w:vAlign w:val="bottom"/>
            <w:hideMark/>
          </w:tcPr>
          <w:p w14:paraId="7FFCE564"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single" w:sz="4" w:space="0" w:color="auto"/>
            </w:tcBorders>
            <w:shd w:val="clear" w:color="auto" w:fill="auto"/>
            <w:noWrap/>
            <w:vAlign w:val="bottom"/>
            <w:hideMark/>
          </w:tcPr>
          <w:p w14:paraId="23F92F7B"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nil"/>
              <w:right w:val="nil"/>
            </w:tcBorders>
            <w:shd w:val="clear" w:color="auto" w:fill="auto"/>
            <w:noWrap/>
            <w:vAlign w:val="bottom"/>
            <w:hideMark/>
          </w:tcPr>
          <w:p w14:paraId="299F48CB"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14:paraId="5EB855AE"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8.70%</w:t>
            </w:r>
          </w:p>
        </w:tc>
        <w:tc>
          <w:tcPr>
            <w:tcW w:w="0" w:type="auto"/>
            <w:tcBorders>
              <w:top w:val="nil"/>
              <w:left w:val="single" w:sz="4" w:space="0" w:color="auto"/>
              <w:bottom w:val="nil"/>
              <w:right w:val="nil"/>
            </w:tcBorders>
            <w:shd w:val="clear" w:color="auto" w:fill="auto"/>
            <w:noWrap/>
            <w:vAlign w:val="bottom"/>
            <w:hideMark/>
          </w:tcPr>
          <w:p w14:paraId="60BBEE6B"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w:t>
            </w:r>
          </w:p>
        </w:tc>
        <w:tc>
          <w:tcPr>
            <w:tcW w:w="0" w:type="auto"/>
            <w:tcBorders>
              <w:top w:val="nil"/>
              <w:left w:val="nil"/>
              <w:bottom w:val="nil"/>
              <w:right w:val="single" w:sz="4" w:space="0" w:color="auto"/>
            </w:tcBorders>
            <w:shd w:val="clear" w:color="auto" w:fill="auto"/>
            <w:noWrap/>
            <w:vAlign w:val="bottom"/>
            <w:hideMark/>
          </w:tcPr>
          <w:p w14:paraId="24B66287"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0.5%</w:t>
            </w:r>
          </w:p>
        </w:tc>
        <w:tc>
          <w:tcPr>
            <w:tcW w:w="0" w:type="auto"/>
            <w:tcBorders>
              <w:top w:val="nil"/>
              <w:left w:val="nil"/>
              <w:bottom w:val="nil"/>
              <w:right w:val="nil"/>
            </w:tcBorders>
            <w:shd w:val="clear" w:color="auto" w:fill="auto"/>
            <w:noWrap/>
            <w:vAlign w:val="bottom"/>
            <w:hideMark/>
          </w:tcPr>
          <w:p w14:paraId="03EE9EDA"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0" w:type="auto"/>
            <w:tcBorders>
              <w:top w:val="nil"/>
              <w:left w:val="nil"/>
              <w:bottom w:val="nil"/>
              <w:right w:val="single" w:sz="4" w:space="0" w:color="auto"/>
            </w:tcBorders>
            <w:shd w:val="clear" w:color="auto" w:fill="auto"/>
            <w:noWrap/>
            <w:vAlign w:val="bottom"/>
            <w:hideMark/>
          </w:tcPr>
          <w:p w14:paraId="7450C172"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2.38%</w:t>
            </w:r>
          </w:p>
        </w:tc>
      </w:tr>
      <w:tr w:rsidR="00DD448C" w:rsidRPr="00E87E42" w14:paraId="13B1A81F" w14:textId="77777777" w:rsidTr="00B67599">
        <w:trPr>
          <w:trHeight w:val="170"/>
        </w:trPr>
        <w:tc>
          <w:tcPr>
            <w:tcW w:w="0" w:type="auto"/>
            <w:tcBorders>
              <w:top w:val="nil"/>
              <w:left w:val="single" w:sz="4" w:space="0" w:color="auto"/>
              <w:bottom w:val="single" w:sz="4" w:space="0" w:color="auto"/>
              <w:right w:val="nil"/>
            </w:tcBorders>
            <w:shd w:val="clear" w:color="auto" w:fill="auto"/>
            <w:noWrap/>
            <w:vAlign w:val="bottom"/>
            <w:hideMark/>
          </w:tcPr>
          <w:p w14:paraId="5CF22AB2"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 and above</w:t>
            </w:r>
          </w:p>
        </w:tc>
        <w:tc>
          <w:tcPr>
            <w:tcW w:w="0" w:type="auto"/>
            <w:tcBorders>
              <w:top w:val="nil"/>
              <w:left w:val="single" w:sz="4" w:space="0" w:color="auto"/>
              <w:bottom w:val="single" w:sz="4" w:space="0" w:color="auto"/>
              <w:right w:val="nil"/>
            </w:tcBorders>
            <w:shd w:val="clear" w:color="auto" w:fill="auto"/>
            <w:noWrap/>
            <w:vAlign w:val="bottom"/>
            <w:hideMark/>
          </w:tcPr>
          <w:p w14:paraId="515CDA1C"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bottom"/>
            <w:hideMark/>
          </w:tcPr>
          <w:p w14:paraId="72285024"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single" w:sz="4" w:space="0" w:color="auto"/>
              <w:right w:val="nil"/>
            </w:tcBorders>
            <w:shd w:val="clear" w:color="auto" w:fill="auto"/>
            <w:noWrap/>
            <w:vAlign w:val="bottom"/>
            <w:hideMark/>
          </w:tcPr>
          <w:p w14:paraId="0F976B78"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0" w:type="auto"/>
            <w:tcBorders>
              <w:top w:val="nil"/>
              <w:left w:val="nil"/>
              <w:bottom w:val="single" w:sz="4" w:space="0" w:color="auto"/>
              <w:right w:val="nil"/>
            </w:tcBorders>
            <w:shd w:val="clear" w:color="auto" w:fill="auto"/>
            <w:noWrap/>
            <w:vAlign w:val="bottom"/>
            <w:hideMark/>
          </w:tcPr>
          <w:p w14:paraId="3F028DC5"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0" w:type="auto"/>
            <w:tcBorders>
              <w:top w:val="nil"/>
              <w:left w:val="single" w:sz="4" w:space="0" w:color="auto"/>
              <w:bottom w:val="single" w:sz="4" w:space="0" w:color="auto"/>
              <w:right w:val="nil"/>
            </w:tcBorders>
            <w:shd w:val="clear" w:color="auto" w:fill="auto"/>
            <w:noWrap/>
            <w:vAlign w:val="bottom"/>
            <w:hideMark/>
          </w:tcPr>
          <w:p w14:paraId="60059ABA"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w:t>
            </w:r>
          </w:p>
        </w:tc>
        <w:tc>
          <w:tcPr>
            <w:tcW w:w="0" w:type="auto"/>
            <w:tcBorders>
              <w:top w:val="nil"/>
              <w:left w:val="nil"/>
              <w:bottom w:val="single" w:sz="4" w:space="0" w:color="auto"/>
              <w:right w:val="single" w:sz="4" w:space="0" w:color="auto"/>
            </w:tcBorders>
            <w:shd w:val="clear" w:color="auto" w:fill="auto"/>
            <w:noWrap/>
            <w:vAlign w:val="bottom"/>
            <w:hideMark/>
          </w:tcPr>
          <w:p w14:paraId="520DBB71"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single" w:sz="4" w:space="0" w:color="auto"/>
              <w:right w:val="nil"/>
            </w:tcBorders>
            <w:shd w:val="clear" w:color="auto" w:fill="auto"/>
            <w:noWrap/>
            <w:vAlign w:val="bottom"/>
            <w:hideMark/>
          </w:tcPr>
          <w:p w14:paraId="73DCD123"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noWrap/>
            <w:vAlign w:val="bottom"/>
            <w:hideMark/>
          </w:tcPr>
          <w:p w14:paraId="79502BEA"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r>
      <w:tr w:rsidR="00DD448C" w:rsidRPr="00E87E42" w14:paraId="6A1ED2F3" w14:textId="77777777" w:rsidTr="00B67599">
        <w:trPr>
          <w:trHeight w:val="170"/>
        </w:trPr>
        <w:tc>
          <w:tcPr>
            <w:tcW w:w="0" w:type="auto"/>
            <w:tcBorders>
              <w:top w:val="nil"/>
              <w:left w:val="nil"/>
              <w:bottom w:val="nil"/>
              <w:right w:val="nil"/>
            </w:tcBorders>
            <w:shd w:val="clear" w:color="auto" w:fill="auto"/>
            <w:noWrap/>
            <w:vAlign w:val="bottom"/>
            <w:hideMark/>
          </w:tcPr>
          <w:p w14:paraId="218B6755" w14:textId="77777777" w:rsidR="00DD448C" w:rsidRPr="00E87E42" w:rsidRDefault="00DD448C" w:rsidP="008F48CC">
            <w:pPr>
              <w:spacing w:after="0" w:line="240" w:lineRule="auto"/>
              <w:jc w:val="center"/>
              <w:rPr>
                <w:rFonts w:eastAsia="Times New Roman"/>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07F8F3"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w:t>
            </w:r>
          </w:p>
        </w:tc>
        <w:tc>
          <w:tcPr>
            <w:tcW w:w="0" w:type="auto"/>
            <w:tcBorders>
              <w:top w:val="nil"/>
              <w:left w:val="nil"/>
              <w:bottom w:val="nil"/>
              <w:right w:val="nil"/>
            </w:tcBorders>
            <w:shd w:val="clear" w:color="auto" w:fill="auto"/>
            <w:noWrap/>
            <w:vAlign w:val="bottom"/>
            <w:hideMark/>
          </w:tcPr>
          <w:p w14:paraId="58E670A5" w14:textId="77777777" w:rsidR="00DD448C" w:rsidRPr="00E87E42" w:rsidRDefault="00DD448C" w:rsidP="008F48CC">
            <w:pPr>
              <w:spacing w:after="0" w:line="240" w:lineRule="auto"/>
              <w:jc w:val="center"/>
              <w:rPr>
                <w:rFonts w:eastAsia="Times New Roman"/>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7C5936"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w:t>
            </w:r>
          </w:p>
        </w:tc>
        <w:tc>
          <w:tcPr>
            <w:tcW w:w="0" w:type="auto"/>
            <w:tcBorders>
              <w:top w:val="nil"/>
              <w:left w:val="nil"/>
              <w:bottom w:val="nil"/>
              <w:right w:val="nil"/>
            </w:tcBorders>
            <w:shd w:val="clear" w:color="auto" w:fill="auto"/>
            <w:noWrap/>
            <w:vAlign w:val="bottom"/>
            <w:hideMark/>
          </w:tcPr>
          <w:p w14:paraId="0C773C58" w14:textId="77777777" w:rsidR="00DD448C" w:rsidRPr="00E87E42" w:rsidRDefault="00DD448C" w:rsidP="008F48CC">
            <w:pPr>
              <w:spacing w:after="0" w:line="240" w:lineRule="auto"/>
              <w:jc w:val="center"/>
              <w:rPr>
                <w:rFonts w:eastAsia="Times New Roman"/>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52B9A2"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1860</w:t>
            </w:r>
          </w:p>
        </w:tc>
        <w:tc>
          <w:tcPr>
            <w:tcW w:w="0" w:type="auto"/>
            <w:tcBorders>
              <w:top w:val="nil"/>
              <w:left w:val="nil"/>
              <w:bottom w:val="nil"/>
              <w:right w:val="nil"/>
            </w:tcBorders>
            <w:shd w:val="clear" w:color="auto" w:fill="auto"/>
            <w:noWrap/>
            <w:vAlign w:val="bottom"/>
            <w:hideMark/>
          </w:tcPr>
          <w:p w14:paraId="61A8687F" w14:textId="77777777" w:rsidR="00DD448C" w:rsidRPr="00E87E42" w:rsidRDefault="00DD448C" w:rsidP="008F48CC">
            <w:pPr>
              <w:spacing w:after="0" w:line="240" w:lineRule="auto"/>
              <w:jc w:val="center"/>
              <w:rPr>
                <w:rFonts w:eastAsia="Times New Roman"/>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BDB884"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42</w:t>
            </w:r>
          </w:p>
        </w:tc>
        <w:tc>
          <w:tcPr>
            <w:tcW w:w="0" w:type="auto"/>
            <w:tcBorders>
              <w:top w:val="nil"/>
              <w:left w:val="nil"/>
              <w:bottom w:val="nil"/>
              <w:right w:val="nil"/>
            </w:tcBorders>
            <w:shd w:val="clear" w:color="auto" w:fill="auto"/>
            <w:noWrap/>
            <w:vAlign w:val="bottom"/>
            <w:hideMark/>
          </w:tcPr>
          <w:p w14:paraId="4D5C5467" w14:textId="77777777" w:rsidR="00DD448C" w:rsidRPr="00E87E42" w:rsidRDefault="00DD448C" w:rsidP="008F48CC">
            <w:pPr>
              <w:spacing w:after="0" w:line="240" w:lineRule="auto"/>
              <w:jc w:val="center"/>
              <w:rPr>
                <w:rFonts w:eastAsia="Times New Roman"/>
                <w:color w:val="000000"/>
                <w:sz w:val="16"/>
                <w:szCs w:val="16"/>
                <w:lang w:eastAsia="en-GB"/>
              </w:rPr>
            </w:pPr>
          </w:p>
        </w:tc>
      </w:tr>
      <w:tr w:rsidR="00DD448C" w:rsidRPr="00E87E42" w14:paraId="39309D4D" w14:textId="77777777" w:rsidTr="00B67599">
        <w:trPr>
          <w:trHeight w:val="170"/>
        </w:trPr>
        <w:tc>
          <w:tcPr>
            <w:tcW w:w="0" w:type="auto"/>
            <w:tcBorders>
              <w:top w:val="nil"/>
              <w:left w:val="nil"/>
              <w:bottom w:val="nil"/>
              <w:right w:val="nil"/>
            </w:tcBorders>
            <w:shd w:val="clear" w:color="auto" w:fill="auto"/>
            <w:noWrap/>
            <w:vAlign w:val="bottom"/>
            <w:hideMark/>
          </w:tcPr>
          <w:p w14:paraId="3B8FA4D2" w14:textId="77777777" w:rsidR="00DD448C" w:rsidRPr="00E87E42" w:rsidRDefault="00DD448C" w:rsidP="008F48CC">
            <w:pPr>
              <w:spacing w:after="0" w:line="240" w:lineRule="auto"/>
              <w:jc w:val="center"/>
              <w:rPr>
                <w:rFonts w:eastAsia="Times New Roman"/>
                <w:sz w:val="16"/>
                <w:szCs w:val="16"/>
                <w:lang w:eastAsia="en-GB"/>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2DF63" w14:textId="77777777" w:rsidR="00DD448C" w:rsidRPr="00E87E42" w:rsidRDefault="00DD448C" w:rsidP="008F48CC">
            <w:pPr>
              <w:spacing w:after="0" w:line="240" w:lineRule="auto"/>
              <w:jc w:val="center"/>
              <w:rPr>
                <w:rFonts w:eastAsia="Times New Roman"/>
                <w:b/>
                <w:color w:val="000000"/>
                <w:sz w:val="16"/>
                <w:szCs w:val="16"/>
                <w:u w:val="single"/>
                <w:lang w:eastAsia="en-GB"/>
              </w:rPr>
            </w:pPr>
            <w:r w:rsidRPr="00E87E42">
              <w:rPr>
                <w:rFonts w:eastAsia="Times New Roman"/>
                <w:b/>
                <w:color w:val="000000"/>
                <w:sz w:val="16"/>
                <w:szCs w:val="16"/>
                <w:u w:val="single"/>
                <w:lang w:eastAsia="en-GB"/>
              </w:rPr>
              <w:t>Other areas</w:t>
            </w:r>
          </w:p>
        </w:tc>
      </w:tr>
      <w:tr w:rsidR="00DD448C" w:rsidRPr="00E87E42" w14:paraId="0B75B80E" w14:textId="77777777" w:rsidTr="00B67599">
        <w:trPr>
          <w:trHeight w:val="170"/>
        </w:trPr>
        <w:tc>
          <w:tcPr>
            <w:tcW w:w="0" w:type="auto"/>
            <w:tcBorders>
              <w:top w:val="nil"/>
              <w:left w:val="nil"/>
              <w:bottom w:val="nil"/>
              <w:right w:val="nil"/>
            </w:tcBorders>
            <w:shd w:val="clear" w:color="auto" w:fill="auto"/>
            <w:noWrap/>
            <w:vAlign w:val="bottom"/>
            <w:hideMark/>
          </w:tcPr>
          <w:p w14:paraId="190F5FA1" w14:textId="77777777" w:rsidR="00DD448C" w:rsidRPr="00E87E42" w:rsidRDefault="00DD448C" w:rsidP="008F48CC">
            <w:pPr>
              <w:spacing w:after="0" w:line="240" w:lineRule="auto"/>
              <w:jc w:val="center"/>
              <w:rPr>
                <w:rFonts w:eastAsia="Times New Roman"/>
                <w:color w:val="000000"/>
                <w:sz w:val="16"/>
                <w:szCs w:val="16"/>
                <w:lang w:eastAsia="en-GB"/>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44FFE" w14:textId="77777777" w:rsidR="00DD448C" w:rsidRPr="00E87E42" w:rsidRDefault="00DD448C" w:rsidP="008F48CC">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Sprinklers</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550DBF6E" w14:textId="77777777" w:rsidR="00DD448C" w:rsidRPr="00E87E42" w:rsidRDefault="00DD448C" w:rsidP="008F48CC">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No sprinklers</w:t>
            </w:r>
          </w:p>
        </w:tc>
      </w:tr>
      <w:tr w:rsidR="00DD448C" w:rsidRPr="00E87E42" w14:paraId="002A22BA" w14:textId="77777777" w:rsidTr="00B67599">
        <w:trPr>
          <w:trHeight w:val="170"/>
        </w:trPr>
        <w:tc>
          <w:tcPr>
            <w:tcW w:w="0" w:type="auto"/>
            <w:tcBorders>
              <w:top w:val="nil"/>
              <w:left w:val="nil"/>
              <w:bottom w:val="single" w:sz="4" w:space="0" w:color="auto"/>
              <w:right w:val="nil"/>
            </w:tcBorders>
            <w:shd w:val="clear" w:color="auto" w:fill="auto"/>
            <w:noWrap/>
            <w:vAlign w:val="bottom"/>
            <w:hideMark/>
          </w:tcPr>
          <w:p w14:paraId="3E22A370" w14:textId="77777777" w:rsidR="00DD448C" w:rsidRPr="00E87E42" w:rsidRDefault="00DD448C" w:rsidP="008F48CC">
            <w:pPr>
              <w:spacing w:after="0" w:line="240" w:lineRule="auto"/>
              <w:jc w:val="center"/>
              <w:rPr>
                <w:rFonts w:eastAsia="Times New Roman"/>
                <w:color w:val="000000"/>
                <w:sz w:val="16"/>
                <w:szCs w:val="16"/>
                <w:lang w:eastAsia="en-GB"/>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4DBEC"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 7974-7</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3D5DD93"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 data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4EA23F5F"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 7974-7</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4165F9BA"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 data</w:t>
            </w:r>
          </w:p>
        </w:tc>
      </w:tr>
      <w:tr w:rsidR="00DD448C" w:rsidRPr="00E87E42" w14:paraId="48DD201B" w14:textId="77777777" w:rsidTr="00B67599">
        <w:trPr>
          <w:trHeight w:val="17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B82D7FD"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Area damage (m</w:t>
            </w:r>
            <w:r w:rsidRPr="00E87E42">
              <w:rPr>
                <w:rFonts w:eastAsia="Times New Roman"/>
                <w:color w:val="000000"/>
                <w:sz w:val="16"/>
                <w:szCs w:val="16"/>
                <w:vertAlign w:val="superscript"/>
                <w:lang w:eastAsia="en-GB"/>
              </w:rPr>
              <w:t>2</w:t>
            </w:r>
            <w:r w:rsidRPr="00E87E42">
              <w:rPr>
                <w:rFonts w:eastAsia="Times New Roman"/>
                <w:color w:val="000000"/>
                <w:sz w:val="16"/>
                <w:szCs w:val="16"/>
                <w:lang w:eastAsia="en-GB"/>
              </w:rPr>
              <w:t>)</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5A4FB60"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n of fires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4C5A7A"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fire exceeding upper limit</w:t>
            </w:r>
          </w:p>
        </w:tc>
        <w:tc>
          <w:tcPr>
            <w:tcW w:w="0" w:type="auto"/>
            <w:tcBorders>
              <w:top w:val="single" w:sz="4" w:space="0" w:color="auto"/>
              <w:left w:val="nil"/>
              <w:bottom w:val="single" w:sz="4" w:space="0" w:color="auto"/>
              <w:right w:val="nil"/>
            </w:tcBorders>
            <w:shd w:val="clear" w:color="auto" w:fill="auto"/>
            <w:noWrap/>
            <w:vAlign w:val="bottom"/>
            <w:hideMark/>
          </w:tcPr>
          <w:p w14:paraId="0D37FAE7"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n of fires</w:t>
            </w:r>
          </w:p>
        </w:tc>
        <w:tc>
          <w:tcPr>
            <w:tcW w:w="0" w:type="auto"/>
            <w:tcBorders>
              <w:top w:val="single" w:sz="4" w:space="0" w:color="auto"/>
              <w:left w:val="nil"/>
              <w:bottom w:val="single" w:sz="4" w:space="0" w:color="auto"/>
              <w:right w:val="nil"/>
            </w:tcBorders>
            <w:shd w:val="clear" w:color="auto" w:fill="auto"/>
            <w:noWrap/>
            <w:vAlign w:val="bottom"/>
            <w:hideMark/>
          </w:tcPr>
          <w:p w14:paraId="37A117B5"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fire exceeding upper limit</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A173F8A"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n of fires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8ED613C"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fire exceeding upper limit</w:t>
            </w:r>
          </w:p>
        </w:tc>
        <w:tc>
          <w:tcPr>
            <w:tcW w:w="0" w:type="auto"/>
            <w:tcBorders>
              <w:top w:val="single" w:sz="4" w:space="0" w:color="auto"/>
              <w:left w:val="nil"/>
              <w:bottom w:val="single" w:sz="4" w:space="0" w:color="auto"/>
              <w:right w:val="nil"/>
            </w:tcBorders>
            <w:shd w:val="clear" w:color="auto" w:fill="auto"/>
            <w:noWrap/>
            <w:vAlign w:val="bottom"/>
            <w:hideMark/>
          </w:tcPr>
          <w:p w14:paraId="35B7F4F1"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n of fires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3C9997"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fire exceeding upper limit</w:t>
            </w:r>
          </w:p>
        </w:tc>
      </w:tr>
      <w:tr w:rsidR="00DD448C" w:rsidRPr="00E87E42" w14:paraId="33FA6A93" w14:textId="77777777" w:rsidTr="00B67599">
        <w:trPr>
          <w:trHeight w:val="170"/>
        </w:trPr>
        <w:tc>
          <w:tcPr>
            <w:tcW w:w="0" w:type="auto"/>
            <w:tcBorders>
              <w:top w:val="single" w:sz="4" w:space="0" w:color="auto"/>
              <w:left w:val="single" w:sz="4" w:space="0" w:color="auto"/>
              <w:bottom w:val="nil"/>
              <w:right w:val="nil"/>
            </w:tcBorders>
            <w:shd w:val="clear" w:color="auto" w:fill="auto"/>
            <w:noWrap/>
            <w:vAlign w:val="bottom"/>
            <w:hideMark/>
          </w:tcPr>
          <w:p w14:paraId="66257529"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 and under</w:t>
            </w:r>
          </w:p>
        </w:tc>
        <w:tc>
          <w:tcPr>
            <w:tcW w:w="0" w:type="auto"/>
            <w:tcBorders>
              <w:top w:val="single" w:sz="4" w:space="0" w:color="auto"/>
              <w:left w:val="single" w:sz="4" w:space="0" w:color="auto"/>
              <w:bottom w:val="nil"/>
              <w:right w:val="nil"/>
            </w:tcBorders>
            <w:shd w:val="clear" w:color="auto" w:fill="auto"/>
            <w:noWrap/>
            <w:vAlign w:val="bottom"/>
            <w:hideMark/>
          </w:tcPr>
          <w:p w14:paraId="460C9F6E"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95</w:t>
            </w:r>
          </w:p>
        </w:tc>
        <w:tc>
          <w:tcPr>
            <w:tcW w:w="0" w:type="auto"/>
            <w:tcBorders>
              <w:top w:val="single" w:sz="4" w:space="0" w:color="auto"/>
              <w:left w:val="nil"/>
              <w:bottom w:val="nil"/>
              <w:right w:val="single" w:sz="4" w:space="0" w:color="auto"/>
            </w:tcBorders>
            <w:shd w:val="clear" w:color="auto" w:fill="auto"/>
            <w:noWrap/>
            <w:vAlign w:val="bottom"/>
            <w:hideMark/>
          </w:tcPr>
          <w:p w14:paraId="6D4D0A43"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25.2%</w:t>
            </w:r>
          </w:p>
        </w:tc>
        <w:tc>
          <w:tcPr>
            <w:tcW w:w="0" w:type="auto"/>
            <w:tcBorders>
              <w:top w:val="single" w:sz="4" w:space="0" w:color="auto"/>
              <w:left w:val="nil"/>
              <w:bottom w:val="nil"/>
              <w:right w:val="nil"/>
            </w:tcBorders>
            <w:shd w:val="clear" w:color="auto" w:fill="auto"/>
            <w:noWrap/>
            <w:vAlign w:val="bottom"/>
            <w:hideMark/>
          </w:tcPr>
          <w:p w14:paraId="3F8F9B3C"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66</w:t>
            </w:r>
          </w:p>
        </w:tc>
        <w:tc>
          <w:tcPr>
            <w:tcW w:w="0" w:type="auto"/>
            <w:tcBorders>
              <w:top w:val="single" w:sz="4" w:space="0" w:color="auto"/>
              <w:left w:val="nil"/>
              <w:bottom w:val="nil"/>
              <w:right w:val="nil"/>
            </w:tcBorders>
            <w:shd w:val="clear" w:color="auto" w:fill="auto"/>
            <w:noWrap/>
            <w:vAlign w:val="bottom"/>
            <w:hideMark/>
          </w:tcPr>
          <w:p w14:paraId="0343200C"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37.74%</w:t>
            </w:r>
          </w:p>
        </w:tc>
        <w:tc>
          <w:tcPr>
            <w:tcW w:w="0" w:type="auto"/>
            <w:tcBorders>
              <w:top w:val="single" w:sz="4" w:space="0" w:color="auto"/>
              <w:left w:val="single" w:sz="4" w:space="0" w:color="auto"/>
              <w:bottom w:val="nil"/>
              <w:right w:val="nil"/>
            </w:tcBorders>
            <w:shd w:val="clear" w:color="auto" w:fill="auto"/>
            <w:noWrap/>
            <w:vAlign w:val="bottom"/>
            <w:hideMark/>
          </w:tcPr>
          <w:p w14:paraId="41311845"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2588</w:t>
            </w:r>
          </w:p>
        </w:tc>
        <w:tc>
          <w:tcPr>
            <w:tcW w:w="0" w:type="auto"/>
            <w:tcBorders>
              <w:top w:val="single" w:sz="4" w:space="0" w:color="auto"/>
              <w:left w:val="nil"/>
              <w:bottom w:val="nil"/>
              <w:right w:val="single" w:sz="4" w:space="0" w:color="auto"/>
            </w:tcBorders>
            <w:shd w:val="clear" w:color="auto" w:fill="auto"/>
            <w:noWrap/>
            <w:vAlign w:val="bottom"/>
            <w:hideMark/>
          </w:tcPr>
          <w:p w14:paraId="137CD37B" w14:textId="7DCA82E1" w:rsidR="00DD448C" w:rsidRPr="00E87E42" w:rsidRDefault="00BF0999"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40.8</w:t>
            </w:r>
            <w:r w:rsidR="00DD448C" w:rsidRPr="00E87E42">
              <w:rPr>
                <w:rFonts w:eastAsia="Times New Roman"/>
                <w:color w:val="000000"/>
                <w:sz w:val="16"/>
                <w:szCs w:val="16"/>
                <w:lang w:eastAsia="en-GB"/>
              </w:rPr>
              <w:t>%</w:t>
            </w:r>
          </w:p>
        </w:tc>
        <w:tc>
          <w:tcPr>
            <w:tcW w:w="0" w:type="auto"/>
            <w:tcBorders>
              <w:top w:val="single" w:sz="4" w:space="0" w:color="auto"/>
              <w:left w:val="nil"/>
              <w:bottom w:val="nil"/>
              <w:right w:val="nil"/>
            </w:tcBorders>
            <w:shd w:val="clear" w:color="auto" w:fill="auto"/>
            <w:noWrap/>
            <w:vAlign w:val="bottom"/>
            <w:hideMark/>
          </w:tcPr>
          <w:p w14:paraId="36C9D9F2"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126</w:t>
            </w:r>
          </w:p>
        </w:tc>
        <w:tc>
          <w:tcPr>
            <w:tcW w:w="0" w:type="auto"/>
            <w:tcBorders>
              <w:top w:val="single" w:sz="4" w:space="0" w:color="auto"/>
              <w:left w:val="nil"/>
              <w:bottom w:val="nil"/>
              <w:right w:val="single" w:sz="4" w:space="0" w:color="auto"/>
            </w:tcBorders>
            <w:shd w:val="clear" w:color="auto" w:fill="auto"/>
            <w:noWrap/>
            <w:vAlign w:val="bottom"/>
            <w:hideMark/>
          </w:tcPr>
          <w:p w14:paraId="78BADE98"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48.36%</w:t>
            </w:r>
          </w:p>
        </w:tc>
      </w:tr>
      <w:tr w:rsidR="00DD448C" w:rsidRPr="00E87E42" w14:paraId="62944660" w14:textId="77777777" w:rsidTr="00B67599">
        <w:trPr>
          <w:trHeight w:val="170"/>
        </w:trPr>
        <w:tc>
          <w:tcPr>
            <w:tcW w:w="0" w:type="auto"/>
            <w:tcBorders>
              <w:top w:val="nil"/>
              <w:left w:val="single" w:sz="4" w:space="0" w:color="auto"/>
              <w:bottom w:val="nil"/>
              <w:right w:val="nil"/>
            </w:tcBorders>
            <w:shd w:val="clear" w:color="auto" w:fill="auto"/>
            <w:noWrap/>
            <w:vAlign w:val="bottom"/>
            <w:hideMark/>
          </w:tcPr>
          <w:p w14:paraId="28D75EE6"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w:t>
            </w:r>
          </w:p>
        </w:tc>
        <w:tc>
          <w:tcPr>
            <w:tcW w:w="0" w:type="auto"/>
            <w:tcBorders>
              <w:top w:val="nil"/>
              <w:left w:val="single" w:sz="4" w:space="0" w:color="auto"/>
              <w:bottom w:val="nil"/>
              <w:right w:val="nil"/>
            </w:tcBorders>
            <w:shd w:val="clear" w:color="auto" w:fill="auto"/>
            <w:noWrap/>
            <w:vAlign w:val="bottom"/>
            <w:hideMark/>
          </w:tcPr>
          <w:p w14:paraId="69605AB2"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w:t>
            </w:r>
          </w:p>
        </w:tc>
        <w:tc>
          <w:tcPr>
            <w:tcW w:w="0" w:type="auto"/>
            <w:tcBorders>
              <w:top w:val="nil"/>
              <w:left w:val="nil"/>
              <w:bottom w:val="nil"/>
              <w:right w:val="single" w:sz="4" w:space="0" w:color="auto"/>
            </w:tcBorders>
            <w:shd w:val="clear" w:color="auto" w:fill="auto"/>
            <w:noWrap/>
            <w:vAlign w:val="bottom"/>
            <w:hideMark/>
          </w:tcPr>
          <w:p w14:paraId="308440E5"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11.8%</w:t>
            </w:r>
          </w:p>
        </w:tc>
        <w:tc>
          <w:tcPr>
            <w:tcW w:w="0" w:type="auto"/>
            <w:tcBorders>
              <w:top w:val="nil"/>
              <w:left w:val="nil"/>
              <w:bottom w:val="nil"/>
              <w:right w:val="nil"/>
            </w:tcBorders>
            <w:shd w:val="clear" w:color="auto" w:fill="auto"/>
            <w:noWrap/>
            <w:vAlign w:val="bottom"/>
            <w:hideMark/>
          </w:tcPr>
          <w:p w14:paraId="5CBA700D"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14:paraId="77697AE9"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37.74%</w:t>
            </w:r>
          </w:p>
        </w:tc>
        <w:tc>
          <w:tcPr>
            <w:tcW w:w="0" w:type="auto"/>
            <w:tcBorders>
              <w:top w:val="nil"/>
              <w:left w:val="single" w:sz="4" w:space="0" w:color="auto"/>
              <w:bottom w:val="nil"/>
              <w:right w:val="nil"/>
            </w:tcBorders>
            <w:shd w:val="clear" w:color="auto" w:fill="auto"/>
            <w:noWrap/>
            <w:vAlign w:val="bottom"/>
            <w:hideMark/>
          </w:tcPr>
          <w:p w14:paraId="249D34D5"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902</w:t>
            </w:r>
          </w:p>
        </w:tc>
        <w:tc>
          <w:tcPr>
            <w:tcW w:w="0" w:type="auto"/>
            <w:tcBorders>
              <w:top w:val="nil"/>
              <w:left w:val="nil"/>
              <w:bottom w:val="nil"/>
              <w:right w:val="single" w:sz="4" w:space="0" w:color="auto"/>
            </w:tcBorders>
            <w:shd w:val="clear" w:color="auto" w:fill="auto"/>
            <w:noWrap/>
            <w:vAlign w:val="bottom"/>
            <w:hideMark/>
          </w:tcPr>
          <w:p w14:paraId="3E009058" w14:textId="3C33C575" w:rsidR="00DD448C" w:rsidRPr="00E87E42" w:rsidRDefault="00BF0999"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20.1</w:t>
            </w:r>
            <w:r w:rsidR="00DD448C" w:rsidRPr="00E87E42">
              <w:rPr>
                <w:rFonts w:eastAsia="Times New Roman"/>
                <w:color w:val="000000"/>
                <w:sz w:val="16"/>
                <w:szCs w:val="16"/>
                <w:lang w:eastAsia="en-GB"/>
              </w:rPr>
              <w:t>%</w:t>
            </w:r>
          </w:p>
        </w:tc>
        <w:tc>
          <w:tcPr>
            <w:tcW w:w="0" w:type="auto"/>
            <w:tcBorders>
              <w:top w:val="nil"/>
              <w:left w:val="nil"/>
              <w:bottom w:val="nil"/>
              <w:right w:val="nil"/>
            </w:tcBorders>
            <w:shd w:val="clear" w:color="auto" w:fill="auto"/>
            <w:noWrap/>
            <w:vAlign w:val="bottom"/>
            <w:hideMark/>
          </w:tcPr>
          <w:p w14:paraId="36AE45F4"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0" w:type="auto"/>
            <w:tcBorders>
              <w:top w:val="nil"/>
              <w:left w:val="nil"/>
              <w:bottom w:val="nil"/>
              <w:right w:val="single" w:sz="4" w:space="0" w:color="auto"/>
            </w:tcBorders>
            <w:shd w:val="clear" w:color="auto" w:fill="auto"/>
            <w:noWrap/>
            <w:vAlign w:val="bottom"/>
            <w:hideMark/>
          </w:tcPr>
          <w:p w14:paraId="56BE6E24"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47.95%</w:t>
            </w:r>
          </w:p>
        </w:tc>
      </w:tr>
      <w:tr w:rsidR="00DD448C" w:rsidRPr="00E87E42" w14:paraId="260B6C81" w14:textId="77777777" w:rsidTr="00B67599">
        <w:trPr>
          <w:trHeight w:val="170"/>
        </w:trPr>
        <w:tc>
          <w:tcPr>
            <w:tcW w:w="0" w:type="auto"/>
            <w:tcBorders>
              <w:top w:val="nil"/>
              <w:left w:val="single" w:sz="4" w:space="0" w:color="auto"/>
              <w:bottom w:val="nil"/>
              <w:right w:val="nil"/>
            </w:tcBorders>
            <w:shd w:val="clear" w:color="auto" w:fill="auto"/>
            <w:noWrap/>
            <w:vAlign w:val="bottom"/>
            <w:hideMark/>
          </w:tcPr>
          <w:p w14:paraId="6D5CAEE8"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5-9</w:t>
            </w:r>
          </w:p>
        </w:tc>
        <w:tc>
          <w:tcPr>
            <w:tcW w:w="0" w:type="auto"/>
            <w:tcBorders>
              <w:top w:val="nil"/>
              <w:left w:val="single" w:sz="4" w:space="0" w:color="auto"/>
              <w:bottom w:val="nil"/>
              <w:right w:val="nil"/>
            </w:tcBorders>
            <w:shd w:val="clear" w:color="auto" w:fill="auto"/>
            <w:noWrap/>
            <w:vAlign w:val="bottom"/>
            <w:hideMark/>
          </w:tcPr>
          <w:p w14:paraId="17AEF8EA"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w:t>
            </w:r>
          </w:p>
        </w:tc>
        <w:tc>
          <w:tcPr>
            <w:tcW w:w="0" w:type="auto"/>
            <w:tcBorders>
              <w:top w:val="nil"/>
              <w:left w:val="nil"/>
              <w:bottom w:val="nil"/>
              <w:right w:val="single" w:sz="4" w:space="0" w:color="auto"/>
            </w:tcBorders>
            <w:shd w:val="clear" w:color="auto" w:fill="auto"/>
            <w:noWrap/>
            <w:vAlign w:val="bottom"/>
            <w:hideMark/>
          </w:tcPr>
          <w:p w14:paraId="2E8FDB96"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4.7%</w:t>
            </w:r>
          </w:p>
        </w:tc>
        <w:tc>
          <w:tcPr>
            <w:tcW w:w="0" w:type="auto"/>
            <w:tcBorders>
              <w:top w:val="nil"/>
              <w:left w:val="nil"/>
              <w:bottom w:val="nil"/>
              <w:right w:val="nil"/>
            </w:tcBorders>
            <w:shd w:val="clear" w:color="auto" w:fill="auto"/>
            <w:noWrap/>
            <w:vAlign w:val="bottom"/>
            <w:hideMark/>
          </w:tcPr>
          <w:p w14:paraId="5FE7D445"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0" w:type="auto"/>
            <w:tcBorders>
              <w:top w:val="nil"/>
              <w:left w:val="nil"/>
              <w:bottom w:val="nil"/>
              <w:right w:val="nil"/>
            </w:tcBorders>
            <w:shd w:val="clear" w:color="auto" w:fill="auto"/>
            <w:noWrap/>
            <w:vAlign w:val="bottom"/>
            <w:hideMark/>
          </w:tcPr>
          <w:p w14:paraId="5BC73F8B"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35.85%</w:t>
            </w:r>
          </w:p>
        </w:tc>
        <w:tc>
          <w:tcPr>
            <w:tcW w:w="0" w:type="auto"/>
            <w:tcBorders>
              <w:top w:val="nil"/>
              <w:left w:val="single" w:sz="4" w:space="0" w:color="auto"/>
              <w:bottom w:val="nil"/>
              <w:right w:val="nil"/>
            </w:tcBorders>
            <w:shd w:val="clear" w:color="auto" w:fill="auto"/>
            <w:noWrap/>
            <w:vAlign w:val="bottom"/>
            <w:hideMark/>
          </w:tcPr>
          <w:p w14:paraId="05DDA798"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303</w:t>
            </w:r>
          </w:p>
        </w:tc>
        <w:tc>
          <w:tcPr>
            <w:tcW w:w="0" w:type="auto"/>
            <w:tcBorders>
              <w:top w:val="nil"/>
              <w:left w:val="nil"/>
              <w:bottom w:val="nil"/>
              <w:right w:val="single" w:sz="4" w:space="0" w:color="auto"/>
            </w:tcBorders>
            <w:shd w:val="clear" w:color="auto" w:fill="auto"/>
            <w:noWrap/>
            <w:vAlign w:val="bottom"/>
            <w:hideMark/>
          </w:tcPr>
          <w:p w14:paraId="23731B82" w14:textId="4E675D33" w:rsidR="00DD448C" w:rsidRPr="00E87E42" w:rsidRDefault="00BF0999"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13.2</w:t>
            </w:r>
            <w:r w:rsidR="00DD448C" w:rsidRPr="00E87E42">
              <w:rPr>
                <w:rFonts w:eastAsia="Times New Roman"/>
                <w:color w:val="000000"/>
                <w:sz w:val="16"/>
                <w:szCs w:val="16"/>
                <w:lang w:eastAsia="en-GB"/>
              </w:rPr>
              <w:t>%</w:t>
            </w:r>
          </w:p>
        </w:tc>
        <w:tc>
          <w:tcPr>
            <w:tcW w:w="0" w:type="auto"/>
            <w:tcBorders>
              <w:top w:val="nil"/>
              <w:left w:val="nil"/>
              <w:bottom w:val="nil"/>
              <w:right w:val="nil"/>
            </w:tcBorders>
            <w:shd w:val="clear" w:color="auto" w:fill="auto"/>
            <w:noWrap/>
            <w:vAlign w:val="bottom"/>
            <w:hideMark/>
          </w:tcPr>
          <w:p w14:paraId="11F300ED"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0" w:type="auto"/>
            <w:tcBorders>
              <w:top w:val="nil"/>
              <w:left w:val="nil"/>
              <w:bottom w:val="nil"/>
              <w:right w:val="single" w:sz="4" w:space="0" w:color="auto"/>
            </w:tcBorders>
            <w:shd w:val="clear" w:color="auto" w:fill="auto"/>
            <w:noWrap/>
            <w:vAlign w:val="bottom"/>
            <w:hideMark/>
          </w:tcPr>
          <w:p w14:paraId="32774E81"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45.90%</w:t>
            </w:r>
          </w:p>
        </w:tc>
      </w:tr>
      <w:tr w:rsidR="00DD448C" w:rsidRPr="00E87E42" w14:paraId="676A5551" w14:textId="77777777" w:rsidTr="00B67599">
        <w:trPr>
          <w:trHeight w:val="170"/>
        </w:trPr>
        <w:tc>
          <w:tcPr>
            <w:tcW w:w="0" w:type="auto"/>
            <w:tcBorders>
              <w:top w:val="nil"/>
              <w:left w:val="single" w:sz="4" w:space="0" w:color="auto"/>
              <w:bottom w:val="nil"/>
              <w:right w:val="nil"/>
            </w:tcBorders>
            <w:shd w:val="clear" w:color="auto" w:fill="auto"/>
            <w:noWrap/>
            <w:vAlign w:val="bottom"/>
            <w:hideMark/>
          </w:tcPr>
          <w:p w14:paraId="1F4E48D6"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10-19</w:t>
            </w:r>
          </w:p>
        </w:tc>
        <w:tc>
          <w:tcPr>
            <w:tcW w:w="0" w:type="auto"/>
            <w:tcBorders>
              <w:top w:val="nil"/>
              <w:left w:val="single" w:sz="4" w:space="0" w:color="auto"/>
              <w:bottom w:val="nil"/>
              <w:right w:val="nil"/>
            </w:tcBorders>
            <w:shd w:val="clear" w:color="auto" w:fill="auto"/>
            <w:noWrap/>
            <w:vAlign w:val="bottom"/>
            <w:hideMark/>
          </w:tcPr>
          <w:p w14:paraId="194D0785"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0" w:type="auto"/>
            <w:tcBorders>
              <w:top w:val="nil"/>
              <w:left w:val="nil"/>
              <w:bottom w:val="nil"/>
              <w:right w:val="single" w:sz="4" w:space="0" w:color="auto"/>
            </w:tcBorders>
            <w:shd w:val="clear" w:color="auto" w:fill="auto"/>
            <w:noWrap/>
            <w:vAlign w:val="bottom"/>
            <w:hideMark/>
          </w:tcPr>
          <w:p w14:paraId="3B26419F"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w:t>
            </w:r>
          </w:p>
        </w:tc>
        <w:tc>
          <w:tcPr>
            <w:tcW w:w="0" w:type="auto"/>
            <w:tcBorders>
              <w:top w:val="nil"/>
              <w:left w:val="nil"/>
              <w:bottom w:val="nil"/>
              <w:right w:val="nil"/>
            </w:tcBorders>
            <w:shd w:val="clear" w:color="auto" w:fill="auto"/>
            <w:noWrap/>
            <w:vAlign w:val="bottom"/>
            <w:hideMark/>
          </w:tcPr>
          <w:p w14:paraId="45B05577"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0" w:type="auto"/>
            <w:tcBorders>
              <w:top w:val="nil"/>
              <w:left w:val="nil"/>
              <w:bottom w:val="nil"/>
              <w:right w:val="nil"/>
            </w:tcBorders>
            <w:shd w:val="clear" w:color="auto" w:fill="auto"/>
            <w:noWrap/>
            <w:vAlign w:val="bottom"/>
            <w:hideMark/>
          </w:tcPr>
          <w:p w14:paraId="18CB94DE"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33.96%</w:t>
            </w:r>
          </w:p>
        </w:tc>
        <w:tc>
          <w:tcPr>
            <w:tcW w:w="0" w:type="auto"/>
            <w:tcBorders>
              <w:top w:val="nil"/>
              <w:left w:val="single" w:sz="4" w:space="0" w:color="auto"/>
              <w:bottom w:val="nil"/>
              <w:right w:val="nil"/>
            </w:tcBorders>
            <w:shd w:val="clear" w:color="auto" w:fill="auto"/>
            <w:noWrap/>
            <w:vAlign w:val="bottom"/>
            <w:hideMark/>
          </w:tcPr>
          <w:p w14:paraId="551ACBEF"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199</w:t>
            </w:r>
          </w:p>
        </w:tc>
        <w:tc>
          <w:tcPr>
            <w:tcW w:w="0" w:type="auto"/>
            <w:tcBorders>
              <w:top w:val="nil"/>
              <w:left w:val="nil"/>
              <w:bottom w:val="nil"/>
              <w:right w:val="single" w:sz="4" w:space="0" w:color="auto"/>
            </w:tcBorders>
            <w:shd w:val="clear" w:color="auto" w:fill="auto"/>
            <w:noWrap/>
            <w:vAlign w:val="bottom"/>
            <w:hideMark/>
          </w:tcPr>
          <w:p w14:paraId="000E6E03" w14:textId="764C916A" w:rsidR="00DD448C" w:rsidRPr="00E87E42" w:rsidRDefault="00BF0999"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8.6</w:t>
            </w:r>
            <w:r w:rsidR="00DD448C" w:rsidRPr="00E87E42">
              <w:rPr>
                <w:rFonts w:eastAsia="Times New Roman"/>
                <w:color w:val="000000"/>
                <w:sz w:val="16"/>
                <w:szCs w:val="16"/>
                <w:lang w:eastAsia="en-GB"/>
              </w:rPr>
              <w:t>%</w:t>
            </w:r>
          </w:p>
        </w:tc>
        <w:tc>
          <w:tcPr>
            <w:tcW w:w="0" w:type="auto"/>
            <w:tcBorders>
              <w:top w:val="nil"/>
              <w:left w:val="nil"/>
              <w:bottom w:val="nil"/>
              <w:right w:val="nil"/>
            </w:tcBorders>
            <w:shd w:val="clear" w:color="auto" w:fill="auto"/>
            <w:noWrap/>
            <w:vAlign w:val="bottom"/>
            <w:hideMark/>
          </w:tcPr>
          <w:p w14:paraId="449F28EE"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w:t>
            </w:r>
          </w:p>
        </w:tc>
        <w:tc>
          <w:tcPr>
            <w:tcW w:w="0" w:type="auto"/>
            <w:tcBorders>
              <w:top w:val="nil"/>
              <w:left w:val="nil"/>
              <w:bottom w:val="nil"/>
              <w:right w:val="single" w:sz="4" w:space="0" w:color="auto"/>
            </w:tcBorders>
            <w:shd w:val="clear" w:color="auto" w:fill="auto"/>
            <w:noWrap/>
            <w:vAlign w:val="bottom"/>
            <w:hideMark/>
          </w:tcPr>
          <w:p w14:paraId="28F20303"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43.44%</w:t>
            </w:r>
          </w:p>
        </w:tc>
      </w:tr>
      <w:tr w:rsidR="00DD448C" w:rsidRPr="00E87E42" w14:paraId="064044EB" w14:textId="77777777" w:rsidTr="00B67599">
        <w:trPr>
          <w:trHeight w:val="170"/>
        </w:trPr>
        <w:tc>
          <w:tcPr>
            <w:tcW w:w="0" w:type="auto"/>
            <w:tcBorders>
              <w:top w:val="nil"/>
              <w:left w:val="single" w:sz="4" w:space="0" w:color="auto"/>
              <w:bottom w:val="nil"/>
              <w:right w:val="nil"/>
            </w:tcBorders>
            <w:shd w:val="clear" w:color="auto" w:fill="auto"/>
            <w:noWrap/>
            <w:vAlign w:val="bottom"/>
            <w:hideMark/>
          </w:tcPr>
          <w:p w14:paraId="7557EC59"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20-49</w:t>
            </w:r>
          </w:p>
        </w:tc>
        <w:tc>
          <w:tcPr>
            <w:tcW w:w="0" w:type="auto"/>
            <w:tcBorders>
              <w:top w:val="nil"/>
              <w:left w:val="single" w:sz="4" w:space="0" w:color="auto"/>
              <w:bottom w:val="nil"/>
              <w:right w:val="nil"/>
            </w:tcBorders>
            <w:shd w:val="clear" w:color="auto" w:fill="auto"/>
            <w:noWrap/>
            <w:vAlign w:val="bottom"/>
            <w:hideMark/>
          </w:tcPr>
          <w:p w14:paraId="49131010"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0" w:type="auto"/>
            <w:tcBorders>
              <w:top w:val="nil"/>
              <w:left w:val="nil"/>
              <w:bottom w:val="nil"/>
              <w:right w:val="single" w:sz="4" w:space="0" w:color="auto"/>
            </w:tcBorders>
            <w:shd w:val="clear" w:color="auto" w:fill="auto"/>
            <w:noWrap/>
            <w:vAlign w:val="bottom"/>
            <w:hideMark/>
          </w:tcPr>
          <w:p w14:paraId="7B5C07DB"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0.8%</w:t>
            </w:r>
          </w:p>
        </w:tc>
        <w:tc>
          <w:tcPr>
            <w:tcW w:w="0" w:type="auto"/>
            <w:tcBorders>
              <w:top w:val="nil"/>
              <w:left w:val="nil"/>
              <w:bottom w:val="nil"/>
              <w:right w:val="nil"/>
            </w:tcBorders>
            <w:shd w:val="clear" w:color="auto" w:fill="auto"/>
            <w:noWrap/>
            <w:vAlign w:val="bottom"/>
            <w:hideMark/>
          </w:tcPr>
          <w:p w14:paraId="14A658CB"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0" w:type="auto"/>
            <w:tcBorders>
              <w:top w:val="nil"/>
              <w:left w:val="nil"/>
              <w:bottom w:val="nil"/>
              <w:right w:val="nil"/>
            </w:tcBorders>
            <w:shd w:val="clear" w:color="auto" w:fill="auto"/>
            <w:noWrap/>
            <w:vAlign w:val="bottom"/>
            <w:hideMark/>
          </w:tcPr>
          <w:p w14:paraId="4CA91D84"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33.02%</w:t>
            </w:r>
          </w:p>
        </w:tc>
        <w:tc>
          <w:tcPr>
            <w:tcW w:w="0" w:type="auto"/>
            <w:tcBorders>
              <w:top w:val="nil"/>
              <w:left w:val="single" w:sz="4" w:space="0" w:color="auto"/>
              <w:bottom w:val="nil"/>
              <w:right w:val="nil"/>
            </w:tcBorders>
            <w:shd w:val="clear" w:color="auto" w:fill="auto"/>
            <w:noWrap/>
            <w:vAlign w:val="bottom"/>
            <w:hideMark/>
          </w:tcPr>
          <w:p w14:paraId="0EDE2C85"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180</w:t>
            </w:r>
          </w:p>
        </w:tc>
        <w:tc>
          <w:tcPr>
            <w:tcW w:w="0" w:type="auto"/>
            <w:tcBorders>
              <w:top w:val="nil"/>
              <w:left w:val="nil"/>
              <w:bottom w:val="nil"/>
              <w:right w:val="single" w:sz="4" w:space="0" w:color="auto"/>
            </w:tcBorders>
            <w:shd w:val="clear" w:color="auto" w:fill="auto"/>
            <w:noWrap/>
            <w:vAlign w:val="bottom"/>
            <w:hideMark/>
          </w:tcPr>
          <w:p w14:paraId="7C5E9C71" w14:textId="4078158C" w:rsidR="00DD448C" w:rsidRPr="00E87E42" w:rsidRDefault="00BF0999"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4.5</w:t>
            </w:r>
            <w:r w:rsidR="00DD448C" w:rsidRPr="00E87E42">
              <w:rPr>
                <w:rFonts w:eastAsia="Times New Roman"/>
                <w:color w:val="000000"/>
                <w:sz w:val="16"/>
                <w:szCs w:val="16"/>
                <w:lang w:eastAsia="en-GB"/>
              </w:rPr>
              <w:t>%</w:t>
            </w:r>
          </w:p>
        </w:tc>
        <w:tc>
          <w:tcPr>
            <w:tcW w:w="0" w:type="auto"/>
            <w:tcBorders>
              <w:top w:val="nil"/>
              <w:left w:val="nil"/>
              <w:bottom w:val="nil"/>
              <w:right w:val="nil"/>
            </w:tcBorders>
            <w:shd w:val="clear" w:color="auto" w:fill="auto"/>
            <w:noWrap/>
            <w:vAlign w:val="bottom"/>
            <w:hideMark/>
          </w:tcPr>
          <w:p w14:paraId="54A488BF"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w:t>
            </w:r>
          </w:p>
        </w:tc>
        <w:tc>
          <w:tcPr>
            <w:tcW w:w="0" w:type="auto"/>
            <w:tcBorders>
              <w:top w:val="nil"/>
              <w:left w:val="nil"/>
              <w:bottom w:val="nil"/>
              <w:right w:val="single" w:sz="4" w:space="0" w:color="auto"/>
            </w:tcBorders>
            <w:shd w:val="clear" w:color="auto" w:fill="auto"/>
            <w:noWrap/>
            <w:vAlign w:val="bottom"/>
            <w:hideMark/>
          </w:tcPr>
          <w:p w14:paraId="471EDE3A"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36.07%</w:t>
            </w:r>
          </w:p>
        </w:tc>
      </w:tr>
      <w:tr w:rsidR="00DD448C" w:rsidRPr="00E87E42" w14:paraId="574A5A0B" w14:textId="77777777" w:rsidTr="00B67599">
        <w:trPr>
          <w:trHeight w:val="170"/>
        </w:trPr>
        <w:tc>
          <w:tcPr>
            <w:tcW w:w="0" w:type="auto"/>
            <w:tcBorders>
              <w:top w:val="nil"/>
              <w:left w:val="single" w:sz="4" w:space="0" w:color="auto"/>
              <w:bottom w:val="nil"/>
              <w:right w:val="nil"/>
            </w:tcBorders>
            <w:shd w:val="clear" w:color="auto" w:fill="auto"/>
            <w:noWrap/>
            <w:vAlign w:val="bottom"/>
            <w:hideMark/>
          </w:tcPr>
          <w:p w14:paraId="6AA0A9C9"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50-99</w:t>
            </w:r>
          </w:p>
        </w:tc>
        <w:tc>
          <w:tcPr>
            <w:tcW w:w="0" w:type="auto"/>
            <w:tcBorders>
              <w:top w:val="nil"/>
              <w:left w:val="single" w:sz="4" w:space="0" w:color="auto"/>
              <w:bottom w:val="nil"/>
              <w:right w:val="nil"/>
            </w:tcBorders>
            <w:shd w:val="clear" w:color="auto" w:fill="auto"/>
            <w:noWrap/>
            <w:vAlign w:val="bottom"/>
            <w:hideMark/>
          </w:tcPr>
          <w:p w14:paraId="309E69A0"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0" w:type="auto"/>
            <w:tcBorders>
              <w:top w:val="nil"/>
              <w:left w:val="nil"/>
              <w:bottom w:val="nil"/>
              <w:right w:val="single" w:sz="4" w:space="0" w:color="auto"/>
            </w:tcBorders>
            <w:shd w:val="clear" w:color="auto" w:fill="auto"/>
            <w:noWrap/>
            <w:vAlign w:val="bottom"/>
            <w:hideMark/>
          </w:tcPr>
          <w:p w14:paraId="4846DE4A"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nil"/>
              <w:right w:val="nil"/>
            </w:tcBorders>
            <w:shd w:val="clear" w:color="auto" w:fill="auto"/>
            <w:noWrap/>
            <w:vAlign w:val="bottom"/>
            <w:hideMark/>
          </w:tcPr>
          <w:p w14:paraId="61CA9B71"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0" w:type="auto"/>
            <w:tcBorders>
              <w:top w:val="nil"/>
              <w:left w:val="nil"/>
              <w:bottom w:val="nil"/>
              <w:right w:val="nil"/>
            </w:tcBorders>
            <w:shd w:val="clear" w:color="auto" w:fill="auto"/>
            <w:noWrap/>
            <w:vAlign w:val="bottom"/>
            <w:hideMark/>
          </w:tcPr>
          <w:p w14:paraId="34BA20BB"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30.19%</w:t>
            </w:r>
          </w:p>
        </w:tc>
        <w:tc>
          <w:tcPr>
            <w:tcW w:w="0" w:type="auto"/>
            <w:tcBorders>
              <w:top w:val="nil"/>
              <w:left w:val="single" w:sz="4" w:space="0" w:color="auto"/>
              <w:bottom w:val="nil"/>
              <w:right w:val="nil"/>
            </w:tcBorders>
            <w:shd w:val="clear" w:color="auto" w:fill="auto"/>
            <w:noWrap/>
            <w:vAlign w:val="bottom"/>
            <w:hideMark/>
          </w:tcPr>
          <w:p w14:paraId="6386883D"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75</w:t>
            </w:r>
          </w:p>
        </w:tc>
        <w:tc>
          <w:tcPr>
            <w:tcW w:w="0" w:type="auto"/>
            <w:tcBorders>
              <w:top w:val="nil"/>
              <w:left w:val="nil"/>
              <w:bottom w:val="nil"/>
              <w:right w:val="single" w:sz="4" w:space="0" w:color="auto"/>
            </w:tcBorders>
            <w:shd w:val="clear" w:color="auto" w:fill="auto"/>
            <w:noWrap/>
            <w:vAlign w:val="bottom"/>
            <w:hideMark/>
          </w:tcPr>
          <w:p w14:paraId="3B2571FD" w14:textId="6F324788" w:rsidR="00DD448C" w:rsidRPr="00E87E42" w:rsidRDefault="00BF0999"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w:t>
            </w:r>
            <w:r w:rsidR="00DD448C" w:rsidRPr="00E87E42">
              <w:rPr>
                <w:rFonts w:eastAsia="Times New Roman"/>
                <w:color w:val="000000"/>
                <w:sz w:val="16"/>
                <w:szCs w:val="16"/>
                <w:lang w:eastAsia="en-GB"/>
              </w:rPr>
              <w:t>%</w:t>
            </w:r>
          </w:p>
        </w:tc>
        <w:tc>
          <w:tcPr>
            <w:tcW w:w="0" w:type="auto"/>
            <w:tcBorders>
              <w:top w:val="nil"/>
              <w:left w:val="nil"/>
              <w:bottom w:val="nil"/>
              <w:right w:val="nil"/>
            </w:tcBorders>
            <w:shd w:val="clear" w:color="auto" w:fill="auto"/>
            <w:noWrap/>
            <w:vAlign w:val="bottom"/>
            <w:hideMark/>
          </w:tcPr>
          <w:p w14:paraId="2692CAFB"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w:t>
            </w:r>
          </w:p>
        </w:tc>
        <w:tc>
          <w:tcPr>
            <w:tcW w:w="0" w:type="auto"/>
            <w:tcBorders>
              <w:top w:val="nil"/>
              <w:left w:val="nil"/>
              <w:bottom w:val="nil"/>
              <w:right w:val="single" w:sz="4" w:space="0" w:color="auto"/>
            </w:tcBorders>
            <w:shd w:val="clear" w:color="auto" w:fill="auto"/>
            <w:noWrap/>
            <w:vAlign w:val="bottom"/>
            <w:hideMark/>
          </w:tcPr>
          <w:p w14:paraId="6881D161"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24.18%</w:t>
            </w:r>
          </w:p>
        </w:tc>
      </w:tr>
      <w:tr w:rsidR="00DD448C" w:rsidRPr="00E87E42" w14:paraId="69AE5CEE" w14:textId="77777777" w:rsidTr="00B67599">
        <w:trPr>
          <w:trHeight w:val="170"/>
        </w:trPr>
        <w:tc>
          <w:tcPr>
            <w:tcW w:w="0" w:type="auto"/>
            <w:tcBorders>
              <w:top w:val="nil"/>
              <w:left w:val="single" w:sz="4" w:space="0" w:color="auto"/>
              <w:bottom w:val="nil"/>
              <w:right w:val="nil"/>
            </w:tcBorders>
            <w:shd w:val="clear" w:color="auto" w:fill="auto"/>
            <w:noWrap/>
            <w:vAlign w:val="bottom"/>
            <w:hideMark/>
          </w:tcPr>
          <w:p w14:paraId="5A6D2FBC"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100-199</w:t>
            </w:r>
          </w:p>
        </w:tc>
        <w:tc>
          <w:tcPr>
            <w:tcW w:w="0" w:type="auto"/>
            <w:tcBorders>
              <w:top w:val="nil"/>
              <w:left w:val="single" w:sz="4" w:space="0" w:color="auto"/>
              <w:bottom w:val="nil"/>
              <w:right w:val="nil"/>
            </w:tcBorders>
            <w:shd w:val="clear" w:color="auto" w:fill="auto"/>
            <w:noWrap/>
            <w:vAlign w:val="bottom"/>
            <w:hideMark/>
          </w:tcPr>
          <w:p w14:paraId="29CD3409"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single" w:sz="4" w:space="0" w:color="auto"/>
            </w:tcBorders>
            <w:shd w:val="clear" w:color="auto" w:fill="auto"/>
            <w:noWrap/>
            <w:vAlign w:val="bottom"/>
            <w:hideMark/>
          </w:tcPr>
          <w:p w14:paraId="405216F6"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nil"/>
              <w:right w:val="nil"/>
            </w:tcBorders>
            <w:shd w:val="clear" w:color="auto" w:fill="auto"/>
            <w:noWrap/>
            <w:vAlign w:val="bottom"/>
            <w:hideMark/>
          </w:tcPr>
          <w:p w14:paraId="28479F1B"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w:t>
            </w:r>
          </w:p>
        </w:tc>
        <w:tc>
          <w:tcPr>
            <w:tcW w:w="0" w:type="auto"/>
            <w:tcBorders>
              <w:top w:val="nil"/>
              <w:left w:val="nil"/>
              <w:bottom w:val="nil"/>
              <w:right w:val="nil"/>
            </w:tcBorders>
            <w:shd w:val="clear" w:color="auto" w:fill="auto"/>
            <w:noWrap/>
            <w:vAlign w:val="bottom"/>
            <w:hideMark/>
          </w:tcPr>
          <w:p w14:paraId="5EAF8A13"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24.53%</w:t>
            </w:r>
          </w:p>
        </w:tc>
        <w:tc>
          <w:tcPr>
            <w:tcW w:w="0" w:type="auto"/>
            <w:tcBorders>
              <w:top w:val="nil"/>
              <w:left w:val="single" w:sz="4" w:space="0" w:color="auto"/>
              <w:bottom w:val="nil"/>
              <w:right w:val="nil"/>
            </w:tcBorders>
            <w:shd w:val="clear" w:color="auto" w:fill="auto"/>
            <w:noWrap/>
            <w:vAlign w:val="bottom"/>
            <w:hideMark/>
          </w:tcPr>
          <w:p w14:paraId="0F50EEBF"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53</w:t>
            </w:r>
          </w:p>
        </w:tc>
        <w:tc>
          <w:tcPr>
            <w:tcW w:w="0" w:type="auto"/>
            <w:tcBorders>
              <w:top w:val="nil"/>
              <w:left w:val="nil"/>
              <w:bottom w:val="nil"/>
              <w:right w:val="single" w:sz="4" w:space="0" w:color="auto"/>
            </w:tcBorders>
            <w:shd w:val="clear" w:color="auto" w:fill="auto"/>
            <w:noWrap/>
            <w:vAlign w:val="bottom"/>
            <w:hideMark/>
          </w:tcPr>
          <w:p w14:paraId="2EE3C1D2" w14:textId="74F155AC" w:rsidR="00DD448C" w:rsidRPr="00E87E42" w:rsidRDefault="00BF0999"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w:t>
            </w:r>
            <w:r w:rsidR="00DD448C" w:rsidRPr="00E87E42">
              <w:rPr>
                <w:rFonts w:eastAsia="Times New Roman"/>
                <w:color w:val="000000"/>
                <w:sz w:val="16"/>
                <w:szCs w:val="16"/>
                <w:lang w:eastAsia="en-GB"/>
              </w:rPr>
              <w:t>%</w:t>
            </w:r>
          </w:p>
        </w:tc>
        <w:tc>
          <w:tcPr>
            <w:tcW w:w="0" w:type="auto"/>
            <w:tcBorders>
              <w:top w:val="nil"/>
              <w:left w:val="nil"/>
              <w:bottom w:val="nil"/>
              <w:right w:val="nil"/>
            </w:tcBorders>
            <w:shd w:val="clear" w:color="auto" w:fill="auto"/>
            <w:noWrap/>
            <w:vAlign w:val="bottom"/>
            <w:hideMark/>
          </w:tcPr>
          <w:p w14:paraId="728F641C"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w:t>
            </w:r>
          </w:p>
        </w:tc>
        <w:tc>
          <w:tcPr>
            <w:tcW w:w="0" w:type="auto"/>
            <w:tcBorders>
              <w:top w:val="nil"/>
              <w:left w:val="nil"/>
              <w:bottom w:val="nil"/>
              <w:right w:val="single" w:sz="4" w:space="0" w:color="auto"/>
            </w:tcBorders>
            <w:shd w:val="clear" w:color="auto" w:fill="auto"/>
            <w:noWrap/>
            <w:vAlign w:val="bottom"/>
            <w:hideMark/>
          </w:tcPr>
          <w:p w14:paraId="020089AD"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13.93%</w:t>
            </w:r>
          </w:p>
        </w:tc>
      </w:tr>
      <w:tr w:rsidR="00DD448C" w:rsidRPr="00E87E42" w14:paraId="4E914620" w14:textId="77777777" w:rsidTr="00B67599">
        <w:trPr>
          <w:trHeight w:val="170"/>
        </w:trPr>
        <w:tc>
          <w:tcPr>
            <w:tcW w:w="0" w:type="auto"/>
            <w:tcBorders>
              <w:top w:val="nil"/>
              <w:left w:val="single" w:sz="4" w:space="0" w:color="auto"/>
              <w:bottom w:val="nil"/>
              <w:right w:val="nil"/>
            </w:tcBorders>
            <w:shd w:val="clear" w:color="auto" w:fill="auto"/>
            <w:noWrap/>
            <w:vAlign w:val="bottom"/>
            <w:hideMark/>
          </w:tcPr>
          <w:p w14:paraId="6130014F"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200-499</w:t>
            </w:r>
          </w:p>
        </w:tc>
        <w:tc>
          <w:tcPr>
            <w:tcW w:w="0" w:type="auto"/>
            <w:tcBorders>
              <w:top w:val="nil"/>
              <w:left w:val="single" w:sz="4" w:space="0" w:color="auto"/>
              <w:bottom w:val="nil"/>
              <w:right w:val="nil"/>
            </w:tcBorders>
            <w:shd w:val="clear" w:color="auto" w:fill="auto"/>
            <w:noWrap/>
            <w:vAlign w:val="bottom"/>
            <w:hideMark/>
          </w:tcPr>
          <w:p w14:paraId="09AF254B"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single" w:sz="4" w:space="0" w:color="auto"/>
            </w:tcBorders>
            <w:shd w:val="clear" w:color="auto" w:fill="auto"/>
            <w:noWrap/>
            <w:vAlign w:val="bottom"/>
            <w:hideMark/>
          </w:tcPr>
          <w:p w14:paraId="1F366FD0"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nil"/>
              <w:right w:val="nil"/>
            </w:tcBorders>
            <w:shd w:val="clear" w:color="auto" w:fill="auto"/>
            <w:noWrap/>
            <w:vAlign w:val="bottom"/>
            <w:hideMark/>
          </w:tcPr>
          <w:p w14:paraId="066C2F92"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w:t>
            </w:r>
          </w:p>
        </w:tc>
        <w:tc>
          <w:tcPr>
            <w:tcW w:w="0" w:type="auto"/>
            <w:tcBorders>
              <w:top w:val="nil"/>
              <w:left w:val="nil"/>
              <w:bottom w:val="nil"/>
              <w:right w:val="nil"/>
            </w:tcBorders>
            <w:shd w:val="clear" w:color="auto" w:fill="auto"/>
            <w:noWrap/>
            <w:vAlign w:val="bottom"/>
            <w:hideMark/>
          </w:tcPr>
          <w:p w14:paraId="7F699F92"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15.09%</w:t>
            </w:r>
          </w:p>
        </w:tc>
        <w:tc>
          <w:tcPr>
            <w:tcW w:w="0" w:type="auto"/>
            <w:tcBorders>
              <w:top w:val="nil"/>
              <w:left w:val="single" w:sz="4" w:space="0" w:color="auto"/>
              <w:bottom w:val="nil"/>
              <w:right w:val="nil"/>
            </w:tcBorders>
            <w:shd w:val="clear" w:color="auto" w:fill="auto"/>
            <w:noWrap/>
            <w:vAlign w:val="bottom"/>
            <w:hideMark/>
          </w:tcPr>
          <w:p w14:paraId="121B9256"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w:t>
            </w:r>
          </w:p>
        </w:tc>
        <w:tc>
          <w:tcPr>
            <w:tcW w:w="0" w:type="auto"/>
            <w:tcBorders>
              <w:top w:val="nil"/>
              <w:left w:val="nil"/>
              <w:bottom w:val="nil"/>
              <w:right w:val="single" w:sz="4" w:space="0" w:color="auto"/>
            </w:tcBorders>
            <w:shd w:val="clear" w:color="auto" w:fill="auto"/>
            <w:noWrap/>
            <w:vAlign w:val="bottom"/>
            <w:hideMark/>
          </w:tcPr>
          <w:p w14:paraId="46C9AF1B" w14:textId="4789E48D" w:rsidR="00DD448C" w:rsidRPr="00E87E42" w:rsidRDefault="00BF0999"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0.7</w:t>
            </w:r>
            <w:r w:rsidR="00DD448C" w:rsidRPr="00E87E42">
              <w:rPr>
                <w:rFonts w:eastAsia="Times New Roman"/>
                <w:color w:val="000000"/>
                <w:sz w:val="16"/>
                <w:szCs w:val="16"/>
                <w:lang w:eastAsia="en-GB"/>
              </w:rPr>
              <w:t>%</w:t>
            </w:r>
          </w:p>
        </w:tc>
        <w:tc>
          <w:tcPr>
            <w:tcW w:w="0" w:type="auto"/>
            <w:tcBorders>
              <w:top w:val="nil"/>
              <w:left w:val="nil"/>
              <w:bottom w:val="nil"/>
              <w:right w:val="nil"/>
            </w:tcBorders>
            <w:shd w:val="clear" w:color="auto" w:fill="auto"/>
            <w:noWrap/>
            <w:vAlign w:val="bottom"/>
            <w:hideMark/>
          </w:tcPr>
          <w:p w14:paraId="424F6BAF"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w:t>
            </w:r>
          </w:p>
        </w:tc>
        <w:tc>
          <w:tcPr>
            <w:tcW w:w="0" w:type="auto"/>
            <w:tcBorders>
              <w:top w:val="nil"/>
              <w:left w:val="nil"/>
              <w:bottom w:val="nil"/>
              <w:right w:val="single" w:sz="4" w:space="0" w:color="auto"/>
            </w:tcBorders>
            <w:shd w:val="clear" w:color="auto" w:fill="auto"/>
            <w:noWrap/>
            <w:vAlign w:val="bottom"/>
            <w:hideMark/>
          </w:tcPr>
          <w:p w14:paraId="7BE30059"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6.15%</w:t>
            </w:r>
          </w:p>
        </w:tc>
      </w:tr>
      <w:tr w:rsidR="00DD448C" w:rsidRPr="00E87E42" w14:paraId="15769443" w14:textId="77777777" w:rsidTr="00B67599">
        <w:trPr>
          <w:trHeight w:val="170"/>
        </w:trPr>
        <w:tc>
          <w:tcPr>
            <w:tcW w:w="0" w:type="auto"/>
            <w:tcBorders>
              <w:top w:val="nil"/>
              <w:left w:val="single" w:sz="4" w:space="0" w:color="auto"/>
              <w:bottom w:val="nil"/>
              <w:right w:val="nil"/>
            </w:tcBorders>
            <w:shd w:val="clear" w:color="auto" w:fill="auto"/>
            <w:noWrap/>
            <w:vAlign w:val="bottom"/>
            <w:hideMark/>
          </w:tcPr>
          <w:p w14:paraId="363C13C4"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500-999</w:t>
            </w:r>
          </w:p>
        </w:tc>
        <w:tc>
          <w:tcPr>
            <w:tcW w:w="0" w:type="auto"/>
            <w:tcBorders>
              <w:top w:val="nil"/>
              <w:left w:val="single" w:sz="4" w:space="0" w:color="auto"/>
              <w:bottom w:val="nil"/>
              <w:right w:val="nil"/>
            </w:tcBorders>
            <w:shd w:val="clear" w:color="auto" w:fill="auto"/>
            <w:noWrap/>
            <w:vAlign w:val="bottom"/>
            <w:hideMark/>
          </w:tcPr>
          <w:p w14:paraId="39CF0D63"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single" w:sz="4" w:space="0" w:color="auto"/>
            </w:tcBorders>
            <w:shd w:val="clear" w:color="auto" w:fill="auto"/>
            <w:noWrap/>
            <w:vAlign w:val="bottom"/>
            <w:hideMark/>
          </w:tcPr>
          <w:p w14:paraId="574157DE"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nil"/>
              <w:right w:val="nil"/>
            </w:tcBorders>
            <w:shd w:val="clear" w:color="auto" w:fill="auto"/>
            <w:noWrap/>
            <w:vAlign w:val="bottom"/>
            <w:hideMark/>
          </w:tcPr>
          <w:p w14:paraId="00D4D5BD"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0" w:type="auto"/>
            <w:tcBorders>
              <w:top w:val="nil"/>
              <w:left w:val="nil"/>
              <w:bottom w:val="nil"/>
              <w:right w:val="nil"/>
            </w:tcBorders>
            <w:shd w:val="clear" w:color="auto" w:fill="auto"/>
            <w:noWrap/>
            <w:vAlign w:val="bottom"/>
            <w:hideMark/>
          </w:tcPr>
          <w:p w14:paraId="00187155"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12.26%</w:t>
            </w:r>
          </w:p>
        </w:tc>
        <w:tc>
          <w:tcPr>
            <w:tcW w:w="0" w:type="auto"/>
            <w:tcBorders>
              <w:top w:val="nil"/>
              <w:left w:val="single" w:sz="4" w:space="0" w:color="auto"/>
              <w:bottom w:val="nil"/>
              <w:right w:val="nil"/>
            </w:tcBorders>
            <w:shd w:val="clear" w:color="auto" w:fill="auto"/>
            <w:noWrap/>
            <w:vAlign w:val="bottom"/>
            <w:hideMark/>
          </w:tcPr>
          <w:p w14:paraId="44C069CD"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w:t>
            </w:r>
          </w:p>
        </w:tc>
        <w:tc>
          <w:tcPr>
            <w:tcW w:w="0" w:type="auto"/>
            <w:tcBorders>
              <w:top w:val="nil"/>
              <w:left w:val="nil"/>
              <w:bottom w:val="nil"/>
              <w:right w:val="single" w:sz="4" w:space="0" w:color="auto"/>
            </w:tcBorders>
            <w:shd w:val="clear" w:color="auto" w:fill="auto"/>
            <w:noWrap/>
            <w:vAlign w:val="bottom"/>
            <w:hideMark/>
          </w:tcPr>
          <w:p w14:paraId="24A7AAFC" w14:textId="4E8312F1" w:rsidR="00DD448C" w:rsidRPr="00E87E42" w:rsidRDefault="00BF0999"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0.3</w:t>
            </w:r>
            <w:r w:rsidR="00DD448C" w:rsidRPr="00E87E42">
              <w:rPr>
                <w:rFonts w:eastAsia="Times New Roman"/>
                <w:color w:val="000000"/>
                <w:sz w:val="16"/>
                <w:szCs w:val="16"/>
                <w:lang w:eastAsia="en-GB"/>
              </w:rPr>
              <w:t>%</w:t>
            </w:r>
          </w:p>
        </w:tc>
        <w:tc>
          <w:tcPr>
            <w:tcW w:w="0" w:type="auto"/>
            <w:tcBorders>
              <w:top w:val="nil"/>
              <w:left w:val="nil"/>
              <w:bottom w:val="nil"/>
              <w:right w:val="nil"/>
            </w:tcBorders>
            <w:shd w:val="clear" w:color="auto" w:fill="auto"/>
            <w:noWrap/>
            <w:vAlign w:val="bottom"/>
            <w:hideMark/>
          </w:tcPr>
          <w:p w14:paraId="4F575A24"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w:t>
            </w:r>
          </w:p>
        </w:tc>
        <w:tc>
          <w:tcPr>
            <w:tcW w:w="0" w:type="auto"/>
            <w:tcBorders>
              <w:top w:val="nil"/>
              <w:left w:val="nil"/>
              <w:bottom w:val="nil"/>
              <w:right w:val="single" w:sz="4" w:space="0" w:color="auto"/>
            </w:tcBorders>
            <w:shd w:val="clear" w:color="auto" w:fill="auto"/>
            <w:noWrap/>
            <w:vAlign w:val="bottom"/>
            <w:hideMark/>
          </w:tcPr>
          <w:p w14:paraId="6529F3B0"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1.64%</w:t>
            </w:r>
          </w:p>
        </w:tc>
      </w:tr>
      <w:tr w:rsidR="00DD448C" w:rsidRPr="00E87E42" w14:paraId="3C60C6DE" w14:textId="77777777" w:rsidTr="00B67599">
        <w:trPr>
          <w:trHeight w:val="170"/>
        </w:trPr>
        <w:tc>
          <w:tcPr>
            <w:tcW w:w="0" w:type="auto"/>
            <w:tcBorders>
              <w:top w:val="nil"/>
              <w:left w:val="single" w:sz="4" w:space="0" w:color="auto"/>
              <w:bottom w:val="single" w:sz="4" w:space="0" w:color="auto"/>
              <w:right w:val="nil"/>
            </w:tcBorders>
            <w:shd w:val="clear" w:color="auto" w:fill="auto"/>
            <w:noWrap/>
            <w:vAlign w:val="bottom"/>
            <w:hideMark/>
          </w:tcPr>
          <w:p w14:paraId="01228258"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 and above</w:t>
            </w:r>
          </w:p>
        </w:tc>
        <w:tc>
          <w:tcPr>
            <w:tcW w:w="0" w:type="auto"/>
            <w:tcBorders>
              <w:top w:val="nil"/>
              <w:left w:val="single" w:sz="4" w:space="0" w:color="auto"/>
              <w:bottom w:val="single" w:sz="4" w:space="0" w:color="auto"/>
              <w:right w:val="nil"/>
            </w:tcBorders>
            <w:shd w:val="clear" w:color="auto" w:fill="auto"/>
            <w:noWrap/>
            <w:vAlign w:val="bottom"/>
            <w:hideMark/>
          </w:tcPr>
          <w:p w14:paraId="23EF1FB2"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bottom"/>
            <w:hideMark/>
          </w:tcPr>
          <w:p w14:paraId="279FAC36"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single" w:sz="4" w:space="0" w:color="auto"/>
              <w:right w:val="nil"/>
            </w:tcBorders>
            <w:shd w:val="clear" w:color="auto" w:fill="auto"/>
            <w:noWrap/>
            <w:vAlign w:val="bottom"/>
            <w:hideMark/>
          </w:tcPr>
          <w:p w14:paraId="339E499B"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w:t>
            </w:r>
          </w:p>
        </w:tc>
        <w:tc>
          <w:tcPr>
            <w:tcW w:w="0" w:type="auto"/>
            <w:tcBorders>
              <w:top w:val="nil"/>
              <w:left w:val="nil"/>
              <w:bottom w:val="single" w:sz="4" w:space="0" w:color="auto"/>
              <w:right w:val="nil"/>
            </w:tcBorders>
            <w:shd w:val="clear" w:color="auto" w:fill="auto"/>
            <w:noWrap/>
            <w:vAlign w:val="bottom"/>
            <w:hideMark/>
          </w:tcPr>
          <w:p w14:paraId="5A7A810F"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0" w:type="auto"/>
            <w:tcBorders>
              <w:top w:val="nil"/>
              <w:left w:val="single" w:sz="4" w:space="0" w:color="auto"/>
              <w:bottom w:val="single" w:sz="4" w:space="0" w:color="auto"/>
              <w:right w:val="nil"/>
            </w:tcBorders>
            <w:shd w:val="clear" w:color="auto" w:fill="auto"/>
            <w:noWrap/>
            <w:vAlign w:val="bottom"/>
            <w:hideMark/>
          </w:tcPr>
          <w:p w14:paraId="28B5F20E"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w:t>
            </w:r>
          </w:p>
        </w:tc>
        <w:tc>
          <w:tcPr>
            <w:tcW w:w="0" w:type="auto"/>
            <w:tcBorders>
              <w:top w:val="nil"/>
              <w:left w:val="nil"/>
              <w:bottom w:val="single" w:sz="4" w:space="0" w:color="auto"/>
              <w:right w:val="single" w:sz="4" w:space="0" w:color="auto"/>
            </w:tcBorders>
            <w:shd w:val="clear" w:color="auto" w:fill="auto"/>
            <w:noWrap/>
            <w:vAlign w:val="bottom"/>
            <w:hideMark/>
          </w:tcPr>
          <w:p w14:paraId="6713DDE6"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0" w:type="auto"/>
            <w:tcBorders>
              <w:top w:val="nil"/>
              <w:left w:val="nil"/>
              <w:bottom w:val="single" w:sz="4" w:space="0" w:color="auto"/>
              <w:right w:val="nil"/>
            </w:tcBorders>
            <w:shd w:val="clear" w:color="auto" w:fill="auto"/>
            <w:noWrap/>
            <w:vAlign w:val="bottom"/>
            <w:hideMark/>
          </w:tcPr>
          <w:p w14:paraId="0034A018"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0" w:type="auto"/>
            <w:tcBorders>
              <w:top w:val="nil"/>
              <w:left w:val="nil"/>
              <w:bottom w:val="single" w:sz="4" w:space="0" w:color="auto"/>
              <w:right w:val="single" w:sz="4" w:space="0" w:color="auto"/>
            </w:tcBorders>
            <w:shd w:val="clear" w:color="auto" w:fill="auto"/>
            <w:noWrap/>
            <w:vAlign w:val="bottom"/>
            <w:hideMark/>
          </w:tcPr>
          <w:p w14:paraId="7DEE5C88"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r>
      <w:tr w:rsidR="00DD448C" w:rsidRPr="00E87E42" w14:paraId="5CCA9119" w14:textId="77777777" w:rsidTr="00B67599">
        <w:trPr>
          <w:trHeight w:val="170"/>
        </w:trPr>
        <w:tc>
          <w:tcPr>
            <w:tcW w:w="0" w:type="auto"/>
            <w:tcBorders>
              <w:top w:val="nil"/>
              <w:left w:val="nil"/>
              <w:bottom w:val="nil"/>
              <w:right w:val="nil"/>
            </w:tcBorders>
            <w:shd w:val="clear" w:color="auto" w:fill="auto"/>
            <w:noWrap/>
            <w:vAlign w:val="bottom"/>
            <w:hideMark/>
          </w:tcPr>
          <w:p w14:paraId="67BA0571" w14:textId="77777777" w:rsidR="00DD448C" w:rsidRPr="00E87E42" w:rsidRDefault="00DD448C" w:rsidP="008F48CC">
            <w:pPr>
              <w:spacing w:after="0" w:line="240" w:lineRule="auto"/>
              <w:jc w:val="center"/>
              <w:rPr>
                <w:rFonts w:eastAsia="Times New Roman"/>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6FB53D"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127</w:t>
            </w:r>
          </w:p>
        </w:tc>
        <w:tc>
          <w:tcPr>
            <w:tcW w:w="0" w:type="auto"/>
            <w:tcBorders>
              <w:top w:val="nil"/>
              <w:left w:val="nil"/>
              <w:bottom w:val="nil"/>
              <w:right w:val="nil"/>
            </w:tcBorders>
            <w:shd w:val="clear" w:color="auto" w:fill="auto"/>
            <w:noWrap/>
            <w:vAlign w:val="bottom"/>
            <w:hideMark/>
          </w:tcPr>
          <w:p w14:paraId="6688C24B" w14:textId="77777777" w:rsidR="00DD448C" w:rsidRPr="00E87E42" w:rsidRDefault="00DD448C" w:rsidP="008F48CC">
            <w:pPr>
              <w:spacing w:after="0" w:line="240" w:lineRule="auto"/>
              <w:jc w:val="center"/>
              <w:rPr>
                <w:rFonts w:eastAsia="Times New Roman"/>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92AEFC"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106</w:t>
            </w:r>
          </w:p>
        </w:tc>
        <w:tc>
          <w:tcPr>
            <w:tcW w:w="0" w:type="auto"/>
            <w:tcBorders>
              <w:top w:val="nil"/>
              <w:left w:val="nil"/>
              <w:bottom w:val="nil"/>
              <w:right w:val="nil"/>
            </w:tcBorders>
            <w:shd w:val="clear" w:color="auto" w:fill="auto"/>
            <w:noWrap/>
            <w:vAlign w:val="bottom"/>
            <w:hideMark/>
          </w:tcPr>
          <w:p w14:paraId="414FB710" w14:textId="77777777" w:rsidR="00DD448C" w:rsidRPr="00E87E42" w:rsidRDefault="00DD448C" w:rsidP="008F48CC">
            <w:pPr>
              <w:spacing w:after="0" w:line="240" w:lineRule="auto"/>
              <w:jc w:val="center"/>
              <w:rPr>
                <w:rFonts w:eastAsia="Times New Roman"/>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2EBF86"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4369</w:t>
            </w:r>
          </w:p>
        </w:tc>
        <w:tc>
          <w:tcPr>
            <w:tcW w:w="0" w:type="auto"/>
            <w:tcBorders>
              <w:top w:val="nil"/>
              <w:left w:val="nil"/>
              <w:bottom w:val="nil"/>
              <w:right w:val="nil"/>
            </w:tcBorders>
            <w:shd w:val="clear" w:color="auto" w:fill="auto"/>
            <w:noWrap/>
            <w:vAlign w:val="bottom"/>
            <w:hideMark/>
          </w:tcPr>
          <w:p w14:paraId="5E7641EF" w14:textId="77777777" w:rsidR="00DD448C" w:rsidRPr="00E87E42" w:rsidRDefault="00DD448C" w:rsidP="008F48CC">
            <w:pPr>
              <w:spacing w:after="0" w:line="240" w:lineRule="auto"/>
              <w:jc w:val="center"/>
              <w:rPr>
                <w:rFonts w:eastAsia="Times New Roman"/>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CC47E3" w14:textId="77777777" w:rsidR="00DD448C" w:rsidRPr="00E87E42" w:rsidRDefault="00DD448C" w:rsidP="008F48CC">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244</w:t>
            </w:r>
          </w:p>
        </w:tc>
        <w:tc>
          <w:tcPr>
            <w:tcW w:w="0" w:type="auto"/>
            <w:tcBorders>
              <w:top w:val="nil"/>
              <w:left w:val="nil"/>
              <w:bottom w:val="nil"/>
              <w:right w:val="nil"/>
            </w:tcBorders>
            <w:shd w:val="clear" w:color="auto" w:fill="auto"/>
            <w:noWrap/>
            <w:vAlign w:val="bottom"/>
            <w:hideMark/>
          </w:tcPr>
          <w:p w14:paraId="2CEEB60B" w14:textId="77777777" w:rsidR="00DD448C" w:rsidRPr="00E87E42" w:rsidRDefault="00DD448C" w:rsidP="008F48CC">
            <w:pPr>
              <w:spacing w:after="0" w:line="240" w:lineRule="auto"/>
              <w:jc w:val="center"/>
              <w:rPr>
                <w:rFonts w:eastAsia="Times New Roman"/>
                <w:color w:val="000000"/>
                <w:sz w:val="16"/>
                <w:szCs w:val="16"/>
                <w:lang w:eastAsia="en-GB"/>
              </w:rPr>
            </w:pPr>
          </w:p>
        </w:tc>
      </w:tr>
    </w:tbl>
    <w:p w14:paraId="6132C59E" w14:textId="0B68313B" w:rsidR="005F6DB8" w:rsidRPr="00E87E42" w:rsidRDefault="005F6DB8" w:rsidP="004A2F07"/>
    <w:p w14:paraId="131582D1" w14:textId="04CEFBDE" w:rsidR="003B0354" w:rsidRPr="00E87E42" w:rsidRDefault="003B0354" w:rsidP="003B0354">
      <w:r w:rsidRPr="00E87E42">
        <w:t xml:space="preserve">In </w:t>
      </w:r>
      <w:r w:rsidRPr="00E87E42">
        <w:rPr>
          <w:b/>
        </w:rPr>
        <w:t>Other rooms</w:t>
      </w:r>
      <w:r w:rsidRPr="00E87E42">
        <w:t xml:space="preserve">, the total number of fires in the two countries for </w:t>
      </w:r>
      <w:proofErr w:type="spellStart"/>
      <w:r w:rsidRPr="00E87E42">
        <w:rPr>
          <w:i/>
        </w:rPr>
        <w:t>sprinklered</w:t>
      </w:r>
      <w:proofErr w:type="spellEnd"/>
      <w:r w:rsidRPr="00E87E42">
        <w:rPr>
          <w:i/>
        </w:rPr>
        <w:t xml:space="preserve"> </w:t>
      </w:r>
      <w:r w:rsidRPr="00E87E42">
        <w:t xml:space="preserve">fires is again similar (127 in UK and 106 in USA). According to </w:t>
      </w:r>
      <w:r w:rsidRPr="00E87E42">
        <w:fldChar w:fldCharType="begin"/>
      </w:r>
      <w:r w:rsidRPr="00E87E42">
        <w:instrText xml:space="preserve"> REF _Ref506306573 \h </w:instrText>
      </w:r>
      <w:r w:rsidR="00E87E42">
        <w:instrText xml:space="preserve"> \* MERGEFORMAT </w:instrText>
      </w:r>
      <w:r w:rsidRPr="00E87E42">
        <w:fldChar w:fldCharType="separate"/>
      </w:r>
      <w:r w:rsidR="009F6872" w:rsidRPr="00E87E42">
        <w:t xml:space="preserve">Table </w:t>
      </w:r>
      <w:r w:rsidR="009F6872">
        <w:rPr>
          <w:noProof/>
        </w:rPr>
        <w:t>10</w:t>
      </w:r>
      <w:r w:rsidRPr="00E87E42">
        <w:fldChar w:fldCharType="end"/>
      </w:r>
      <w:r w:rsidRPr="00E87E42">
        <w:t xml:space="preserve">, the fire is confined to damage of less than </w:t>
      </w:r>
      <w:proofErr w:type="gramStart"/>
      <w:r w:rsidRPr="00E87E42">
        <w:t>1</w:t>
      </w:r>
      <w:proofErr w:type="gramEnd"/>
      <w:r w:rsidRPr="00E87E42">
        <w:t xml:space="preserve"> m</w:t>
      </w:r>
      <w:r w:rsidRPr="00E87E42">
        <w:rPr>
          <w:vertAlign w:val="superscript"/>
        </w:rPr>
        <w:t>2</w:t>
      </w:r>
      <w:r w:rsidRPr="00E87E42">
        <w:t xml:space="preserve"> in 74.8% in PD 7974-7 and 62.26% in the USA statistics. However, the main and significant difference is that in the NFIRS analysis 12.26% fires will exceed 1,000 m</w:t>
      </w:r>
      <w:r w:rsidRPr="00E87E42">
        <w:rPr>
          <w:vertAlign w:val="superscript"/>
        </w:rPr>
        <w:t>2</w:t>
      </w:r>
      <w:r w:rsidRPr="00E87E42">
        <w:t xml:space="preserve"> of damage, while in the UK fire statistics the maximum fire damage area is 99 m</w:t>
      </w:r>
      <w:r w:rsidRPr="00E87E42">
        <w:rPr>
          <w:vertAlign w:val="superscript"/>
        </w:rPr>
        <w:t>2</w:t>
      </w:r>
      <w:r w:rsidRPr="00E87E42">
        <w:t xml:space="preserve">. </w:t>
      </w:r>
    </w:p>
    <w:p w14:paraId="37356C97" w14:textId="5FD86C72" w:rsidR="003B0354" w:rsidRPr="00E87E42" w:rsidRDefault="003B0354" w:rsidP="004A2F07">
      <w:r w:rsidRPr="00E87E42">
        <w:t xml:space="preserve">When </w:t>
      </w:r>
      <w:proofErr w:type="gramStart"/>
      <w:r w:rsidRPr="00E87E42">
        <w:rPr>
          <w:i/>
        </w:rPr>
        <w:t>Other</w:t>
      </w:r>
      <w:proofErr w:type="gramEnd"/>
      <w:r w:rsidRPr="00E87E42">
        <w:rPr>
          <w:i/>
        </w:rPr>
        <w:t xml:space="preserve"> rooms</w:t>
      </w:r>
      <w:r w:rsidRPr="00E87E42">
        <w:t xml:space="preserve"> are </w:t>
      </w:r>
      <w:r w:rsidRPr="00E87E42">
        <w:rPr>
          <w:i/>
        </w:rPr>
        <w:t>un-</w:t>
      </w:r>
      <w:proofErr w:type="spellStart"/>
      <w:r w:rsidRPr="00E87E42">
        <w:rPr>
          <w:i/>
        </w:rPr>
        <w:t>sprinklered</w:t>
      </w:r>
      <w:proofErr w:type="spellEnd"/>
      <w:r w:rsidRPr="00E87E42">
        <w:t xml:space="preserve">, there are significantly higher number of fires reported in the UK statistics compared to the USA statistics (4,369 UK and 244 USA). Similar to Office rooms, both sets of data have a high </w:t>
      </w:r>
      <w:r w:rsidRPr="00E87E42">
        <w:lastRenderedPageBreak/>
        <w:t>percentage of fire experiences 1 m</w:t>
      </w:r>
      <w:r w:rsidRPr="00E87E42">
        <w:rPr>
          <w:vertAlign w:val="superscript"/>
        </w:rPr>
        <w:t>2</w:t>
      </w:r>
      <w:r w:rsidRPr="00E87E42">
        <w:t xml:space="preserve"> of damage or less (59.2% UK and 51.64% USA), however, the USA fire statistics shows percentages exceeding the upper limit greater than 24.18% for area damage greater than 50 m</w:t>
      </w:r>
      <w:r w:rsidRPr="00E87E42">
        <w:rPr>
          <w:vertAlign w:val="superscript"/>
        </w:rPr>
        <w:t>2</w:t>
      </w:r>
      <w:r w:rsidRPr="00E87E42">
        <w:t xml:space="preserve"> compared to 2.8% in PD 7974-7 (</w:t>
      </w:r>
      <w:r w:rsidR="00A901E4" w:rsidRPr="00E87E42">
        <w:fldChar w:fldCharType="begin"/>
      </w:r>
      <w:r w:rsidR="00A901E4" w:rsidRPr="00E87E42">
        <w:instrText xml:space="preserve"> REF _Ref521501375 \h </w:instrText>
      </w:r>
      <w:r w:rsidR="00E87E42">
        <w:instrText xml:space="preserve"> \* MERGEFORMAT </w:instrText>
      </w:r>
      <w:r w:rsidR="00A901E4" w:rsidRPr="00E87E42">
        <w:fldChar w:fldCharType="separate"/>
      </w:r>
      <w:r w:rsidR="009F6872" w:rsidRPr="00E87E42">
        <w:t xml:space="preserve">Figure </w:t>
      </w:r>
      <w:r w:rsidR="009F6872">
        <w:rPr>
          <w:noProof/>
        </w:rPr>
        <w:t>13</w:t>
      </w:r>
      <w:r w:rsidR="00A901E4" w:rsidRPr="00E87E42">
        <w:fldChar w:fldCharType="end"/>
      </w:r>
      <w:r w:rsidRPr="00E87E42">
        <w:t xml:space="preserve"> (b)). </w:t>
      </w:r>
      <w:r w:rsidR="00A901E4" w:rsidRPr="00E87E42">
        <w:fldChar w:fldCharType="begin"/>
      </w:r>
      <w:r w:rsidR="00A901E4" w:rsidRPr="00E87E42">
        <w:instrText xml:space="preserve"> REF _Ref521501375 \h </w:instrText>
      </w:r>
      <w:r w:rsidR="00E87E42">
        <w:instrText xml:space="preserve"> \* MERGEFORMAT </w:instrText>
      </w:r>
      <w:r w:rsidR="00A901E4" w:rsidRPr="00E87E42">
        <w:fldChar w:fldCharType="separate"/>
      </w:r>
      <w:r w:rsidR="009F6872" w:rsidRPr="00E87E42">
        <w:t xml:space="preserve">Figure </w:t>
      </w:r>
      <w:r w:rsidR="009F6872">
        <w:rPr>
          <w:noProof/>
        </w:rPr>
        <w:t>13</w:t>
      </w:r>
      <w:r w:rsidR="00A901E4" w:rsidRPr="00E87E42">
        <w:fldChar w:fldCharType="end"/>
      </w:r>
      <w:r w:rsidRPr="00E87E42">
        <w:t>, shows a significant difference in trends, which needs greater analysis.</w:t>
      </w:r>
    </w:p>
    <w:p w14:paraId="0584E679" w14:textId="1720903B" w:rsidR="00215300" w:rsidRPr="00E87E42" w:rsidRDefault="006D0EE8" w:rsidP="008A55B5">
      <w:pPr>
        <w:pStyle w:val="Heading2"/>
        <w:numPr>
          <w:ilvl w:val="1"/>
          <w:numId w:val="35"/>
        </w:numPr>
        <w:spacing w:before="120"/>
      </w:pPr>
      <w:r w:rsidRPr="00E87E42">
        <w:t>RETAIL PREMISES</w:t>
      </w:r>
    </w:p>
    <w:p w14:paraId="796000F0" w14:textId="0FF6DD22" w:rsidR="006D0EE8" w:rsidRPr="00E87E42" w:rsidRDefault="006D0EE8" w:rsidP="008A55B5">
      <w:pPr>
        <w:spacing w:before="120"/>
        <w:rPr>
          <w:color w:val="000000"/>
        </w:rPr>
      </w:pPr>
      <w:r w:rsidRPr="00E87E42">
        <w:t xml:space="preserve">Table A.7 in the PD 7974-7 </w:t>
      </w:r>
      <w:r w:rsidR="006C4246">
        <w:t>for r</w:t>
      </w:r>
      <w:r w:rsidR="00FD6EF5" w:rsidRPr="00E87E42">
        <w:t xml:space="preserve">etail premises </w:t>
      </w:r>
      <w:proofErr w:type="gramStart"/>
      <w:r w:rsidRPr="00E87E42">
        <w:t>has been recreated</w:t>
      </w:r>
      <w:proofErr w:type="gramEnd"/>
      <w:r w:rsidRPr="00E87E42">
        <w:t xml:space="preserve"> </w:t>
      </w:r>
      <w:r w:rsidR="00FD6EF5" w:rsidRPr="00E87E42">
        <w:t xml:space="preserve">using </w:t>
      </w:r>
      <w:r w:rsidRPr="00E87E42">
        <w:t xml:space="preserve">the class of </w:t>
      </w:r>
      <w:r w:rsidRPr="00E87E42">
        <w:rPr>
          <w:i/>
          <w:color w:val="000000"/>
        </w:rPr>
        <w:t>Mercantile, Business</w:t>
      </w:r>
      <w:r w:rsidRPr="00E87E42">
        <w:rPr>
          <w:color w:val="000000"/>
        </w:rPr>
        <w:t xml:space="preserve">. </w:t>
      </w:r>
      <w:r w:rsidR="009C10A9" w:rsidRPr="00E87E42">
        <w:t xml:space="preserve">The results </w:t>
      </w:r>
      <w:proofErr w:type="gramStart"/>
      <w:r w:rsidR="009C10A9" w:rsidRPr="00E87E42">
        <w:t>are shown</w:t>
      </w:r>
      <w:proofErr w:type="gramEnd"/>
      <w:r w:rsidR="009C10A9" w:rsidRPr="00E87E42">
        <w:t xml:space="preserve"> in </w:t>
      </w:r>
      <w:r w:rsidR="001019D3" w:rsidRPr="00E87E42">
        <w:fldChar w:fldCharType="begin"/>
      </w:r>
      <w:r w:rsidR="001019D3" w:rsidRPr="00E87E42">
        <w:instrText xml:space="preserve"> REF _Ref517775743 \h </w:instrText>
      </w:r>
      <w:r w:rsidR="009A472C" w:rsidRPr="00E87E42">
        <w:instrText xml:space="preserve"> \* MERGEFORMAT </w:instrText>
      </w:r>
      <w:r w:rsidR="001019D3" w:rsidRPr="00E87E42">
        <w:fldChar w:fldCharType="separate"/>
      </w:r>
      <w:r w:rsidR="009F6872" w:rsidRPr="00E87E42">
        <w:t xml:space="preserve">Table </w:t>
      </w:r>
      <w:r w:rsidR="009F6872">
        <w:rPr>
          <w:noProof/>
        </w:rPr>
        <w:t>VI</w:t>
      </w:r>
      <w:r w:rsidR="001019D3" w:rsidRPr="00E87E42">
        <w:fldChar w:fldCharType="end"/>
      </w:r>
      <w:r w:rsidR="001019D3" w:rsidRPr="00E87E42">
        <w:t xml:space="preserve"> in the Appendix</w:t>
      </w:r>
      <w:r w:rsidR="009A472C" w:rsidRPr="00E87E42">
        <w:t xml:space="preserve"> </w:t>
      </w:r>
      <w:r w:rsidR="009C10A9" w:rsidRPr="00E87E42">
        <w:t xml:space="preserve">for the three fire locations </w:t>
      </w:r>
      <w:r w:rsidRPr="00E87E42">
        <w:rPr>
          <w:color w:val="000000"/>
        </w:rPr>
        <w:t xml:space="preserve">in </w:t>
      </w:r>
      <w:r w:rsidR="009C10A9" w:rsidRPr="00E87E42">
        <w:rPr>
          <w:color w:val="000000"/>
        </w:rPr>
        <w:t>PD</w:t>
      </w:r>
      <w:r w:rsidR="008A5839" w:rsidRPr="00E87E42">
        <w:rPr>
          <w:color w:val="000000"/>
        </w:rPr>
        <w:t xml:space="preserve"> </w:t>
      </w:r>
      <w:r w:rsidR="009C10A9" w:rsidRPr="00E87E42">
        <w:rPr>
          <w:color w:val="000000"/>
        </w:rPr>
        <w:t>7974-7</w:t>
      </w:r>
      <w:r w:rsidRPr="00E87E42">
        <w:rPr>
          <w:color w:val="000000"/>
        </w:rPr>
        <w:t xml:space="preserve"> represented </w:t>
      </w:r>
      <w:r w:rsidR="009C10A9" w:rsidRPr="00E87E42">
        <w:rPr>
          <w:color w:val="000000"/>
        </w:rPr>
        <w:t>in the NF</w:t>
      </w:r>
      <w:r w:rsidR="00407E2D" w:rsidRPr="00E87E42">
        <w:rPr>
          <w:color w:val="000000"/>
        </w:rPr>
        <w:t>IR</w:t>
      </w:r>
      <w:r w:rsidR="009C10A9" w:rsidRPr="00E87E42">
        <w:rPr>
          <w:color w:val="000000"/>
        </w:rPr>
        <w:t xml:space="preserve">S data </w:t>
      </w:r>
      <w:r w:rsidRPr="00E87E42">
        <w:rPr>
          <w:color w:val="000000"/>
        </w:rPr>
        <w:t>as follows:</w:t>
      </w:r>
      <w:r w:rsidR="004558F5" w:rsidRPr="00E87E42">
        <w:rPr>
          <w:color w:val="000000"/>
        </w:rPr>
        <w:t xml:space="preserve"> </w:t>
      </w:r>
      <w:r w:rsidRPr="00E87E42">
        <w:rPr>
          <w:color w:val="000000"/>
          <w:u w:val="single"/>
        </w:rPr>
        <w:t>Assembly areas</w:t>
      </w:r>
      <w:r w:rsidR="00CD3608" w:rsidRPr="00E87E42">
        <w:rPr>
          <w:color w:val="000000"/>
        </w:rPr>
        <w:t xml:space="preserve"> </w:t>
      </w:r>
      <w:r w:rsidR="00355AEE" w:rsidRPr="00E87E42">
        <w:rPr>
          <w:color w:val="000000"/>
        </w:rPr>
        <w:t xml:space="preserve">- </w:t>
      </w:r>
      <w:r w:rsidR="00CD3608" w:rsidRPr="00E87E42">
        <w:rPr>
          <w:color w:val="000000"/>
        </w:rPr>
        <w:t xml:space="preserve">Assembly or </w:t>
      </w:r>
      <w:r w:rsidR="00D12E2E" w:rsidRPr="00E87E42">
        <w:rPr>
          <w:color w:val="000000"/>
        </w:rPr>
        <w:t>S</w:t>
      </w:r>
      <w:r w:rsidR="00CD3608" w:rsidRPr="00E87E42">
        <w:rPr>
          <w:color w:val="000000"/>
        </w:rPr>
        <w:t>ales Areas (Group of people)</w:t>
      </w:r>
      <w:r w:rsidR="004558F5" w:rsidRPr="00E87E42">
        <w:rPr>
          <w:color w:val="000000"/>
        </w:rPr>
        <w:t xml:space="preserve">; </w:t>
      </w:r>
      <w:r w:rsidRPr="00E87E42">
        <w:rPr>
          <w:color w:val="000000"/>
          <w:u w:val="single"/>
        </w:rPr>
        <w:t>Storage areas</w:t>
      </w:r>
      <w:r w:rsidR="00CD3608" w:rsidRPr="00E87E42">
        <w:rPr>
          <w:color w:val="000000"/>
        </w:rPr>
        <w:t xml:space="preserve"> </w:t>
      </w:r>
      <w:r w:rsidR="00355AEE" w:rsidRPr="00E87E42">
        <w:rPr>
          <w:color w:val="000000"/>
        </w:rPr>
        <w:t xml:space="preserve">- </w:t>
      </w:r>
      <w:r w:rsidR="00CD3608" w:rsidRPr="00E87E42">
        <w:rPr>
          <w:color w:val="000000"/>
        </w:rPr>
        <w:t>Storage Areas</w:t>
      </w:r>
      <w:r w:rsidR="004558F5" w:rsidRPr="00E87E42">
        <w:rPr>
          <w:color w:val="000000"/>
        </w:rPr>
        <w:t xml:space="preserve">; </w:t>
      </w:r>
      <w:r w:rsidRPr="00E87E42">
        <w:rPr>
          <w:color w:val="000000"/>
          <w:u w:val="single"/>
        </w:rPr>
        <w:t>Other areas</w:t>
      </w:r>
      <w:r w:rsidR="00355AEE" w:rsidRPr="00E87E42">
        <w:rPr>
          <w:color w:val="000000"/>
        </w:rPr>
        <w:t xml:space="preserve"> - </w:t>
      </w:r>
      <w:r w:rsidR="00CD3608" w:rsidRPr="00E87E42">
        <w:rPr>
          <w:color w:val="000000"/>
        </w:rPr>
        <w:t>All the other areas excluding the two previously mentioned.</w:t>
      </w:r>
    </w:p>
    <w:p w14:paraId="0A4EFD4E" w14:textId="7D38D1BE" w:rsidR="00BA3959" w:rsidRPr="00E87E42" w:rsidRDefault="00284D81" w:rsidP="004A2F07">
      <w:r w:rsidRPr="00E87E42">
        <w:t xml:space="preserve">In </w:t>
      </w:r>
      <w:proofErr w:type="spellStart"/>
      <w:r w:rsidR="003257A2" w:rsidRPr="00E87E42">
        <w:rPr>
          <w:i/>
        </w:rPr>
        <w:t>sprinklered</w:t>
      </w:r>
      <w:proofErr w:type="spellEnd"/>
      <w:r w:rsidR="003257A2" w:rsidRPr="00E87E42">
        <w:t xml:space="preserve"> </w:t>
      </w:r>
      <w:r w:rsidRPr="00E87E42">
        <w:rPr>
          <w:b/>
        </w:rPr>
        <w:t>Assembly areas</w:t>
      </w:r>
      <w:r w:rsidR="00C2033B" w:rsidRPr="00E87E42">
        <w:t>, the total number of fires (223</w:t>
      </w:r>
      <w:r w:rsidR="009C10A9" w:rsidRPr="00E87E42">
        <w:t xml:space="preserve"> – not 224 as incorrectly stated in PD</w:t>
      </w:r>
      <w:r w:rsidR="00065016" w:rsidRPr="00E87E42">
        <w:t xml:space="preserve"> </w:t>
      </w:r>
      <w:r w:rsidR="009C10A9" w:rsidRPr="00E87E42">
        <w:t>797</w:t>
      </w:r>
      <w:r w:rsidR="00065016" w:rsidRPr="00E87E42">
        <w:t>4</w:t>
      </w:r>
      <w:r w:rsidR="009C10A9" w:rsidRPr="00E87E42">
        <w:t>-7</w:t>
      </w:r>
      <w:r w:rsidR="00C2033B" w:rsidRPr="00E87E42">
        <w:t xml:space="preserve">) collected in the PD 7974-7 is almost 4 times bigger than the one in the USA fire statistics (62). </w:t>
      </w:r>
      <w:r w:rsidR="00F37018" w:rsidRPr="00E87E42">
        <w:t xml:space="preserve">In both the UK and USA fire statistics, it can be seen that </w:t>
      </w:r>
      <w:r w:rsidR="00F92D2A" w:rsidRPr="00E87E42">
        <w:t xml:space="preserve">a large proportion of the fires are limited to less than </w:t>
      </w:r>
      <w:proofErr w:type="gramStart"/>
      <w:r w:rsidR="00F92D2A" w:rsidRPr="00E87E42">
        <w:t>1</w:t>
      </w:r>
      <w:proofErr w:type="gramEnd"/>
      <w:r w:rsidR="001F4F94" w:rsidRPr="00E87E42">
        <w:t xml:space="preserve"> </w:t>
      </w:r>
      <w:r w:rsidR="00F92D2A" w:rsidRPr="00E87E42">
        <w:t>m</w:t>
      </w:r>
      <w:r w:rsidR="00F92D2A" w:rsidRPr="00E87E42">
        <w:rPr>
          <w:vertAlign w:val="superscript"/>
        </w:rPr>
        <w:t>2</w:t>
      </w:r>
      <w:r w:rsidR="00F92D2A" w:rsidRPr="00E87E42">
        <w:t xml:space="preserve"> of damage, </w:t>
      </w:r>
      <w:r w:rsidR="0050531B" w:rsidRPr="00E87E42">
        <w:t>specifically</w:t>
      </w:r>
      <w:r w:rsidR="00C2033B" w:rsidRPr="00E87E42">
        <w:t xml:space="preserve"> 69.</w:t>
      </w:r>
      <w:r w:rsidR="00355AEE" w:rsidRPr="00E87E42">
        <w:t>1</w:t>
      </w:r>
      <w:r w:rsidR="00C2033B" w:rsidRPr="00E87E42">
        <w:t xml:space="preserve">% for UK and 59.68% in the USA fire statistics. </w:t>
      </w:r>
      <w:r w:rsidR="00F92D2A" w:rsidRPr="00E87E42">
        <w:t>However, in the NF</w:t>
      </w:r>
      <w:r w:rsidR="00407E2D" w:rsidRPr="00E87E42">
        <w:t>IR</w:t>
      </w:r>
      <w:r w:rsidR="00F92D2A" w:rsidRPr="00E87E42">
        <w:t xml:space="preserve">S data, it </w:t>
      </w:r>
      <w:proofErr w:type="gramStart"/>
      <w:r w:rsidR="00F92D2A" w:rsidRPr="00E87E42">
        <w:t>can be seen</w:t>
      </w:r>
      <w:proofErr w:type="gramEnd"/>
      <w:r w:rsidR="00F92D2A" w:rsidRPr="00E87E42">
        <w:t xml:space="preserve"> that fires create greater areas of damage than detailed in the PD</w:t>
      </w:r>
      <w:r w:rsidR="00F51819" w:rsidRPr="00E87E42">
        <w:t xml:space="preserve"> </w:t>
      </w:r>
      <w:r w:rsidR="00F92D2A" w:rsidRPr="00E87E42">
        <w:t>7974-7 data, with 16.13% of fires causing 1</w:t>
      </w:r>
      <w:r w:rsidR="00DE5906" w:rsidRPr="00E87E42">
        <w:t>,</w:t>
      </w:r>
      <w:r w:rsidR="00F92D2A" w:rsidRPr="00E87E42">
        <w:t>000</w:t>
      </w:r>
      <w:r w:rsidR="008F274B" w:rsidRPr="00E87E42">
        <w:t xml:space="preserve"> </w:t>
      </w:r>
      <w:r w:rsidR="00F92D2A" w:rsidRPr="00E87E42">
        <w:t>m</w:t>
      </w:r>
      <w:r w:rsidR="00F92D2A" w:rsidRPr="00E87E42">
        <w:rPr>
          <w:vertAlign w:val="superscript"/>
        </w:rPr>
        <w:t>2</w:t>
      </w:r>
      <w:r w:rsidR="00F92D2A" w:rsidRPr="00E87E42">
        <w:t xml:space="preserve"> of damage or more. </w:t>
      </w:r>
      <w:r w:rsidR="00246ABA" w:rsidRPr="00E87E42">
        <w:t xml:space="preserve">In </w:t>
      </w:r>
      <w:r w:rsidR="00F92D2A" w:rsidRPr="00E87E42">
        <w:t>comparison,</w:t>
      </w:r>
      <w:r w:rsidR="00246ABA" w:rsidRPr="00E87E42">
        <w:t xml:space="preserve"> PD 7974-</w:t>
      </w:r>
      <w:proofErr w:type="gramStart"/>
      <w:r w:rsidR="00246ABA" w:rsidRPr="00E87E42">
        <w:t>7,</w:t>
      </w:r>
      <w:proofErr w:type="gramEnd"/>
      <w:r w:rsidR="00246ABA" w:rsidRPr="00E87E42">
        <w:t xml:space="preserve"> </w:t>
      </w:r>
      <w:r w:rsidR="00F92D2A" w:rsidRPr="00E87E42">
        <w:t xml:space="preserve">has an upper limit of damaged area of </w:t>
      </w:r>
      <w:r w:rsidR="00A55C6E">
        <w:t>99</w:t>
      </w:r>
      <w:r w:rsidR="00C2033B" w:rsidRPr="00E87E42">
        <w:t xml:space="preserve"> </w:t>
      </w:r>
      <w:r w:rsidR="00F92D2A" w:rsidRPr="00E87E42">
        <w:t>m</w:t>
      </w:r>
      <w:r w:rsidR="00F92D2A" w:rsidRPr="00E87E42">
        <w:rPr>
          <w:vertAlign w:val="superscript"/>
        </w:rPr>
        <w:t>2</w:t>
      </w:r>
      <w:r w:rsidR="00C2033B" w:rsidRPr="00E87E42">
        <w:t xml:space="preserve"> </w:t>
      </w:r>
      <w:r w:rsidR="00207358" w:rsidRPr="00E87E42">
        <w:t>(</w:t>
      </w:r>
      <w:r w:rsidR="00242231" w:rsidRPr="00E87E42">
        <w:fldChar w:fldCharType="begin"/>
      </w:r>
      <w:r w:rsidR="00242231" w:rsidRPr="00E87E42">
        <w:instrText xml:space="preserve"> REF _Ref506315084 \h </w:instrText>
      </w:r>
      <w:r w:rsidR="00E87E42">
        <w:instrText xml:space="preserve"> \* MERGEFORMAT </w:instrText>
      </w:r>
      <w:r w:rsidR="00242231" w:rsidRPr="00E87E42">
        <w:fldChar w:fldCharType="separate"/>
      </w:r>
      <w:r w:rsidR="009F6872" w:rsidRPr="00E87E42">
        <w:t xml:space="preserve">Figure </w:t>
      </w:r>
      <w:r w:rsidR="009F6872">
        <w:rPr>
          <w:noProof/>
        </w:rPr>
        <w:t>14</w:t>
      </w:r>
      <w:r w:rsidR="00242231" w:rsidRPr="00E87E42">
        <w:fldChar w:fldCharType="end"/>
      </w:r>
      <w:r w:rsidR="00242231" w:rsidRPr="00E87E42">
        <w:t xml:space="preserve"> (a)</w:t>
      </w:r>
      <w:r w:rsidR="00F92D2A" w:rsidRPr="00E87E42">
        <w:t xml:space="preserve"> and </w:t>
      </w:r>
      <w:r w:rsidR="00A27212" w:rsidRPr="00E87E42">
        <w:fldChar w:fldCharType="begin"/>
      </w:r>
      <w:r w:rsidR="00A27212" w:rsidRPr="00E87E42">
        <w:instrText xml:space="preserve"> REF _Ref517775743 \h </w:instrText>
      </w:r>
      <w:r w:rsidR="00E87E42">
        <w:instrText xml:space="preserve"> \* MERGEFORMAT </w:instrText>
      </w:r>
      <w:r w:rsidR="00A27212" w:rsidRPr="00E87E42">
        <w:fldChar w:fldCharType="separate"/>
      </w:r>
      <w:r w:rsidR="009F6872" w:rsidRPr="00E87E42">
        <w:t xml:space="preserve">Table </w:t>
      </w:r>
      <w:r w:rsidR="009F6872">
        <w:rPr>
          <w:noProof/>
        </w:rPr>
        <w:t>VI</w:t>
      </w:r>
      <w:r w:rsidR="00A27212" w:rsidRPr="00E87E42">
        <w:fldChar w:fldCharType="end"/>
      </w:r>
      <w:r w:rsidR="00796639" w:rsidRPr="00E87E42">
        <w:t xml:space="preserve"> in Appendix</w:t>
      </w:r>
      <w:r w:rsidR="00207358" w:rsidRPr="00E87E42">
        <w:t>)</w:t>
      </w:r>
      <w:r w:rsidR="00C2033B" w:rsidRPr="00E87E42">
        <w:t xml:space="preserve">. </w:t>
      </w:r>
    </w:p>
    <w:p w14:paraId="2EAE86A7" w14:textId="264F82AF" w:rsidR="00EA245F" w:rsidRPr="00E87E42" w:rsidRDefault="00F92D2A" w:rsidP="004A2F07">
      <w:r w:rsidRPr="00E87E42">
        <w:t xml:space="preserve">In </w:t>
      </w:r>
      <w:r w:rsidRPr="00E87E42">
        <w:rPr>
          <w:i/>
        </w:rPr>
        <w:t>un-</w:t>
      </w:r>
      <w:proofErr w:type="spellStart"/>
      <w:r w:rsidRPr="00E87E42">
        <w:rPr>
          <w:i/>
        </w:rPr>
        <w:t>sprinklered</w:t>
      </w:r>
      <w:proofErr w:type="spellEnd"/>
      <w:r w:rsidR="00215300" w:rsidRPr="00E87E42">
        <w:rPr>
          <w:i/>
        </w:rPr>
        <w:t xml:space="preserve"> Assembly areas</w:t>
      </w:r>
      <w:r w:rsidR="00215300" w:rsidRPr="00E87E42">
        <w:t xml:space="preserve">, </w:t>
      </w:r>
      <w:r w:rsidRPr="00E87E42">
        <w:t>over 8</w:t>
      </w:r>
      <w:r w:rsidR="00DE5906" w:rsidRPr="00E87E42">
        <w:t>,</w:t>
      </w:r>
      <w:r w:rsidRPr="00E87E42">
        <w:t xml:space="preserve">000 more fires </w:t>
      </w:r>
      <w:proofErr w:type="gramStart"/>
      <w:r w:rsidRPr="00E87E42">
        <w:t>were reported</w:t>
      </w:r>
      <w:proofErr w:type="gramEnd"/>
      <w:r w:rsidRPr="00E87E42">
        <w:t xml:space="preserve"> in the UK statistics compared to the USA statistics, however, the statistics appear comparable</w:t>
      </w:r>
      <w:r w:rsidR="00215300" w:rsidRPr="00E87E42">
        <w:t>.</w:t>
      </w:r>
      <w:r w:rsidRPr="00E87E42">
        <w:t xml:space="preserve"> Both sets of results show that damage of </w:t>
      </w:r>
      <w:r w:rsidR="007A3BC4" w:rsidRPr="00E87E42">
        <w:t>lower than</w:t>
      </w:r>
      <w:r w:rsidR="00DE5906" w:rsidRPr="00E87E42">
        <w:t xml:space="preserve"> </w:t>
      </w:r>
      <w:proofErr w:type="gramStart"/>
      <w:r w:rsidRPr="00E87E42">
        <w:t>1</w:t>
      </w:r>
      <w:proofErr w:type="gramEnd"/>
      <w:r w:rsidR="00DE5906" w:rsidRPr="00E87E42">
        <w:t xml:space="preserve"> </w:t>
      </w:r>
      <w:r w:rsidRPr="00E87E42">
        <w:t>m</w:t>
      </w:r>
      <w:r w:rsidRPr="00E87E42">
        <w:rPr>
          <w:vertAlign w:val="superscript"/>
        </w:rPr>
        <w:t>2</w:t>
      </w:r>
      <w:r w:rsidR="00215300" w:rsidRPr="00E87E42">
        <w:t xml:space="preserve"> </w:t>
      </w:r>
      <w:r w:rsidRPr="00E87E42">
        <w:t>i</w:t>
      </w:r>
      <w:r w:rsidR="007A3BC4" w:rsidRPr="00E87E42">
        <w:t>s</w:t>
      </w:r>
      <w:r w:rsidRPr="00E87E42">
        <w:t xml:space="preserve"> frequent with </w:t>
      </w:r>
      <w:r w:rsidR="00215300" w:rsidRPr="00E87E42">
        <w:t xml:space="preserve">51.1% UK, </w:t>
      </w:r>
      <w:r w:rsidRPr="00E87E42">
        <w:t xml:space="preserve">and </w:t>
      </w:r>
      <w:r w:rsidR="00215300" w:rsidRPr="00E87E42">
        <w:t xml:space="preserve">41.76% in USA. </w:t>
      </w:r>
      <w:r w:rsidR="00242231" w:rsidRPr="00E87E42">
        <w:fldChar w:fldCharType="begin"/>
      </w:r>
      <w:r w:rsidR="00242231" w:rsidRPr="00E87E42">
        <w:instrText xml:space="preserve"> REF _Ref506315084 \h </w:instrText>
      </w:r>
      <w:r w:rsidR="00E87E42">
        <w:instrText xml:space="preserve"> \* MERGEFORMAT </w:instrText>
      </w:r>
      <w:r w:rsidR="00242231" w:rsidRPr="00E87E42">
        <w:fldChar w:fldCharType="separate"/>
      </w:r>
      <w:r w:rsidR="009F6872" w:rsidRPr="00E87E42">
        <w:t xml:space="preserve">Figure </w:t>
      </w:r>
      <w:r w:rsidR="009F6872">
        <w:rPr>
          <w:noProof/>
        </w:rPr>
        <w:t>14</w:t>
      </w:r>
      <w:r w:rsidR="00242231" w:rsidRPr="00E87E42">
        <w:fldChar w:fldCharType="end"/>
      </w:r>
      <w:r w:rsidR="00242231" w:rsidRPr="00E87E42">
        <w:t xml:space="preserve"> (b)</w:t>
      </w:r>
      <w:r w:rsidRPr="00E87E42">
        <w:t xml:space="preserve"> and</w:t>
      </w:r>
      <w:r w:rsidR="00796639" w:rsidRPr="00E87E42">
        <w:t xml:space="preserve"> </w:t>
      </w:r>
      <w:r w:rsidR="001019D3" w:rsidRPr="00E87E42">
        <w:fldChar w:fldCharType="begin"/>
      </w:r>
      <w:r w:rsidR="001019D3" w:rsidRPr="00E87E42">
        <w:instrText xml:space="preserve"> REF _Ref517775743 \h </w:instrText>
      </w:r>
      <w:r w:rsidR="00E87E42">
        <w:instrText xml:space="preserve"> \* MERGEFORMAT </w:instrText>
      </w:r>
      <w:r w:rsidR="001019D3" w:rsidRPr="00E87E42">
        <w:fldChar w:fldCharType="separate"/>
      </w:r>
      <w:r w:rsidR="009F6872" w:rsidRPr="00E87E42">
        <w:t xml:space="preserve">Table </w:t>
      </w:r>
      <w:r w:rsidR="009F6872">
        <w:rPr>
          <w:noProof/>
        </w:rPr>
        <w:t>VI</w:t>
      </w:r>
      <w:r w:rsidR="001019D3" w:rsidRPr="00E87E42">
        <w:fldChar w:fldCharType="end"/>
      </w:r>
      <w:proofErr w:type="gramStart"/>
      <w:r w:rsidR="004E45BB" w:rsidRPr="00E87E42">
        <w:t>,</w:t>
      </w:r>
      <w:proofErr w:type="gramEnd"/>
      <w:r w:rsidR="004E45BB" w:rsidRPr="00E87E42">
        <w:t xml:space="preserve"> </w:t>
      </w:r>
      <w:r w:rsidR="006C4246">
        <w:t>also show</w:t>
      </w:r>
      <w:r w:rsidRPr="00E87E42">
        <w:t xml:space="preserve"> that </w:t>
      </w:r>
      <w:r w:rsidR="002A3A62" w:rsidRPr="00E87E42">
        <w:t>in US</w:t>
      </w:r>
      <w:r w:rsidR="0082410F" w:rsidRPr="00E87E42">
        <w:t>A</w:t>
      </w:r>
      <w:r w:rsidRPr="00E87E42">
        <w:t xml:space="preserve"> statistics there is a higher </w:t>
      </w:r>
      <w:r w:rsidR="00B0138F" w:rsidRPr="00E87E42">
        <w:t>likelihood</w:t>
      </w:r>
      <w:r w:rsidRPr="00E87E42">
        <w:t xml:space="preserve"> of experiencing greater areas of damage</w:t>
      </w:r>
      <w:r w:rsidR="002168EE" w:rsidRPr="00E87E42">
        <w:t>,</w:t>
      </w:r>
      <w:r w:rsidR="002A3A62" w:rsidRPr="00E87E42">
        <w:t xml:space="preserve"> </w:t>
      </w:r>
      <w:r w:rsidRPr="00E87E42">
        <w:t xml:space="preserve">where the </w:t>
      </w:r>
      <w:r w:rsidR="000A621E" w:rsidRPr="00E87E42">
        <w:t xml:space="preserve">percentage of </w:t>
      </w:r>
      <w:r w:rsidR="004E45BB" w:rsidRPr="00E87E42">
        <w:t xml:space="preserve">fires </w:t>
      </w:r>
      <w:r w:rsidR="000A621E" w:rsidRPr="00E87E42">
        <w:t xml:space="preserve">exceeding the upper limit </w:t>
      </w:r>
      <w:r w:rsidR="002A3A62" w:rsidRPr="00E87E42">
        <w:t>that</w:t>
      </w:r>
      <w:r w:rsidR="004E45BB" w:rsidRPr="00E87E42">
        <w:t xml:space="preserve"> spread beyond 50 </w:t>
      </w:r>
      <w:r w:rsidRPr="00E87E42">
        <w:t>m</w:t>
      </w:r>
      <w:r w:rsidRPr="00E87E42">
        <w:rPr>
          <w:vertAlign w:val="superscript"/>
        </w:rPr>
        <w:t>2</w:t>
      </w:r>
      <w:r w:rsidR="002A3A62" w:rsidRPr="00E87E42">
        <w:t xml:space="preserve"> </w:t>
      </w:r>
      <w:r w:rsidRPr="00E87E42">
        <w:t xml:space="preserve">is </w:t>
      </w:r>
      <w:r w:rsidR="000A621E" w:rsidRPr="00E87E42">
        <w:t>28.57</w:t>
      </w:r>
      <w:r w:rsidR="002A3A62" w:rsidRPr="00E87E42">
        <w:t>%</w:t>
      </w:r>
      <w:r w:rsidRPr="00E87E42">
        <w:t xml:space="preserve"> (USA)</w:t>
      </w:r>
      <w:r w:rsidR="004E45BB" w:rsidRPr="00E87E42">
        <w:t xml:space="preserve"> </w:t>
      </w:r>
      <w:r w:rsidRPr="00E87E42">
        <w:t>compared to 3.5% in</w:t>
      </w:r>
      <w:r w:rsidR="002A3A62" w:rsidRPr="00E87E42">
        <w:t xml:space="preserve"> PD 7974-7</w:t>
      </w:r>
      <w:r w:rsidR="004E45BB" w:rsidRPr="00E87E4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5129"/>
      </w:tblGrid>
      <w:tr w:rsidR="00AF1FD8" w:rsidRPr="00E87E42" w14:paraId="45510521" w14:textId="77777777" w:rsidTr="008A55B5">
        <w:tc>
          <w:tcPr>
            <w:tcW w:w="4388" w:type="dxa"/>
          </w:tcPr>
          <w:p w14:paraId="11E3E62F" w14:textId="68748C33" w:rsidR="00AF1FD8" w:rsidRPr="00E87E42" w:rsidRDefault="00072896" w:rsidP="005E093E">
            <w:pPr>
              <w:jc w:val="center"/>
            </w:pPr>
            <w:r w:rsidRPr="00E87E42">
              <w:rPr>
                <w:noProof/>
                <w:lang w:eastAsia="en-GB"/>
              </w:rPr>
              <w:drawing>
                <wp:anchor distT="0" distB="0" distL="114300" distR="114300" simplePos="0" relativeHeight="253373440" behindDoc="0" locked="0" layoutInCell="1" allowOverlap="1" wp14:anchorId="386443A4" wp14:editId="500227EC">
                  <wp:simplePos x="0" y="0"/>
                  <wp:positionH relativeFrom="column">
                    <wp:posOffset>-65405</wp:posOffset>
                  </wp:positionH>
                  <wp:positionV relativeFrom="paragraph">
                    <wp:posOffset>0</wp:posOffset>
                  </wp:positionV>
                  <wp:extent cx="3240000" cy="2880000"/>
                  <wp:effectExtent l="0" t="0" r="0" b="3175"/>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223771" w:rsidRPr="00E87E42">
              <w:t>(a)</w:t>
            </w:r>
          </w:p>
        </w:tc>
        <w:tc>
          <w:tcPr>
            <w:tcW w:w="5859" w:type="dxa"/>
          </w:tcPr>
          <w:p w14:paraId="6F024654" w14:textId="387E067E" w:rsidR="00AF1FD8" w:rsidRPr="00E87E42" w:rsidRDefault="00497108" w:rsidP="005E093E">
            <w:pPr>
              <w:jc w:val="center"/>
            </w:pPr>
            <w:r w:rsidRPr="00E87E42">
              <w:rPr>
                <w:noProof/>
                <w:lang w:eastAsia="en-GB"/>
              </w:rPr>
              <w:drawing>
                <wp:anchor distT="0" distB="0" distL="114300" distR="114300" simplePos="0" relativeHeight="253375488" behindDoc="0" locked="0" layoutInCell="1" allowOverlap="1" wp14:anchorId="72289AB4" wp14:editId="6FC5034A">
                  <wp:simplePos x="0" y="0"/>
                  <wp:positionH relativeFrom="column">
                    <wp:posOffset>-65405</wp:posOffset>
                  </wp:positionH>
                  <wp:positionV relativeFrom="paragraph">
                    <wp:posOffset>0</wp:posOffset>
                  </wp:positionV>
                  <wp:extent cx="3240000" cy="2880000"/>
                  <wp:effectExtent l="0" t="0" r="0" b="3175"/>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00223771" w:rsidRPr="00E87E42">
              <w:t>(b)</w:t>
            </w:r>
          </w:p>
        </w:tc>
      </w:tr>
    </w:tbl>
    <w:p w14:paraId="59E8CFA4" w14:textId="2C69335C" w:rsidR="00AF1FD8" w:rsidRPr="00E87E42" w:rsidRDefault="00223771" w:rsidP="005E093E">
      <w:pPr>
        <w:pStyle w:val="Caption"/>
      </w:pPr>
      <w:bookmarkStart w:id="48" w:name="_Ref506315084"/>
      <w:bookmarkStart w:id="49" w:name="_Ref506315068"/>
      <w:r w:rsidRPr="00E87E42">
        <w:t xml:space="preserve">Figure </w:t>
      </w:r>
      <w:r w:rsidR="00A446AC" w:rsidRPr="00E87E42">
        <w:rPr>
          <w:noProof/>
        </w:rPr>
        <w:fldChar w:fldCharType="begin"/>
      </w:r>
      <w:r w:rsidR="00A446AC" w:rsidRPr="00E87E42">
        <w:rPr>
          <w:noProof/>
        </w:rPr>
        <w:instrText xml:space="preserve"> SEQ Figure \* ARABIC </w:instrText>
      </w:r>
      <w:r w:rsidR="00A446AC" w:rsidRPr="00E87E42">
        <w:rPr>
          <w:noProof/>
        </w:rPr>
        <w:fldChar w:fldCharType="separate"/>
      </w:r>
      <w:r w:rsidR="009F6872">
        <w:rPr>
          <w:noProof/>
        </w:rPr>
        <w:t>14</w:t>
      </w:r>
      <w:r w:rsidR="00A446AC" w:rsidRPr="00E87E42">
        <w:rPr>
          <w:noProof/>
        </w:rPr>
        <w:fldChar w:fldCharType="end"/>
      </w:r>
      <w:bookmarkEnd w:id="48"/>
      <w:r w:rsidRPr="00E87E42">
        <w:t xml:space="preserve">: </w:t>
      </w:r>
      <w:r w:rsidR="00E020DC" w:rsidRPr="00E87E42">
        <w:t xml:space="preserve">Frequency distribution of area damage in terms of number of fires in Retail premises </w:t>
      </w:r>
      <w:r w:rsidR="00813923" w:rsidRPr="00E87E42">
        <w:t>(</w:t>
      </w:r>
      <w:r w:rsidR="00E020DC" w:rsidRPr="00E87E42">
        <w:t>Assembly or Sales Areas (Group of people)</w:t>
      </w:r>
      <w:r w:rsidR="00813923" w:rsidRPr="00E87E42">
        <w:t xml:space="preserve">, Storage areas and </w:t>
      </w:r>
      <w:proofErr w:type="gramStart"/>
      <w:r w:rsidR="00813923" w:rsidRPr="00E87E42">
        <w:t>Other</w:t>
      </w:r>
      <w:proofErr w:type="gramEnd"/>
      <w:r w:rsidR="00813923" w:rsidRPr="00E87E42">
        <w:t xml:space="preserve"> areas)</w:t>
      </w:r>
      <w:r w:rsidR="00E020DC" w:rsidRPr="00E87E42">
        <w:t xml:space="preserve"> for (a) presence and (b) absence of automatic extinguishing systems</w:t>
      </w:r>
      <w:bookmarkEnd w:id="49"/>
    </w:p>
    <w:p w14:paraId="64F4B88E" w14:textId="7353A7FD" w:rsidR="00B12AFC" w:rsidRPr="00E87E42" w:rsidRDefault="00E7211E" w:rsidP="004A2F07">
      <w:r w:rsidRPr="00E87E42">
        <w:lastRenderedPageBreak/>
        <w:t xml:space="preserve">The total number of </w:t>
      </w:r>
      <w:proofErr w:type="spellStart"/>
      <w:r w:rsidRPr="00E87E42">
        <w:rPr>
          <w:i/>
        </w:rPr>
        <w:t>s</w:t>
      </w:r>
      <w:r w:rsidR="003B297F" w:rsidRPr="00E87E42">
        <w:rPr>
          <w:i/>
        </w:rPr>
        <w:t>prinklered</w:t>
      </w:r>
      <w:proofErr w:type="spellEnd"/>
      <w:r w:rsidR="00D32D71" w:rsidRPr="00E87E42">
        <w:t xml:space="preserve"> </w:t>
      </w:r>
      <w:r w:rsidR="00D32D71" w:rsidRPr="00E87E42">
        <w:rPr>
          <w:b/>
        </w:rPr>
        <w:t>Storage areas</w:t>
      </w:r>
      <w:r w:rsidR="00D32D71" w:rsidRPr="00E87E42">
        <w:t xml:space="preserve"> fires collected in PD 7974-7 (354) are almost three times the one in the USA fire statistics (93). </w:t>
      </w:r>
      <w:r w:rsidR="004C6FDA" w:rsidRPr="00E87E42">
        <w:t>T</w:t>
      </w:r>
      <w:r w:rsidR="00D32D71" w:rsidRPr="00E87E42">
        <w:t xml:space="preserve">he distribution of fire frequency according to </w:t>
      </w:r>
      <w:r w:rsidR="007A26F2" w:rsidRPr="00E87E42">
        <w:t xml:space="preserve">the </w:t>
      </w:r>
      <w:r w:rsidR="00F361DE" w:rsidRPr="00E87E42">
        <w:t xml:space="preserve">area damage is similar </w:t>
      </w:r>
      <w:r w:rsidR="004C6FDA" w:rsidRPr="00E87E42">
        <w:t>as for previous trends, with a significant difference between the USA and PD relationships (</w:t>
      </w:r>
      <w:r w:rsidR="00C175BF" w:rsidRPr="00E87E42">
        <w:fldChar w:fldCharType="begin"/>
      </w:r>
      <w:r w:rsidR="00C175BF" w:rsidRPr="00E87E42">
        <w:instrText xml:space="preserve"> REF _Ref506315084 \h </w:instrText>
      </w:r>
      <w:r w:rsidR="00E87E42">
        <w:instrText xml:space="preserve"> \* MERGEFORMAT </w:instrText>
      </w:r>
      <w:r w:rsidR="00C175BF" w:rsidRPr="00E87E42">
        <w:fldChar w:fldCharType="separate"/>
      </w:r>
      <w:r w:rsidR="009F6872" w:rsidRPr="00E87E42">
        <w:t xml:space="preserve">Figure </w:t>
      </w:r>
      <w:r w:rsidR="009F6872">
        <w:rPr>
          <w:noProof/>
        </w:rPr>
        <w:t>14</w:t>
      </w:r>
      <w:r w:rsidR="00C175BF" w:rsidRPr="00E87E42">
        <w:fldChar w:fldCharType="end"/>
      </w:r>
      <w:r w:rsidR="00C175BF" w:rsidRPr="00E87E42">
        <w:t xml:space="preserve"> </w:t>
      </w:r>
      <w:r w:rsidR="00242231" w:rsidRPr="00E87E42">
        <w:t>(a)</w:t>
      </w:r>
      <w:r w:rsidR="004C6FDA" w:rsidRPr="00E87E42">
        <w:t>)</w:t>
      </w:r>
      <w:r w:rsidR="00F361DE" w:rsidRPr="00E87E42">
        <w:t xml:space="preserve">. </w:t>
      </w:r>
      <w:r w:rsidR="004C6FDA" w:rsidRPr="00E87E42">
        <w:t>One of the key issues, like previous areas, there is a significant number of fires exceeding 1</w:t>
      </w:r>
      <w:r w:rsidR="00065016" w:rsidRPr="00E87E42">
        <w:t>,</w:t>
      </w:r>
      <w:r w:rsidR="004C6FDA" w:rsidRPr="00E87E42">
        <w:t>000</w:t>
      </w:r>
      <w:r w:rsidR="007A3BC4" w:rsidRPr="00E87E42">
        <w:t xml:space="preserve"> </w:t>
      </w:r>
      <w:r w:rsidR="004C6FDA" w:rsidRPr="00E87E42">
        <w:t>m</w:t>
      </w:r>
      <w:r w:rsidR="004C6FDA" w:rsidRPr="00E87E42">
        <w:rPr>
          <w:vertAlign w:val="superscript"/>
        </w:rPr>
        <w:t xml:space="preserve">2 </w:t>
      </w:r>
      <w:r w:rsidR="004C6FDA" w:rsidRPr="00E87E42">
        <w:t>of area damaged in the USA data, whereas the maximum area of damage predicted by PD</w:t>
      </w:r>
      <w:r w:rsidR="00DE5906" w:rsidRPr="00E87E42">
        <w:t xml:space="preserve"> </w:t>
      </w:r>
      <w:r w:rsidR="004C6FDA" w:rsidRPr="00E87E42">
        <w:t>7974-7 is 499</w:t>
      </w:r>
      <w:r w:rsidR="007A3BC4" w:rsidRPr="00E87E42">
        <w:t xml:space="preserve"> </w:t>
      </w:r>
      <w:r w:rsidR="004C6FDA" w:rsidRPr="00E87E42">
        <w:t>m</w:t>
      </w:r>
      <w:r w:rsidR="004C6FDA" w:rsidRPr="00E87E42">
        <w:rPr>
          <w:vertAlign w:val="superscript"/>
        </w:rPr>
        <w:t>2</w:t>
      </w:r>
      <w:r w:rsidR="004C6FDA" w:rsidRPr="00E87E42">
        <w:t xml:space="preserve">.  </w:t>
      </w:r>
    </w:p>
    <w:p w14:paraId="5B62619F" w14:textId="3F22ED63" w:rsidR="00FD0E82" w:rsidRPr="00E87E42" w:rsidRDefault="004C6FDA" w:rsidP="004A2F07">
      <w:bookmarkStart w:id="50" w:name="_Ref497834862"/>
      <w:bookmarkStart w:id="51" w:name="_Toc376697665"/>
      <w:proofErr w:type="gramStart"/>
      <w:r w:rsidRPr="00E87E42">
        <w:t xml:space="preserve">For </w:t>
      </w:r>
      <w:r w:rsidRPr="00E87E42">
        <w:rPr>
          <w:i/>
        </w:rPr>
        <w:t>un-</w:t>
      </w:r>
      <w:proofErr w:type="spellStart"/>
      <w:r w:rsidRPr="00E87E42">
        <w:rPr>
          <w:i/>
        </w:rPr>
        <w:t>sprinklered</w:t>
      </w:r>
      <w:proofErr w:type="spellEnd"/>
      <w:r w:rsidRPr="00E87E42">
        <w:rPr>
          <w:i/>
        </w:rPr>
        <w:t xml:space="preserve"> </w:t>
      </w:r>
      <w:r w:rsidR="001F4F94" w:rsidRPr="00E87E42">
        <w:rPr>
          <w:i/>
        </w:rPr>
        <w:t>S</w:t>
      </w:r>
      <w:r w:rsidRPr="00E87E42">
        <w:rPr>
          <w:i/>
        </w:rPr>
        <w:t>torage area</w:t>
      </w:r>
      <w:r w:rsidR="00906EE7" w:rsidRPr="00E87E42">
        <w:rPr>
          <w:i/>
        </w:rPr>
        <w:t>s</w:t>
      </w:r>
      <w:r w:rsidRPr="00E87E42">
        <w:t xml:space="preserve"> fires</w:t>
      </w:r>
      <w:r w:rsidR="00FD0E82" w:rsidRPr="00E87E42">
        <w:t xml:space="preserve">, both </w:t>
      </w:r>
      <w:r w:rsidRPr="00E87E42">
        <w:t>UK and USA data show that more than 50% of fires will cause more than 1</w:t>
      </w:r>
      <w:r w:rsidR="00906EE7" w:rsidRPr="00E87E42">
        <w:t xml:space="preserve"> </w:t>
      </w:r>
      <w:r w:rsidRPr="00E87E42">
        <w:t>m</w:t>
      </w:r>
      <w:r w:rsidRPr="00E87E42">
        <w:rPr>
          <w:vertAlign w:val="superscript"/>
        </w:rPr>
        <w:t>2</w:t>
      </w:r>
      <w:r w:rsidRPr="00E87E42">
        <w:t xml:space="preserve"> of damage, however, in the UK this quickly diminishes to 17.4% of fires causing more than 20</w:t>
      </w:r>
      <w:r w:rsidR="00906EE7" w:rsidRPr="00E87E42">
        <w:t xml:space="preserve"> </w:t>
      </w:r>
      <w:r w:rsidRPr="00E87E42">
        <w:t>m</w:t>
      </w:r>
      <w:r w:rsidRPr="00E87E42">
        <w:rPr>
          <w:vertAlign w:val="superscript"/>
        </w:rPr>
        <w:t>2</w:t>
      </w:r>
      <w:r w:rsidRPr="00E87E42">
        <w:t xml:space="preserve"> of damage, </w:t>
      </w:r>
      <w:r w:rsidR="00FF733C" w:rsidRPr="00E87E42">
        <w:t>and to less than 5% for area damage between 50 and 99 m</w:t>
      </w:r>
      <w:r w:rsidR="00FF733C" w:rsidRPr="00E87E42">
        <w:rPr>
          <w:vertAlign w:val="superscript"/>
        </w:rPr>
        <w:t>2</w:t>
      </w:r>
      <w:r w:rsidR="00FF733C" w:rsidRPr="00E87E42">
        <w:t>, compared</w:t>
      </w:r>
      <w:r w:rsidRPr="00E87E42">
        <w:t xml:space="preserve"> to 51.77% of fires in the US</w:t>
      </w:r>
      <w:r w:rsidR="00FF733C" w:rsidRPr="00E87E42">
        <w:t>A</w:t>
      </w:r>
      <w:r w:rsidRPr="00E87E42">
        <w:t xml:space="preserve"> causing </w:t>
      </w:r>
      <w:r w:rsidR="00FF733C" w:rsidRPr="00E87E42">
        <w:t>more than 20</w:t>
      </w:r>
      <w:r w:rsidR="00DE5906" w:rsidRPr="00E87E42">
        <w:t xml:space="preserve"> </w:t>
      </w:r>
      <w:r w:rsidR="00FF733C" w:rsidRPr="00E87E42">
        <w:t>m</w:t>
      </w:r>
      <w:r w:rsidR="00FF733C" w:rsidRPr="00E87E42">
        <w:rPr>
          <w:vertAlign w:val="superscript"/>
        </w:rPr>
        <w:t>2</w:t>
      </w:r>
      <w:r w:rsidR="00FF733C" w:rsidRPr="00E87E42">
        <w:t xml:space="preserve"> of damage, and 31.86% for area damage between 50 and 99 m</w:t>
      </w:r>
      <w:r w:rsidR="00FF733C" w:rsidRPr="00E87E42">
        <w:rPr>
          <w:vertAlign w:val="superscript"/>
        </w:rPr>
        <w:t>2</w:t>
      </w:r>
      <w:r w:rsidR="00FF733C" w:rsidRPr="00E87E42" w:rsidDel="00FF733C">
        <w:t xml:space="preserve"> </w:t>
      </w:r>
      <w:r w:rsidR="00FF733C" w:rsidRPr="00E87E42">
        <w:t>(</w:t>
      </w:r>
      <w:r w:rsidR="00C175BF" w:rsidRPr="00E87E42">
        <w:fldChar w:fldCharType="begin"/>
      </w:r>
      <w:r w:rsidR="00C175BF" w:rsidRPr="00E87E42">
        <w:instrText xml:space="preserve"> REF _Ref506315084 \h </w:instrText>
      </w:r>
      <w:r w:rsidR="00E87E42">
        <w:instrText xml:space="preserve"> \* MERGEFORMAT </w:instrText>
      </w:r>
      <w:r w:rsidR="00C175BF" w:rsidRPr="00E87E42">
        <w:fldChar w:fldCharType="separate"/>
      </w:r>
      <w:r w:rsidR="009F6872" w:rsidRPr="00E87E42">
        <w:t xml:space="preserve">Figure </w:t>
      </w:r>
      <w:r w:rsidR="009F6872">
        <w:rPr>
          <w:noProof/>
        </w:rPr>
        <w:t>14</w:t>
      </w:r>
      <w:r w:rsidR="00C175BF" w:rsidRPr="00E87E42">
        <w:fldChar w:fldCharType="end"/>
      </w:r>
      <w:r w:rsidR="00C175BF" w:rsidRPr="00E87E42">
        <w:t xml:space="preserve"> </w:t>
      </w:r>
      <w:r w:rsidR="00FF733C" w:rsidRPr="00E87E42">
        <w:t>(b)).</w:t>
      </w:r>
      <w:proofErr w:type="gramEnd"/>
      <w:r w:rsidR="00FF733C" w:rsidRPr="00E87E42">
        <w:t xml:space="preserve"> When considering larger damaged area fires, 3.98% and 0.5% of fires in the USA and UK databases, respectively, cause more than 1</w:t>
      </w:r>
      <w:r w:rsidR="00527EFB" w:rsidRPr="00E87E42">
        <w:t>,</w:t>
      </w:r>
      <w:r w:rsidR="00FF733C" w:rsidRPr="00E87E42">
        <w:t>000</w:t>
      </w:r>
      <w:r w:rsidR="009561F7" w:rsidRPr="00E87E42">
        <w:t xml:space="preserve"> </w:t>
      </w:r>
      <w:r w:rsidR="00FF733C" w:rsidRPr="00E87E42">
        <w:t>m</w:t>
      </w:r>
      <w:r w:rsidR="00FF733C" w:rsidRPr="00E87E42">
        <w:rPr>
          <w:vertAlign w:val="superscript"/>
        </w:rPr>
        <w:t>2</w:t>
      </w:r>
      <w:r w:rsidR="00FF733C" w:rsidRPr="00E87E42">
        <w:t xml:space="preserve"> of damage. These are significant differences when considering the design of storage areas of retail premises.</w:t>
      </w:r>
    </w:p>
    <w:bookmarkEnd w:id="50"/>
    <w:bookmarkEnd w:id="51"/>
    <w:p w14:paraId="5357F372" w14:textId="133A4D9A" w:rsidR="00BF285B" w:rsidRPr="00E87E42" w:rsidRDefault="00EF53E5">
      <w:r w:rsidRPr="00E87E42">
        <w:t xml:space="preserve">In </w:t>
      </w:r>
      <w:r w:rsidRPr="00E87E42">
        <w:rPr>
          <w:b/>
        </w:rPr>
        <w:t>Other areas</w:t>
      </w:r>
      <w:r w:rsidRPr="00E87E42">
        <w:t xml:space="preserve">, when </w:t>
      </w:r>
      <w:r w:rsidR="00FF733C" w:rsidRPr="00E87E42">
        <w:rPr>
          <w:i/>
        </w:rPr>
        <w:t>sprinklers</w:t>
      </w:r>
      <w:r w:rsidRPr="00E87E42">
        <w:t xml:space="preserve"> are present, the total number of fires collected this time is greater in USA (573) than in PD 7974-7 (183). Again, the trend</w:t>
      </w:r>
      <w:r w:rsidR="0086448D" w:rsidRPr="00E87E42">
        <w:t>s</w:t>
      </w:r>
      <w:r w:rsidRPr="00E87E42">
        <w:t xml:space="preserve"> for frequencies in the two countries are comparab</w:t>
      </w:r>
      <w:r w:rsidR="00863467" w:rsidRPr="00E87E42">
        <w:t xml:space="preserve">le </w:t>
      </w:r>
      <w:r w:rsidR="0086448D" w:rsidRPr="00E87E42">
        <w:t>to the ones found in the other scenario</w:t>
      </w:r>
      <w:r w:rsidR="00FF733C" w:rsidRPr="00E87E42">
        <w:t>s</w:t>
      </w:r>
      <w:r w:rsidR="0086448D" w:rsidRPr="00E87E42">
        <w:t xml:space="preserve"> with </w:t>
      </w:r>
      <w:r w:rsidR="00FF733C" w:rsidRPr="00E87E42">
        <w:t xml:space="preserve">relatively small </w:t>
      </w:r>
      <w:r w:rsidR="0086448D" w:rsidRPr="00E87E42">
        <w:t xml:space="preserve">frequencies exceeding the </w:t>
      </w:r>
      <w:r w:rsidR="00FF733C" w:rsidRPr="00E87E42">
        <w:t xml:space="preserve">damage upper limit of </w:t>
      </w:r>
      <w:proofErr w:type="gramStart"/>
      <w:r w:rsidR="00FF733C" w:rsidRPr="00E87E42">
        <w:t>1</w:t>
      </w:r>
      <w:proofErr w:type="gramEnd"/>
      <w:r w:rsidR="009561F7" w:rsidRPr="00E87E42">
        <w:t xml:space="preserve"> </w:t>
      </w:r>
      <w:r w:rsidR="00FF733C" w:rsidRPr="00E87E42">
        <w:t>m</w:t>
      </w:r>
      <w:r w:rsidR="00FF733C" w:rsidRPr="00E87E42">
        <w:rPr>
          <w:vertAlign w:val="superscript"/>
        </w:rPr>
        <w:t>2</w:t>
      </w:r>
      <w:r w:rsidR="00FF733C" w:rsidRPr="00E87E42">
        <w:t xml:space="preserve"> </w:t>
      </w:r>
      <w:r w:rsidR="0086448D" w:rsidRPr="00E87E42">
        <w:t xml:space="preserve">upper limit </w:t>
      </w:r>
      <w:r w:rsidR="002C688C" w:rsidRPr="00E87E42">
        <w:t>(</w:t>
      </w:r>
      <w:r w:rsidR="00C175BF" w:rsidRPr="00E87E42">
        <w:fldChar w:fldCharType="begin"/>
      </w:r>
      <w:r w:rsidR="00C175BF" w:rsidRPr="00E87E42">
        <w:instrText xml:space="preserve"> REF _Ref506315084 \h </w:instrText>
      </w:r>
      <w:r w:rsidR="00E87E42">
        <w:instrText xml:space="preserve"> \* MERGEFORMAT </w:instrText>
      </w:r>
      <w:r w:rsidR="00C175BF" w:rsidRPr="00E87E42">
        <w:fldChar w:fldCharType="separate"/>
      </w:r>
      <w:r w:rsidR="009F6872" w:rsidRPr="00E87E42">
        <w:t xml:space="preserve">Figure </w:t>
      </w:r>
      <w:r w:rsidR="009F6872">
        <w:rPr>
          <w:noProof/>
        </w:rPr>
        <w:t>14</w:t>
      </w:r>
      <w:r w:rsidR="00C175BF" w:rsidRPr="00E87E42">
        <w:fldChar w:fldCharType="end"/>
      </w:r>
      <w:r w:rsidR="00C175BF" w:rsidRPr="00E87E42">
        <w:t xml:space="preserve"> </w:t>
      </w:r>
      <w:r w:rsidR="00CB4E32" w:rsidRPr="00E87E42">
        <w:t>(a)</w:t>
      </w:r>
      <w:r w:rsidR="002C688C" w:rsidRPr="00E87E42">
        <w:t>)</w:t>
      </w:r>
      <w:r w:rsidR="00CB4E32" w:rsidRPr="00E87E42">
        <w:t xml:space="preserve">. USA fires </w:t>
      </w:r>
      <w:r w:rsidR="00FF733C" w:rsidRPr="00E87E42">
        <w:t>have a higher proportion of fires causing greater areas of damage with 8.6% of fires exceeding 1</w:t>
      </w:r>
      <w:r w:rsidR="00DE5906" w:rsidRPr="00E87E42">
        <w:t>,</w:t>
      </w:r>
      <w:r w:rsidR="00FF733C" w:rsidRPr="00E87E42">
        <w:t>000</w:t>
      </w:r>
      <w:r w:rsidR="009561F7" w:rsidRPr="00E87E42">
        <w:t xml:space="preserve"> </w:t>
      </w:r>
      <w:r w:rsidR="00FF733C" w:rsidRPr="00E87E42">
        <w:t>m</w:t>
      </w:r>
      <w:r w:rsidR="00FF733C" w:rsidRPr="00E87E42">
        <w:rPr>
          <w:vertAlign w:val="superscript"/>
        </w:rPr>
        <w:t>2</w:t>
      </w:r>
      <w:r w:rsidR="00CB4E32" w:rsidRPr="00E87E42">
        <w:t xml:space="preserve"> </w:t>
      </w:r>
      <w:r w:rsidR="00FF733C" w:rsidRPr="00E87E42">
        <w:t xml:space="preserve">compared to </w:t>
      </w:r>
      <w:r w:rsidR="00F13EFA" w:rsidRPr="00E87E42">
        <w:t>PD having no fires exceeding 200</w:t>
      </w:r>
      <w:r w:rsidR="009561F7" w:rsidRPr="00E87E42">
        <w:t xml:space="preserve"> </w:t>
      </w:r>
      <w:r w:rsidR="00F13EFA" w:rsidRPr="00E87E42">
        <w:t>m</w:t>
      </w:r>
      <w:r w:rsidR="00F13EFA" w:rsidRPr="00E87E42">
        <w:rPr>
          <w:vertAlign w:val="superscript"/>
        </w:rPr>
        <w:t>2</w:t>
      </w:r>
      <w:r w:rsidR="00F13EFA" w:rsidRPr="00E87E42">
        <w:t xml:space="preserve"> of damage. </w:t>
      </w:r>
      <w:r w:rsidR="002C688C" w:rsidRPr="00E87E42">
        <w:t xml:space="preserve">In </w:t>
      </w:r>
      <w:r w:rsidR="00F13EFA" w:rsidRPr="00E87E42">
        <w:rPr>
          <w:i/>
        </w:rPr>
        <w:t>un-</w:t>
      </w:r>
      <w:proofErr w:type="spellStart"/>
      <w:r w:rsidR="00F13EFA" w:rsidRPr="00E87E42">
        <w:rPr>
          <w:i/>
        </w:rPr>
        <w:t>sprinklered</w:t>
      </w:r>
      <w:proofErr w:type="spellEnd"/>
      <w:r w:rsidR="00F13EFA" w:rsidRPr="00E87E42">
        <w:rPr>
          <w:i/>
        </w:rPr>
        <w:t xml:space="preserve"> </w:t>
      </w:r>
      <w:proofErr w:type="gramStart"/>
      <w:r w:rsidR="00527EFB" w:rsidRPr="00E87E42">
        <w:rPr>
          <w:i/>
        </w:rPr>
        <w:t>O</w:t>
      </w:r>
      <w:r w:rsidR="00F13EFA" w:rsidRPr="00E87E42">
        <w:rPr>
          <w:i/>
        </w:rPr>
        <w:t>ther</w:t>
      </w:r>
      <w:proofErr w:type="gramEnd"/>
      <w:r w:rsidR="00F13EFA" w:rsidRPr="00E87E42">
        <w:rPr>
          <w:i/>
        </w:rPr>
        <w:t xml:space="preserve"> areas</w:t>
      </w:r>
      <w:r w:rsidR="00CE6438" w:rsidRPr="00E87E42">
        <w:rPr>
          <w:i/>
        </w:rPr>
        <w:t>,</w:t>
      </w:r>
      <w:r w:rsidR="00F13EFA" w:rsidRPr="00E87E42">
        <w:t xml:space="preserve"> </w:t>
      </w:r>
      <w:r w:rsidR="00BF285B" w:rsidRPr="00E87E42">
        <w:t xml:space="preserve">the total number of fires collected in the UK (7194) </w:t>
      </w:r>
      <w:r w:rsidR="00F13EFA" w:rsidRPr="00E87E42">
        <w:t>is again</w:t>
      </w:r>
      <w:r w:rsidR="00BF285B" w:rsidRPr="00E87E42">
        <w:t xml:space="preserve"> greater than </w:t>
      </w:r>
      <w:r w:rsidR="00F13EFA" w:rsidRPr="00E87E42">
        <w:t xml:space="preserve">those collected in </w:t>
      </w:r>
      <w:r w:rsidR="00BF285B" w:rsidRPr="00E87E42">
        <w:t>the USA fire statistics (1</w:t>
      </w:r>
      <w:r w:rsidR="00527EFB" w:rsidRPr="00E87E42">
        <w:t>,</w:t>
      </w:r>
      <w:r w:rsidR="00BF285B" w:rsidRPr="00E87E42">
        <w:t>542). T</w:t>
      </w:r>
      <w:r w:rsidR="002C688C" w:rsidRPr="00E87E42">
        <w:t xml:space="preserve">rends between PD 7974-7 and </w:t>
      </w:r>
      <w:r w:rsidR="00CB4E32" w:rsidRPr="00E87E42">
        <w:t xml:space="preserve">USA </w:t>
      </w:r>
      <w:r w:rsidR="002C688C" w:rsidRPr="00E87E42">
        <w:t>are similar to the ones for presence of automatic extinguish systems with the only difference that the values of frequencies between the two countries present a higher gap</w:t>
      </w:r>
      <w:r w:rsidR="00CB4E32" w:rsidRPr="00E87E42">
        <w:t xml:space="preserve"> and the percentages of fire exc</w:t>
      </w:r>
      <w:r w:rsidR="00A55C6E">
        <w:t>eeding the upper</w:t>
      </w:r>
      <w:r w:rsidR="00CB4E32" w:rsidRPr="00E87E42">
        <w:t xml:space="preserve"> limit are </w:t>
      </w:r>
      <w:r w:rsidR="004C23E5" w:rsidRPr="00E87E42">
        <w:t xml:space="preserve">greater </w:t>
      </w:r>
      <w:r w:rsidR="00BF285B" w:rsidRPr="00E87E42">
        <w:t>(</w:t>
      </w:r>
      <w:r w:rsidR="00C175BF" w:rsidRPr="00E87E42">
        <w:fldChar w:fldCharType="begin"/>
      </w:r>
      <w:r w:rsidR="00C175BF" w:rsidRPr="00E87E42">
        <w:instrText xml:space="preserve"> REF _Ref506315084 \h </w:instrText>
      </w:r>
      <w:r w:rsidR="00E87E42">
        <w:instrText xml:space="preserve"> \* MERGEFORMAT </w:instrText>
      </w:r>
      <w:r w:rsidR="00C175BF" w:rsidRPr="00E87E42">
        <w:fldChar w:fldCharType="separate"/>
      </w:r>
      <w:r w:rsidR="009F6872" w:rsidRPr="00E87E42">
        <w:t xml:space="preserve">Figure </w:t>
      </w:r>
      <w:r w:rsidR="009F6872">
        <w:rPr>
          <w:noProof/>
        </w:rPr>
        <w:t>14</w:t>
      </w:r>
      <w:r w:rsidR="00C175BF" w:rsidRPr="00E87E42">
        <w:fldChar w:fldCharType="end"/>
      </w:r>
      <w:r w:rsidR="00C175BF" w:rsidRPr="00E87E42">
        <w:t xml:space="preserve"> </w:t>
      </w:r>
      <w:r w:rsidR="00BF285B" w:rsidRPr="00E87E42">
        <w:t>(b))</w:t>
      </w:r>
      <w:r w:rsidR="002C688C" w:rsidRPr="00E87E42">
        <w:t>.</w:t>
      </w:r>
      <w:r w:rsidR="00CB4E32" w:rsidRPr="00E87E42">
        <w:t xml:space="preserve"> </w:t>
      </w:r>
    </w:p>
    <w:p w14:paraId="73D7FFB4" w14:textId="7FF5FF77" w:rsidR="00FD0E82" w:rsidRPr="00E87E42" w:rsidRDefault="00F13EFA">
      <w:r w:rsidRPr="00E87E42">
        <w:t xml:space="preserve">For retail premises, the analysis presented shows that sprinklers are effective at limiting the frequency of small area damage fires, but do not necessarily limit the larger damaged area fire frequency; and that </w:t>
      </w:r>
      <w:r w:rsidR="00BF285B" w:rsidRPr="00E87E42">
        <w:t>PD 7974-7 seem</w:t>
      </w:r>
      <w:r w:rsidRPr="00E87E42">
        <w:t>s</w:t>
      </w:r>
      <w:r w:rsidR="00BF285B" w:rsidRPr="00E87E42">
        <w:t xml:space="preserve"> to underestimate the</w:t>
      </w:r>
      <w:r w:rsidRPr="00E87E42">
        <w:t>se fire area damage and frequency</w:t>
      </w:r>
      <w:r w:rsidR="00BF285B" w:rsidRPr="00E87E42">
        <w:t>.</w:t>
      </w:r>
    </w:p>
    <w:p w14:paraId="450E9333" w14:textId="72280EA9" w:rsidR="00AD6824" w:rsidRPr="00E87E42" w:rsidRDefault="00AD6824" w:rsidP="008A55B5">
      <w:pPr>
        <w:pStyle w:val="Heading2"/>
        <w:numPr>
          <w:ilvl w:val="1"/>
          <w:numId w:val="35"/>
        </w:numPr>
      </w:pPr>
      <w:r w:rsidRPr="00E87E42">
        <w:t>HOTELS</w:t>
      </w:r>
    </w:p>
    <w:p w14:paraId="46059850" w14:textId="0860C613" w:rsidR="00F51819" w:rsidRPr="00E87E42" w:rsidRDefault="00AD6824" w:rsidP="008A55B5">
      <w:pPr>
        <w:spacing w:before="120"/>
      </w:pPr>
      <w:r w:rsidRPr="00E87E42">
        <w:t>T</w:t>
      </w:r>
      <w:r w:rsidR="00281805" w:rsidRPr="00E87E42">
        <w:t>able A.8</w:t>
      </w:r>
      <w:r w:rsidRPr="00E87E42">
        <w:t xml:space="preserve"> in the PD 7974-7 has been recreated</w:t>
      </w:r>
      <w:r w:rsidR="001019D3" w:rsidRPr="00E87E42">
        <w:t xml:space="preserve"> (</w:t>
      </w:r>
      <w:r w:rsidR="001019D3" w:rsidRPr="00E87E42">
        <w:fldChar w:fldCharType="begin"/>
      </w:r>
      <w:r w:rsidR="001019D3" w:rsidRPr="00E87E42">
        <w:instrText xml:space="preserve"> REF _Ref517775952 \h </w:instrText>
      </w:r>
      <w:r w:rsidR="00E87E42">
        <w:instrText xml:space="preserve"> \* MERGEFORMAT </w:instrText>
      </w:r>
      <w:r w:rsidR="001019D3" w:rsidRPr="00E87E42">
        <w:fldChar w:fldCharType="separate"/>
      </w:r>
      <w:r w:rsidR="009F6872" w:rsidRPr="00E87E42">
        <w:t xml:space="preserve">Table </w:t>
      </w:r>
      <w:r w:rsidR="009F6872">
        <w:rPr>
          <w:noProof/>
        </w:rPr>
        <w:t>VII</w:t>
      </w:r>
      <w:r w:rsidR="001019D3" w:rsidRPr="00E87E42">
        <w:fldChar w:fldCharType="end"/>
      </w:r>
      <w:r w:rsidR="00796639" w:rsidRPr="00E87E42">
        <w:t xml:space="preserve"> in </w:t>
      </w:r>
      <w:r w:rsidR="001019D3" w:rsidRPr="00E87E42">
        <w:t>Appendix)</w:t>
      </w:r>
      <w:r w:rsidRPr="00E87E42">
        <w:t xml:space="preserve"> according to the class of</w:t>
      </w:r>
      <w:r w:rsidR="00281805" w:rsidRPr="00E87E42">
        <w:rPr>
          <w:color w:val="000000"/>
        </w:rPr>
        <w:t xml:space="preserve"> </w:t>
      </w:r>
      <w:r w:rsidR="00281805" w:rsidRPr="00E87E42">
        <w:rPr>
          <w:rFonts w:cs="Joanna MT Std"/>
          <w:i/>
          <w:color w:val="221E1F"/>
        </w:rPr>
        <w:t>Hotel/Motel</w:t>
      </w:r>
      <w:r w:rsidR="00281805" w:rsidRPr="00E87E42">
        <w:rPr>
          <w:rFonts w:cs="Joanna MT Std"/>
          <w:color w:val="221E1F"/>
        </w:rPr>
        <w:t xml:space="preserve">, commercial and </w:t>
      </w:r>
      <w:r w:rsidR="00281805" w:rsidRPr="00E87E42">
        <w:rPr>
          <w:rFonts w:cs="Joanna MT Std"/>
          <w:color w:val="000000"/>
        </w:rPr>
        <w:t>Boarding/Rooming house</w:t>
      </w:r>
      <w:r w:rsidR="00F51819" w:rsidRPr="00E87E42">
        <w:rPr>
          <w:rFonts w:cs="Joanna MT Std"/>
          <w:color w:val="000000"/>
        </w:rPr>
        <w:t xml:space="preserve"> (t</w:t>
      </w:r>
      <w:r w:rsidR="00917AC4" w:rsidRPr="00E87E42">
        <w:rPr>
          <w:rFonts w:cs="Joanna MT Std"/>
          <w:color w:val="000000"/>
        </w:rPr>
        <w:t>his i</w:t>
      </w:r>
      <w:r w:rsidR="00281805" w:rsidRPr="00E87E42">
        <w:rPr>
          <w:rFonts w:cs="Joanna MT Std"/>
          <w:color w:val="000000"/>
        </w:rPr>
        <w:t>ncludes residential hotels and shelters</w:t>
      </w:r>
      <w:r w:rsidR="00F51819" w:rsidRPr="00E87E42">
        <w:rPr>
          <w:rFonts w:cs="Joanna MT Std"/>
          <w:color w:val="000000"/>
        </w:rPr>
        <w:t>)</w:t>
      </w:r>
      <w:r w:rsidRPr="00E87E42">
        <w:rPr>
          <w:color w:val="000000"/>
        </w:rPr>
        <w:t xml:space="preserve">. </w:t>
      </w:r>
      <w:proofErr w:type="gramStart"/>
      <w:r w:rsidRPr="00E87E42">
        <w:rPr>
          <w:color w:val="000000"/>
        </w:rPr>
        <w:t xml:space="preserve">For fire </w:t>
      </w:r>
      <w:r w:rsidR="00F51819" w:rsidRPr="00E87E42">
        <w:rPr>
          <w:color w:val="000000"/>
        </w:rPr>
        <w:t>origin</w:t>
      </w:r>
      <w:r w:rsidR="00917AC4" w:rsidRPr="00E87E42">
        <w:rPr>
          <w:color w:val="000000"/>
        </w:rPr>
        <w:t>, the locations</w:t>
      </w:r>
      <w:r w:rsidRPr="00E87E42">
        <w:rPr>
          <w:color w:val="000000"/>
        </w:rPr>
        <w:t xml:space="preserve"> in </w:t>
      </w:r>
      <w:r w:rsidR="00917AC4" w:rsidRPr="00E87E42">
        <w:rPr>
          <w:color w:val="000000"/>
        </w:rPr>
        <w:t xml:space="preserve">Table A.8 </w:t>
      </w:r>
      <w:r w:rsidRPr="00E87E42">
        <w:rPr>
          <w:color w:val="000000"/>
        </w:rPr>
        <w:t>have been represented as follows</w:t>
      </w:r>
      <w:r w:rsidR="004558F5" w:rsidRPr="00E87E42">
        <w:rPr>
          <w:color w:val="000000"/>
        </w:rPr>
        <w:t xml:space="preserve"> in the NFIRS</w:t>
      </w:r>
      <w:r w:rsidRPr="00E87E42">
        <w:rPr>
          <w:color w:val="000000"/>
        </w:rPr>
        <w:t>:</w:t>
      </w:r>
      <w:r w:rsidR="004558F5" w:rsidRPr="00E87E42">
        <w:t xml:space="preserve"> </w:t>
      </w:r>
      <w:r w:rsidR="00281805" w:rsidRPr="00E87E42">
        <w:rPr>
          <w:u w:val="single"/>
        </w:rPr>
        <w:t>Assembly areas</w:t>
      </w:r>
      <w:r w:rsidR="00281805" w:rsidRPr="00E87E42">
        <w:t xml:space="preserve"> </w:t>
      </w:r>
      <w:r w:rsidR="00917AC4" w:rsidRPr="00E87E42">
        <w:t xml:space="preserve">- </w:t>
      </w:r>
      <w:r w:rsidR="00281805" w:rsidRPr="00E87E42">
        <w:rPr>
          <w:color w:val="000000"/>
        </w:rPr>
        <w:t>Assembly or sales Areas (Group of people)</w:t>
      </w:r>
      <w:r w:rsidR="004558F5" w:rsidRPr="00E87E42">
        <w:rPr>
          <w:color w:val="000000"/>
        </w:rPr>
        <w:t xml:space="preserve">; </w:t>
      </w:r>
      <w:r w:rsidR="00281805" w:rsidRPr="00E87E42">
        <w:rPr>
          <w:u w:val="single"/>
        </w:rPr>
        <w:t>Bedrooms</w:t>
      </w:r>
      <w:r w:rsidR="00281805" w:rsidRPr="00E87E42">
        <w:t xml:space="preserve"> </w:t>
      </w:r>
      <w:r w:rsidR="00917AC4" w:rsidRPr="00E87E42">
        <w:t xml:space="preserve">- </w:t>
      </w:r>
      <w:r w:rsidR="00281805" w:rsidRPr="00E87E42">
        <w:rPr>
          <w:rFonts w:cs="Joanna MT Std"/>
          <w:color w:val="000000"/>
        </w:rPr>
        <w:t xml:space="preserve">Bedroom for less than five people (includes jail or prison cells, lockups, patient rooms, sleeping areas) and </w:t>
      </w:r>
      <w:r w:rsidR="00281805" w:rsidRPr="00E87E42">
        <w:rPr>
          <w:rFonts w:cs="Joanna MT Std"/>
          <w:color w:val="221E1F"/>
        </w:rPr>
        <w:t>Bedroom for more than five people (includes barracks, dormitories, patient wards)</w:t>
      </w:r>
      <w:r w:rsidR="004558F5" w:rsidRPr="00E87E42">
        <w:rPr>
          <w:rFonts w:cs="Joanna MT Std"/>
          <w:color w:val="221E1F"/>
        </w:rPr>
        <w:t xml:space="preserve">; </w:t>
      </w:r>
      <w:r w:rsidR="00281805" w:rsidRPr="00E87E42">
        <w:rPr>
          <w:u w:val="single"/>
        </w:rPr>
        <w:t>Storage and Other Areas</w:t>
      </w:r>
      <w:r w:rsidR="00281805" w:rsidRPr="00E87E42">
        <w:t xml:space="preserve"> </w:t>
      </w:r>
      <w:r w:rsidR="00917AC4" w:rsidRPr="00E87E42">
        <w:t xml:space="preserve">- </w:t>
      </w:r>
      <w:r w:rsidR="00281805" w:rsidRPr="00E87E42">
        <w:rPr>
          <w:color w:val="000000"/>
        </w:rPr>
        <w:t>All the other areas excluding the two previously mentioned.</w:t>
      </w:r>
      <w:proofErr w:type="gramEnd"/>
      <w:r w:rsidR="00F51819" w:rsidRPr="00E87E42">
        <w:t xml:space="preserve"> </w:t>
      </w:r>
    </w:p>
    <w:p w14:paraId="1F136C0E" w14:textId="0FD3B346" w:rsidR="003F3E5F" w:rsidRPr="00E87E42" w:rsidRDefault="00777E20" w:rsidP="008A55B5">
      <w:pPr>
        <w:spacing w:before="120"/>
      </w:pPr>
      <w:r w:rsidRPr="00E87E42">
        <w:t xml:space="preserve">Only </w:t>
      </w:r>
      <w:r w:rsidRPr="00E87E42">
        <w:rPr>
          <w:i/>
        </w:rPr>
        <w:t>un-</w:t>
      </w:r>
      <w:proofErr w:type="spellStart"/>
      <w:r w:rsidRPr="00E87E42">
        <w:rPr>
          <w:i/>
        </w:rPr>
        <w:t>sprinklered</w:t>
      </w:r>
      <w:proofErr w:type="spellEnd"/>
      <w:r w:rsidRPr="00E87E42">
        <w:t xml:space="preserve"> fire comparisons </w:t>
      </w:r>
      <w:proofErr w:type="gramStart"/>
      <w:r w:rsidRPr="00E87E42">
        <w:t>have been made</w:t>
      </w:r>
      <w:proofErr w:type="gramEnd"/>
      <w:r w:rsidRPr="00E87E42">
        <w:t xml:space="preserve"> for </w:t>
      </w:r>
      <w:r w:rsidRPr="00E87E42">
        <w:rPr>
          <w:i/>
        </w:rPr>
        <w:t>Assembly areas</w:t>
      </w:r>
      <w:r w:rsidRPr="00E87E42">
        <w:t xml:space="preserve"> and </w:t>
      </w:r>
      <w:r w:rsidRPr="00E87E42">
        <w:rPr>
          <w:i/>
        </w:rPr>
        <w:t xml:space="preserve">Bedrooms </w:t>
      </w:r>
      <w:r w:rsidRPr="00E87E42">
        <w:t xml:space="preserve">since no sprinklers fire data is present in Table A.8. </w:t>
      </w:r>
      <w:r w:rsidR="003F3E5F" w:rsidRPr="00E87E42">
        <w:t xml:space="preserve">In </w:t>
      </w:r>
      <w:r w:rsidR="003F3E5F" w:rsidRPr="00E87E42">
        <w:rPr>
          <w:b/>
        </w:rPr>
        <w:t>Assembly areas</w:t>
      </w:r>
      <w:r w:rsidR="003F3E5F" w:rsidRPr="00E87E42">
        <w:t xml:space="preserve">, the USA fire statistics only report 12 fires, so comparisons </w:t>
      </w:r>
      <w:proofErr w:type="gramStart"/>
      <w:r w:rsidR="003F3E5F" w:rsidRPr="00E87E42">
        <w:t>should be taken</w:t>
      </w:r>
      <w:proofErr w:type="gramEnd"/>
      <w:r w:rsidR="003F3E5F" w:rsidRPr="00E87E42">
        <w:t xml:space="preserve"> cautiously. However, it seems, according to </w:t>
      </w:r>
      <w:r w:rsidR="003F3E5F" w:rsidRPr="00E87E42">
        <w:fldChar w:fldCharType="begin"/>
      </w:r>
      <w:r w:rsidR="003F3E5F" w:rsidRPr="00E87E42">
        <w:instrText xml:space="preserve"> REF _Ref506316658 \h </w:instrText>
      </w:r>
      <w:r w:rsidR="00E87E42">
        <w:instrText xml:space="preserve"> \* MERGEFORMAT </w:instrText>
      </w:r>
      <w:r w:rsidR="003F3E5F" w:rsidRPr="00E87E42">
        <w:fldChar w:fldCharType="separate"/>
      </w:r>
      <w:r w:rsidR="009F6872" w:rsidRPr="00E87E42">
        <w:t xml:space="preserve">Figure </w:t>
      </w:r>
      <w:r w:rsidR="009F6872">
        <w:rPr>
          <w:noProof/>
        </w:rPr>
        <w:t>15</w:t>
      </w:r>
      <w:r w:rsidR="003F3E5F" w:rsidRPr="00E87E42">
        <w:fldChar w:fldCharType="end"/>
      </w:r>
      <w:r w:rsidR="003F3E5F" w:rsidRPr="00E87E42">
        <w:t xml:space="preserve"> (</w:t>
      </w:r>
      <w:r w:rsidR="00780FE8" w:rsidRPr="00E87E42">
        <w:t>b</w:t>
      </w:r>
      <w:r w:rsidR="003F3E5F" w:rsidRPr="00E87E42">
        <w:t xml:space="preserve">), that a similar trend can be seen as for other analyses in </w:t>
      </w:r>
      <w:r w:rsidR="00F51819" w:rsidRPr="00E87E42">
        <w:t>un-</w:t>
      </w:r>
      <w:proofErr w:type="spellStart"/>
      <w:r w:rsidR="003F3E5F" w:rsidRPr="00E87E42">
        <w:t>sprinklered</w:t>
      </w:r>
      <w:proofErr w:type="spellEnd"/>
      <w:r w:rsidR="003F3E5F" w:rsidRPr="00E87E42">
        <w:t xml:space="preserve"> areas, with the USA data showing that fires more often cause larger areas to be damaged than suggested by PD</w:t>
      </w:r>
      <w:r w:rsidR="00DE5906" w:rsidRPr="00E87E42">
        <w:t xml:space="preserve"> </w:t>
      </w:r>
      <w:r w:rsidR="003F3E5F" w:rsidRPr="00E87E42">
        <w:t xml:space="preserve">7974-7. In </w:t>
      </w:r>
      <w:r w:rsidR="003F3E5F" w:rsidRPr="00E87E42">
        <w:rPr>
          <w:b/>
        </w:rPr>
        <w:t>Bedrooms</w:t>
      </w:r>
      <w:r w:rsidR="003F3E5F" w:rsidRPr="00E87E42">
        <w:t>, the un-</w:t>
      </w:r>
      <w:proofErr w:type="spellStart"/>
      <w:r w:rsidR="003F3E5F" w:rsidRPr="00E87E42">
        <w:t>sprinklered</w:t>
      </w:r>
      <w:proofErr w:type="spellEnd"/>
      <w:r w:rsidR="003F3E5F" w:rsidRPr="00E87E42">
        <w:t xml:space="preserve"> comparison </w:t>
      </w:r>
      <w:proofErr w:type="gramStart"/>
      <w:r w:rsidR="003F3E5F" w:rsidRPr="00E87E42">
        <w:t>is shown</w:t>
      </w:r>
      <w:proofErr w:type="gramEnd"/>
      <w:r w:rsidR="003F3E5F" w:rsidRPr="00E87E42">
        <w:t xml:space="preserve"> in </w:t>
      </w:r>
      <w:r w:rsidR="003F3E5F" w:rsidRPr="00E87E42">
        <w:fldChar w:fldCharType="begin"/>
      </w:r>
      <w:r w:rsidR="003F3E5F" w:rsidRPr="00E87E42">
        <w:instrText xml:space="preserve"> REF _Ref506316658 \h </w:instrText>
      </w:r>
      <w:r w:rsidR="00E87E42">
        <w:instrText xml:space="preserve"> \* MERGEFORMAT </w:instrText>
      </w:r>
      <w:r w:rsidR="003F3E5F" w:rsidRPr="00E87E42">
        <w:fldChar w:fldCharType="separate"/>
      </w:r>
      <w:r w:rsidR="009F6872" w:rsidRPr="00E87E42">
        <w:t xml:space="preserve">Figure </w:t>
      </w:r>
      <w:r w:rsidR="009F6872">
        <w:rPr>
          <w:noProof/>
        </w:rPr>
        <w:t>15</w:t>
      </w:r>
      <w:r w:rsidR="003F3E5F" w:rsidRPr="00E87E42">
        <w:fldChar w:fldCharType="end"/>
      </w:r>
      <w:r w:rsidR="003F3E5F" w:rsidRPr="00E87E42">
        <w:t xml:space="preserve"> (b). Firstly, the total </w:t>
      </w:r>
      <w:r w:rsidR="003F3E5F" w:rsidRPr="00E87E42">
        <w:lastRenderedPageBreak/>
        <w:t>number of fires stated in Table A.8 is wrong and should be equal to 1</w:t>
      </w:r>
      <w:r w:rsidR="00DE5906" w:rsidRPr="00E87E42">
        <w:t>,</w:t>
      </w:r>
      <w:r w:rsidR="003F3E5F" w:rsidRPr="00E87E42">
        <w:t>196 and not 1</w:t>
      </w:r>
      <w:r w:rsidR="00DE5906" w:rsidRPr="00E87E42">
        <w:t>,</w:t>
      </w:r>
      <w:r w:rsidR="003F3E5F" w:rsidRPr="00E87E42">
        <w:t xml:space="preserve">205, and this </w:t>
      </w:r>
      <w:proofErr w:type="gramStart"/>
      <w:r w:rsidR="003F3E5F" w:rsidRPr="00E87E42">
        <w:t>is compared</w:t>
      </w:r>
      <w:proofErr w:type="gramEnd"/>
      <w:r w:rsidR="003F3E5F" w:rsidRPr="00E87E42">
        <w:t xml:space="preserve"> to 84 fires from the USA statistics. Again, both datasets have similar values for fires damaging less than </w:t>
      </w:r>
      <w:proofErr w:type="gramStart"/>
      <w:r w:rsidR="003F3E5F" w:rsidRPr="00E87E42">
        <w:t>1</w:t>
      </w:r>
      <w:proofErr w:type="gramEnd"/>
      <w:r w:rsidR="00A27212" w:rsidRPr="00E87E42">
        <w:t xml:space="preserve"> </w:t>
      </w:r>
      <w:r w:rsidR="003F3E5F" w:rsidRPr="00E87E42">
        <w:t>m</w:t>
      </w:r>
      <w:r w:rsidR="003F3E5F" w:rsidRPr="00E87E42">
        <w:rPr>
          <w:vertAlign w:val="superscript"/>
        </w:rPr>
        <w:t>2</w:t>
      </w:r>
      <w:r w:rsidR="003F3E5F" w:rsidRPr="00E87E42">
        <w:t>, and that the USA data have more fires that cause greater damage, 3.</w:t>
      </w:r>
      <w:r w:rsidR="009561F7" w:rsidRPr="00E87E42">
        <w:t>6</w:t>
      </w:r>
      <w:r w:rsidR="006C4246">
        <w:t>% of fires causing a</w:t>
      </w:r>
      <w:r w:rsidR="003F3E5F" w:rsidRPr="00E87E42">
        <w:t>n excess of 1</w:t>
      </w:r>
      <w:r w:rsidR="00DE5906" w:rsidRPr="00E87E42">
        <w:t>,</w:t>
      </w:r>
      <w:r w:rsidR="003F3E5F" w:rsidRPr="00E87E42">
        <w:t>000</w:t>
      </w:r>
      <w:r w:rsidR="00A27212" w:rsidRPr="00E87E42">
        <w:t xml:space="preserve"> </w:t>
      </w:r>
      <w:r w:rsidR="003F3E5F" w:rsidRPr="00E87E42">
        <w:t>m</w:t>
      </w:r>
      <w:r w:rsidR="003F3E5F" w:rsidRPr="00E87E42">
        <w:rPr>
          <w:vertAlign w:val="superscript"/>
        </w:rPr>
        <w:t>2</w:t>
      </w:r>
      <w:r w:rsidR="003F3E5F" w:rsidRPr="00E87E42">
        <w:t xml:space="preserve"> of damage.</w:t>
      </w:r>
    </w:p>
    <w:p w14:paraId="518DFB50" w14:textId="0EF74008" w:rsidR="00CB0041" w:rsidRPr="00E87E42" w:rsidRDefault="00CB0041" w:rsidP="00CB0041">
      <w:r w:rsidRPr="00E87E42">
        <w:t xml:space="preserve">In </w:t>
      </w:r>
      <w:proofErr w:type="spellStart"/>
      <w:r w:rsidR="00770027" w:rsidRPr="00E87E42">
        <w:rPr>
          <w:i/>
        </w:rPr>
        <w:t>sprinklered</w:t>
      </w:r>
      <w:proofErr w:type="spellEnd"/>
      <w:r w:rsidR="00770027" w:rsidRPr="00E87E42">
        <w:t xml:space="preserve"> </w:t>
      </w:r>
      <w:r w:rsidRPr="00E87E42">
        <w:rPr>
          <w:b/>
        </w:rPr>
        <w:t>Storage areas and other areas</w:t>
      </w:r>
      <w:r w:rsidRPr="00E87E42">
        <w:t xml:space="preserve">, </w:t>
      </w:r>
      <w:r w:rsidR="00770027" w:rsidRPr="00E87E42">
        <w:t xml:space="preserve">more </w:t>
      </w:r>
      <w:r w:rsidRPr="00E87E42">
        <w:t xml:space="preserve">fire </w:t>
      </w:r>
      <w:r w:rsidR="00770027" w:rsidRPr="00E87E42">
        <w:t xml:space="preserve">data </w:t>
      </w:r>
      <w:proofErr w:type="gramStart"/>
      <w:r w:rsidR="00770027" w:rsidRPr="00E87E42">
        <w:t>w</w:t>
      </w:r>
      <w:r w:rsidR="005F7917" w:rsidRPr="00E87E42">
        <w:t>ere</w:t>
      </w:r>
      <w:r w:rsidR="00770027" w:rsidRPr="00E87E42">
        <w:t xml:space="preserve"> </w:t>
      </w:r>
      <w:r w:rsidRPr="00E87E42">
        <w:t>collected</w:t>
      </w:r>
      <w:proofErr w:type="gramEnd"/>
      <w:r w:rsidRPr="00E87E42">
        <w:t xml:space="preserve"> in the USA fire statistics </w:t>
      </w:r>
      <w:r w:rsidR="00770027" w:rsidRPr="00E87E42">
        <w:t xml:space="preserve">(255 fires) compared to </w:t>
      </w:r>
      <w:r w:rsidRPr="00E87E42">
        <w:t xml:space="preserve">PD 7974-7 </w:t>
      </w:r>
      <w:r w:rsidR="00770027" w:rsidRPr="00E87E42">
        <w:t>(</w:t>
      </w:r>
      <w:r w:rsidRPr="00E87E42">
        <w:t>35 fires</w:t>
      </w:r>
      <w:r w:rsidR="00770027" w:rsidRPr="00E87E42">
        <w:t>)</w:t>
      </w:r>
      <w:r w:rsidRPr="00E87E42">
        <w:t xml:space="preserve">. </w:t>
      </w:r>
      <w:r w:rsidR="00780FE8" w:rsidRPr="00E87E42">
        <w:fldChar w:fldCharType="begin"/>
      </w:r>
      <w:r w:rsidR="00780FE8" w:rsidRPr="00E87E42">
        <w:instrText xml:space="preserve"> REF _Ref506316658 \h </w:instrText>
      </w:r>
      <w:r w:rsidR="00E87E42">
        <w:instrText xml:space="preserve"> \* MERGEFORMAT </w:instrText>
      </w:r>
      <w:r w:rsidR="00780FE8" w:rsidRPr="00E87E42">
        <w:fldChar w:fldCharType="separate"/>
      </w:r>
      <w:r w:rsidR="009F6872" w:rsidRPr="00E87E42">
        <w:t xml:space="preserve">Figure </w:t>
      </w:r>
      <w:r w:rsidR="009F6872">
        <w:rPr>
          <w:noProof/>
        </w:rPr>
        <w:t>15</w:t>
      </w:r>
      <w:r w:rsidR="00780FE8" w:rsidRPr="00E87E42">
        <w:fldChar w:fldCharType="end"/>
      </w:r>
      <w:r w:rsidR="00780FE8" w:rsidRPr="00E87E42">
        <w:t xml:space="preserve"> </w:t>
      </w:r>
      <w:r w:rsidRPr="00E87E42">
        <w:t xml:space="preserve">(a), shows </w:t>
      </w:r>
      <w:r w:rsidR="00770027" w:rsidRPr="00E87E42">
        <w:t xml:space="preserve">that </w:t>
      </w:r>
      <w:r w:rsidRPr="00E87E42">
        <w:t>the upper</w:t>
      </w:r>
      <w:r w:rsidR="00770027" w:rsidRPr="00E87E42">
        <w:t xml:space="preserve"> damage</w:t>
      </w:r>
      <w:r w:rsidRPr="00E87E42">
        <w:t xml:space="preserve"> limit in</w:t>
      </w:r>
      <w:r w:rsidR="00770027" w:rsidRPr="00E87E42">
        <w:t xml:space="preserve"> the </w:t>
      </w:r>
      <w:r w:rsidRPr="00E87E42">
        <w:t xml:space="preserve">UK </w:t>
      </w:r>
      <w:r w:rsidR="00770027" w:rsidRPr="00E87E42">
        <w:t xml:space="preserve">data is </w:t>
      </w:r>
      <w:r w:rsidRPr="00E87E42">
        <w:t xml:space="preserve">19 </w:t>
      </w:r>
      <w:r w:rsidR="00770027" w:rsidRPr="00E87E42">
        <w:t>m</w:t>
      </w:r>
      <w:r w:rsidR="00770027" w:rsidRPr="00E87E42">
        <w:rPr>
          <w:vertAlign w:val="superscript"/>
        </w:rPr>
        <w:t>2</w:t>
      </w:r>
      <w:r w:rsidRPr="00E87E42">
        <w:t xml:space="preserve"> </w:t>
      </w:r>
      <w:r w:rsidR="00770027" w:rsidRPr="00E87E42">
        <w:t xml:space="preserve">whereas, the USA data show that the probability of this value </w:t>
      </w:r>
      <w:proofErr w:type="gramStart"/>
      <w:r w:rsidR="00770027" w:rsidRPr="00E87E42">
        <w:t>being exceeded</w:t>
      </w:r>
      <w:proofErr w:type="gramEnd"/>
      <w:r w:rsidR="00770027" w:rsidRPr="00E87E42">
        <w:t xml:space="preserve"> is </w:t>
      </w:r>
      <w:r w:rsidRPr="00E87E42">
        <w:t>26.27%</w:t>
      </w:r>
      <w:r w:rsidR="00770027" w:rsidRPr="00E87E42">
        <w:t>, and that the area damaged will exceed 1</w:t>
      </w:r>
      <w:r w:rsidR="00D53934" w:rsidRPr="00E87E42">
        <w:t>,</w:t>
      </w:r>
      <w:r w:rsidR="00770027" w:rsidRPr="00E87E42">
        <w:t>000</w:t>
      </w:r>
      <w:r w:rsidR="005F7917" w:rsidRPr="00E87E42">
        <w:t xml:space="preserve"> </w:t>
      </w:r>
      <w:r w:rsidR="00770027" w:rsidRPr="00E87E42">
        <w:t>m</w:t>
      </w:r>
      <w:r w:rsidR="00770027" w:rsidRPr="00E87E42">
        <w:rPr>
          <w:vertAlign w:val="superscript"/>
        </w:rPr>
        <w:t>2</w:t>
      </w:r>
      <w:r w:rsidR="00770027" w:rsidRPr="00E87E42">
        <w:t xml:space="preserve"> on 8.24% of occasions. </w:t>
      </w:r>
      <w:r w:rsidRPr="00E87E42">
        <w:t xml:space="preserve">In </w:t>
      </w:r>
      <w:r w:rsidR="00770027" w:rsidRPr="00E87E42">
        <w:rPr>
          <w:i/>
        </w:rPr>
        <w:t>un-</w:t>
      </w:r>
      <w:proofErr w:type="spellStart"/>
      <w:r w:rsidR="00770027" w:rsidRPr="00E87E42">
        <w:rPr>
          <w:i/>
        </w:rPr>
        <w:t>sprinklered</w:t>
      </w:r>
      <w:proofErr w:type="spellEnd"/>
      <w:r w:rsidR="00770027" w:rsidRPr="00E87E42">
        <w:t xml:space="preserve"> </w:t>
      </w:r>
      <w:r w:rsidRPr="00E87E42">
        <w:rPr>
          <w:i/>
        </w:rPr>
        <w:t>Storage areas and other areas</w:t>
      </w:r>
      <w:r w:rsidRPr="00E87E42">
        <w:t xml:space="preserve">, </w:t>
      </w:r>
      <w:r w:rsidR="00770027" w:rsidRPr="00E87E42">
        <w:t xml:space="preserve">the USA data suggests that greater damage is to </w:t>
      </w:r>
      <w:proofErr w:type="gramStart"/>
      <w:r w:rsidR="00770027" w:rsidRPr="00E87E42">
        <w:t>be expected</w:t>
      </w:r>
      <w:proofErr w:type="gramEnd"/>
      <w:r w:rsidR="00770027" w:rsidRPr="00E87E42">
        <w:t xml:space="preserve"> than the UK data</w:t>
      </w:r>
      <w:r w:rsidR="002F04D9" w:rsidRPr="00E87E42">
        <w:t xml:space="preserve"> </w:t>
      </w:r>
      <w:r w:rsidR="00D576FD" w:rsidRPr="00E87E42">
        <w:t>predict</w:t>
      </w:r>
      <w:r w:rsidR="004C0AC4" w:rsidRPr="00E87E42">
        <w:t xml:space="preserve"> </w:t>
      </w:r>
      <w:r w:rsidRPr="00E87E42">
        <w:t>(</w:t>
      </w:r>
      <w:r w:rsidR="00780FE8" w:rsidRPr="00E87E42">
        <w:fldChar w:fldCharType="begin"/>
      </w:r>
      <w:r w:rsidR="00780FE8" w:rsidRPr="00E87E42">
        <w:instrText xml:space="preserve"> REF _Ref506316658 \h </w:instrText>
      </w:r>
      <w:r w:rsidR="00E87E42">
        <w:instrText xml:space="preserve"> \* MERGEFORMAT </w:instrText>
      </w:r>
      <w:r w:rsidR="00780FE8" w:rsidRPr="00E87E42">
        <w:fldChar w:fldCharType="separate"/>
      </w:r>
      <w:r w:rsidR="009F6872" w:rsidRPr="00E87E42">
        <w:t xml:space="preserve">Figure </w:t>
      </w:r>
      <w:r w:rsidR="009F6872">
        <w:rPr>
          <w:noProof/>
        </w:rPr>
        <w:t>15</w:t>
      </w:r>
      <w:r w:rsidR="00780FE8" w:rsidRPr="00E87E42">
        <w:fldChar w:fldCharType="end"/>
      </w:r>
      <w:r w:rsidR="00780FE8" w:rsidRPr="00E87E42">
        <w:t xml:space="preserve"> </w:t>
      </w:r>
      <w:r w:rsidRPr="00E87E42">
        <w:t>(b)).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9"/>
        <w:gridCol w:w="5178"/>
      </w:tblGrid>
      <w:tr w:rsidR="0051265D" w:rsidRPr="00E87E42" w14:paraId="5A13AA79" w14:textId="77777777" w:rsidTr="008A55B5">
        <w:tc>
          <w:tcPr>
            <w:tcW w:w="4399" w:type="dxa"/>
          </w:tcPr>
          <w:p w14:paraId="4418543F" w14:textId="76D9DFF0" w:rsidR="0051265D" w:rsidRPr="00E87E42" w:rsidRDefault="00F86058" w:rsidP="005E093E">
            <w:pPr>
              <w:jc w:val="center"/>
            </w:pPr>
            <w:r w:rsidRPr="00E87E42">
              <w:rPr>
                <w:noProof/>
                <w:lang w:eastAsia="en-GB"/>
              </w:rPr>
              <w:drawing>
                <wp:anchor distT="0" distB="0" distL="114300" distR="114300" simplePos="0" relativeHeight="253423616" behindDoc="0" locked="0" layoutInCell="1" allowOverlap="1" wp14:anchorId="2D1FA0A4" wp14:editId="1951B2B2">
                  <wp:simplePos x="0" y="0"/>
                  <wp:positionH relativeFrom="column">
                    <wp:posOffset>-57454</wp:posOffset>
                  </wp:positionH>
                  <wp:positionV relativeFrom="paragraph">
                    <wp:posOffset>525</wp:posOffset>
                  </wp:positionV>
                  <wp:extent cx="3172460" cy="2915920"/>
                  <wp:effectExtent l="0" t="0" r="2540" b="5080"/>
                  <wp:wrapSquare wrapText="bothSides"/>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sidR="0051265D" w:rsidRPr="00E87E42">
              <w:t>(a)</w:t>
            </w:r>
          </w:p>
        </w:tc>
        <w:tc>
          <w:tcPr>
            <w:tcW w:w="5848" w:type="dxa"/>
          </w:tcPr>
          <w:p w14:paraId="7464CCDA" w14:textId="20D86684" w:rsidR="0051265D" w:rsidRPr="00E87E42" w:rsidRDefault="005C47FE" w:rsidP="005E093E">
            <w:pPr>
              <w:jc w:val="center"/>
            </w:pPr>
            <w:r w:rsidRPr="00E87E42">
              <w:rPr>
                <w:noProof/>
                <w:lang w:eastAsia="en-GB"/>
              </w:rPr>
              <w:drawing>
                <wp:anchor distT="0" distB="0" distL="114300" distR="114300" simplePos="0" relativeHeight="253425664" behindDoc="0" locked="0" layoutInCell="1" allowOverlap="1" wp14:anchorId="5D243667" wp14:editId="662AC242">
                  <wp:simplePos x="0" y="0"/>
                  <wp:positionH relativeFrom="column">
                    <wp:posOffset>-65405</wp:posOffset>
                  </wp:positionH>
                  <wp:positionV relativeFrom="paragraph">
                    <wp:posOffset>0</wp:posOffset>
                  </wp:positionV>
                  <wp:extent cx="3240000" cy="2880000"/>
                  <wp:effectExtent l="0" t="0" r="0" b="3175"/>
                  <wp:wrapSquare wrapText="bothSides"/>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0051265D" w:rsidRPr="00E87E42">
              <w:t>(b)</w:t>
            </w:r>
          </w:p>
        </w:tc>
      </w:tr>
    </w:tbl>
    <w:p w14:paraId="133DED05" w14:textId="4FBDCFFE" w:rsidR="00E80139" w:rsidRPr="00E87E42" w:rsidRDefault="0051265D" w:rsidP="005E093E">
      <w:pPr>
        <w:pStyle w:val="Caption"/>
      </w:pPr>
      <w:bookmarkStart w:id="52" w:name="_Ref506316658"/>
      <w:r w:rsidRPr="00E87E42">
        <w:t xml:space="preserve">Figure </w:t>
      </w:r>
      <w:r w:rsidR="00A446AC" w:rsidRPr="00E87E42">
        <w:rPr>
          <w:noProof/>
        </w:rPr>
        <w:fldChar w:fldCharType="begin"/>
      </w:r>
      <w:r w:rsidR="00A446AC" w:rsidRPr="00E87E42">
        <w:rPr>
          <w:noProof/>
        </w:rPr>
        <w:instrText xml:space="preserve"> SEQ Figure \* ARABIC </w:instrText>
      </w:r>
      <w:r w:rsidR="00A446AC" w:rsidRPr="00E87E42">
        <w:rPr>
          <w:noProof/>
        </w:rPr>
        <w:fldChar w:fldCharType="separate"/>
      </w:r>
      <w:r w:rsidR="009F6872">
        <w:rPr>
          <w:noProof/>
        </w:rPr>
        <w:t>15</w:t>
      </w:r>
      <w:r w:rsidR="00A446AC" w:rsidRPr="00E87E42">
        <w:rPr>
          <w:noProof/>
        </w:rPr>
        <w:fldChar w:fldCharType="end"/>
      </w:r>
      <w:bookmarkEnd w:id="52"/>
      <w:r w:rsidRPr="00E87E42">
        <w:t xml:space="preserve">: Frequency distribution of area damage in terms of number of fires in Hotels </w:t>
      </w:r>
      <w:r w:rsidR="003053B9" w:rsidRPr="00E87E42">
        <w:t>(Assembly areas, Bedrooms and Storage</w:t>
      </w:r>
      <w:r w:rsidR="005C47FE" w:rsidRPr="00E87E42">
        <w:t xml:space="preserve"> and Other</w:t>
      </w:r>
      <w:r w:rsidR="003053B9" w:rsidRPr="00E87E42">
        <w:t xml:space="preserve"> areas) for (a) presence and (b) absence of automatic extinguishing systems</w:t>
      </w:r>
      <w:r w:rsidR="003053B9" w:rsidRPr="00E87E42" w:rsidDel="003053B9">
        <w:t xml:space="preserve"> </w:t>
      </w:r>
    </w:p>
    <w:p w14:paraId="77A8A00B" w14:textId="14E9725C" w:rsidR="00670038" w:rsidRPr="00E87E42" w:rsidRDefault="000D3FDA" w:rsidP="004A2F07">
      <w:r w:rsidRPr="00E87E42">
        <w:t xml:space="preserve">As can be seen from the above analyses, there seems to be a consistent and significant difference in the probability of area damaged, with the USA statistics presenting higher probabilities in every case compared to the data presented in </w:t>
      </w:r>
      <w:r w:rsidR="00A55C6E">
        <w:t>t</w:t>
      </w:r>
      <w:r w:rsidRPr="00E87E42">
        <w:t xml:space="preserve">ables A.6, A.7 and A.8 of PD 7974-7 which should be revised using more current fire statistics. </w:t>
      </w:r>
    </w:p>
    <w:p w14:paraId="4B8CC6CB" w14:textId="426F80FA" w:rsidR="006715B6" w:rsidRPr="00E87E42" w:rsidRDefault="006715B6" w:rsidP="008A55B5">
      <w:pPr>
        <w:pStyle w:val="Heading1"/>
        <w:numPr>
          <w:ilvl w:val="0"/>
          <w:numId w:val="35"/>
        </w:numPr>
      </w:pPr>
      <w:r w:rsidRPr="00E87E42">
        <w:t>average loss per fire</w:t>
      </w:r>
    </w:p>
    <w:p w14:paraId="083B7F20" w14:textId="0917D601" w:rsidR="004F58DC" w:rsidRPr="00E87E42" w:rsidRDefault="00064455" w:rsidP="004F58DC">
      <w:pPr>
        <w:spacing w:before="120"/>
      </w:pPr>
      <w:r w:rsidRPr="00E87E42">
        <w:t xml:space="preserve">Table A.12 presents the average loss per fire </w:t>
      </w:r>
      <w:r w:rsidR="00536847" w:rsidRPr="00E87E42">
        <w:t xml:space="preserve">in </w:t>
      </w:r>
      <w:r w:rsidRPr="00E87E42">
        <w:t>1966 for different property types. The</w:t>
      </w:r>
      <w:r w:rsidR="00536847" w:rsidRPr="00E87E42">
        <w:t xml:space="preserve"> conversion of 1966 pounds to 2014 pounds is calculated using </w:t>
      </w:r>
      <w:r w:rsidRPr="00E87E42">
        <w:t xml:space="preserve">Historical UK inflation rates </w:t>
      </w:r>
      <w:r w:rsidR="00536847" w:rsidRPr="00E87E42">
        <w:t>and</w:t>
      </w:r>
      <w:r w:rsidRPr="00E87E42">
        <w:t xml:space="preserve"> is equal to </w:t>
      </w:r>
      <w:r w:rsidR="00536847" w:rsidRPr="00E87E42">
        <w:t>£1 : £</w:t>
      </w:r>
      <w:r w:rsidRPr="00E87E42">
        <w:t>16.</w:t>
      </w:r>
      <w:r w:rsidR="00431AA8" w:rsidRPr="00E87E42">
        <w:t>64</w:t>
      </w:r>
      <w:r w:rsidR="00536847" w:rsidRPr="00E87E42">
        <w:t xml:space="preserve"> </w:t>
      </w:r>
      <w:r w:rsidR="00431AA8" w:rsidRPr="00E87E42">
        <w:fldChar w:fldCharType="begin" w:fldLock="1"/>
      </w:r>
      <w:r w:rsidR="00BC5ED7" w:rsidRPr="00E87E42">
        <w:instrText>ADDIN CSL_CITATION {"citationItems":[{"id":"ITEM-1","itemData":{"author":[{"dropping-particle":"","family":"Bank of England Inflation Calculator","given":"","non-dropping-particle":"","parse-names":false,"suffix":""}],"id":"ITEM-1","issued":{"date-parts":[["0"]]},"title":"http://bankofengland.education/inflationcalculator/","type":"webpage"},"uris":["http://www.mendeley.com/documents/?uuid=cc4f239c-7d35-460e-bf2d-f3b29ed71d08","http://www.mendeley.com/documents/?uuid=afa2b7f8-0e16-4984-9280-d0b806a54f45"]}],"mendeley":{"formattedCitation":"[43]","plainTextFormattedCitation":"[43]","previouslyFormattedCitation":"[43]"},"properties":{"noteIndex":0},"schema":"https://github.com/citation-style-language/schema/raw/master/csl-citation.json"}</w:instrText>
      </w:r>
      <w:r w:rsidR="00431AA8" w:rsidRPr="00E87E42">
        <w:fldChar w:fldCharType="separate"/>
      </w:r>
      <w:r w:rsidR="00BC5ED7" w:rsidRPr="00E87E42">
        <w:rPr>
          <w:noProof/>
        </w:rPr>
        <w:t>[43]</w:t>
      </w:r>
      <w:r w:rsidR="00431AA8" w:rsidRPr="00E87E42">
        <w:fldChar w:fldCharType="end"/>
      </w:r>
      <w:r w:rsidR="00536847" w:rsidRPr="00E87E42">
        <w:t xml:space="preserve">. </w:t>
      </w:r>
      <w:r w:rsidR="004F58DC" w:rsidRPr="00E87E42">
        <w:t xml:space="preserve">NFIRS fire loss data </w:t>
      </w:r>
      <w:proofErr w:type="gramStart"/>
      <w:r w:rsidR="004F58DC" w:rsidRPr="00E87E42">
        <w:t>is calculated</w:t>
      </w:r>
      <w:proofErr w:type="gramEnd"/>
      <w:r w:rsidR="004F58DC" w:rsidRPr="00E87E42">
        <w:t xml:space="preserve"> using </w:t>
      </w:r>
      <w:r w:rsidR="00257A1D" w:rsidRPr="00E87E42">
        <w:t xml:space="preserve">Eq. </w:t>
      </w:r>
      <w:r w:rsidR="004F58DC" w:rsidRPr="00E87E42">
        <w:t xml:space="preserve">4 above in Section </w:t>
      </w:r>
      <w:r w:rsidR="004F58DC" w:rsidRPr="00E87E42">
        <w:fldChar w:fldCharType="begin"/>
      </w:r>
      <w:r w:rsidR="004F58DC" w:rsidRPr="00E87E42">
        <w:instrText xml:space="preserve"> REF _Ref520387638 \r \h  \* MERGEFORMAT </w:instrText>
      </w:r>
      <w:r w:rsidR="004F58DC" w:rsidRPr="00E87E42">
        <w:fldChar w:fldCharType="separate"/>
      </w:r>
      <w:r w:rsidR="009F6872">
        <w:t>3.1</w:t>
      </w:r>
      <w:r w:rsidR="004F58DC" w:rsidRPr="00E87E42">
        <w:fldChar w:fldCharType="end"/>
      </w:r>
      <w:r w:rsidR="004F58DC" w:rsidRPr="00E87E42">
        <w:t xml:space="preserve"> and an average loss per fire can then be calculated for different property types. </w:t>
      </w:r>
      <w:r w:rsidR="008A07D4" w:rsidRPr="00E87E42">
        <w:t>T</w:t>
      </w:r>
      <w:r w:rsidRPr="00E87E42">
        <w:t>able</w:t>
      </w:r>
      <w:r w:rsidR="008A07D4" w:rsidRPr="00E87E42">
        <w:t xml:space="preserve"> A.12</w:t>
      </w:r>
      <w:r w:rsidRPr="00E87E42">
        <w:t xml:space="preserve"> </w:t>
      </w:r>
      <w:r w:rsidR="00536847" w:rsidRPr="00E87E42">
        <w:t xml:space="preserve">can therefore be expressed and compared to USA fire loss data, where the USD to GBP conversion </w:t>
      </w:r>
      <w:r w:rsidR="00E54E54" w:rsidRPr="00E87E42">
        <w:t xml:space="preserve">is necessary to have the same currency and </w:t>
      </w:r>
      <w:r w:rsidRPr="00E87E42">
        <w:t>i</w:t>
      </w:r>
      <w:r w:rsidR="00536847" w:rsidRPr="00E87E42">
        <w:t xml:space="preserve">s based on December 2014 exchange rate </w:t>
      </w:r>
      <w:r w:rsidR="00431AA8" w:rsidRPr="00E87E42">
        <w:fldChar w:fldCharType="begin" w:fldLock="1"/>
      </w:r>
      <w:r w:rsidR="00BC5ED7" w:rsidRPr="00E87E42">
        <w:instrText>ADDIN CSL_CITATION {"citationItems":[{"id":"ITEM-1","itemData":{"author":[{"dropping-particle":"","family":"OFX International Money Transfer and Exchange","given":"","non-dropping-particle":"","parse-names":false,"suffix":""}],"id":"ITEM-1","issued":{"date-parts":[["0"]]},"title":"https://www.ofx.com/en-gb/forex-news/historical-exchange-rates/yearly-average-rates/","type":"webpage"},"uris":["http://www.mendeley.com/documents/?uuid=c0a17fa9-55c8-4084-b484-3c702a2522a8","http://www.mendeley.com/documents/?uuid=baf3df37-3815-470b-b5a8-ba820174347b"]}],"mendeley":{"formattedCitation":"[44]","plainTextFormattedCitation":"[44]","previouslyFormattedCitation":"[44]"},"properties":{"noteIndex":0},"schema":"https://github.com/citation-style-language/schema/raw/master/csl-citation.json"}</w:instrText>
      </w:r>
      <w:r w:rsidR="00431AA8" w:rsidRPr="00E87E42">
        <w:fldChar w:fldCharType="separate"/>
      </w:r>
      <w:r w:rsidR="00BC5ED7" w:rsidRPr="00E87E42">
        <w:rPr>
          <w:noProof/>
        </w:rPr>
        <w:t>[44]</w:t>
      </w:r>
      <w:r w:rsidR="00431AA8" w:rsidRPr="00E87E42">
        <w:fldChar w:fldCharType="end"/>
      </w:r>
      <w:r w:rsidR="00431AA8" w:rsidRPr="00E87E42">
        <w:t xml:space="preserve"> </w:t>
      </w:r>
      <w:r w:rsidR="00536847" w:rsidRPr="00E87E42">
        <w:t>of $</w:t>
      </w:r>
      <m:oMath>
        <m:r>
          <w:rPr>
            <w:rFonts w:ascii="Cambria Math" w:hAnsi="Cambria Math"/>
          </w:rPr>
          <m:t>1- USD=£0.607353-GBP</m:t>
        </m:r>
      </m:oMath>
      <w:r w:rsidR="00536847" w:rsidRPr="00E87E42">
        <w:t>.</w:t>
      </w:r>
      <w:r w:rsidR="004F58DC" w:rsidRPr="00E87E42">
        <w:t xml:space="preserve"> </w:t>
      </w:r>
    </w:p>
    <w:p w14:paraId="63BC7929" w14:textId="4D70283A" w:rsidR="00251D98" w:rsidRPr="00E87E42" w:rsidRDefault="00064455" w:rsidP="00257A1D">
      <w:pPr>
        <w:spacing w:before="120"/>
      </w:pPr>
      <w:r w:rsidRPr="00E87E42">
        <w:t xml:space="preserve">The different property types </w:t>
      </w:r>
      <w:r w:rsidR="00B87B41" w:rsidRPr="00E87E42">
        <w:t xml:space="preserve">in Table </w:t>
      </w:r>
      <w:r w:rsidR="00431AA8" w:rsidRPr="00E87E42">
        <w:t>A.</w:t>
      </w:r>
      <w:r w:rsidR="00B87B41" w:rsidRPr="00E87E42">
        <w:t xml:space="preserve">12 of </w:t>
      </w:r>
      <w:r w:rsidR="00115A36" w:rsidRPr="00E87E42">
        <w:t xml:space="preserve">PD 7974-7 </w:t>
      </w:r>
      <w:r w:rsidR="00B87B41" w:rsidRPr="00E87E42">
        <w:t xml:space="preserve">have </w:t>
      </w:r>
      <w:r w:rsidR="009C619E" w:rsidRPr="00E87E42">
        <w:t xml:space="preserve">no </w:t>
      </w:r>
      <w:r w:rsidR="00115A36" w:rsidRPr="00E87E42">
        <w:t>direct comparison</w:t>
      </w:r>
      <w:r w:rsidR="00B87B41" w:rsidRPr="00E87E42">
        <w:t xml:space="preserve"> in the NF</w:t>
      </w:r>
      <w:r w:rsidR="00407E2D" w:rsidRPr="00E87E42">
        <w:t>IR</w:t>
      </w:r>
      <w:r w:rsidR="00B87B41" w:rsidRPr="00E87E42">
        <w:t xml:space="preserve">S </w:t>
      </w:r>
      <w:proofErr w:type="gramStart"/>
      <w:r w:rsidR="00B87B41" w:rsidRPr="00E87E42">
        <w:t>database</w:t>
      </w:r>
      <w:r w:rsidR="00115A36" w:rsidRPr="00E87E42">
        <w:t>,</w:t>
      </w:r>
      <w:proofErr w:type="gramEnd"/>
      <w:r w:rsidR="00115A36" w:rsidRPr="00E87E42">
        <w:t xml:space="preserve"> </w:t>
      </w:r>
      <w:r w:rsidR="00B87B41" w:rsidRPr="00E87E42">
        <w:t xml:space="preserve">therefore </w:t>
      </w:r>
      <w:r w:rsidR="00115A36" w:rsidRPr="00E87E42">
        <w:t xml:space="preserve">some classes </w:t>
      </w:r>
      <w:r w:rsidR="004F58DC" w:rsidRPr="00E87E42">
        <w:t xml:space="preserve">have </w:t>
      </w:r>
      <w:r w:rsidR="00115A36" w:rsidRPr="00E87E42">
        <w:t xml:space="preserve">been grouped together. Based on the </w:t>
      </w:r>
      <w:r w:rsidR="00F16828">
        <w:t>classes</w:t>
      </w:r>
      <w:r w:rsidR="00115A36" w:rsidRPr="00E87E42">
        <w:t xml:space="preserve"> in </w:t>
      </w:r>
      <w:r w:rsidR="00B87B41" w:rsidRPr="00E87E42">
        <w:t>Table A.12</w:t>
      </w:r>
      <w:r w:rsidR="002E5A05">
        <w:t>,</w:t>
      </w:r>
      <w:r w:rsidR="00115A36" w:rsidRPr="00E87E42">
        <w:t xml:space="preserve"> the following</w:t>
      </w:r>
      <w:r w:rsidR="00B87B41" w:rsidRPr="00E87E42">
        <w:t xml:space="preserve"> classifications have been </w:t>
      </w:r>
      <w:bookmarkStart w:id="53" w:name="_GoBack"/>
      <w:bookmarkEnd w:id="53"/>
      <w:r w:rsidR="00B87B41" w:rsidRPr="00E87E42">
        <w:lastRenderedPageBreak/>
        <w:t>adopted</w:t>
      </w:r>
      <w:r w:rsidR="004558F5" w:rsidRPr="00E87E42">
        <w:t xml:space="preserve"> in the NFIRS</w:t>
      </w:r>
      <w:r w:rsidR="00115A36" w:rsidRPr="00E87E42">
        <w:t>:</w:t>
      </w:r>
      <w:r w:rsidR="004558F5" w:rsidRPr="00E87E42">
        <w:rPr>
          <w:u w:val="single"/>
        </w:rPr>
        <w:t xml:space="preserve"> </w:t>
      </w:r>
      <w:r w:rsidR="00115A36" w:rsidRPr="00E87E42">
        <w:rPr>
          <w:u w:val="single"/>
        </w:rPr>
        <w:t>Wholesale distributive trades</w:t>
      </w:r>
      <w:r w:rsidR="00F60655" w:rsidRPr="00E87E42">
        <w:t xml:space="preserve"> and </w:t>
      </w:r>
      <w:r w:rsidR="00115A36" w:rsidRPr="00E87E42">
        <w:rPr>
          <w:u w:val="single"/>
        </w:rPr>
        <w:t>Retail distributive trades</w:t>
      </w:r>
      <w:r w:rsidR="004558F5" w:rsidRPr="00E87E42">
        <w:t xml:space="preserve"> g</w:t>
      </w:r>
      <w:r w:rsidR="00115A36" w:rsidRPr="00E87E42">
        <w:t xml:space="preserve">rouped together and considered as </w:t>
      </w:r>
      <w:r w:rsidR="00115A36" w:rsidRPr="00E87E42">
        <w:rPr>
          <w:i/>
        </w:rPr>
        <w:t>Mercantile</w:t>
      </w:r>
      <w:r w:rsidR="00A43875" w:rsidRPr="00E87E42">
        <w:rPr>
          <w:i/>
        </w:rPr>
        <w:t xml:space="preserve">, </w:t>
      </w:r>
      <w:r w:rsidR="00B87B41" w:rsidRPr="00E87E42">
        <w:rPr>
          <w:i/>
        </w:rPr>
        <w:t>B</w:t>
      </w:r>
      <w:r w:rsidR="00115A36" w:rsidRPr="00E87E42">
        <w:rPr>
          <w:i/>
        </w:rPr>
        <w:t>usiness</w:t>
      </w:r>
      <w:r w:rsidR="004558F5" w:rsidRPr="00E87E42">
        <w:t xml:space="preserve">; </w:t>
      </w:r>
      <w:r w:rsidR="00115A36" w:rsidRPr="00E87E42">
        <w:rPr>
          <w:u w:val="single"/>
        </w:rPr>
        <w:t>Chemical and allied</w:t>
      </w:r>
      <w:r w:rsidR="00115A36" w:rsidRPr="00E87E42">
        <w:t xml:space="preserve"> as </w:t>
      </w:r>
      <w:r w:rsidR="00477B62" w:rsidRPr="00E87E42">
        <w:t>the</w:t>
      </w:r>
      <w:r w:rsidR="00115A36" w:rsidRPr="00E87E42">
        <w:t xml:space="preserve"> sum of:</w:t>
      </w:r>
      <w:r w:rsidR="004558F5" w:rsidRPr="00E87E42">
        <w:rPr>
          <w:rFonts w:cs="Joanna MT Std"/>
          <w:i/>
          <w:color w:val="000000"/>
        </w:rPr>
        <w:t xml:space="preserve"> </w:t>
      </w:r>
      <w:r w:rsidR="00115A36" w:rsidRPr="00E87E42">
        <w:rPr>
          <w:rFonts w:cs="Joanna MT Std"/>
          <w:i/>
          <w:color w:val="000000"/>
        </w:rPr>
        <w:t>Laboratory or science laboratory</w:t>
      </w:r>
      <w:r w:rsidR="0082410F" w:rsidRPr="00E87E42">
        <w:rPr>
          <w:rFonts w:cs="Joanna MT Std"/>
          <w:color w:val="000000"/>
        </w:rPr>
        <w:t>,</w:t>
      </w:r>
      <w:r w:rsidR="004558F5" w:rsidRPr="00E87E42">
        <w:rPr>
          <w:rFonts w:cs="Joanna MT Std"/>
          <w:color w:val="221E1F"/>
        </w:rPr>
        <w:t xml:space="preserve"> </w:t>
      </w:r>
      <w:r w:rsidR="00115A36" w:rsidRPr="00E87E42">
        <w:rPr>
          <w:rFonts w:cs="Joanna MT Std"/>
          <w:i/>
          <w:color w:val="221E1F"/>
        </w:rPr>
        <w:t>Gas distribution, gas pipeline</w:t>
      </w:r>
      <w:r w:rsidR="004558F5" w:rsidRPr="00E87E42">
        <w:rPr>
          <w:rFonts w:cs="Joanna MT Std"/>
          <w:i/>
          <w:color w:val="221E1F"/>
        </w:rPr>
        <w:t xml:space="preserve"> and </w:t>
      </w:r>
      <w:r w:rsidR="00115A36" w:rsidRPr="00E87E42">
        <w:rPr>
          <w:rFonts w:cs="Joanna MT Std"/>
          <w:i/>
          <w:color w:val="221E1F"/>
        </w:rPr>
        <w:t>Flammable liquid distribution system, flammable liquid pipeline</w:t>
      </w:r>
      <w:r w:rsidR="004558F5" w:rsidRPr="00E87E42">
        <w:rPr>
          <w:rFonts w:cs="Joanna MT Std"/>
          <w:i/>
          <w:color w:val="221E1F"/>
        </w:rPr>
        <w:t xml:space="preserve">; </w:t>
      </w:r>
      <w:r w:rsidR="00115A36" w:rsidRPr="00E87E42">
        <w:rPr>
          <w:u w:val="single"/>
        </w:rPr>
        <w:t>Timber and furniture</w:t>
      </w:r>
      <w:r w:rsidR="00431AA8" w:rsidRPr="00E87E42">
        <w:t xml:space="preserve">, </w:t>
      </w:r>
      <w:r w:rsidR="00251D98" w:rsidRPr="00E87E42">
        <w:rPr>
          <w:u w:val="single"/>
        </w:rPr>
        <w:t xml:space="preserve">Textiles </w:t>
      </w:r>
      <w:r w:rsidR="00F60655" w:rsidRPr="00E87E42">
        <w:t>and</w:t>
      </w:r>
      <w:r w:rsidR="00F60655" w:rsidRPr="00E87E42">
        <w:rPr>
          <w:u w:val="single"/>
        </w:rPr>
        <w:t xml:space="preserve"> </w:t>
      </w:r>
      <w:r w:rsidR="00251D98" w:rsidRPr="00E87E42">
        <w:rPr>
          <w:u w:val="single"/>
        </w:rPr>
        <w:t xml:space="preserve">Paper, printing and publishing </w:t>
      </w:r>
      <w:r w:rsidR="00F60655" w:rsidRPr="00E87E42">
        <w:t>grouped together and</w:t>
      </w:r>
      <w:r w:rsidR="00251D98" w:rsidRPr="00E87E42">
        <w:t xml:space="preserve"> considered as </w:t>
      </w:r>
      <w:r w:rsidR="00251D98" w:rsidRPr="00E87E42">
        <w:rPr>
          <w:i/>
        </w:rPr>
        <w:t>Manufacturi</w:t>
      </w:r>
      <w:r w:rsidR="002B2ABF" w:rsidRPr="00E87E42">
        <w:rPr>
          <w:i/>
        </w:rPr>
        <w:t xml:space="preserve">ng, </w:t>
      </w:r>
      <w:r w:rsidR="00251D98" w:rsidRPr="00E87E42">
        <w:rPr>
          <w:i/>
        </w:rPr>
        <w:t>Processing</w:t>
      </w:r>
      <w:r w:rsidR="009C619E" w:rsidRPr="00E87E42">
        <w:t>.</w:t>
      </w:r>
    </w:p>
    <w:p w14:paraId="5CA2C3B6" w14:textId="112706F9" w:rsidR="00C916B1" w:rsidRPr="00E87E42" w:rsidRDefault="00AE12CF" w:rsidP="008A55B5">
      <w:r w:rsidRPr="00E87E42">
        <w:fldChar w:fldCharType="begin"/>
      </w:r>
      <w:r w:rsidRPr="00E87E42">
        <w:instrText xml:space="preserve"> REF _Ref517717551 \h </w:instrText>
      </w:r>
      <w:r w:rsidR="00E87E42">
        <w:instrText xml:space="preserve"> \* MERGEFORMAT </w:instrText>
      </w:r>
      <w:r w:rsidRPr="00E87E42">
        <w:fldChar w:fldCharType="separate"/>
      </w:r>
      <w:r w:rsidR="009F6872" w:rsidRPr="00E87E42">
        <w:t xml:space="preserve">Table </w:t>
      </w:r>
      <w:r w:rsidR="009F6872">
        <w:rPr>
          <w:noProof/>
        </w:rPr>
        <w:t>11</w:t>
      </w:r>
      <w:r w:rsidRPr="00E87E42">
        <w:fldChar w:fldCharType="end"/>
      </w:r>
      <w:r w:rsidRPr="00E87E42">
        <w:t xml:space="preserve"> </w:t>
      </w:r>
      <w:r w:rsidR="00B87B41" w:rsidRPr="00E87E42">
        <w:t xml:space="preserve">presents the analysis for </w:t>
      </w:r>
      <w:r w:rsidR="00837B37" w:rsidRPr="00E87E42">
        <w:t>all the property types</w:t>
      </w:r>
      <w:r w:rsidR="00644E6F" w:rsidRPr="00E87E42">
        <w:t xml:space="preserve"> listed in Table A.12 as well as several others found in the NF</w:t>
      </w:r>
      <w:r w:rsidR="00407E2D" w:rsidRPr="00E87E42">
        <w:t>IR</w:t>
      </w:r>
      <w:r w:rsidR="00644E6F" w:rsidRPr="00E87E42">
        <w:t xml:space="preserve">S statistics (i.e. Educational). </w:t>
      </w:r>
      <w:r w:rsidR="00E346E9" w:rsidRPr="00E87E42">
        <w:t xml:space="preserve">In general, the presence of </w:t>
      </w:r>
      <w:r w:rsidR="00644E6F" w:rsidRPr="00E87E42">
        <w:t>sprinklers reduces</w:t>
      </w:r>
      <w:r w:rsidR="000B503A" w:rsidRPr="00E87E42">
        <w:t xml:space="preserve"> </w:t>
      </w:r>
      <w:r w:rsidR="00644E6F" w:rsidRPr="00E87E42">
        <w:t xml:space="preserve">the expected </w:t>
      </w:r>
      <w:r w:rsidR="00E346E9" w:rsidRPr="00E87E42">
        <w:t>financial loss per fire. Clearly, there are also some exceptions for example in the NFIRS for single storey in Outside and special property (£11,91</w:t>
      </w:r>
      <w:r w:rsidR="00771D2A" w:rsidRPr="00E87E42">
        <w:t>6</w:t>
      </w:r>
      <w:r w:rsidR="00E346E9" w:rsidRPr="00E87E42">
        <w:t xml:space="preserve"> </w:t>
      </w:r>
      <w:proofErr w:type="spellStart"/>
      <w:r w:rsidR="00E346E9" w:rsidRPr="00E87E42">
        <w:t>sprinklered</w:t>
      </w:r>
      <w:proofErr w:type="spellEnd"/>
      <w:r w:rsidR="00E346E9" w:rsidRPr="00E87E42">
        <w:t xml:space="preserve"> and £7,91</w:t>
      </w:r>
      <w:r w:rsidR="00771D2A" w:rsidRPr="00E87E42">
        <w:t>8</w:t>
      </w:r>
      <w:r w:rsidR="00E346E9" w:rsidRPr="00E87E42">
        <w:t xml:space="preserve"> in un</w:t>
      </w:r>
      <w:r w:rsidR="00644E6F" w:rsidRPr="00E87E42">
        <w:t>-</w:t>
      </w:r>
      <w:proofErr w:type="spellStart"/>
      <w:r w:rsidR="00E346E9" w:rsidRPr="00E87E42">
        <w:t>sprinklered</w:t>
      </w:r>
      <w:proofErr w:type="spellEnd"/>
      <w:r w:rsidR="00E346E9" w:rsidRPr="00E87E42">
        <w:t xml:space="preserve">) and for multi-storey in Industrial, Utility, </w:t>
      </w:r>
      <w:r w:rsidR="002B2ABF" w:rsidRPr="00E87E42">
        <w:t>D</w:t>
      </w:r>
      <w:r w:rsidR="00E346E9" w:rsidRPr="00E87E42">
        <w:t>efence, Agricultural and Mining (£887,73</w:t>
      </w:r>
      <w:r w:rsidR="00771D2A" w:rsidRPr="00E87E42">
        <w:t>1</w:t>
      </w:r>
      <w:r w:rsidR="00E346E9" w:rsidRPr="00E87E42">
        <w:t xml:space="preserve"> </w:t>
      </w:r>
      <w:proofErr w:type="spellStart"/>
      <w:r w:rsidR="00E346E9" w:rsidRPr="00E87E42">
        <w:t>sprinklered</w:t>
      </w:r>
      <w:proofErr w:type="spellEnd"/>
      <w:r w:rsidR="00E346E9" w:rsidRPr="00E87E42">
        <w:t xml:space="preserve"> and £45,585 un</w:t>
      </w:r>
      <w:r w:rsidR="00644E6F" w:rsidRPr="00E87E42">
        <w:t>-</w:t>
      </w:r>
      <w:proofErr w:type="spellStart"/>
      <w:r w:rsidR="00E346E9" w:rsidRPr="00E87E42">
        <w:t>sprinklered</w:t>
      </w:r>
      <w:proofErr w:type="spellEnd"/>
      <w:r w:rsidR="00E346E9" w:rsidRPr="00E87E42">
        <w:t>).</w:t>
      </w:r>
      <w:r w:rsidR="00644E6F" w:rsidRPr="00E87E42">
        <w:t xml:space="preserve"> </w:t>
      </w:r>
      <w:r w:rsidR="00771D2A" w:rsidRPr="00E87E42">
        <w:t xml:space="preserve">All the financial losses for the NFIRS in </w:t>
      </w:r>
      <w:r w:rsidR="00771D2A" w:rsidRPr="00E87E42">
        <w:fldChar w:fldCharType="begin"/>
      </w:r>
      <w:r w:rsidR="00771D2A" w:rsidRPr="00E87E42">
        <w:instrText xml:space="preserve"> REF _Ref517717551 \h  \* MERGEFORMAT </w:instrText>
      </w:r>
      <w:r w:rsidR="00771D2A" w:rsidRPr="00E87E42">
        <w:fldChar w:fldCharType="separate"/>
      </w:r>
      <w:r w:rsidR="009F6872" w:rsidRPr="00E87E42">
        <w:t xml:space="preserve">Table </w:t>
      </w:r>
      <w:r w:rsidR="009F6872">
        <w:rPr>
          <w:noProof/>
        </w:rPr>
        <w:t>11</w:t>
      </w:r>
      <w:r w:rsidR="00771D2A" w:rsidRPr="00E87E42">
        <w:fldChar w:fldCharType="end"/>
      </w:r>
      <w:r w:rsidR="00771D2A" w:rsidRPr="00E87E42">
        <w:t xml:space="preserve"> </w:t>
      </w:r>
      <w:proofErr w:type="gramStart"/>
      <w:r w:rsidR="00771D2A" w:rsidRPr="00E87E42">
        <w:t>have been rounded</w:t>
      </w:r>
      <w:proofErr w:type="gramEnd"/>
      <w:r w:rsidR="00771D2A" w:rsidRPr="00E87E42">
        <w:t xml:space="preserve"> to the nearest pound.</w:t>
      </w:r>
    </w:p>
    <w:p w14:paraId="4E500B1A" w14:textId="7C65DE98" w:rsidR="00115978" w:rsidRPr="00E87E42" w:rsidRDefault="00771D2A" w:rsidP="008A55B5">
      <w:pPr>
        <w:pStyle w:val="Caption"/>
      </w:pPr>
      <w:bookmarkStart w:id="54" w:name="_Ref517717551"/>
      <w:r w:rsidRPr="00E87E42">
        <w:t xml:space="preserve">Table </w:t>
      </w:r>
      <w:r w:rsidR="00BC5ED7" w:rsidRPr="00E87E42">
        <w:rPr>
          <w:noProof/>
        </w:rPr>
        <w:fldChar w:fldCharType="begin"/>
      </w:r>
      <w:r w:rsidR="00BC5ED7" w:rsidRPr="00E87E42">
        <w:rPr>
          <w:noProof/>
        </w:rPr>
        <w:instrText xml:space="preserve"> SEQ Table \* ARABIC </w:instrText>
      </w:r>
      <w:r w:rsidR="00BC5ED7" w:rsidRPr="00E87E42">
        <w:rPr>
          <w:noProof/>
        </w:rPr>
        <w:fldChar w:fldCharType="separate"/>
      </w:r>
      <w:r w:rsidR="009F6872">
        <w:rPr>
          <w:noProof/>
        </w:rPr>
        <w:t>11</w:t>
      </w:r>
      <w:r w:rsidR="00BC5ED7" w:rsidRPr="00E87E42">
        <w:rPr>
          <w:noProof/>
        </w:rPr>
        <w:fldChar w:fldCharType="end"/>
      </w:r>
      <w:bookmarkEnd w:id="54"/>
      <w:r w:rsidRPr="00E87E42">
        <w:t>: Average loss per fire at 1966 for PD 7974-7 converted in 2014 prices in order to create a comparison with the USA fire statistics</w:t>
      </w:r>
    </w:p>
    <w:tbl>
      <w:tblPr>
        <w:tblW w:w="5000" w:type="pct"/>
        <w:tblCellMar>
          <w:left w:w="57" w:type="dxa"/>
          <w:right w:w="57" w:type="dxa"/>
        </w:tblCellMar>
        <w:tblLook w:val="04A0" w:firstRow="1" w:lastRow="0" w:firstColumn="1" w:lastColumn="0" w:noHBand="0" w:noVBand="1"/>
      </w:tblPr>
      <w:tblGrid>
        <w:gridCol w:w="1034"/>
        <w:gridCol w:w="839"/>
        <w:gridCol w:w="839"/>
        <w:gridCol w:w="949"/>
        <w:gridCol w:w="951"/>
        <w:gridCol w:w="839"/>
        <w:gridCol w:w="949"/>
        <w:gridCol w:w="839"/>
        <w:gridCol w:w="949"/>
        <w:gridCol w:w="1115"/>
        <w:gridCol w:w="949"/>
      </w:tblGrid>
      <w:tr w:rsidR="00771D2A" w:rsidRPr="00E87E42" w14:paraId="635DC296" w14:textId="77777777" w:rsidTr="008A55B5">
        <w:trPr>
          <w:trHeight w:val="170"/>
        </w:trPr>
        <w:tc>
          <w:tcPr>
            <w:tcW w:w="504" w:type="pct"/>
            <w:tcBorders>
              <w:top w:val="nil"/>
              <w:left w:val="nil"/>
              <w:bottom w:val="nil"/>
              <w:right w:val="nil"/>
            </w:tcBorders>
            <w:shd w:val="clear" w:color="auto" w:fill="auto"/>
            <w:noWrap/>
            <w:vAlign w:val="center"/>
            <w:hideMark/>
          </w:tcPr>
          <w:p w14:paraId="5B9DC520" w14:textId="77777777" w:rsidR="00771D2A" w:rsidRPr="00E87E42" w:rsidRDefault="00771D2A" w:rsidP="008A55B5">
            <w:pPr>
              <w:spacing w:after="0" w:line="240" w:lineRule="auto"/>
              <w:jc w:val="center"/>
              <w:rPr>
                <w:rFonts w:eastAsia="Times New Roman"/>
                <w:sz w:val="16"/>
                <w:szCs w:val="16"/>
                <w:lang w:eastAsia="en-GB"/>
              </w:rPr>
            </w:pPr>
          </w:p>
        </w:tc>
        <w:tc>
          <w:tcPr>
            <w:tcW w:w="174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03437" w14:textId="77777777" w:rsidR="00771D2A" w:rsidRPr="00E87E42" w:rsidRDefault="00771D2A" w:rsidP="00AE12CF">
            <w:pPr>
              <w:spacing w:after="0" w:line="240" w:lineRule="auto"/>
              <w:jc w:val="center"/>
              <w:rPr>
                <w:rFonts w:eastAsia="Times New Roman"/>
                <w:b/>
                <w:color w:val="000000"/>
                <w:sz w:val="16"/>
                <w:szCs w:val="16"/>
                <w:u w:val="single"/>
                <w:lang w:eastAsia="en-GB"/>
              </w:rPr>
            </w:pPr>
            <w:r w:rsidRPr="00E87E42">
              <w:rPr>
                <w:rFonts w:eastAsia="Times New Roman"/>
                <w:b/>
                <w:color w:val="000000"/>
                <w:sz w:val="16"/>
                <w:szCs w:val="16"/>
                <w:u w:val="single"/>
                <w:lang w:eastAsia="en-GB"/>
              </w:rPr>
              <w:t>PD 7974-7</w:t>
            </w:r>
          </w:p>
        </w:tc>
        <w:tc>
          <w:tcPr>
            <w:tcW w:w="2751" w:type="pct"/>
            <w:gridSpan w:val="6"/>
            <w:tcBorders>
              <w:top w:val="single" w:sz="4" w:space="0" w:color="auto"/>
              <w:left w:val="nil"/>
              <w:bottom w:val="single" w:sz="4" w:space="0" w:color="auto"/>
              <w:right w:val="single" w:sz="4" w:space="0" w:color="auto"/>
            </w:tcBorders>
            <w:shd w:val="clear" w:color="auto" w:fill="auto"/>
            <w:noWrap/>
            <w:vAlign w:val="center"/>
            <w:hideMark/>
          </w:tcPr>
          <w:p w14:paraId="730008C7" w14:textId="77777777" w:rsidR="00771D2A" w:rsidRPr="00E87E42" w:rsidRDefault="00771D2A" w:rsidP="00AE12CF">
            <w:pPr>
              <w:spacing w:after="0" w:line="240" w:lineRule="auto"/>
              <w:jc w:val="center"/>
              <w:rPr>
                <w:rFonts w:eastAsia="Times New Roman"/>
                <w:b/>
                <w:color w:val="000000"/>
                <w:sz w:val="16"/>
                <w:szCs w:val="16"/>
                <w:u w:val="single"/>
                <w:lang w:eastAsia="en-GB"/>
              </w:rPr>
            </w:pPr>
            <w:r w:rsidRPr="00E87E42">
              <w:rPr>
                <w:rFonts w:eastAsia="Times New Roman"/>
                <w:b/>
                <w:color w:val="000000"/>
                <w:sz w:val="16"/>
                <w:szCs w:val="16"/>
                <w:u w:val="single"/>
                <w:lang w:eastAsia="en-GB"/>
              </w:rPr>
              <w:t>USA data</w:t>
            </w:r>
          </w:p>
        </w:tc>
      </w:tr>
      <w:tr w:rsidR="00771D2A" w:rsidRPr="00E87E42" w14:paraId="295F5EAD" w14:textId="77777777" w:rsidTr="008A55B5">
        <w:trPr>
          <w:trHeight w:val="170"/>
        </w:trPr>
        <w:tc>
          <w:tcPr>
            <w:tcW w:w="504" w:type="pct"/>
            <w:tcBorders>
              <w:top w:val="nil"/>
              <w:left w:val="nil"/>
              <w:bottom w:val="single" w:sz="4" w:space="0" w:color="auto"/>
              <w:right w:val="nil"/>
            </w:tcBorders>
            <w:shd w:val="clear" w:color="auto" w:fill="auto"/>
            <w:noWrap/>
            <w:vAlign w:val="center"/>
            <w:hideMark/>
          </w:tcPr>
          <w:p w14:paraId="1EFEDDEB" w14:textId="546B137C" w:rsidR="00771D2A" w:rsidRPr="00E87E42" w:rsidRDefault="00771D2A" w:rsidP="00AE12CF">
            <w:pPr>
              <w:spacing w:after="0" w:line="240" w:lineRule="auto"/>
              <w:jc w:val="center"/>
              <w:rPr>
                <w:rFonts w:eastAsia="Times New Roman"/>
                <w:color w:val="000000"/>
                <w:sz w:val="16"/>
                <w:szCs w:val="16"/>
                <w:lang w:eastAsia="en-GB"/>
              </w:rPr>
            </w:pPr>
          </w:p>
        </w:tc>
        <w:tc>
          <w:tcPr>
            <w:tcW w:w="81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449A7" w14:textId="77777777" w:rsidR="00771D2A" w:rsidRPr="00E87E42" w:rsidRDefault="00771D2A" w:rsidP="00AE12C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Sprinklers</w:t>
            </w:r>
          </w:p>
        </w:tc>
        <w:tc>
          <w:tcPr>
            <w:tcW w:w="92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DA57DE" w14:textId="77777777" w:rsidR="00771D2A" w:rsidRPr="00E87E42" w:rsidRDefault="00771D2A" w:rsidP="002A1FE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No sprinklers</w:t>
            </w:r>
          </w:p>
        </w:tc>
        <w:tc>
          <w:tcPr>
            <w:tcW w:w="872" w:type="pct"/>
            <w:gridSpan w:val="2"/>
            <w:tcBorders>
              <w:top w:val="single" w:sz="4" w:space="0" w:color="auto"/>
              <w:left w:val="nil"/>
              <w:bottom w:val="single" w:sz="4" w:space="0" w:color="auto"/>
              <w:right w:val="single" w:sz="4" w:space="0" w:color="auto"/>
            </w:tcBorders>
            <w:shd w:val="clear" w:color="auto" w:fill="auto"/>
            <w:noWrap/>
            <w:vAlign w:val="center"/>
            <w:hideMark/>
          </w:tcPr>
          <w:p w14:paraId="3C69D570" w14:textId="77777777" w:rsidR="00771D2A" w:rsidRPr="00E87E42" w:rsidRDefault="00771D2A">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Sprinklers</w:t>
            </w:r>
          </w:p>
        </w:tc>
        <w:tc>
          <w:tcPr>
            <w:tcW w:w="872"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2DF1D8" w14:textId="77777777" w:rsidR="00771D2A" w:rsidRPr="00E87E42" w:rsidRDefault="00771D2A">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Partial systems</w:t>
            </w:r>
          </w:p>
        </w:tc>
        <w:tc>
          <w:tcPr>
            <w:tcW w:w="10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A3C23C" w14:textId="77777777" w:rsidR="00771D2A" w:rsidRPr="00E87E42" w:rsidRDefault="00771D2A">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No sprinklers</w:t>
            </w:r>
          </w:p>
        </w:tc>
      </w:tr>
      <w:tr w:rsidR="00771D2A" w:rsidRPr="00E87E42" w14:paraId="6E328F44" w14:textId="77777777" w:rsidTr="008A55B5">
        <w:trPr>
          <w:trHeight w:val="170"/>
        </w:trPr>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FD562" w14:textId="77777777" w:rsidR="00771D2A" w:rsidRPr="00E87E42" w:rsidRDefault="00771D2A" w:rsidP="008A55B5">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N floors</w:t>
            </w:r>
          </w:p>
        </w:tc>
        <w:tc>
          <w:tcPr>
            <w:tcW w:w="409" w:type="pct"/>
            <w:tcBorders>
              <w:top w:val="nil"/>
              <w:left w:val="nil"/>
              <w:bottom w:val="nil"/>
              <w:right w:val="single" w:sz="4" w:space="0" w:color="auto"/>
            </w:tcBorders>
            <w:shd w:val="clear" w:color="auto" w:fill="auto"/>
            <w:noWrap/>
            <w:vAlign w:val="center"/>
            <w:hideMark/>
          </w:tcPr>
          <w:p w14:paraId="3C69F5D5" w14:textId="77777777" w:rsidR="00771D2A" w:rsidRPr="00E87E42" w:rsidRDefault="00771D2A" w:rsidP="00AE12C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Single</w:t>
            </w:r>
          </w:p>
        </w:tc>
        <w:tc>
          <w:tcPr>
            <w:tcW w:w="409" w:type="pct"/>
            <w:tcBorders>
              <w:top w:val="nil"/>
              <w:left w:val="nil"/>
              <w:bottom w:val="nil"/>
              <w:right w:val="single" w:sz="4" w:space="0" w:color="auto"/>
            </w:tcBorders>
            <w:shd w:val="clear" w:color="auto" w:fill="auto"/>
            <w:noWrap/>
            <w:vAlign w:val="center"/>
            <w:hideMark/>
          </w:tcPr>
          <w:p w14:paraId="4808AF11" w14:textId="77777777" w:rsidR="00771D2A" w:rsidRPr="00E87E42" w:rsidRDefault="00771D2A" w:rsidP="00AE12C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Multi</w:t>
            </w:r>
          </w:p>
        </w:tc>
        <w:tc>
          <w:tcPr>
            <w:tcW w:w="463" w:type="pct"/>
            <w:tcBorders>
              <w:top w:val="nil"/>
              <w:left w:val="nil"/>
              <w:bottom w:val="nil"/>
              <w:right w:val="single" w:sz="4" w:space="0" w:color="auto"/>
            </w:tcBorders>
            <w:shd w:val="clear" w:color="auto" w:fill="auto"/>
            <w:noWrap/>
            <w:vAlign w:val="center"/>
            <w:hideMark/>
          </w:tcPr>
          <w:p w14:paraId="1030EBFB" w14:textId="77777777" w:rsidR="00771D2A" w:rsidRPr="00E87E42" w:rsidRDefault="00771D2A" w:rsidP="002A1F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Single</w:t>
            </w:r>
          </w:p>
        </w:tc>
        <w:tc>
          <w:tcPr>
            <w:tcW w:w="464" w:type="pct"/>
            <w:tcBorders>
              <w:top w:val="nil"/>
              <w:left w:val="nil"/>
              <w:bottom w:val="nil"/>
              <w:right w:val="single" w:sz="4" w:space="0" w:color="auto"/>
            </w:tcBorders>
            <w:shd w:val="clear" w:color="auto" w:fill="auto"/>
            <w:noWrap/>
            <w:vAlign w:val="center"/>
            <w:hideMark/>
          </w:tcPr>
          <w:p w14:paraId="3FD9B6A1" w14:textId="77777777" w:rsidR="00771D2A" w:rsidRPr="00E87E42" w:rsidRDefault="00771D2A">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Multi</w:t>
            </w:r>
          </w:p>
        </w:tc>
        <w:tc>
          <w:tcPr>
            <w:tcW w:w="409" w:type="pct"/>
            <w:tcBorders>
              <w:top w:val="nil"/>
              <w:left w:val="nil"/>
              <w:bottom w:val="nil"/>
              <w:right w:val="single" w:sz="4" w:space="0" w:color="auto"/>
            </w:tcBorders>
            <w:shd w:val="clear" w:color="auto" w:fill="auto"/>
            <w:noWrap/>
            <w:vAlign w:val="center"/>
            <w:hideMark/>
          </w:tcPr>
          <w:p w14:paraId="1E400C0B" w14:textId="77777777" w:rsidR="00771D2A" w:rsidRPr="00E87E42" w:rsidRDefault="00771D2A">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Single</w:t>
            </w:r>
          </w:p>
        </w:tc>
        <w:tc>
          <w:tcPr>
            <w:tcW w:w="463" w:type="pct"/>
            <w:tcBorders>
              <w:top w:val="nil"/>
              <w:left w:val="nil"/>
              <w:bottom w:val="nil"/>
              <w:right w:val="single" w:sz="4" w:space="0" w:color="auto"/>
            </w:tcBorders>
            <w:shd w:val="clear" w:color="auto" w:fill="auto"/>
            <w:noWrap/>
            <w:vAlign w:val="center"/>
            <w:hideMark/>
          </w:tcPr>
          <w:p w14:paraId="1A1AB566" w14:textId="77777777" w:rsidR="00771D2A" w:rsidRPr="00E87E42" w:rsidRDefault="00771D2A">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Multi</w:t>
            </w:r>
          </w:p>
        </w:tc>
        <w:tc>
          <w:tcPr>
            <w:tcW w:w="409" w:type="pct"/>
            <w:tcBorders>
              <w:top w:val="nil"/>
              <w:left w:val="nil"/>
              <w:bottom w:val="nil"/>
              <w:right w:val="single" w:sz="4" w:space="0" w:color="auto"/>
            </w:tcBorders>
            <w:shd w:val="clear" w:color="auto" w:fill="auto"/>
            <w:noWrap/>
            <w:vAlign w:val="center"/>
            <w:hideMark/>
          </w:tcPr>
          <w:p w14:paraId="0DADD4C3" w14:textId="77777777" w:rsidR="00771D2A" w:rsidRPr="00E87E42" w:rsidRDefault="00771D2A">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Single</w:t>
            </w:r>
          </w:p>
        </w:tc>
        <w:tc>
          <w:tcPr>
            <w:tcW w:w="463" w:type="pct"/>
            <w:tcBorders>
              <w:top w:val="nil"/>
              <w:left w:val="nil"/>
              <w:bottom w:val="nil"/>
              <w:right w:val="single" w:sz="4" w:space="0" w:color="auto"/>
            </w:tcBorders>
            <w:shd w:val="clear" w:color="auto" w:fill="auto"/>
            <w:noWrap/>
            <w:vAlign w:val="center"/>
            <w:hideMark/>
          </w:tcPr>
          <w:p w14:paraId="60C7F3FC" w14:textId="77777777" w:rsidR="00771D2A" w:rsidRPr="00E87E42" w:rsidRDefault="00771D2A">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Multi</w:t>
            </w:r>
          </w:p>
        </w:tc>
        <w:tc>
          <w:tcPr>
            <w:tcW w:w="544" w:type="pct"/>
            <w:tcBorders>
              <w:top w:val="nil"/>
              <w:left w:val="nil"/>
              <w:bottom w:val="nil"/>
              <w:right w:val="single" w:sz="4" w:space="0" w:color="auto"/>
            </w:tcBorders>
            <w:shd w:val="clear" w:color="auto" w:fill="auto"/>
            <w:noWrap/>
            <w:vAlign w:val="center"/>
            <w:hideMark/>
          </w:tcPr>
          <w:p w14:paraId="71E7FEC2" w14:textId="77777777" w:rsidR="00771D2A" w:rsidRPr="00E87E42" w:rsidRDefault="00771D2A">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Single</w:t>
            </w:r>
          </w:p>
        </w:tc>
        <w:tc>
          <w:tcPr>
            <w:tcW w:w="463" w:type="pct"/>
            <w:tcBorders>
              <w:top w:val="nil"/>
              <w:left w:val="nil"/>
              <w:bottom w:val="nil"/>
              <w:right w:val="single" w:sz="4" w:space="0" w:color="auto"/>
            </w:tcBorders>
            <w:shd w:val="clear" w:color="auto" w:fill="auto"/>
            <w:noWrap/>
            <w:vAlign w:val="center"/>
            <w:hideMark/>
          </w:tcPr>
          <w:p w14:paraId="6C254E1D" w14:textId="77777777" w:rsidR="00771D2A" w:rsidRPr="00E87E42" w:rsidRDefault="00771D2A">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Multi</w:t>
            </w:r>
          </w:p>
        </w:tc>
      </w:tr>
      <w:tr w:rsidR="00771D2A" w:rsidRPr="00E87E42" w14:paraId="0206FC58" w14:textId="77777777" w:rsidTr="008A55B5">
        <w:trPr>
          <w:trHeight w:val="170"/>
        </w:trPr>
        <w:tc>
          <w:tcPr>
            <w:tcW w:w="504" w:type="pct"/>
            <w:tcBorders>
              <w:top w:val="nil"/>
              <w:left w:val="single" w:sz="4" w:space="0" w:color="auto"/>
              <w:bottom w:val="nil"/>
              <w:right w:val="nil"/>
            </w:tcBorders>
            <w:shd w:val="clear" w:color="auto" w:fill="auto"/>
            <w:noWrap/>
            <w:vAlign w:val="center"/>
            <w:hideMark/>
          </w:tcPr>
          <w:p w14:paraId="24AF10BA" w14:textId="77777777" w:rsidR="00771D2A" w:rsidRPr="00E87E42" w:rsidRDefault="00771D2A"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A</w:t>
            </w:r>
          </w:p>
        </w:tc>
        <w:tc>
          <w:tcPr>
            <w:tcW w:w="409" w:type="pct"/>
            <w:tcBorders>
              <w:top w:val="single" w:sz="4" w:space="0" w:color="auto"/>
              <w:left w:val="single" w:sz="4" w:space="0" w:color="auto"/>
              <w:bottom w:val="nil"/>
              <w:right w:val="nil"/>
            </w:tcBorders>
            <w:shd w:val="clear" w:color="auto" w:fill="auto"/>
            <w:noWrap/>
            <w:vAlign w:val="center"/>
            <w:hideMark/>
          </w:tcPr>
          <w:p w14:paraId="6B216E22" w14:textId="77777777" w:rsidR="00771D2A" w:rsidRPr="00E87E42" w:rsidRDefault="00771D2A" w:rsidP="00AE12C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09" w:type="pct"/>
            <w:tcBorders>
              <w:top w:val="single" w:sz="4" w:space="0" w:color="auto"/>
              <w:left w:val="nil"/>
              <w:bottom w:val="nil"/>
              <w:right w:val="single" w:sz="4" w:space="0" w:color="auto"/>
            </w:tcBorders>
            <w:shd w:val="clear" w:color="auto" w:fill="auto"/>
            <w:noWrap/>
            <w:vAlign w:val="center"/>
            <w:hideMark/>
          </w:tcPr>
          <w:p w14:paraId="7C8B01E3" w14:textId="77777777" w:rsidR="00771D2A" w:rsidRPr="00E87E42" w:rsidRDefault="00771D2A" w:rsidP="00AE12C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63" w:type="pct"/>
            <w:tcBorders>
              <w:top w:val="single" w:sz="4" w:space="0" w:color="auto"/>
              <w:left w:val="nil"/>
              <w:bottom w:val="nil"/>
              <w:right w:val="nil"/>
            </w:tcBorders>
            <w:shd w:val="clear" w:color="auto" w:fill="auto"/>
            <w:noWrap/>
            <w:vAlign w:val="center"/>
            <w:hideMark/>
          </w:tcPr>
          <w:p w14:paraId="7BD46543" w14:textId="77777777" w:rsidR="00771D2A" w:rsidRPr="00E87E42" w:rsidRDefault="00771D2A" w:rsidP="002A1F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64" w:type="pct"/>
            <w:tcBorders>
              <w:top w:val="single" w:sz="4" w:space="0" w:color="auto"/>
              <w:left w:val="nil"/>
              <w:bottom w:val="nil"/>
              <w:right w:val="nil"/>
            </w:tcBorders>
            <w:shd w:val="clear" w:color="auto" w:fill="auto"/>
            <w:noWrap/>
            <w:vAlign w:val="center"/>
            <w:hideMark/>
          </w:tcPr>
          <w:p w14:paraId="1E3DA8AA" w14:textId="77777777" w:rsidR="00771D2A" w:rsidRPr="00E87E42" w:rsidRDefault="00771D2A">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09" w:type="pct"/>
            <w:tcBorders>
              <w:top w:val="single" w:sz="4" w:space="0" w:color="auto"/>
              <w:left w:val="single" w:sz="4" w:space="0" w:color="auto"/>
              <w:bottom w:val="nil"/>
              <w:right w:val="nil"/>
            </w:tcBorders>
            <w:shd w:val="clear" w:color="auto" w:fill="auto"/>
            <w:noWrap/>
            <w:vAlign w:val="center"/>
            <w:hideMark/>
          </w:tcPr>
          <w:p w14:paraId="3E7C35D5"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£9,381</w:t>
            </w:r>
          </w:p>
        </w:tc>
        <w:tc>
          <w:tcPr>
            <w:tcW w:w="463" w:type="pct"/>
            <w:tcBorders>
              <w:top w:val="single" w:sz="4" w:space="0" w:color="auto"/>
              <w:left w:val="nil"/>
              <w:bottom w:val="nil"/>
              <w:right w:val="nil"/>
            </w:tcBorders>
            <w:shd w:val="clear" w:color="auto" w:fill="auto"/>
            <w:noWrap/>
            <w:vAlign w:val="center"/>
            <w:hideMark/>
          </w:tcPr>
          <w:p w14:paraId="3E2A0F6F"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£37,035</w:t>
            </w:r>
          </w:p>
        </w:tc>
        <w:tc>
          <w:tcPr>
            <w:tcW w:w="409" w:type="pct"/>
            <w:tcBorders>
              <w:top w:val="single" w:sz="4" w:space="0" w:color="auto"/>
              <w:left w:val="single" w:sz="4" w:space="0" w:color="auto"/>
              <w:bottom w:val="nil"/>
              <w:right w:val="nil"/>
            </w:tcBorders>
            <w:shd w:val="clear" w:color="auto" w:fill="auto"/>
            <w:noWrap/>
            <w:vAlign w:val="center"/>
            <w:hideMark/>
          </w:tcPr>
          <w:p w14:paraId="6E9EF41B"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£17,882</w:t>
            </w:r>
          </w:p>
        </w:tc>
        <w:tc>
          <w:tcPr>
            <w:tcW w:w="463" w:type="pct"/>
            <w:tcBorders>
              <w:top w:val="single" w:sz="4" w:space="0" w:color="auto"/>
              <w:left w:val="nil"/>
              <w:bottom w:val="nil"/>
              <w:right w:val="single" w:sz="4" w:space="0" w:color="auto"/>
            </w:tcBorders>
            <w:shd w:val="clear" w:color="auto" w:fill="auto"/>
            <w:noWrap/>
            <w:vAlign w:val="center"/>
            <w:hideMark/>
          </w:tcPr>
          <w:p w14:paraId="6307A764"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£80,780</w:t>
            </w:r>
          </w:p>
        </w:tc>
        <w:tc>
          <w:tcPr>
            <w:tcW w:w="544" w:type="pct"/>
            <w:tcBorders>
              <w:top w:val="single" w:sz="4" w:space="0" w:color="auto"/>
              <w:left w:val="nil"/>
              <w:bottom w:val="nil"/>
              <w:right w:val="nil"/>
            </w:tcBorders>
            <w:shd w:val="clear" w:color="auto" w:fill="auto"/>
            <w:noWrap/>
            <w:vAlign w:val="center"/>
            <w:hideMark/>
          </w:tcPr>
          <w:p w14:paraId="37ADA3A3"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£45,145</w:t>
            </w:r>
          </w:p>
        </w:tc>
        <w:tc>
          <w:tcPr>
            <w:tcW w:w="463" w:type="pct"/>
            <w:tcBorders>
              <w:top w:val="single" w:sz="4" w:space="0" w:color="auto"/>
              <w:left w:val="nil"/>
              <w:bottom w:val="nil"/>
              <w:right w:val="single" w:sz="4" w:space="0" w:color="auto"/>
            </w:tcBorders>
            <w:shd w:val="clear" w:color="auto" w:fill="auto"/>
            <w:noWrap/>
            <w:vAlign w:val="center"/>
            <w:hideMark/>
          </w:tcPr>
          <w:p w14:paraId="1B6B64CE"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£58,493</w:t>
            </w:r>
          </w:p>
        </w:tc>
      </w:tr>
      <w:tr w:rsidR="00771D2A" w:rsidRPr="00E87E42" w14:paraId="42444A4B" w14:textId="77777777" w:rsidTr="008A55B5">
        <w:trPr>
          <w:trHeight w:val="170"/>
        </w:trPr>
        <w:tc>
          <w:tcPr>
            <w:tcW w:w="504" w:type="pct"/>
            <w:tcBorders>
              <w:top w:val="single" w:sz="4" w:space="0" w:color="auto"/>
              <w:left w:val="single" w:sz="4" w:space="0" w:color="auto"/>
              <w:bottom w:val="nil"/>
              <w:right w:val="nil"/>
            </w:tcBorders>
            <w:shd w:val="clear" w:color="auto" w:fill="auto"/>
            <w:noWrap/>
            <w:vAlign w:val="center"/>
            <w:hideMark/>
          </w:tcPr>
          <w:p w14:paraId="610B76B6" w14:textId="77777777" w:rsidR="00771D2A" w:rsidRPr="00E87E42" w:rsidRDefault="00771D2A"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B</w:t>
            </w:r>
          </w:p>
        </w:tc>
        <w:tc>
          <w:tcPr>
            <w:tcW w:w="409" w:type="pct"/>
            <w:tcBorders>
              <w:top w:val="nil"/>
              <w:left w:val="single" w:sz="4" w:space="0" w:color="auto"/>
              <w:bottom w:val="nil"/>
              <w:right w:val="nil"/>
            </w:tcBorders>
            <w:shd w:val="clear" w:color="auto" w:fill="auto"/>
            <w:noWrap/>
            <w:vAlign w:val="center"/>
            <w:hideMark/>
          </w:tcPr>
          <w:p w14:paraId="0FD60D8C" w14:textId="77777777" w:rsidR="00771D2A" w:rsidRPr="00E87E42" w:rsidRDefault="00771D2A" w:rsidP="00AE12C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09" w:type="pct"/>
            <w:tcBorders>
              <w:top w:val="nil"/>
              <w:left w:val="nil"/>
              <w:bottom w:val="nil"/>
              <w:right w:val="single" w:sz="4" w:space="0" w:color="auto"/>
            </w:tcBorders>
            <w:shd w:val="clear" w:color="auto" w:fill="auto"/>
            <w:noWrap/>
            <w:vAlign w:val="center"/>
            <w:hideMark/>
          </w:tcPr>
          <w:p w14:paraId="21D26DC8" w14:textId="77777777" w:rsidR="00771D2A" w:rsidRPr="00E87E42" w:rsidRDefault="00771D2A" w:rsidP="00AE12C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63" w:type="pct"/>
            <w:tcBorders>
              <w:top w:val="nil"/>
              <w:left w:val="nil"/>
              <w:bottom w:val="nil"/>
              <w:right w:val="nil"/>
            </w:tcBorders>
            <w:shd w:val="clear" w:color="auto" w:fill="auto"/>
            <w:noWrap/>
            <w:vAlign w:val="center"/>
            <w:hideMark/>
          </w:tcPr>
          <w:p w14:paraId="20CA54CB" w14:textId="77777777" w:rsidR="00771D2A" w:rsidRPr="00E87E42" w:rsidRDefault="00771D2A" w:rsidP="002A1F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64" w:type="pct"/>
            <w:tcBorders>
              <w:top w:val="nil"/>
              <w:left w:val="nil"/>
              <w:bottom w:val="nil"/>
              <w:right w:val="nil"/>
            </w:tcBorders>
            <w:shd w:val="clear" w:color="auto" w:fill="auto"/>
            <w:noWrap/>
            <w:vAlign w:val="center"/>
            <w:hideMark/>
          </w:tcPr>
          <w:p w14:paraId="0D23BFFF" w14:textId="77777777" w:rsidR="00771D2A" w:rsidRPr="00E87E42" w:rsidRDefault="00771D2A">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09" w:type="pct"/>
            <w:tcBorders>
              <w:top w:val="nil"/>
              <w:left w:val="single" w:sz="4" w:space="0" w:color="auto"/>
              <w:bottom w:val="nil"/>
              <w:right w:val="nil"/>
            </w:tcBorders>
            <w:shd w:val="clear" w:color="auto" w:fill="auto"/>
            <w:noWrap/>
            <w:vAlign w:val="center"/>
            <w:hideMark/>
          </w:tcPr>
          <w:p w14:paraId="2F8961B8"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£3,717</w:t>
            </w:r>
          </w:p>
        </w:tc>
        <w:tc>
          <w:tcPr>
            <w:tcW w:w="463" w:type="pct"/>
            <w:tcBorders>
              <w:top w:val="nil"/>
              <w:left w:val="nil"/>
              <w:bottom w:val="nil"/>
              <w:right w:val="nil"/>
            </w:tcBorders>
            <w:shd w:val="clear" w:color="auto" w:fill="auto"/>
            <w:noWrap/>
            <w:vAlign w:val="center"/>
            <w:hideMark/>
          </w:tcPr>
          <w:p w14:paraId="44769FA4"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£8,197</w:t>
            </w:r>
          </w:p>
        </w:tc>
        <w:tc>
          <w:tcPr>
            <w:tcW w:w="409" w:type="pct"/>
            <w:tcBorders>
              <w:top w:val="nil"/>
              <w:left w:val="single" w:sz="4" w:space="0" w:color="auto"/>
              <w:bottom w:val="nil"/>
              <w:right w:val="nil"/>
            </w:tcBorders>
            <w:shd w:val="clear" w:color="auto" w:fill="auto"/>
            <w:noWrap/>
            <w:vAlign w:val="center"/>
            <w:hideMark/>
          </w:tcPr>
          <w:p w14:paraId="15D74194"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£15,275</w:t>
            </w:r>
          </w:p>
        </w:tc>
        <w:tc>
          <w:tcPr>
            <w:tcW w:w="463" w:type="pct"/>
            <w:tcBorders>
              <w:top w:val="nil"/>
              <w:left w:val="nil"/>
              <w:bottom w:val="nil"/>
              <w:right w:val="single" w:sz="4" w:space="0" w:color="auto"/>
            </w:tcBorders>
            <w:shd w:val="clear" w:color="auto" w:fill="auto"/>
            <w:noWrap/>
            <w:vAlign w:val="center"/>
            <w:hideMark/>
          </w:tcPr>
          <w:p w14:paraId="7DFB8CED"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£0</w:t>
            </w:r>
          </w:p>
        </w:tc>
        <w:tc>
          <w:tcPr>
            <w:tcW w:w="544" w:type="pct"/>
            <w:tcBorders>
              <w:top w:val="nil"/>
              <w:left w:val="nil"/>
              <w:bottom w:val="nil"/>
              <w:right w:val="nil"/>
            </w:tcBorders>
            <w:shd w:val="clear" w:color="auto" w:fill="auto"/>
            <w:noWrap/>
            <w:vAlign w:val="center"/>
            <w:hideMark/>
          </w:tcPr>
          <w:p w14:paraId="365A48D9"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£1,485,020</w:t>
            </w:r>
          </w:p>
        </w:tc>
        <w:tc>
          <w:tcPr>
            <w:tcW w:w="463" w:type="pct"/>
            <w:tcBorders>
              <w:top w:val="nil"/>
              <w:left w:val="nil"/>
              <w:bottom w:val="nil"/>
              <w:right w:val="single" w:sz="4" w:space="0" w:color="auto"/>
            </w:tcBorders>
            <w:shd w:val="clear" w:color="auto" w:fill="auto"/>
            <w:noWrap/>
            <w:vAlign w:val="center"/>
            <w:hideMark/>
          </w:tcPr>
          <w:p w14:paraId="40A98446"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£24,579</w:t>
            </w:r>
          </w:p>
        </w:tc>
      </w:tr>
      <w:tr w:rsidR="00771D2A" w:rsidRPr="00E87E42" w14:paraId="69CEAC10" w14:textId="77777777" w:rsidTr="008A55B5">
        <w:trPr>
          <w:trHeight w:val="170"/>
        </w:trPr>
        <w:tc>
          <w:tcPr>
            <w:tcW w:w="504" w:type="pct"/>
            <w:tcBorders>
              <w:top w:val="single" w:sz="4" w:space="0" w:color="auto"/>
              <w:left w:val="single" w:sz="4" w:space="0" w:color="auto"/>
              <w:bottom w:val="nil"/>
              <w:right w:val="nil"/>
            </w:tcBorders>
            <w:shd w:val="clear" w:color="auto" w:fill="auto"/>
            <w:noWrap/>
            <w:vAlign w:val="center"/>
            <w:hideMark/>
          </w:tcPr>
          <w:p w14:paraId="50E3096B" w14:textId="77777777" w:rsidR="00771D2A" w:rsidRPr="00E87E42" w:rsidRDefault="00771D2A"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w:t>
            </w:r>
          </w:p>
        </w:tc>
        <w:tc>
          <w:tcPr>
            <w:tcW w:w="409" w:type="pct"/>
            <w:tcBorders>
              <w:top w:val="nil"/>
              <w:left w:val="single" w:sz="4" w:space="0" w:color="auto"/>
              <w:bottom w:val="nil"/>
              <w:right w:val="nil"/>
            </w:tcBorders>
            <w:shd w:val="clear" w:color="auto" w:fill="auto"/>
            <w:noWrap/>
            <w:vAlign w:val="center"/>
            <w:hideMark/>
          </w:tcPr>
          <w:p w14:paraId="30ED3679" w14:textId="77777777" w:rsidR="00771D2A" w:rsidRPr="00E87E42" w:rsidRDefault="00771D2A" w:rsidP="00AE12C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09" w:type="pct"/>
            <w:tcBorders>
              <w:top w:val="nil"/>
              <w:left w:val="nil"/>
              <w:bottom w:val="nil"/>
              <w:right w:val="single" w:sz="4" w:space="0" w:color="auto"/>
            </w:tcBorders>
            <w:shd w:val="clear" w:color="auto" w:fill="auto"/>
            <w:noWrap/>
            <w:vAlign w:val="center"/>
            <w:hideMark/>
          </w:tcPr>
          <w:p w14:paraId="174F8951" w14:textId="77777777" w:rsidR="00771D2A" w:rsidRPr="00E87E42" w:rsidRDefault="00771D2A" w:rsidP="00AE12C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63" w:type="pct"/>
            <w:tcBorders>
              <w:top w:val="nil"/>
              <w:left w:val="nil"/>
              <w:bottom w:val="nil"/>
              <w:right w:val="nil"/>
            </w:tcBorders>
            <w:shd w:val="clear" w:color="auto" w:fill="auto"/>
            <w:noWrap/>
            <w:vAlign w:val="center"/>
            <w:hideMark/>
          </w:tcPr>
          <w:p w14:paraId="6153953B" w14:textId="77777777" w:rsidR="00771D2A" w:rsidRPr="00E87E42" w:rsidRDefault="00771D2A" w:rsidP="002A1F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64" w:type="pct"/>
            <w:tcBorders>
              <w:top w:val="nil"/>
              <w:left w:val="nil"/>
              <w:bottom w:val="nil"/>
              <w:right w:val="nil"/>
            </w:tcBorders>
            <w:shd w:val="clear" w:color="auto" w:fill="auto"/>
            <w:noWrap/>
            <w:vAlign w:val="center"/>
            <w:hideMark/>
          </w:tcPr>
          <w:p w14:paraId="5E90EA19" w14:textId="77777777" w:rsidR="00771D2A" w:rsidRPr="00E87E42" w:rsidRDefault="00771D2A">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09" w:type="pct"/>
            <w:tcBorders>
              <w:top w:val="nil"/>
              <w:left w:val="single" w:sz="4" w:space="0" w:color="auto"/>
              <w:bottom w:val="nil"/>
              <w:right w:val="nil"/>
            </w:tcBorders>
            <w:shd w:val="clear" w:color="auto" w:fill="auto"/>
            <w:noWrap/>
            <w:vAlign w:val="center"/>
            <w:hideMark/>
          </w:tcPr>
          <w:p w14:paraId="7871AFF9"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£1,425</w:t>
            </w:r>
          </w:p>
        </w:tc>
        <w:tc>
          <w:tcPr>
            <w:tcW w:w="463" w:type="pct"/>
            <w:tcBorders>
              <w:top w:val="nil"/>
              <w:left w:val="nil"/>
              <w:bottom w:val="nil"/>
              <w:right w:val="nil"/>
            </w:tcBorders>
            <w:shd w:val="clear" w:color="auto" w:fill="auto"/>
            <w:noWrap/>
            <w:vAlign w:val="center"/>
            <w:hideMark/>
          </w:tcPr>
          <w:p w14:paraId="3C78DD11"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£6,724</w:t>
            </w:r>
          </w:p>
        </w:tc>
        <w:tc>
          <w:tcPr>
            <w:tcW w:w="409" w:type="pct"/>
            <w:tcBorders>
              <w:top w:val="nil"/>
              <w:left w:val="single" w:sz="4" w:space="0" w:color="auto"/>
              <w:bottom w:val="nil"/>
              <w:right w:val="nil"/>
            </w:tcBorders>
            <w:shd w:val="clear" w:color="auto" w:fill="auto"/>
            <w:noWrap/>
            <w:vAlign w:val="center"/>
            <w:hideMark/>
          </w:tcPr>
          <w:p w14:paraId="03C5A787"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£197</w:t>
            </w:r>
          </w:p>
        </w:tc>
        <w:tc>
          <w:tcPr>
            <w:tcW w:w="463" w:type="pct"/>
            <w:tcBorders>
              <w:top w:val="nil"/>
              <w:left w:val="nil"/>
              <w:bottom w:val="nil"/>
              <w:right w:val="single" w:sz="4" w:space="0" w:color="auto"/>
            </w:tcBorders>
            <w:shd w:val="clear" w:color="auto" w:fill="auto"/>
            <w:noWrap/>
            <w:vAlign w:val="center"/>
            <w:hideMark/>
          </w:tcPr>
          <w:p w14:paraId="50B88B0F"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£0</w:t>
            </w:r>
          </w:p>
        </w:tc>
        <w:tc>
          <w:tcPr>
            <w:tcW w:w="544" w:type="pct"/>
            <w:tcBorders>
              <w:top w:val="nil"/>
              <w:left w:val="nil"/>
              <w:bottom w:val="nil"/>
              <w:right w:val="nil"/>
            </w:tcBorders>
            <w:shd w:val="clear" w:color="auto" w:fill="auto"/>
            <w:noWrap/>
            <w:vAlign w:val="center"/>
            <w:hideMark/>
          </w:tcPr>
          <w:p w14:paraId="52BB8DF3"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£20,999</w:t>
            </w:r>
          </w:p>
        </w:tc>
        <w:tc>
          <w:tcPr>
            <w:tcW w:w="463" w:type="pct"/>
            <w:tcBorders>
              <w:top w:val="nil"/>
              <w:left w:val="nil"/>
              <w:bottom w:val="nil"/>
              <w:right w:val="single" w:sz="4" w:space="0" w:color="auto"/>
            </w:tcBorders>
            <w:shd w:val="clear" w:color="auto" w:fill="auto"/>
            <w:noWrap/>
            <w:vAlign w:val="center"/>
            <w:hideMark/>
          </w:tcPr>
          <w:p w14:paraId="00417268"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£46,014</w:t>
            </w:r>
          </w:p>
        </w:tc>
      </w:tr>
      <w:tr w:rsidR="00771D2A" w:rsidRPr="00E87E42" w14:paraId="5C9D621D" w14:textId="77777777" w:rsidTr="008A55B5">
        <w:trPr>
          <w:trHeight w:val="170"/>
        </w:trPr>
        <w:tc>
          <w:tcPr>
            <w:tcW w:w="504" w:type="pct"/>
            <w:tcBorders>
              <w:top w:val="single" w:sz="4" w:space="0" w:color="auto"/>
              <w:left w:val="single" w:sz="4" w:space="0" w:color="auto"/>
              <w:bottom w:val="nil"/>
              <w:right w:val="nil"/>
            </w:tcBorders>
            <w:shd w:val="clear" w:color="auto" w:fill="auto"/>
            <w:noWrap/>
            <w:vAlign w:val="center"/>
            <w:hideMark/>
          </w:tcPr>
          <w:p w14:paraId="38ABC911" w14:textId="77777777" w:rsidR="00771D2A" w:rsidRPr="00E87E42" w:rsidRDefault="00771D2A"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D</w:t>
            </w:r>
          </w:p>
        </w:tc>
        <w:tc>
          <w:tcPr>
            <w:tcW w:w="409" w:type="pct"/>
            <w:tcBorders>
              <w:top w:val="nil"/>
              <w:left w:val="single" w:sz="4" w:space="0" w:color="auto"/>
              <w:bottom w:val="nil"/>
              <w:right w:val="nil"/>
            </w:tcBorders>
            <w:shd w:val="clear" w:color="auto" w:fill="auto"/>
            <w:noWrap/>
            <w:vAlign w:val="center"/>
            <w:hideMark/>
          </w:tcPr>
          <w:p w14:paraId="314D5E94" w14:textId="77777777" w:rsidR="00771D2A" w:rsidRPr="00E87E42" w:rsidRDefault="00771D2A" w:rsidP="00AE12C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09" w:type="pct"/>
            <w:tcBorders>
              <w:top w:val="nil"/>
              <w:left w:val="nil"/>
              <w:bottom w:val="nil"/>
              <w:right w:val="single" w:sz="4" w:space="0" w:color="auto"/>
            </w:tcBorders>
            <w:shd w:val="clear" w:color="auto" w:fill="auto"/>
            <w:noWrap/>
            <w:vAlign w:val="center"/>
            <w:hideMark/>
          </w:tcPr>
          <w:p w14:paraId="00321F99" w14:textId="77777777" w:rsidR="00771D2A" w:rsidRPr="00E87E42" w:rsidRDefault="00771D2A" w:rsidP="00AE12C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63" w:type="pct"/>
            <w:tcBorders>
              <w:top w:val="nil"/>
              <w:left w:val="nil"/>
              <w:bottom w:val="nil"/>
              <w:right w:val="nil"/>
            </w:tcBorders>
            <w:shd w:val="clear" w:color="auto" w:fill="auto"/>
            <w:noWrap/>
            <w:vAlign w:val="center"/>
            <w:hideMark/>
          </w:tcPr>
          <w:p w14:paraId="1DF2DD2B" w14:textId="77777777" w:rsidR="00771D2A" w:rsidRPr="00E87E42" w:rsidRDefault="00771D2A" w:rsidP="002A1F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64" w:type="pct"/>
            <w:tcBorders>
              <w:top w:val="nil"/>
              <w:left w:val="nil"/>
              <w:bottom w:val="nil"/>
              <w:right w:val="nil"/>
            </w:tcBorders>
            <w:shd w:val="clear" w:color="auto" w:fill="auto"/>
            <w:noWrap/>
            <w:vAlign w:val="center"/>
            <w:hideMark/>
          </w:tcPr>
          <w:p w14:paraId="091B7106" w14:textId="77777777" w:rsidR="00771D2A" w:rsidRPr="00E87E42" w:rsidRDefault="00771D2A">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09" w:type="pct"/>
            <w:tcBorders>
              <w:top w:val="nil"/>
              <w:left w:val="single" w:sz="4" w:space="0" w:color="auto"/>
              <w:bottom w:val="nil"/>
              <w:right w:val="nil"/>
            </w:tcBorders>
            <w:shd w:val="clear" w:color="auto" w:fill="auto"/>
            <w:noWrap/>
            <w:vAlign w:val="center"/>
            <w:hideMark/>
          </w:tcPr>
          <w:p w14:paraId="7CCBB018"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£5,067</w:t>
            </w:r>
          </w:p>
        </w:tc>
        <w:tc>
          <w:tcPr>
            <w:tcW w:w="463" w:type="pct"/>
            <w:tcBorders>
              <w:top w:val="nil"/>
              <w:left w:val="nil"/>
              <w:bottom w:val="nil"/>
              <w:right w:val="nil"/>
            </w:tcBorders>
            <w:shd w:val="clear" w:color="auto" w:fill="auto"/>
            <w:noWrap/>
            <w:vAlign w:val="center"/>
            <w:hideMark/>
          </w:tcPr>
          <w:p w14:paraId="2D2F7C69"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£19,197</w:t>
            </w:r>
          </w:p>
        </w:tc>
        <w:tc>
          <w:tcPr>
            <w:tcW w:w="409" w:type="pct"/>
            <w:tcBorders>
              <w:top w:val="nil"/>
              <w:left w:val="single" w:sz="4" w:space="0" w:color="auto"/>
              <w:bottom w:val="nil"/>
              <w:right w:val="nil"/>
            </w:tcBorders>
            <w:shd w:val="clear" w:color="auto" w:fill="auto"/>
            <w:noWrap/>
            <w:vAlign w:val="center"/>
            <w:hideMark/>
          </w:tcPr>
          <w:p w14:paraId="11C48D02"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£27,564</w:t>
            </w:r>
          </w:p>
        </w:tc>
        <w:tc>
          <w:tcPr>
            <w:tcW w:w="463" w:type="pct"/>
            <w:tcBorders>
              <w:top w:val="nil"/>
              <w:left w:val="nil"/>
              <w:bottom w:val="nil"/>
              <w:right w:val="single" w:sz="4" w:space="0" w:color="auto"/>
            </w:tcBorders>
            <w:shd w:val="clear" w:color="auto" w:fill="auto"/>
            <w:noWrap/>
            <w:vAlign w:val="center"/>
            <w:hideMark/>
          </w:tcPr>
          <w:p w14:paraId="3C62366E"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£17,573</w:t>
            </w:r>
          </w:p>
        </w:tc>
        <w:tc>
          <w:tcPr>
            <w:tcW w:w="544" w:type="pct"/>
            <w:tcBorders>
              <w:top w:val="nil"/>
              <w:left w:val="nil"/>
              <w:bottom w:val="nil"/>
              <w:right w:val="nil"/>
            </w:tcBorders>
            <w:shd w:val="clear" w:color="auto" w:fill="auto"/>
            <w:noWrap/>
            <w:vAlign w:val="center"/>
            <w:hideMark/>
          </w:tcPr>
          <w:p w14:paraId="1ECEF65A"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£13,702</w:t>
            </w:r>
          </w:p>
        </w:tc>
        <w:tc>
          <w:tcPr>
            <w:tcW w:w="463" w:type="pct"/>
            <w:tcBorders>
              <w:top w:val="nil"/>
              <w:left w:val="nil"/>
              <w:bottom w:val="nil"/>
              <w:right w:val="single" w:sz="4" w:space="0" w:color="auto"/>
            </w:tcBorders>
            <w:shd w:val="clear" w:color="auto" w:fill="auto"/>
            <w:noWrap/>
            <w:vAlign w:val="center"/>
            <w:hideMark/>
          </w:tcPr>
          <w:p w14:paraId="04CD8CC0"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£23,173</w:t>
            </w:r>
          </w:p>
        </w:tc>
      </w:tr>
      <w:tr w:rsidR="00771D2A" w:rsidRPr="00E87E42" w14:paraId="0872ADC9" w14:textId="77777777" w:rsidTr="008A55B5">
        <w:trPr>
          <w:trHeight w:val="170"/>
        </w:trPr>
        <w:tc>
          <w:tcPr>
            <w:tcW w:w="504" w:type="pct"/>
            <w:tcBorders>
              <w:top w:val="single" w:sz="4" w:space="0" w:color="auto"/>
              <w:left w:val="single" w:sz="4" w:space="0" w:color="auto"/>
              <w:bottom w:val="single" w:sz="4" w:space="0" w:color="auto"/>
              <w:right w:val="nil"/>
            </w:tcBorders>
            <w:shd w:val="clear" w:color="auto" w:fill="auto"/>
            <w:noWrap/>
            <w:vAlign w:val="center"/>
            <w:hideMark/>
          </w:tcPr>
          <w:p w14:paraId="1CC9CD80" w14:textId="77777777" w:rsidR="00771D2A" w:rsidRPr="00E87E42" w:rsidRDefault="00771D2A"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E</w:t>
            </w:r>
          </w:p>
        </w:tc>
        <w:tc>
          <w:tcPr>
            <w:tcW w:w="409" w:type="pct"/>
            <w:tcBorders>
              <w:top w:val="single" w:sz="4" w:space="0" w:color="auto"/>
              <w:left w:val="single" w:sz="4" w:space="0" w:color="auto"/>
              <w:bottom w:val="nil"/>
              <w:right w:val="nil"/>
            </w:tcBorders>
            <w:shd w:val="clear" w:color="auto" w:fill="auto"/>
            <w:noWrap/>
            <w:vAlign w:val="center"/>
            <w:hideMark/>
          </w:tcPr>
          <w:p w14:paraId="04DD6E9C" w14:textId="2AD76399" w:rsidR="00771D2A" w:rsidRPr="00E87E42" w:rsidRDefault="00771D2A" w:rsidP="00AE12CF">
            <w:pPr>
              <w:spacing w:after="0" w:line="240" w:lineRule="auto"/>
              <w:jc w:val="center"/>
              <w:rPr>
                <w:rFonts w:eastAsia="Times New Roman"/>
                <w:color w:val="000000"/>
                <w:sz w:val="16"/>
                <w:szCs w:val="16"/>
                <w:lang w:eastAsia="en-GB"/>
              </w:rPr>
            </w:pPr>
          </w:p>
        </w:tc>
        <w:tc>
          <w:tcPr>
            <w:tcW w:w="409" w:type="pct"/>
            <w:tcBorders>
              <w:top w:val="single" w:sz="4" w:space="0" w:color="auto"/>
              <w:left w:val="nil"/>
              <w:bottom w:val="nil"/>
              <w:right w:val="single" w:sz="4" w:space="0" w:color="auto"/>
            </w:tcBorders>
            <w:shd w:val="clear" w:color="auto" w:fill="auto"/>
            <w:noWrap/>
            <w:vAlign w:val="center"/>
            <w:hideMark/>
          </w:tcPr>
          <w:p w14:paraId="3DE9189C" w14:textId="2414BF79" w:rsidR="00771D2A" w:rsidRPr="00E87E42" w:rsidRDefault="00771D2A" w:rsidP="00AE12CF">
            <w:pPr>
              <w:spacing w:after="0" w:line="240" w:lineRule="auto"/>
              <w:jc w:val="center"/>
              <w:rPr>
                <w:rFonts w:eastAsia="Times New Roman"/>
                <w:color w:val="000000"/>
                <w:sz w:val="16"/>
                <w:szCs w:val="16"/>
                <w:lang w:eastAsia="en-GB"/>
              </w:rPr>
            </w:pPr>
          </w:p>
        </w:tc>
        <w:tc>
          <w:tcPr>
            <w:tcW w:w="463" w:type="pct"/>
            <w:tcBorders>
              <w:top w:val="single" w:sz="4" w:space="0" w:color="auto"/>
              <w:left w:val="nil"/>
              <w:bottom w:val="nil"/>
              <w:right w:val="nil"/>
            </w:tcBorders>
            <w:shd w:val="clear" w:color="auto" w:fill="auto"/>
            <w:noWrap/>
            <w:vAlign w:val="center"/>
            <w:hideMark/>
          </w:tcPr>
          <w:p w14:paraId="3261EC85" w14:textId="4B024518" w:rsidR="00771D2A" w:rsidRPr="00E87E42" w:rsidRDefault="00771D2A" w:rsidP="002A1FEF">
            <w:pPr>
              <w:spacing w:after="0" w:line="240" w:lineRule="auto"/>
              <w:jc w:val="center"/>
              <w:rPr>
                <w:rFonts w:eastAsia="Times New Roman"/>
                <w:color w:val="000000"/>
                <w:sz w:val="16"/>
                <w:szCs w:val="16"/>
                <w:lang w:eastAsia="en-GB"/>
              </w:rPr>
            </w:pPr>
          </w:p>
        </w:tc>
        <w:tc>
          <w:tcPr>
            <w:tcW w:w="464" w:type="pct"/>
            <w:tcBorders>
              <w:top w:val="single" w:sz="4" w:space="0" w:color="auto"/>
              <w:left w:val="nil"/>
              <w:bottom w:val="nil"/>
              <w:right w:val="nil"/>
            </w:tcBorders>
            <w:shd w:val="clear" w:color="auto" w:fill="auto"/>
            <w:noWrap/>
            <w:vAlign w:val="center"/>
            <w:hideMark/>
          </w:tcPr>
          <w:p w14:paraId="71BB679B" w14:textId="31219624" w:rsidR="00771D2A" w:rsidRPr="00E87E42" w:rsidRDefault="00771D2A">
            <w:pPr>
              <w:spacing w:after="0" w:line="240" w:lineRule="auto"/>
              <w:jc w:val="center"/>
              <w:rPr>
                <w:rFonts w:eastAsia="Times New Roman"/>
                <w:color w:val="000000"/>
                <w:sz w:val="16"/>
                <w:szCs w:val="16"/>
                <w:lang w:eastAsia="en-GB"/>
              </w:rPr>
            </w:pPr>
          </w:p>
        </w:tc>
        <w:tc>
          <w:tcPr>
            <w:tcW w:w="409" w:type="pct"/>
            <w:vMerge w:val="restart"/>
            <w:tcBorders>
              <w:top w:val="single" w:sz="4" w:space="0" w:color="auto"/>
              <w:left w:val="single" w:sz="4" w:space="0" w:color="auto"/>
              <w:bottom w:val="single" w:sz="4" w:space="0" w:color="000000"/>
              <w:right w:val="nil"/>
            </w:tcBorders>
            <w:shd w:val="clear" w:color="auto" w:fill="auto"/>
            <w:noWrap/>
            <w:vAlign w:val="center"/>
            <w:hideMark/>
          </w:tcPr>
          <w:p w14:paraId="3D82957A"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£6,795</w:t>
            </w:r>
          </w:p>
        </w:tc>
        <w:tc>
          <w:tcPr>
            <w:tcW w:w="463" w:type="pct"/>
            <w:vMerge w:val="restart"/>
            <w:tcBorders>
              <w:top w:val="single" w:sz="4" w:space="0" w:color="auto"/>
              <w:left w:val="nil"/>
              <w:bottom w:val="single" w:sz="4" w:space="0" w:color="000000"/>
              <w:right w:val="nil"/>
            </w:tcBorders>
            <w:shd w:val="clear" w:color="auto" w:fill="auto"/>
            <w:noWrap/>
            <w:vAlign w:val="center"/>
            <w:hideMark/>
          </w:tcPr>
          <w:p w14:paraId="55AD4003"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£8,986</w:t>
            </w:r>
          </w:p>
        </w:tc>
        <w:tc>
          <w:tcPr>
            <w:tcW w:w="409" w:type="pct"/>
            <w:vMerge w:val="restart"/>
            <w:tcBorders>
              <w:top w:val="single" w:sz="4" w:space="0" w:color="auto"/>
              <w:left w:val="single" w:sz="4" w:space="0" w:color="auto"/>
              <w:bottom w:val="single" w:sz="4" w:space="0" w:color="000000"/>
              <w:right w:val="nil"/>
            </w:tcBorders>
            <w:shd w:val="clear" w:color="auto" w:fill="auto"/>
            <w:noWrap/>
            <w:vAlign w:val="center"/>
            <w:hideMark/>
          </w:tcPr>
          <w:p w14:paraId="727D92FF"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£22,749</w:t>
            </w:r>
          </w:p>
        </w:tc>
        <w:tc>
          <w:tcPr>
            <w:tcW w:w="463" w:type="pct"/>
            <w:vMerge w:val="restart"/>
            <w:tcBorders>
              <w:top w:val="single" w:sz="4" w:space="0" w:color="auto"/>
              <w:left w:val="nil"/>
              <w:bottom w:val="single" w:sz="4" w:space="0" w:color="000000"/>
              <w:right w:val="single" w:sz="4" w:space="0" w:color="auto"/>
            </w:tcBorders>
            <w:shd w:val="clear" w:color="auto" w:fill="auto"/>
            <w:noWrap/>
            <w:vAlign w:val="center"/>
            <w:hideMark/>
          </w:tcPr>
          <w:p w14:paraId="567D2DA8"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£154,237</w:t>
            </w:r>
          </w:p>
        </w:tc>
        <w:tc>
          <w:tcPr>
            <w:tcW w:w="544" w:type="pct"/>
            <w:vMerge w:val="restart"/>
            <w:tcBorders>
              <w:top w:val="single" w:sz="4" w:space="0" w:color="auto"/>
              <w:left w:val="nil"/>
              <w:bottom w:val="single" w:sz="4" w:space="0" w:color="000000"/>
              <w:right w:val="nil"/>
            </w:tcBorders>
            <w:shd w:val="clear" w:color="auto" w:fill="auto"/>
            <w:noWrap/>
            <w:vAlign w:val="center"/>
            <w:hideMark/>
          </w:tcPr>
          <w:p w14:paraId="1B4D6AF6"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£31,634</w:t>
            </w:r>
          </w:p>
        </w:tc>
        <w:tc>
          <w:tcPr>
            <w:tcW w:w="463" w:type="pct"/>
            <w:vMerge w:val="restart"/>
            <w:tcBorders>
              <w:top w:val="single" w:sz="4" w:space="0" w:color="auto"/>
              <w:left w:val="nil"/>
              <w:bottom w:val="single" w:sz="4" w:space="0" w:color="000000"/>
              <w:right w:val="single" w:sz="4" w:space="0" w:color="auto"/>
            </w:tcBorders>
            <w:shd w:val="clear" w:color="auto" w:fill="auto"/>
            <w:noWrap/>
            <w:vAlign w:val="center"/>
            <w:hideMark/>
          </w:tcPr>
          <w:p w14:paraId="040D2C8C"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£60,274</w:t>
            </w:r>
          </w:p>
        </w:tc>
      </w:tr>
      <w:tr w:rsidR="00771D2A" w:rsidRPr="00E87E42" w14:paraId="2670C5FB" w14:textId="77777777" w:rsidTr="008A55B5">
        <w:trPr>
          <w:trHeight w:val="170"/>
        </w:trPr>
        <w:tc>
          <w:tcPr>
            <w:tcW w:w="504" w:type="pct"/>
            <w:tcBorders>
              <w:top w:val="nil"/>
              <w:left w:val="single" w:sz="4" w:space="0" w:color="auto"/>
              <w:bottom w:val="nil"/>
              <w:right w:val="nil"/>
            </w:tcBorders>
            <w:shd w:val="clear" w:color="auto" w:fill="auto"/>
            <w:noWrap/>
            <w:vAlign w:val="center"/>
            <w:hideMark/>
          </w:tcPr>
          <w:p w14:paraId="3281B0F7" w14:textId="77777777" w:rsidR="00771D2A" w:rsidRPr="00E87E42" w:rsidRDefault="00771D2A"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09" w:type="pct"/>
            <w:tcBorders>
              <w:top w:val="nil"/>
              <w:left w:val="single" w:sz="4" w:space="0" w:color="auto"/>
              <w:bottom w:val="nil"/>
              <w:right w:val="nil"/>
            </w:tcBorders>
            <w:shd w:val="clear" w:color="auto" w:fill="auto"/>
            <w:noWrap/>
            <w:vAlign w:val="center"/>
            <w:hideMark/>
          </w:tcPr>
          <w:p w14:paraId="346ECF5E" w14:textId="77777777" w:rsidR="00771D2A" w:rsidRPr="00E87E42" w:rsidRDefault="00771D2A" w:rsidP="00AE12C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09" w:type="pct"/>
            <w:tcBorders>
              <w:top w:val="nil"/>
              <w:left w:val="nil"/>
              <w:bottom w:val="nil"/>
              <w:right w:val="single" w:sz="4" w:space="0" w:color="auto"/>
            </w:tcBorders>
            <w:shd w:val="clear" w:color="auto" w:fill="auto"/>
            <w:noWrap/>
            <w:vAlign w:val="center"/>
            <w:hideMark/>
          </w:tcPr>
          <w:p w14:paraId="1A16289C"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£78,208</w:t>
            </w:r>
          </w:p>
        </w:tc>
        <w:tc>
          <w:tcPr>
            <w:tcW w:w="463" w:type="pct"/>
            <w:tcBorders>
              <w:top w:val="nil"/>
              <w:left w:val="nil"/>
              <w:bottom w:val="nil"/>
              <w:right w:val="nil"/>
            </w:tcBorders>
            <w:shd w:val="clear" w:color="auto" w:fill="auto"/>
            <w:noWrap/>
            <w:vAlign w:val="center"/>
            <w:hideMark/>
          </w:tcPr>
          <w:p w14:paraId="5F20ABE2"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£63,232</w:t>
            </w:r>
          </w:p>
        </w:tc>
        <w:tc>
          <w:tcPr>
            <w:tcW w:w="464" w:type="pct"/>
            <w:tcBorders>
              <w:top w:val="nil"/>
              <w:left w:val="nil"/>
              <w:bottom w:val="nil"/>
              <w:right w:val="nil"/>
            </w:tcBorders>
            <w:shd w:val="clear" w:color="auto" w:fill="auto"/>
            <w:noWrap/>
            <w:vAlign w:val="center"/>
            <w:hideMark/>
          </w:tcPr>
          <w:p w14:paraId="036ED452"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£156,416</w:t>
            </w:r>
          </w:p>
        </w:tc>
        <w:tc>
          <w:tcPr>
            <w:tcW w:w="409" w:type="pct"/>
            <w:vMerge/>
            <w:tcBorders>
              <w:top w:val="single" w:sz="4" w:space="0" w:color="auto"/>
              <w:left w:val="single" w:sz="4" w:space="0" w:color="auto"/>
              <w:bottom w:val="single" w:sz="4" w:space="0" w:color="000000"/>
              <w:right w:val="nil"/>
            </w:tcBorders>
            <w:vAlign w:val="center"/>
            <w:hideMark/>
          </w:tcPr>
          <w:p w14:paraId="4DD411C0"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463" w:type="pct"/>
            <w:vMerge/>
            <w:tcBorders>
              <w:top w:val="single" w:sz="4" w:space="0" w:color="auto"/>
              <w:left w:val="nil"/>
              <w:bottom w:val="single" w:sz="4" w:space="0" w:color="000000"/>
              <w:right w:val="nil"/>
            </w:tcBorders>
            <w:vAlign w:val="center"/>
            <w:hideMark/>
          </w:tcPr>
          <w:p w14:paraId="5BB9C2EC"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409" w:type="pct"/>
            <w:vMerge/>
            <w:tcBorders>
              <w:top w:val="single" w:sz="4" w:space="0" w:color="auto"/>
              <w:left w:val="single" w:sz="4" w:space="0" w:color="auto"/>
              <w:bottom w:val="single" w:sz="4" w:space="0" w:color="000000"/>
              <w:right w:val="nil"/>
            </w:tcBorders>
            <w:vAlign w:val="center"/>
            <w:hideMark/>
          </w:tcPr>
          <w:p w14:paraId="0077BF37"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463" w:type="pct"/>
            <w:vMerge/>
            <w:tcBorders>
              <w:top w:val="single" w:sz="4" w:space="0" w:color="auto"/>
              <w:left w:val="nil"/>
              <w:bottom w:val="single" w:sz="4" w:space="0" w:color="000000"/>
              <w:right w:val="single" w:sz="4" w:space="0" w:color="auto"/>
            </w:tcBorders>
            <w:vAlign w:val="center"/>
            <w:hideMark/>
          </w:tcPr>
          <w:p w14:paraId="0CEF4E8A"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544" w:type="pct"/>
            <w:vMerge/>
            <w:tcBorders>
              <w:top w:val="single" w:sz="4" w:space="0" w:color="auto"/>
              <w:left w:val="nil"/>
              <w:bottom w:val="single" w:sz="4" w:space="0" w:color="000000"/>
              <w:right w:val="nil"/>
            </w:tcBorders>
            <w:vAlign w:val="center"/>
            <w:hideMark/>
          </w:tcPr>
          <w:p w14:paraId="53A4C865"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463" w:type="pct"/>
            <w:vMerge/>
            <w:tcBorders>
              <w:top w:val="single" w:sz="4" w:space="0" w:color="auto"/>
              <w:left w:val="nil"/>
              <w:bottom w:val="single" w:sz="4" w:space="0" w:color="000000"/>
              <w:right w:val="single" w:sz="4" w:space="0" w:color="auto"/>
            </w:tcBorders>
            <w:vAlign w:val="center"/>
            <w:hideMark/>
          </w:tcPr>
          <w:p w14:paraId="73A89BE0" w14:textId="77777777" w:rsidR="00771D2A" w:rsidRPr="00E87E42" w:rsidRDefault="00771D2A" w:rsidP="008A55B5">
            <w:pPr>
              <w:spacing w:after="0" w:line="240" w:lineRule="auto"/>
              <w:jc w:val="right"/>
              <w:rPr>
                <w:rFonts w:eastAsia="Times New Roman"/>
                <w:color w:val="000000"/>
                <w:sz w:val="16"/>
                <w:szCs w:val="16"/>
                <w:lang w:eastAsia="en-GB"/>
              </w:rPr>
            </w:pPr>
          </w:p>
        </w:tc>
      </w:tr>
      <w:tr w:rsidR="00771D2A" w:rsidRPr="00E87E42" w14:paraId="00BEB96E" w14:textId="77777777" w:rsidTr="008A55B5">
        <w:trPr>
          <w:trHeight w:val="170"/>
        </w:trPr>
        <w:tc>
          <w:tcPr>
            <w:tcW w:w="504" w:type="pct"/>
            <w:tcBorders>
              <w:top w:val="nil"/>
              <w:left w:val="single" w:sz="4" w:space="0" w:color="auto"/>
              <w:bottom w:val="single" w:sz="4" w:space="0" w:color="auto"/>
              <w:right w:val="nil"/>
            </w:tcBorders>
            <w:shd w:val="clear" w:color="auto" w:fill="auto"/>
            <w:noWrap/>
            <w:vAlign w:val="center"/>
            <w:hideMark/>
          </w:tcPr>
          <w:p w14:paraId="4F67ED59" w14:textId="77777777" w:rsidR="00771D2A" w:rsidRPr="00E87E42" w:rsidRDefault="00771D2A"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G</w:t>
            </w:r>
          </w:p>
        </w:tc>
        <w:tc>
          <w:tcPr>
            <w:tcW w:w="409" w:type="pct"/>
            <w:tcBorders>
              <w:top w:val="nil"/>
              <w:left w:val="single" w:sz="4" w:space="0" w:color="auto"/>
              <w:bottom w:val="single" w:sz="4" w:space="0" w:color="auto"/>
              <w:right w:val="nil"/>
            </w:tcBorders>
            <w:shd w:val="clear" w:color="auto" w:fill="auto"/>
            <w:noWrap/>
            <w:vAlign w:val="center"/>
            <w:hideMark/>
          </w:tcPr>
          <w:p w14:paraId="61094DE4" w14:textId="77777777" w:rsidR="00771D2A" w:rsidRPr="00E87E42" w:rsidRDefault="00771D2A" w:rsidP="00AE12C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09" w:type="pct"/>
            <w:tcBorders>
              <w:top w:val="nil"/>
              <w:left w:val="nil"/>
              <w:bottom w:val="single" w:sz="4" w:space="0" w:color="auto"/>
              <w:right w:val="single" w:sz="4" w:space="0" w:color="auto"/>
            </w:tcBorders>
            <w:shd w:val="clear" w:color="auto" w:fill="auto"/>
            <w:noWrap/>
            <w:vAlign w:val="center"/>
            <w:hideMark/>
          </w:tcPr>
          <w:p w14:paraId="3CFE0682"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£23,296</w:t>
            </w:r>
          </w:p>
        </w:tc>
        <w:tc>
          <w:tcPr>
            <w:tcW w:w="463" w:type="pct"/>
            <w:tcBorders>
              <w:top w:val="nil"/>
              <w:left w:val="nil"/>
              <w:bottom w:val="single" w:sz="4" w:space="0" w:color="auto"/>
              <w:right w:val="nil"/>
            </w:tcBorders>
            <w:shd w:val="clear" w:color="auto" w:fill="auto"/>
            <w:noWrap/>
            <w:vAlign w:val="center"/>
            <w:hideMark/>
          </w:tcPr>
          <w:p w14:paraId="784C8B88"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£6,656</w:t>
            </w:r>
          </w:p>
        </w:tc>
        <w:tc>
          <w:tcPr>
            <w:tcW w:w="464" w:type="pct"/>
            <w:tcBorders>
              <w:top w:val="nil"/>
              <w:left w:val="nil"/>
              <w:bottom w:val="single" w:sz="4" w:space="0" w:color="auto"/>
              <w:right w:val="nil"/>
            </w:tcBorders>
            <w:shd w:val="clear" w:color="auto" w:fill="auto"/>
            <w:noWrap/>
            <w:vAlign w:val="center"/>
            <w:hideMark/>
          </w:tcPr>
          <w:p w14:paraId="2B91C63C"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£39,936</w:t>
            </w:r>
          </w:p>
        </w:tc>
        <w:tc>
          <w:tcPr>
            <w:tcW w:w="409" w:type="pct"/>
            <w:vMerge/>
            <w:tcBorders>
              <w:top w:val="single" w:sz="4" w:space="0" w:color="auto"/>
              <w:left w:val="single" w:sz="4" w:space="0" w:color="auto"/>
              <w:bottom w:val="single" w:sz="4" w:space="0" w:color="000000"/>
              <w:right w:val="nil"/>
            </w:tcBorders>
            <w:vAlign w:val="center"/>
            <w:hideMark/>
          </w:tcPr>
          <w:p w14:paraId="126EBFF2"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463" w:type="pct"/>
            <w:vMerge/>
            <w:tcBorders>
              <w:top w:val="single" w:sz="4" w:space="0" w:color="auto"/>
              <w:left w:val="nil"/>
              <w:bottom w:val="single" w:sz="4" w:space="0" w:color="000000"/>
              <w:right w:val="nil"/>
            </w:tcBorders>
            <w:vAlign w:val="center"/>
            <w:hideMark/>
          </w:tcPr>
          <w:p w14:paraId="3DC659B7"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409" w:type="pct"/>
            <w:vMerge/>
            <w:tcBorders>
              <w:top w:val="single" w:sz="4" w:space="0" w:color="auto"/>
              <w:left w:val="single" w:sz="4" w:space="0" w:color="auto"/>
              <w:bottom w:val="single" w:sz="4" w:space="0" w:color="000000"/>
              <w:right w:val="nil"/>
            </w:tcBorders>
            <w:vAlign w:val="center"/>
            <w:hideMark/>
          </w:tcPr>
          <w:p w14:paraId="7D6CA129"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463" w:type="pct"/>
            <w:vMerge/>
            <w:tcBorders>
              <w:top w:val="single" w:sz="4" w:space="0" w:color="auto"/>
              <w:left w:val="nil"/>
              <w:bottom w:val="single" w:sz="4" w:space="0" w:color="000000"/>
              <w:right w:val="single" w:sz="4" w:space="0" w:color="auto"/>
            </w:tcBorders>
            <w:vAlign w:val="center"/>
            <w:hideMark/>
          </w:tcPr>
          <w:p w14:paraId="4B6FA060"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544" w:type="pct"/>
            <w:vMerge/>
            <w:tcBorders>
              <w:top w:val="single" w:sz="4" w:space="0" w:color="auto"/>
              <w:left w:val="nil"/>
              <w:bottom w:val="single" w:sz="4" w:space="0" w:color="000000"/>
              <w:right w:val="nil"/>
            </w:tcBorders>
            <w:vAlign w:val="center"/>
            <w:hideMark/>
          </w:tcPr>
          <w:p w14:paraId="14684DBB"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463" w:type="pct"/>
            <w:vMerge/>
            <w:tcBorders>
              <w:top w:val="single" w:sz="4" w:space="0" w:color="auto"/>
              <w:left w:val="nil"/>
              <w:bottom w:val="single" w:sz="4" w:space="0" w:color="000000"/>
              <w:right w:val="single" w:sz="4" w:space="0" w:color="auto"/>
            </w:tcBorders>
            <w:vAlign w:val="center"/>
            <w:hideMark/>
          </w:tcPr>
          <w:p w14:paraId="007AC406" w14:textId="77777777" w:rsidR="00771D2A" w:rsidRPr="00E87E42" w:rsidRDefault="00771D2A" w:rsidP="008A55B5">
            <w:pPr>
              <w:spacing w:after="0" w:line="240" w:lineRule="auto"/>
              <w:jc w:val="right"/>
              <w:rPr>
                <w:rFonts w:eastAsia="Times New Roman"/>
                <w:color w:val="000000"/>
                <w:sz w:val="16"/>
                <w:szCs w:val="16"/>
                <w:lang w:eastAsia="en-GB"/>
              </w:rPr>
            </w:pPr>
          </w:p>
        </w:tc>
      </w:tr>
      <w:tr w:rsidR="00771D2A" w:rsidRPr="00E87E42" w14:paraId="0B2D1D02" w14:textId="77777777" w:rsidTr="008A55B5">
        <w:trPr>
          <w:trHeight w:val="170"/>
        </w:trPr>
        <w:tc>
          <w:tcPr>
            <w:tcW w:w="504" w:type="pct"/>
            <w:tcBorders>
              <w:top w:val="nil"/>
              <w:left w:val="single" w:sz="4" w:space="0" w:color="auto"/>
              <w:bottom w:val="nil"/>
              <w:right w:val="nil"/>
            </w:tcBorders>
            <w:shd w:val="clear" w:color="auto" w:fill="auto"/>
            <w:noWrap/>
            <w:vAlign w:val="center"/>
            <w:hideMark/>
          </w:tcPr>
          <w:p w14:paraId="2FDC5AA0" w14:textId="77777777" w:rsidR="00771D2A" w:rsidRPr="00E87E42" w:rsidRDefault="00771D2A"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H</w:t>
            </w:r>
          </w:p>
        </w:tc>
        <w:tc>
          <w:tcPr>
            <w:tcW w:w="409" w:type="pct"/>
            <w:tcBorders>
              <w:top w:val="nil"/>
              <w:left w:val="single" w:sz="4" w:space="0" w:color="auto"/>
              <w:bottom w:val="nil"/>
              <w:right w:val="nil"/>
            </w:tcBorders>
            <w:shd w:val="clear" w:color="auto" w:fill="auto"/>
            <w:noWrap/>
            <w:vAlign w:val="center"/>
            <w:hideMark/>
          </w:tcPr>
          <w:p w14:paraId="338D6ACD" w14:textId="7089B68C" w:rsidR="00771D2A" w:rsidRPr="00E87E42" w:rsidRDefault="00771D2A" w:rsidP="00AE12CF">
            <w:pPr>
              <w:spacing w:after="0" w:line="240" w:lineRule="auto"/>
              <w:jc w:val="center"/>
              <w:rPr>
                <w:rFonts w:eastAsia="Times New Roman"/>
                <w:color w:val="000000"/>
                <w:sz w:val="16"/>
                <w:szCs w:val="16"/>
                <w:lang w:eastAsia="en-GB"/>
              </w:rPr>
            </w:pPr>
          </w:p>
        </w:tc>
        <w:tc>
          <w:tcPr>
            <w:tcW w:w="409" w:type="pct"/>
            <w:tcBorders>
              <w:top w:val="nil"/>
              <w:left w:val="nil"/>
              <w:bottom w:val="nil"/>
              <w:right w:val="single" w:sz="4" w:space="0" w:color="auto"/>
            </w:tcBorders>
            <w:shd w:val="clear" w:color="auto" w:fill="auto"/>
            <w:noWrap/>
            <w:vAlign w:val="center"/>
            <w:hideMark/>
          </w:tcPr>
          <w:p w14:paraId="53470E47" w14:textId="6E2D0008" w:rsidR="00771D2A" w:rsidRPr="00E87E42" w:rsidRDefault="00771D2A" w:rsidP="008A55B5">
            <w:pPr>
              <w:spacing w:after="0" w:line="240" w:lineRule="auto"/>
              <w:jc w:val="right"/>
              <w:rPr>
                <w:rFonts w:eastAsia="Times New Roman"/>
                <w:color w:val="000000"/>
                <w:sz w:val="16"/>
                <w:szCs w:val="16"/>
                <w:lang w:eastAsia="en-GB"/>
              </w:rPr>
            </w:pPr>
          </w:p>
        </w:tc>
        <w:tc>
          <w:tcPr>
            <w:tcW w:w="463" w:type="pct"/>
            <w:tcBorders>
              <w:top w:val="nil"/>
              <w:left w:val="nil"/>
              <w:bottom w:val="nil"/>
              <w:right w:val="nil"/>
            </w:tcBorders>
            <w:shd w:val="clear" w:color="auto" w:fill="auto"/>
            <w:noWrap/>
            <w:vAlign w:val="center"/>
            <w:hideMark/>
          </w:tcPr>
          <w:p w14:paraId="67FBAD25" w14:textId="4F6737C1" w:rsidR="00771D2A" w:rsidRPr="00E87E42" w:rsidRDefault="00771D2A" w:rsidP="008A55B5">
            <w:pPr>
              <w:spacing w:after="0" w:line="240" w:lineRule="auto"/>
              <w:jc w:val="right"/>
              <w:rPr>
                <w:rFonts w:eastAsia="Times New Roman"/>
                <w:color w:val="000000"/>
                <w:sz w:val="16"/>
                <w:szCs w:val="16"/>
                <w:lang w:eastAsia="en-GB"/>
              </w:rPr>
            </w:pPr>
          </w:p>
        </w:tc>
        <w:tc>
          <w:tcPr>
            <w:tcW w:w="464" w:type="pct"/>
            <w:tcBorders>
              <w:top w:val="nil"/>
              <w:left w:val="nil"/>
              <w:bottom w:val="nil"/>
              <w:right w:val="nil"/>
            </w:tcBorders>
            <w:shd w:val="clear" w:color="auto" w:fill="auto"/>
            <w:noWrap/>
            <w:vAlign w:val="center"/>
            <w:hideMark/>
          </w:tcPr>
          <w:p w14:paraId="3D2E4373" w14:textId="45D2C2E7" w:rsidR="00771D2A" w:rsidRPr="00E87E42" w:rsidRDefault="00771D2A" w:rsidP="008A55B5">
            <w:pPr>
              <w:spacing w:after="0" w:line="240" w:lineRule="auto"/>
              <w:jc w:val="right"/>
              <w:rPr>
                <w:rFonts w:eastAsia="Times New Roman"/>
                <w:color w:val="000000"/>
                <w:sz w:val="16"/>
                <w:szCs w:val="16"/>
                <w:lang w:eastAsia="en-GB"/>
              </w:rPr>
            </w:pPr>
          </w:p>
        </w:tc>
        <w:tc>
          <w:tcPr>
            <w:tcW w:w="409" w:type="pct"/>
            <w:tcBorders>
              <w:top w:val="nil"/>
              <w:left w:val="single" w:sz="4" w:space="0" w:color="auto"/>
              <w:bottom w:val="nil"/>
              <w:right w:val="nil"/>
            </w:tcBorders>
            <w:shd w:val="clear" w:color="auto" w:fill="auto"/>
            <w:noWrap/>
            <w:vAlign w:val="center"/>
            <w:hideMark/>
          </w:tcPr>
          <w:p w14:paraId="32DE78E8"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£9,431</w:t>
            </w:r>
          </w:p>
        </w:tc>
        <w:tc>
          <w:tcPr>
            <w:tcW w:w="463" w:type="pct"/>
            <w:tcBorders>
              <w:top w:val="nil"/>
              <w:left w:val="nil"/>
              <w:bottom w:val="nil"/>
              <w:right w:val="nil"/>
            </w:tcBorders>
            <w:shd w:val="clear" w:color="auto" w:fill="auto"/>
            <w:noWrap/>
            <w:vAlign w:val="center"/>
            <w:hideMark/>
          </w:tcPr>
          <w:p w14:paraId="1BD125DD"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£887,731</w:t>
            </w:r>
          </w:p>
        </w:tc>
        <w:tc>
          <w:tcPr>
            <w:tcW w:w="409" w:type="pct"/>
            <w:tcBorders>
              <w:top w:val="nil"/>
              <w:left w:val="single" w:sz="4" w:space="0" w:color="auto"/>
              <w:bottom w:val="nil"/>
              <w:right w:val="nil"/>
            </w:tcBorders>
            <w:shd w:val="clear" w:color="auto" w:fill="auto"/>
            <w:noWrap/>
            <w:vAlign w:val="center"/>
            <w:hideMark/>
          </w:tcPr>
          <w:p w14:paraId="41A650FF"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£607</w:t>
            </w:r>
          </w:p>
        </w:tc>
        <w:tc>
          <w:tcPr>
            <w:tcW w:w="463" w:type="pct"/>
            <w:tcBorders>
              <w:top w:val="nil"/>
              <w:left w:val="nil"/>
              <w:bottom w:val="nil"/>
              <w:right w:val="single" w:sz="4" w:space="0" w:color="auto"/>
            </w:tcBorders>
            <w:shd w:val="clear" w:color="auto" w:fill="auto"/>
            <w:noWrap/>
            <w:vAlign w:val="center"/>
            <w:hideMark/>
          </w:tcPr>
          <w:p w14:paraId="247E2BF1"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£30,368</w:t>
            </w:r>
          </w:p>
        </w:tc>
        <w:tc>
          <w:tcPr>
            <w:tcW w:w="544" w:type="pct"/>
            <w:tcBorders>
              <w:top w:val="nil"/>
              <w:left w:val="nil"/>
              <w:bottom w:val="nil"/>
              <w:right w:val="nil"/>
            </w:tcBorders>
            <w:shd w:val="clear" w:color="auto" w:fill="auto"/>
            <w:noWrap/>
            <w:vAlign w:val="center"/>
            <w:hideMark/>
          </w:tcPr>
          <w:p w14:paraId="17688635"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£43,718</w:t>
            </w:r>
          </w:p>
        </w:tc>
        <w:tc>
          <w:tcPr>
            <w:tcW w:w="463" w:type="pct"/>
            <w:tcBorders>
              <w:top w:val="nil"/>
              <w:left w:val="nil"/>
              <w:bottom w:val="nil"/>
              <w:right w:val="single" w:sz="4" w:space="0" w:color="auto"/>
            </w:tcBorders>
            <w:shd w:val="clear" w:color="auto" w:fill="auto"/>
            <w:noWrap/>
            <w:vAlign w:val="center"/>
            <w:hideMark/>
          </w:tcPr>
          <w:p w14:paraId="1FF167F0"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£45,585</w:t>
            </w:r>
          </w:p>
        </w:tc>
      </w:tr>
      <w:tr w:rsidR="00771D2A" w:rsidRPr="00E87E42" w14:paraId="2E916D91" w14:textId="77777777" w:rsidTr="008A55B5">
        <w:trPr>
          <w:trHeight w:val="170"/>
        </w:trPr>
        <w:tc>
          <w:tcPr>
            <w:tcW w:w="504" w:type="pct"/>
            <w:tcBorders>
              <w:top w:val="single" w:sz="4" w:space="0" w:color="auto"/>
              <w:left w:val="single" w:sz="4" w:space="0" w:color="auto"/>
              <w:bottom w:val="nil"/>
              <w:right w:val="nil"/>
            </w:tcBorders>
            <w:shd w:val="clear" w:color="auto" w:fill="auto"/>
            <w:noWrap/>
            <w:vAlign w:val="center"/>
            <w:hideMark/>
          </w:tcPr>
          <w:p w14:paraId="5CBE9FC1" w14:textId="77777777" w:rsidR="00771D2A" w:rsidRPr="00E87E42" w:rsidRDefault="00771D2A"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I</w:t>
            </w:r>
          </w:p>
        </w:tc>
        <w:tc>
          <w:tcPr>
            <w:tcW w:w="409" w:type="pct"/>
            <w:tcBorders>
              <w:top w:val="nil"/>
              <w:left w:val="single" w:sz="4" w:space="0" w:color="auto"/>
              <w:bottom w:val="nil"/>
              <w:right w:val="nil"/>
            </w:tcBorders>
            <w:shd w:val="clear" w:color="auto" w:fill="auto"/>
            <w:noWrap/>
            <w:vAlign w:val="center"/>
            <w:hideMark/>
          </w:tcPr>
          <w:p w14:paraId="18039AA3"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£59,904</w:t>
            </w:r>
          </w:p>
        </w:tc>
        <w:tc>
          <w:tcPr>
            <w:tcW w:w="409" w:type="pct"/>
            <w:tcBorders>
              <w:top w:val="nil"/>
              <w:left w:val="nil"/>
              <w:bottom w:val="nil"/>
              <w:right w:val="single" w:sz="4" w:space="0" w:color="auto"/>
            </w:tcBorders>
            <w:shd w:val="clear" w:color="auto" w:fill="auto"/>
            <w:noWrap/>
            <w:vAlign w:val="center"/>
            <w:hideMark/>
          </w:tcPr>
          <w:p w14:paraId="5D502BCA"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£71,552</w:t>
            </w:r>
          </w:p>
        </w:tc>
        <w:tc>
          <w:tcPr>
            <w:tcW w:w="463" w:type="pct"/>
            <w:tcBorders>
              <w:top w:val="nil"/>
              <w:left w:val="nil"/>
              <w:bottom w:val="nil"/>
              <w:right w:val="nil"/>
            </w:tcBorders>
            <w:shd w:val="clear" w:color="auto" w:fill="auto"/>
            <w:noWrap/>
            <w:vAlign w:val="center"/>
            <w:hideMark/>
          </w:tcPr>
          <w:p w14:paraId="67ACD6A5"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£71,552</w:t>
            </w:r>
          </w:p>
        </w:tc>
        <w:tc>
          <w:tcPr>
            <w:tcW w:w="464" w:type="pct"/>
            <w:tcBorders>
              <w:top w:val="nil"/>
              <w:left w:val="nil"/>
              <w:bottom w:val="nil"/>
              <w:right w:val="nil"/>
            </w:tcBorders>
            <w:shd w:val="clear" w:color="auto" w:fill="auto"/>
            <w:noWrap/>
            <w:vAlign w:val="center"/>
            <w:hideMark/>
          </w:tcPr>
          <w:p w14:paraId="6CB37837"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£136,448</w:t>
            </w:r>
          </w:p>
        </w:tc>
        <w:tc>
          <w:tcPr>
            <w:tcW w:w="409" w:type="pct"/>
            <w:tcBorders>
              <w:top w:val="nil"/>
              <w:left w:val="single" w:sz="4" w:space="0" w:color="auto"/>
              <w:bottom w:val="nil"/>
              <w:right w:val="nil"/>
            </w:tcBorders>
            <w:shd w:val="clear" w:color="auto" w:fill="auto"/>
            <w:noWrap/>
            <w:vAlign w:val="center"/>
            <w:hideMark/>
          </w:tcPr>
          <w:p w14:paraId="3C17D4FC"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£1,397</w:t>
            </w:r>
          </w:p>
        </w:tc>
        <w:tc>
          <w:tcPr>
            <w:tcW w:w="463" w:type="pct"/>
            <w:tcBorders>
              <w:top w:val="nil"/>
              <w:left w:val="nil"/>
              <w:bottom w:val="nil"/>
              <w:right w:val="nil"/>
            </w:tcBorders>
            <w:shd w:val="clear" w:color="auto" w:fill="auto"/>
            <w:noWrap/>
            <w:vAlign w:val="center"/>
            <w:hideMark/>
          </w:tcPr>
          <w:p w14:paraId="79529CE3"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£8,098</w:t>
            </w:r>
          </w:p>
        </w:tc>
        <w:tc>
          <w:tcPr>
            <w:tcW w:w="409" w:type="pct"/>
            <w:tcBorders>
              <w:top w:val="nil"/>
              <w:left w:val="single" w:sz="4" w:space="0" w:color="auto"/>
              <w:bottom w:val="nil"/>
              <w:right w:val="nil"/>
            </w:tcBorders>
            <w:shd w:val="clear" w:color="auto" w:fill="auto"/>
            <w:noWrap/>
            <w:vAlign w:val="center"/>
            <w:hideMark/>
          </w:tcPr>
          <w:p w14:paraId="7159AC65" w14:textId="77777777" w:rsidR="00771D2A" w:rsidRPr="00E87E42" w:rsidRDefault="00771D2A" w:rsidP="00AE12C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63" w:type="pct"/>
            <w:tcBorders>
              <w:top w:val="nil"/>
              <w:left w:val="nil"/>
              <w:bottom w:val="nil"/>
              <w:right w:val="single" w:sz="4" w:space="0" w:color="auto"/>
            </w:tcBorders>
            <w:shd w:val="clear" w:color="auto" w:fill="auto"/>
            <w:noWrap/>
            <w:vAlign w:val="center"/>
            <w:hideMark/>
          </w:tcPr>
          <w:p w14:paraId="18378951" w14:textId="77777777" w:rsidR="00771D2A" w:rsidRPr="00E87E42" w:rsidRDefault="00771D2A" w:rsidP="00AE12C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544" w:type="pct"/>
            <w:tcBorders>
              <w:top w:val="nil"/>
              <w:left w:val="nil"/>
              <w:bottom w:val="nil"/>
              <w:right w:val="nil"/>
            </w:tcBorders>
            <w:shd w:val="clear" w:color="auto" w:fill="auto"/>
            <w:noWrap/>
            <w:vAlign w:val="center"/>
            <w:hideMark/>
          </w:tcPr>
          <w:p w14:paraId="259BAE30"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£12,893</w:t>
            </w:r>
          </w:p>
        </w:tc>
        <w:tc>
          <w:tcPr>
            <w:tcW w:w="463" w:type="pct"/>
            <w:tcBorders>
              <w:top w:val="nil"/>
              <w:left w:val="nil"/>
              <w:bottom w:val="nil"/>
              <w:right w:val="single" w:sz="4" w:space="0" w:color="auto"/>
            </w:tcBorders>
            <w:shd w:val="clear" w:color="auto" w:fill="auto"/>
            <w:noWrap/>
            <w:vAlign w:val="center"/>
            <w:hideMark/>
          </w:tcPr>
          <w:p w14:paraId="60761F08"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£1,518</w:t>
            </w:r>
          </w:p>
        </w:tc>
      </w:tr>
      <w:tr w:rsidR="00771D2A" w:rsidRPr="00E87E42" w14:paraId="660D7C57" w14:textId="77777777" w:rsidTr="008A55B5">
        <w:trPr>
          <w:trHeight w:val="170"/>
        </w:trPr>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53097" w14:textId="77777777" w:rsidR="00771D2A" w:rsidRPr="00E87E42" w:rsidRDefault="00771D2A"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J</w:t>
            </w:r>
          </w:p>
        </w:tc>
        <w:tc>
          <w:tcPr>
            <w:tcW w:w="409" w:type="pct"/>
            <w:tcBorders>
              <w:top w:val="single" w:sz="4" w:space="0" w:color="auto"/>
              <w:left w:val="nil"/>
              <w:bottom w:val="nil"/>
              <w:right w:val="nil"/>
            </w:tcBorders>
            <w:shd w:val="clear" w:color="auto" w:fill="auto"/>
            <w:noWrap/>
            <w:vAlign w:val="center"/>
            <w:hideMark/>
          </w:tcPr>
          <w:p w14:paraId="59C5CD52" w14:textId="418BDEF3" w:rsidR="00771D2A" w:rsidRPr="00E87E42" w:rsidRDefault="00771D2A" w:rsidP="008A55B5">
            <w:pPr>
              <w:spacing w:after="0" w:line="240" w:lineRule="auto"/>
              <w:jc w:val="right"/>
              <w:rPr>
                <w:rFonts w:eastAsia="Times New Roman"/>
                <w:color w:val="000000"/>
                <w:sz w:val="16"/>
                <w:szCs w:val="16"/>
                <w:lang w:eastAsia="en-GB"/>
              </w:rPr>
            </w:pPr>
          </w:p>
        </w:tc>
        <w:tc>
          <w:tcPr>
            <w:tcW w:w="409" w:type="pct"/>
            <w:tcBorders>
              <w:top w:val="single" w:sz="4" w:space="0" w:color="auto"/>
              <w:left w:val="nil"/>
              <w:bottom w:val="nil"/>
              <w:right w:val="single" w:sz="4" w:space="0" w:color="auto"/>
            </w:tcBorders>
            <w:shd w:val="clear" w:color="auto" w:fill="auto"/>
            <w:noWrap/>
            <w:vAlign w:val="center"/>
            <w:hideMark/>
          </w:tcPr>
          <w:p w14:paraId="1462B309" w14:textId="2DF4F19C" w:rsidR="00771D2A" w:rsidRPr="00E87E42" w:rsidRDefault="00771D2A" w:rsidP="008A55B5">
            <w:pPr>
              <w:spacing w:after="0" w:line="240" w:lineRule="auto"/>
              <w:jc w:val="right"/>
              <w:rPr>
                <w:rFonts w:eastAsia="Times New Roman"/>
                <w:color w:val="000000"/>
                <w:sz w:val="16"/>
                <w:szCs w:val="16"/>
                <w:lang w:eastAsia="en-GB"/>
              </w:rPr>
            </w:pPr>
          </w:p>
        </w:tc>
        <w:tc>
          <w:tcPr>
            <w:tcW w:w="463" w:type="pct"/>
            <w:tcBorders>
              <w:top w:val="single" w:sz="4" w:space="0" w:color="auto"/>
              <w:left w:val="nil"/>
              <w:bottom w:val="nil"/>
              <w:right w:val="nil"/>
            </w:tcBorders>
            <w:shd w:val="clear" w:color="auto" w:fill="auto"/>
            <w:noWrap/>
            <w:vAlign w:val="center"/>
            <w:hideMark/>
          </w:tcPr>
          <w:p w14:paraId="297B177E" w14:textId="28E5C5A4" w:rsidR="00771D2A" w:rsidRPr="00E87E42" w:rsidRDefault="00771D2A" w:rsidP="008A55B5">
            <w:pPr>
              <w:spacing w:after="0" w:line="240" w:lineRule="auto"/>
              <w:jc w:val="right"/>
              <w:rPr>
                <w:rFonts w:eastAsia="Times New Roman"/>
                <w:color w:val="000000"/>
                <w:sz w:val="16"/>
                <w:szCs w:val="16"/>
                <w:lang w:eastAsia="en-GB"/>
              </w:rPr>
            </w:pPr>
          </w:p>
        </w:tc>
        <w:tc>
          <w:tcPr>
            <w:tcW w:w="464" w:type="pct"/>
            <w:tcBorders>
              <w:top w:val="single" w:sz="4" w:space="0" w:color="auto"/>
              <w:left w:val="nil"/>
              <w:bottom w:val="nil"/>
              <w:right w:val="nil"/>
            </w:tcBorders>
            <w:shd w:val="clear" w:color="auto" w:fill="auto"/>
            <w:noWrap/>
            <w:vAlign w:val="center"/>
            <w:hideMark/>
          </w:tcPr>
          <w:p w14:paraId="72411197" w14:textId="11DBE17F" w:rsidR="00771D2A" w:rsidRPr="00E87E42" w:rsidRDefault="00771D2A" w:rsidP="008A55B5">
            <w:pPr>
              <w:spacing w:after="0" w:line="240" w:lineRule="auto"/>
              <w:jc w:val="right"/>
              <w:rPr>
                <w:rFonts w:eastAsia="Times New Roman"/>
                <w:color w:val="000000"/>
                <w:sz w:val="16"/>
                <w:szCs w:val="16"/>
                <w:lang w:eastAsia="en-GB"/>
              </w:rPr>
            </w:pPr>
          </w:p>
        </w:tc>
        <w:tc>
          <w:tcPr>
            <w:tcW w:w="409" w:type="pct"/>
            <w:vMerge w:val="restart"/>
            <w:tcBorders>
              <w:top w:val="single" w:sz="4" w:space="0" w:color="auto"/>
              <w:left w:val="single" w:sz="4" w:space="0" w:color="auto"/>
              <w:bottom w:val="single" w:sz="4" w:space="0" w:color="000000"/>
              <w:right w:val="nil"/>
            </w:tcBorders>
            <w:shd w:val="clear" w:color="auto" w:fill="auto"/>
            <w:noWrap/>
            <w:vAlign w:val="center"/>
            <w:hideMark/>
          </w:tcPr>
          <w:p w14:paraId="454CBF5F"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£54,015</w:t>
            </w:r>
          </w:p>
        </w:tc>
        <w:tc>
          <w:tcPr>
            <w:tcW w:w="463" w:type="pct"/>
            <w:vMerge w:val="restart"/>
            <w:tcBorders>
              <w:top w:val="single" w:sz="4" w:space="0" w:color="auto"/>
              <w:left w:val="nil"/>
              <w:bottom w:val="single" w:sz="4" w:space="0" w:color="000000"/>
              <w:right w:val="nil"/>
            </w:tcBorders>
            <w:shd w:val="clear" w:color="auto" w:fill="auto"/>
            <w:noWrap/>
            <w:vAlign w:val="center"/>
            <w:hideMark/>
          </w:tcPr>
          <w:p w14:paraId="2C56808C"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£23,969</w:t>
            </w:r>
          </w:p>
        </w:tc>
        <w:tc>
          <w:tcPr>
            <w:tcW w:w="409" w:type="pct"/>
            <w:vMerge w:val="restart"/>
            <w:tcBorders>
              <w:top w:val="single" w:sz="4" w:space="0" w:color="auto"/>
              <w:left w:val="single" w:sz="4" w:space="0" w:color="auto"/>
              <w:bottom w:val="single" w:sz="4" w:space="0" w:color="000000"/>
              <w:right w:val="nil"/>
            </w:tcBorders>
            <w:shd w:val="clear" w:color="auto" w:fill="auto"/>
            <w:noWrap/>
            <w:vAlign w:val="center"/>
            <w:hideMark/>
          </w:tcPr>
          <w:p w14:paraId="0D8E36F5"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£11,862</w:t>
            </w:r>
          </w:p>
        </w:tc>
        <w:tc>
          <w:tcPr>
            <w:tcW w:w="463" w:type="pct"/>
            <w:vMerge w:val="restart"/>
            <w:tcBorders>
              <w:top w:val="single" w:sz="4" w:space="0" w:color="auto"/>
              <w:left w:val="nil"/>
              <w:bottom w:val="single" w:sz="4" w:space="0" w:color="000000"/>
              <w:right w:val="nil"/>
            </w:tcBorders>
            <w:shd w:val="clear" w:color="auto" w:fill="auto"/>
            <w:noWrap/>
            <w:vAlign w:val="center"/>
            <w:hideMark/>
          </w:tcPr>
          <w:p w14:paraId="23DEFC0B"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£611,406</w:t>
            </w:r>
          </w:p>
        </w:tc>
        <w:tc>
          <w:tcPr>
            <w:tcW w:w="544" w:type="pct"/>
            <w:vMerge w:val="restart"/>
            <w:tcBorders>
              <w:top w:val="single" w:sz="4" w:space="0" w:color="auto"/>
              <w:left w:val="single" w:sz="4" w:space="0" w:color="auto"/>
              <w:bottom w:val="single" w:sz="4" w:space="0" w:color="000000"/>
              <w:right w:val="nil"/>
            </w:tcBorders>
            <w:shd w:val="clear" w:color="auto" w:fill="auto"/>
            <w:noWrap/>
            <w:vAlign w:val="center"/>
            <w:hideMark/>
          </w:tcPr>
          <w:p w14:paraId="3C77FDD3"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£38,869</w:t>
            </w:r>
          </w:p>
        </w:tc>
        <w:tc>
          <w:tcPr>
            <w:tcW w:w="463" w:type="pct"/>
            <w:vMerge w:val="restart"/>
            <w:tcBorders>
              <w:top w:val="single" w:sz="4" w:space="0" w:color="auto"/>
              <w:left w:val="nil"/>
              <w:bottom w:val="single" w:sz="4" w:space="0" w:color="000000"/>
              <w:right w:val="single" w:sz="4" w:space="0" w:color="auto"/>
            </w:tcBorders>
            <w:shd w:val="clear" w:color="auto" w:fill="auto"/>
            <w:noWrap/>
            <w:vAlign w:val="center"/>
            <w:hideMark/>
          </w:tcPr>
          <w:p w14:paraId="62515A99"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£107,086</w:t>
            </w:r>
          </w:p>
        </w:tc>
      </w:tr>
      <w:tr w:rsidR="00771D2A" w:rsidRPr="00E87E42" w14:paraId="3FC899D7" w14:textId="77777777" w:rsidTr="008A55B5">
        <w:trPr>
          <w:trHeight w:val="170"/>
        </w:trPr>
        <w:tc>
          <w:tcPr>
            <w:tcW w:w="504" w:type="pct"/>
            <w:tcBorders>
              <w:top w:val="nil"/>
              <w:left w:val="single" w:sz="4" w:space="0" w:color="auto"/>
              <w:bottom w:val="nil"/>
              <w:right w:val="single" w:sz="4" w:space="0" w:color="auto"/>
            </w:tcBorders>
            <w:shd w:val="clear" w:color="auto" w:fill="auto"/>
            <w:noWrap/>
            <w:vAlign w:val="center"/>
            <w:hideMark/>
          </w:tcPr>
          <w:p w14:paraId="2E6810DD" w14:textId="77777777" w:rsidR="00771D2A" w:rsidRPr="00E87E42" w:rsidRDefault="00771D2A"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K</w:t>
            </w:r>
          </w:p>
        </w:tc>
        <w:tc>
          <w:tcPr>
            <w:tcW w:w="409" w:type="pct"/>
            <w:tcBorders>
              <w:top w:val="nil"/>
              <w:left w:val="nil"/>
              <w:bottom w:val="nil"/>
              <w:right w:val="nil"/>
            </w:tcBorders>
            <w:shd w:val="clear" w:color="auto" w:fill="auto"/>
            <w:noWrap/>
            <w:vAlign w:val="center"/>
            <w:hideMark/>
          </w:tcPr>
          <w:p w14:paraId="695BC068"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£19,968</w:t>
            </w:r>
          </w:p>
        </w:tc>
        <w:tc>
          <w:tcPr>
            <w:tcW w:w="409" w:type="pct"/>
            <w:tcBorders>
              <w:top w:val="nil"/>
              <w:left w:val="nil"/>
              <w:bottom w:val="nil"/>
              <w:right w:val="single" w:sz="4" w:space="0" w:color="auto"/>
            </w:tcBorders>
            <w:shd w:val="clear" w:color="auto" w:fill="auto"/>
            <w:noWrap/>
            <w:vAlign w:val="center"/>
            <w:hideMark/>
          </w:tcPr>
          <w:p w14:paraId="7FF1329D"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£53,248</w:t>
            </w:r>
          </w:p>
        </w:tc>
        <w:tc>
          <w:tcPr>
            <w:tcW w:w="463" w:type="pct"/>
            <w:tcBorders>
              <w:top w:val="nil"/>
              <w:left w:val="nil"/>
              <w:bottom w:val="nil"/>
              <w:right w:val="nil"/>
            </w:tcBorders>
            <w:shd w:val="clear" w:color="auto" w:fill="auto"/>
            <w:noWrap/>
            <w:vAlign w:val="center"/>
            <w:hideMark/>
          </w:tcPr>
          <w:p w14:paraId="632FB342"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£39,936</w:t>
            </w:r>
          </w:p>
        </w:tc>
        <w:tc>
          <w:tcPr>
            <w:tcW w:w="464" w:type="pct"/>
            <w:tcBorders>
              <w:top w:val="nil"/>
              <w:left w:val="nil"/>
              <w:bottom w:val="nil"/>
              <w:right w:val="nil"/>
            </w:tcBorders>
            <w:shd w:val="clear" w:color="auto" w:fill="auto"/>
            <w:noWrap/>
            <w:vAlign w:val="center"/>
            <w:hideMark/>
          </w:tcPr>
          <w:p w14:paraId="37FCDF7E"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£108,160</w:t>
            </w:r>
          </w:p>
        </w:tc>
        <w:tc>
          <w:tcPr>
            <w:tcW w:w="409" w:type="pct"/>
            <w:vMerge/>
            <w:tcBorders>
              <w:top w:val="single" w:sz="4" w:space="0" w:color="auto"/>
              <w:left w:val="single" w:sz="4" w:space="0" w:color="auto"/>
              <w:bottom w:val="single" w:sz="4" w:space="0" w:color="000000"/>
              <w:right w:val="nil"/>
            </w:tcBorders>
            <w:vAlign w:val="center"/>
            <w:hideMark/>
          </w:tcPr>
          <w:p w14:paraId="7B16A98E"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463" w:type="pct"/>
            <w:vMerge/>
            <w:tcBorders>
              <w:top w:val="single" w:sz="4" w:space="0" w:color="auto"/>
              <w:left w:val="nil"/>
              <w:bottom w:val="single" w:sz="4" w:space="0" w:color="000000"/>
              <w:right w:val="nil"/>
            </w:tcBorders>
            <w:vAlign w:val="center"/>
            <w:hideMark/>
          </w:tcPr>
          <w:p w14:paraId="2F73A30D"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409" w:type="pct"/>
            <w:vMerge/>
            <w:tcBorders>
              <w:top w:val="single" w:sz="4" w:space="0" w:color="auto"/>
              <w:left w:val="single" w:sz="4" w:space="0" w:color="auto"/>
              <w:bottom w:val="single" w:sz="4" w:space="0" w:color="000000"/>
              <w:right w:val="nil"/>
            </w:tcBorders>
            <w:vAlign w:val="center"/>
            <w:hideMark/>
          </w:tcPr>
          <w:p w14:paraId="0242E3F2"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463" w:type="pct"/>
            <w:vMerge/>
            <w:tcBorders>
              <w:top w:val="single" w:sz="4" w:space="0" w:color="auto"/>
              <w:left w:val="nil"/>
              <w:bottom w:val="single" w:sz="4" w:space="0" w:color="000000"/>
              <w:right w:val="nil"/>
            </w:tcBorders>
            <w:vAlign w:val="center"/>
            <w:hideMark/>
          </w:tcPr>
          <w:p w14:paraId="5B2F738F"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544" w:type="pct"/>
            <w:vMerge/>
            <w:tcBorders>
              <w:top w:val="single" w:sz="4" w:space="0" w:color="auto"/>
              <w:left w:val="single" w:sz="4" w:space="0" w:color="auto"/>
              <w:bottom w:val="single" w:sz="4" w:space="0" w:color="000000"/>
              <w:right w:val="nil"/>
            </w:tcBorders>
            <w:vAlign w:val="center"/>
            <w:hideMark/>
          </w:tcPr>
          <w:p w14:paraId="46711B14"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463" w:type="pct"/>
            <w:vMerge/>
            <w:tcBorders>
              <w:top w:val="single" w:sz="4" w:space="0" w:color="auto"/>
              <w:left w:val="nil"/>
              <w:bottom w:val="single" w:sz="4" w:space="0" w:color="000000"/>
              <w:right w:val="single" w:sz="4" w:space="0" w:color="auto"/>
            </w:tcBorders>
            <w:vAlign w:val="center"/>
            <w:hideMark/>
          </w:tcPr>
          <w:p w14:paraId="7C28AED8" w14:textId="77777777" w:rsidR="00771D2A" w:rsidRPr="00E87E42" w:rsidRDefault="00771D2A" w:rsidP="008A55B5">
            <w:pPr>
              <w:spacing w:after="0" w:line="240" w:lineRule="auto"/>
              <w:jc w:val="right"/>
              <w:rPr>
                <w:rFonts w:eastAsia="Times New Roman"/>
                <w:color w:val="000000"/>
                <w:sz w:val="16"/>
                <w:szCs w:val="16"/>
                <w:lang w:eastAsia="en-GB"/>
              </w:rPr>
            </w:pPr>
          </w:p>
        </w:tc>
      </w:tr>
      <w:tr w:rsidR="00771D2A" w:rsidRPr="00E87E42" w14:paraId="4FA0C7C5" w14:textId="77777777" w:rsidTr="008A55B5">
        <w:trPr>
          <w:trHeight w:val="170"/>
        </w:trPr>
        <w:tc>
          <w:tcPr>
            <w:tcW w:w="504" w:type="pct"/>
            <w:tcBorders>
              <w:top w:val="nil"/>
              <w:left w:val="single" w:sz="4" w:space="0" w:color="auto"/>
              <w:bottom w:val="nil"/>
              <w:right w:val="single" w:sz="4" w:space="0" w:color="auto"/>
            </w:tcBorders>
            <w:shd w:val="clear" w:color="auto" w:fill="auto"/>
            <w:noWrap/>
            <w:vAlign w:val="center"/>
            <w:hideMark/>
          </w:tcPr>
          <w:p w14:paraId="0DC2B33C" w14:textId="77777777" w:rsidR="00771D2A" w:rsidRPr="00E87E42" w:rsidRDefault="00771D2A"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L</w:t>
            </w:r>
          </w:p>
        </w:tc>
        <w:tc>
          <w:tcPr>
            <w:tcW w:w="409" w:type="pct"/>
            <w:tcBorders>
              <w:top w:val="nil"/>
              <w:left w:val="nil"/>
              <w:bottom w:val="nil"/>
              <w:right w:val="nil"/>
            </w:tcBorders>
            <w:shd w:val="clear" w:color="auto" w:fill="auto"/>
            <w:noWrap/>
            <w:vAlign w:val="center"/>
            <w:hideMark/>
          </w:tcPr>
          <w:p w14:paraId="0162CE61"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£48,256</w:t>
            </w:r>
          </w:p>
        </w:tc>
        <w:tc>
          <w:tcPr>
            <w:tcW w:w="409" w:type="pct"/>
            <w:tcBorders>
              <w:top w:val="nil"/>
              <w:left w:val="nil"/>
              <w:bottom w:val="nil"/>
              <w:right w:val="single" w:sz="4" w:space="0" w:color="auto"/>
            </w:tcBorders>
            <w:shd w:val="clear" w:color="auto" w:fill="auto"/>
            <w:noWrap/>
            <w:vAlign w:val="center"/>
            <w:hideMark/>
          </w:tcPr>
          <w:p w14:paraId="469420F3"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£58,240</w:t>
            </w:r>
          </w:p>
        </w:tc>
        <w:tc>
          <w:tcPr>
            <w:tcW w:w="463" w:type="pct"/>
            <w:tcBorders>
              <w:top w:val="nil"/>
              <w:left w:val="nil"/>
              <w:bottom w:val="nil"/>
              <w:right w:val="nil"/>
            </w:tcBorders>
            <w:shd w:val="clear" w:color="auto" w:fill="auto"/>
            <w:noWrap/>
            <w:vAlign w:val="center"/>
            <w:hideMark/>
          </w:tcPr>
          <w:p w14:paraId="3BC0EF95"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£109,824</w:t>
            </w:r>
          </w:p>
        </w:tc>
        <w:tc>
          <w:tcPr>
            <w:tcW w:w="464" w:type="pct"/>
            <w:tcBorders>
              <w:top w:val="nil"/>
              <w:left w:val="nil"/>
              <w:bottom w:val="nil"/>
              <w:right w:val="nil"/>
            </w:tcBorders>
            <w:shd w:val="clear" w:color="auto" w:fill="auto"/>
            <w:noWrap/>
            <w:vAlign w:val="center"/>
            <w:hideMark/>
          </w:tcPr>
          <w:p w14:paraId="73B3FC3F"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£419,328</w:t>
            </w:r>
          </w:p>
        </w:tc>
        <w:tc>
          <w:tcPr>
            <w:tcW w:w="409" w:type="pct"/>
            <w:vMerge/>
            <w:tcBorders>
              <w:top w:val="single" w:sz="4" w:space="0" w:color="auto"/>
              <w:left w:val="single" w:sz="4" w:space="0" w:color="auto"/>
              <w:bottom w:val="single" w:sz="4" w:space="0" w:color="000000"/>
              <w:right w:val="nil"/>
            </w:tcBorders>
            <w:vAlign w:val="center"/>
            <w:hideMark/>
          </w:tcPr>
          <w:p w14:paraId="5AE0E3E9"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463" w:type="pct"/>
            <w:vMerge/>
            <w:tcBorders>
              <w:top w:val="single" w:sz="4" w:space="0" w:color="auto"/>
              <w:left w:val="nil"/>
              <w:bottom w:val="single" w:sz="4" w:space="0" w:color="000000"/>
              <w:right w:val="nil"/>
            </w:tcBorders>
            <w:vAlign w:val="center"/>
            <w:hideMark/>
          </w:tcPr>
          <w:p w14:paraId="0094588F"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409" w:type="pct"/>
            <w:vMerge/>
            <w:tcBorders>
              <w:top w:val="single" w:sz="4" w:space="0" w:color="auto"/>
              <w:left w:val="single" w:sz="4" w:space="0" w:color="auto"/>
              <w:bottom w:val="single" w:sz="4" w:space="0" w:color="000000"/>
              <w:right w:val="nil"/>
            </w:tcBorders>
            <w:vAlign w:val="center"/>
            <w:hideMark/>
          </w:tcPr>
          <w:p w14:paraId="5616238A"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463" w:type="pct"/>
            <w:vMerge/>
            <w:tcBorders>
              <w:top w:val="single" w:sz="4" w:space="0" w:color="auto"/>
              <w:left w:val="nil"/>
              <w:bottom w:val="single" w:sz="4" w:space="0" w:color="000000"/>
              <w:right w:val="nil"/>
            </w:tcBorders>
            <w:vAlign w:val="center"/>
            <w:hideMark/>
          </w:tcPr>
          <w:p w14:paraId="2A5E4AD0"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544" w:type="pct"/>
            <w:vMerge/>
            <w:tcBorders>
              <w:top w:val="single" w:sz="4" w:space="0" w:color="auto"/>
              <w:left w:val="single" w:sz="4" w:space="0" w:color="auto"/>
              <w:bottom w:val="single" w:sz="4" w:space="0" w:color="000000"/>
              <w:right w:val="nil"/>
            </w:tcBorders>
            <w:vAlign w:val="center"/>
            <w:hideMark/>
          </w:tcPr>
          <w:p w14:paraId="7E68DF28"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463" w:type="pct"/>
            <w:vMerge/>
            <w:tcBorders>
              <w:top w:val="single" w:sz="4" w:space="0" w:color="auto"/>
              <w:left w:val="nil"/>
              <w:bottom w:val="single" w:sz="4" w:space="0" w:color="000000"/>
              <w:right w:val="single" w:sz="4" w:space="0" w:color="auto"/>
            </w:tcBorders>
            <w:vAlign w:val="center"/>
            <w:hideMark/>
          </w:tcPr>
          <w:p w14:paraId="1845FA52" w14:textId="77777777" w:rsidR="00771D2A" w:rsidRPr="00E87E42" w:rsidRDefault="00771D2A" w:rsidP="008A55B5">
            <w:pPr>
              <w:spacing w:after="0" w:line="240" w:lineRule="auto"/>
              <w:jc w:val="right"/>
              <w:rPr>
                <w:rFonts w:eastAsia="Times New Roman"/>
                <w:color w:val="000000"/>
                <w:sz w:val="16"/>
                <w:szCs w:val="16"/>
                <w:lang w:eastAsia="en-GB"/>
              </w:rPr>
            </w:pPr>
          </w:p>
        </w:tc>
      </w:tr>
      <w:tr w:rsidR="00771D2A" w:rsidRPr="00E87E42" w14:paraId="18939460" w14:textId="77777777" w:rsidTr="008A55B5">
        <w:trPr>
          <w:trHeight w:val="17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14:paraId="661CC24E" w14:textId="77777777" w:rsidR="00771D2A" w:rsidRPr="00E87E42" w:rsidRDefault="00771D2A"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p>
        </w:tc>
        <w:tc>
          <w:tcPr>
            <w:tcW w:w="409" w:type="pct"/>
            <w:tcBorders>
              <w:top w:val="nil"/>
              <w:left w:val="nil"/>
              <w:bottom w:val="single" w:sz="4" w:space="0" w:color="auto"/>
              <w:right w:val="nil"/>
            </w:tcBorders>
            <w:shd w:val="clear" w:color="auto" w:fill="auto"/>
            <w:noWrap/>
            <w:vAlign w:val="center"/>
            <w:hideMark/>
          </w:tcPr>
          <w:p w14:paraId="78572032"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£86,528</w:t>
            </w:r>
          </w:p>
        </w:tc>
        <w:tc>
          <w:tcPr>
            <w:tcW w:w="409" w:type="pct"/>
            <w:tcBorders>
              <w:top w:val="nil"/>
              <w:left w:val="nil"/>
              <w:bottom w:val="single" w:sz="4" w:space="0" w:color="auto"/>
              <w:right w:val="single" w:sz="4" w:space="0" w:color="auto"/>
            </w:tcBorders>
            <w:shd w:val="clear" w:color="auto" w:fill="auto"/>
            <w:noWrap/>
            <w:vAlign w:val="center"/>
            <w:hideMark/>
          </w:tcPr>
          <w:p w14:paraId="417B13A7"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£83,200</w:t>
            </w:r>
          </w:p>
        </w:tc>
        <w:tc>
          <w:tcPr>
            <w:tcW w:w="463" w:type="pct"/>
            <w:tcBorders>
              <w:top w:val="nil"/>
              <w:left w:val="nil"/>
              <w:bottom w:val="single" w:sz="4" w:space="0" w:color="auto"/>
              <w:right w:val="nil"/>
            </w:tcBorders>
            <w:shd w:val="clear" w:color="auto" w:fill="auto"/>
            <w:noWrap/>
            <w:vAlign w:val="center"/>
            <w:hideMark/>
          </w:tcPr>
          <w:p w14:paraId="29ADC051"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£118,144</w:t>
            </w:r>
          </w:p>
        </w:tc>
        <w:tc>
          <w:tcPr>
            <w:tcW w:w="464" w:type="pct"/>
            <w:tcBorders>
              <w:top w:val="nil"/>
              <w:left w:val="nil"/>
              <w:bottom w:val="single" w:sz="4" w:space="0" w:color="auto"/>
              <w:right w:val="nil"/>
            </w:tcBorders>
            <w:shd w:val="clear" w:color="auto" w:fill="auto"/>
            <w:noWrap/>
            <w:vAlign w:val="center"/>
            <w:hideMark/>
          </w:tcPr>
          <w:p w14:paraId="09B7A451"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£269,568</w:t>
            </w:r>
          </w:p>
        </w:tc>
        <w:tc>
          <w:tcPr>
            <w:tcW w:w="409" w:type="pct"/>
            <w:vMerge/>
            <w:tcBorders>
              <w:top w:val="single" w:sz="4" w:space="0" w:color="auto"/>
              <w:left w:val="single" w:sz="4" w:space="0" w:color="auto"/>
              <w:bottom w:val="single" w:sz="4" w:space="0" w:color="000000"/>
              <w:right w:val="nil"/>
            </w:tcBorders>
            <w:vAlign w:val="center"/>
            <w:hideMark/>
          </w:tcPr>
          <w:p w14:paraId="65277670"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463" w:type="pct"/>
            <w:vMerge/>
            <w:tcBorders>
              <w:top w:val="single" w:sz="4" w:space="0" w:color="auto"/>
              <w:left w:val="nil"/>
              <w:bottom w:val="single" w:sz="4" w:space="0" w:color="000000"/>
              <w:right w:val="nil"/>
            </w:tcBorders>
            <w:vAlign w:val="center"/>
            <w:hideMark/>
          </w:tcPr>
          <w:p w14:paraId="35F79DAD"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409" w:type="pct"/>
            <w:vMerge/>
            <w:tcBorders>
              <w:top w:val="single" w:sz="4" w:space="0" w:color="auto"/>
              <w:left w:val="single" w:sz="4" w:space="0" w:color="auto"/>
              <w:bottom w:val="single" w:sz="4" w:space="0" w:color="000000"/>
              <w:right w:val="nil"/>
            </w:tcBorders>
            <w:vAlign w:val="center"/>
            <w:hideMark/>
          </w:tcPr>
          <w:p w14:paraId="7768BA67"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463" w:type="pct"/>
            <w:vMerge/>
            <w:tcBorders>
              <w:top w:val="single" w:sz="4" w:space="0" w:color="auto"/>
              <w:left w:val="nil"/>
              <w:bottom w:val="single" w:sz="4" w:space="0" w:color="000000"/>
              <w:right w:val="nil"/>
            </w:tcBorders>
            <w:vAlign w:val="center"/>
            <w:hideMark/>
          </w:tcPr>
          <w:p w14:paraId="07C40957"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544" w:type="pct"/>
            <w:vMerge/>
            <w:tcBorders>
              <w:top w:val="single" w:sz="4" w:space="0" w:color="auto"/>
              <w:left w:val="single" w:sz="4" w:space="0" w:color="auto"/>
              <w:bottom w:val="single" w:sz="4" w:space="0" w:color="000000"/>
              <w:right w:val="nil"/>
            </w:tcBorders>
            <w:vAlign w:val="center"/>
            <w:hideMark/>
          </w:tcPr>
          <w:p w14:paraId="06A71544" w14:textId="77777777" w:rsidR="00771D2A" w:rsidRPr="00E87E42" w:rsidRDefault="00771D2A" w:rsidP="008A55B5">
            <w:pPr>
              <w:spacing w:after="0" w:line="240" w:lineRule="auto"/>
              <w:jc w:val="right"/>
              <w:rPr>
                <w:rFonts w:eastAsia="Times New Roman"/>
                <w:color w:val="000000"/>
                <w:sz w:val="16"/>
                <w:szCs w:val="16"/>
                <w:lang w:eastAsia="en-GB"/>
              </w:rPr>
            </w:pPr>
          </w:p>
        </w:tc>
        <w:tc>
          <w:tcPr>
            <w:tcW w:w="463" w:type="pct"/>
            <w:vMerge/>
            <w:tcBorders>
              <w:top w:val="single" w:sz="4" w:space="0" w:color="auto"/>
              <w:left w:val="nil"/>
              <w:bottom w:val="single" w:sz="4" w:space="0" w:color="000000"/>
              <w:right w:val="single" w:sz="4" w:space="0" w:color="auto"/>
            </w:tcBorders>
            <w:vAlign w:val="center"/>
            <w:hideMark/>
          </w:tcPr>
          <w:p w14:paraId="52E79031" w14:textId="77777777" w:rsidR="00771D2A" w:rsidRPr="00E87E42" w:rsidRDefault="00771D2A" w:rsidP="008A55B5">
            <w:pPr>
              <w:spacing w:after="0" w:line="240" w:lineRule="auto"/>
              <w:jc w:val="right"/>
              <w:rPr>
                <w:rFonts w:eastAsia="Times New Roman"/>
                <w:color w:val="000000"/>
                <w:sz w:val="16"/>
                <w:szCs w:val="16"/>
                <w:lang w:eastAsia="en-GB"/>
              </w:rPr>
            </w:pPr>
          </w:p>
        </w:tc>
      </w:tr>
      <w:tr w:rsidR="00771D2A" w:rsidRPr="00E87E42" w14:paraId="4E4E91E1" w14:textId="77777777" w:rsidTr="008A55B5">
        <w:trPr>
          <w:trHeight w:val="170"/>
        </w:trPr>
        <w:tc>
          <w:tcPr>
            <w:tcW w:w="504" w:type="pct"/>
            <w:tcBorders>
              <w:top w:val="nil"/>
              <w:left w:val="single" w:sz="4" w:space="0" w:color="auto"/>
              <w:bottom w:val="nil"/>
              <w:right w:val="nil"/>
            </w:tcBorders>
            <w:shd w:val="clear" w:color="auto" w:fill="auto"/>
            <w:noWrap/>
            <w:vAlign w:val="center"/>
            <w:hideMark/>
          </w:tcPr>
          <w:p w14:paraId="70AFE1EA" w14:textId="77777777" w:rsidR="00771D2A" w:rsidRPr="00E87E42" w:rsidRDefault="00771D2A"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N</w:t>
            </w:r>
          </w:p>
        </w:tc>
        <w:tc>
          <w:tcPr>
            <w:tcW w:w="409" w:type="pct"/>
            <w:tcBorders>
              <w:top w:val="nil"/>
              <w:left w:val="single" w:sz="4" w:space="0" w:color="auto"/>
              <w:bottom w:val="nil"/>
              <w:right w:val="nil"/>
            </w:tcBorders>
            <w:shd w:val="clear" w:color="auto" w:fill="auto"/>
            <w:noWrap/>
            <w:vAlign w:val="center"/>
            <w:hideMark/>
          </w:tcPr>
          <w:p w14:paraId="267AD34F" w14:textId="77777777" w:rsidR="00771D2A" w:rsidRPr="00E87E42" w:rsidRDefault="00771D2A" w:rsidP="00AE12C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09" w:type="pct"/>
            <w:tcBorders>
              <w:top w:val="nil"/>
              <w:left w:val="nil"/>
              <w:bottom w:val="nil"/>
              <w:right w:val="single" w:sz="4" w:space="0" w:color="auto"/>
            </w:tcBorders>
            <w:shd w:val="clear" w:color="auto" w:fill="auto"/>
            <w:noWrap/>
            <w:vAlign w:val="center"/>
            <w:hideMark/>
          </w:tcPr>
          <w:p w14:paraId="51093692" w14:textId="77777777" w:rsidR="00771D2A" w:rsidRPr="00E87E42" w:rsidRDefault="00771D2A" w:rsidP="00AE12C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63" w:type="pct"/>
            <w:tcBorders>
              <w:top w:val="nil"/>
              <w:left w:val="nil"/>
              <w:bottom w:val="nil"/>
              <w:right w:val="nil"/>
            </w:tcBorders>
            <w:shd w:val="clear" w:color="auto" w:fill="auto"/>
            <w:noWrap/>
            <w:vAlign w:val="center"/>
            <w:hideMark/>
          </w:tcPr>
          <w:p w14:paraId="697F53B5" w14:textId="77777777" w:rsidR="00771D2A" w:rsidRPr="00E87E42" w:rsidRDefault="00771D2A" w:rsidP="002A1F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64" w:type="pct"/>
            <w:tcBorders>
              <w:top w:val="nil"/>
              <w:left w:val="nil"/>
              <w:bottom w:val="nil"/>
              <w:right w:val="nil"/>
            </w:tcBorders>
            <w:shd w:val="clear" w:color="auto" w:fill="auto"/>
            <w:noWrap/>
            <w:vAlign w:val="center"/>
            <w:hideMark/>
          </w:tcPr>
          <w:p w14:paraId="54BB2A55" w14:textId="77777777" w:rsidR="00771D2A" w:rsidRPr="00E87E42" w:rsidRDefault="00771D2A">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09" w:type="pct"/>
            <w:tcBorders>
              <w:top w:val="nil"/>
              <w:left w:val="single" w:sz="4" w:space="0" w:color="auto"/>
              <w:bottom w:val="nil"/>
              <w:right w:val="nil"/>
            </w:tcBorders>
            <w:shd w:val="clear" w:color="auto" w:fill="auto"/>
            <w:noWrap/>
            <w:vAlign w:val="center"/>
            <w:hideMark/>
          </w:tcPr>
          <w:p w14:paraId="2B53E814"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£7,792</w:t>
            </w:r>
          </w:p>
        </w:tc>
        <w:tc>
          <w:tcPr>
            <w:tcW w:w="463" w:type="pct"/>
            <w:tcBorders>
              <w:top w:val="nil"/>
              <w:left w:val="nil"/>
              <w:bottom w:val="nil"/>
              <w:right w:val="nil"/>
            </w:tcBorders>
            <w:shd w:val="clear" w:color="auto" w:fill="auto"/>
            <w:noWrap/>
            <w:vAlign w:val="center"/>
            <w:hideMark/>
          </w:tcPr>
          <w:p w14:paraId="4CFB2201"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£3,155</w:t>
            </w:r>
          </w:p>
        </w:tc>
        <w:tc>
          <w:tcPr>
            <w:tcW w:w="409" w:type="pct"/>
            <w:tcBorders>
              <w:top w:val="nil"/>
              <w:left w:val="single" w:sz="4" w:space="0" w:color="auto"/>
              <w:bottom w:val="nil"/>
              <w:right w:val="nil"/>
            </w:tcBorders>
            <w:shd w:val="clear" w:color="auto" w:fill="auto"/>
            <w:noWrap/>
            <w:vAlign w:val="center"/>
            <w:hideMark/>
          </w:tcPr>
          <w:p w14:paraId="595458ED"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£20,549</w:t>
            </w:r>
          </w:p>
        </w:tc>
        <w:tc>
          <w:tcPr>
            <w:tcW w:w="463" w:type="pct"/>
            <w:tcBorders>
              <w:top w:val="nil"/>
              <w:left w:val="nil"/>
              <w:bottom w:val="nil"/>
              <w:right w:val="single" w:sz="4" w:space="0" w:color="auto"/>
            </w:tcBorders>
            <w:shd w:val="clear" w:color="auto" w:fill="auto"/>
            <w:noWrap/>
            <w:vAlign w:val="center"/>
            <w:hideMark/>
          </w:tcPr>
          <w:p w14:paraId="13E470C4"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£1,974</w:t>
            </w:r>
          </w:p>
        </w:tc>
        <w:tc>
          <w:tcPr>
            <w:tcW w:w="544" w:type="pct"/>
            <w:tcBorders>
              <w:top w:val="nil"/>
              <w:left w:val="nil"/>
              <w:bottom w:val="nil"/>
              <w:right w:val="nil"/>
            </w:tcBorders>
            <w:shd w:val="clear" w:color="auto" w:fill="auto"/>
            <w:noWrap/>
            <w:vAlign w:val="center"/>
            <w:hideMark/>
          </w:tcPr>
          <w:p w14:paraId="3DC6BB90"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£11,661</w:t>
            </w:r>
          </w:p>
        </w:tc>
        <w:tc>
          <w:tcPr>
            <w:tcW w:w="463" w:type="pct"/>
            <w:tcBorders>
              <w:top w:val="nil"/>
              <w:left w:val="nil"/>
              <w:bottom w:val="nil"/>
              <w:right w:val="single" w:sz="4" w:space="0" w:color="auto"/>
            </w:tcBorders>
            <w:shd w:val="clear" w:color="auto" w:fill="auto"/>
            <w:noWrap/>
            <w:vAlign w:val="center"/>
            <w:hideMark/>
          </w:tcPr>
          <w:p w14:paraId="0C164B2C"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£19,488</w:t>
            </w:r>
          </w:p>
        </w:tc>
      </w:tr>
      <w:tr w:rsidR="00771D2A" w:rsidRPr="00E87E42" w14:paraId="66219F4D" w14:textId="77777777" w:rsidTr="008A55B5">
        <w:trPr>
          <w:trHeight w:val="170"/>
        </w:trPr>
        <w:tc>
          <w:tcPr>
            <w:tcW w:w="504" w:type="pct"/>
            <w:tcBorders>
              <w:top w:val="single" w:sz="4" w:space="0" w:color="auto"/>
              <w:left w:val="single" w:sz="4" w:space="0" w:color="auto"/>
              <w:bottom w:val="single" w:sz="4" w:space="0" w:color="auto"/>
              <w:right w:val="nil"/>
            </w:tcBorders>
            <w:shd w:val="clear" w:color="auto" w:fill="auto"/>
            <w:noWrap/>
            <w:vAlign w:val="center"/>
            <w:hideMark/>
          </w:tcPr>
          <w:p w14:paraId="373F35BD" w14:textId="77777777" w:rsidR="00771D2A" w:rsidRPr="00E87E42" w:rsidRDefault="00771D2A" w:rsidP="008A55B5">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O</w:t>
            </w:r>
          </w:p>
        </w:tc>
        <w:tc>
          <w:tcPr>
            <w:tcW w:w="409" w:type="pct"/>
            <w:tcBorders>
              <w:top w:val="nil"/>
              <w:left w:val="single" w:sz="4" w:space="0" w:color="auto"/>
              <w:bottom w:val="single" w:sz="4" w:space="0" w:color="auto"/>
              <w:right w:val="nil"/>
            </w:tcBorders>
            <w:shd w:val="clear" w:color="auto" w:fill="auto"/>
            <w:noWrap/>
            <w:vAlign w:val="center"/>
            <w:hideMark/>
          </w:tcPr>
          <w:p w14:paraId="0EFD54B4" w14:textId="77777777" w:rsidR="00771D2A" w:rsidRPr="00E87E42" w:rsidRDefault="00771D2A" w:rsidP="00AE12C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09" w:type="pct"/>
            <w:tcBorders>
              <w:top w:val="nil"/>
              <w:left w:val="nil"/>
              <w:bottom w:val="single" w:sz="4" w:space="0" w:color="auto"/>
              <w:right w:val="single" w:sz="4" w:space="0" w:color="auto"/>
            </w:tcBorders>
            <w:shd w:val="clear" w:color="auto" w:fill="auto"/>
            <w:noWrap/>
            <w:vAlign w:val="center"/>
            <w:hideMark/>
          </w:tcPr>
          <w:p w14:paraId="27A723FB" w14:textId="77777777" w:rsidR="00771D2A" w:rsidRPr="00E87E42" w:rsidRDefault="00771D2A" w:rsidP="00AE12C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63" w:type="pct"/>
            <w:tcBorders>
              <w:top w:val="nil"/>
              <w:left w:val="nil"/>
              <w:bottom w:val="single" w:sz="4" w:space="0" w:color="auto"/>
              <w:right w:val="nil"/>
            </w:tcBorders>
            <w:shd w:val="clear" w:color="auto" w:fill="auto"/>
            <w:noWrap/>
            <w:vAlign w:val="center"/>
            <w:hideMark/>
          </w:tcPr>
          <w:p w14:paraId="521C1C90" w14:textId="77777777" w:rsidR="00771D2A" w:rsidRPr="00E87E42" w:rsidRDefault="00771D2A" w:rsidP="002A1F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64" w:type="pct"/>
            <w:tcBorders>
              <w:top w:val="nil"/>
              <w:left w:val="nil"/>
              <w:bottom w:val="single" w:sz="4" w:space="0" w:color="auto"/>
              <w:right w:val="nil"/>
            </w:tcBorders>
            <w:shd w:val="clear" w:color="auto" w:fill="auto"/>
            <w:noWrap/>
            <w:vAlign w:val="center"/>
            <w:hideMark/>
          </w:tcPr>
          <w:p w14:paraId="1B80ABFD" w14:textId="77777777" w:rsidR="00771D2A" w:rsidRPr="00E87E42" w:rsidRDefault="00771D2A">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409" w:type="pct"/>
            <w:tcBorders>
              <w:top w:val="nil"/>
              <w:left w:val="single" w:sz="4" w:space="0" w:color="auto"/>
              <w:bottom w:val="single" w:sz="4" w:space="0" w:color="auto"/>
              <w:right w:val="nil"/>
            </w:tcBorders>
            <w:shd w:val="clear" w:color="auto" w:fill="auto"/>
            <w:noWrap/>
            <w:vAlign w:val="center"/>
            <w:hideMark/>
          </w:tcPr>
          <w:p w14:paraId="3252BD10"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£11,916</w:t>
            </w:r>
          </w:p>
        </w:tc>
        <w:tc>
          <w:tcPr>
            <w:tcW w:w="463" w:type="pct"/>
            <w:tcBorders>
              <w:top w:val="nil"/>
              <w:left w:val="nil"/>
              <w:bottom w:val="single" w:sz="4" w:space="0" w:color="auto"/>
              <w:right w:val="nil"/>
            </w:tcBorders>
            <w:shd w:val="clear" w:color="auto" w:fill="auto"/>
            <w:noWrap/>
            <w:vAlign w:val="center"/>
            <w:hideMark/>
          </w:tcPr>
          <w:p w14:paraId="2B2BD279"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£89,266</w:t>
            </w:r>
          </w:p>
        </w:tc>
        <w:tc>
          <w:tcPr>
            <w:tcW w:w="409" w:type="pct"/>
            <w:tcBorders>
              <w:top w:val="nil"/>
              <w:left w:val="single" w:sz="4" w:space="0" w:color="auto"/>
              <w:bottom w:val="single" w:sz="4" w:space="0" w:color="auto"/>
              <w:right w:val="nil"/>
            </w:tcBorders>
            <w:shd w:val="clear" w:color="auto" w:fill="auto"/>
            <w:noWrap/>
            <w:vAlign w:val="center"/>
            <w:hideMark/>
          </w:tcPr>
          <w:p w14:paraId="4B36469F"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£3,037</w:t>
            </w:r>
          </w:p>
        </w:tc>
        <w:tc>
          <w:tcPr>
            <w:tcW w:w="463" w:type="pct"/>
            <w:tcBorders>
              <w:top w:val="nil"/>
              <w:left w:val="nil"/>
              <w:bottom w:val="single" w:sz="4" w:space="0" w:color="auto"/>
              <w:right w:val="single" w:sz="4" w:space="0" w:color="auto"/>
            </w:tcBorders>
            <w:shd w:val="clear" w:color="auto" w:fill="auto"/>
            <w:noWrap/>
            <w:vAlign w:val="center"/>
            <w:hideMark/>
          </w:tcPr>
          <w:p w14:paraId="7C40135B"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£0</w:t>
            </w:r>
          </w:p>
        </w:tc>
        <w:tc>
          <w:tcPr>
            <w:tcW w:w="544" w:type="pct"/>
            <w:tcBorders>
              <w:top w:val="nil"/>
              <w:left w:val="nil"/>
              <w:bottom w:val="single" w:sz="4" w:space="0" w:color="auto"/>
              <w:right w:val="nil"/>
            </w:tcBorders>
            <w:shd w:val="clear" w:color="auto" w:fill="auto"/>
            <w:noWrap/>
            <w:vAlign w:val="center"/>
            <w:hideMark/>
          </w:tcPr>
          <w:p w14:paraId="413382D8"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£7,918</w:t>
            </w:r>
          </w:p>
        </w:tc>
        <w:tc>
          <w:tcPr>
            <w:tcW w:w="463" w:type="pct"/>
            <w:tcBorders>
              <w:top w:val="nil"/>
              <w:left w:val="nil"/>
              <w:bottom w:val="single" w:sz="4" w:space="0" w:color="auto"/>
              <w:right w:val="single" w:sz="4" w:space="0" w:color="auto"/>
            </w:tcBorders>
            <w:shd w:val="clear" w:color="auto" w:fill="auto"/>
            <w:noWrap/>
            <w:vAlign w:val="center"/>
            <w:hideMark/>
          </w:tcPr>
          <w:p w14:paraId="702F6AD0" w14:textId="77777777" w:rsidR="00771D2A" w:rsidRPr="00E87E42" w:rsidRDefault="00771D2A" w:rsidP="008A55B5">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£251,523</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7"/>
      </w:tblGrid>
      <w:tr w:rsidR="00771D2A" w:rsidRPr="00E87E42" w14:paraId="2BBDFB84" w14:textId="77777777" w:rsidTr="008A55B5">
        <w:tc>
          <w:tcPr>
            <w:tcW w:w="0" w:type="auto"/>
          </w:tcPr>
          <w:p w14:paraId="51790B94" w14:textId="51D163CA" w:rsidR="00771D2A" w:rsidRPr="00E87E42" w:rsidRDefault="00771D2A" w:rsidP="002A1FEF">
            <w:pPr>
              <w:pStyle w:val="NoSpacing"/>
            </w:pPr>
            <w:r w:rsidRPr="00E87E42">
              <w:rPr>
                <w:b/>
              </w:rPr>
              <w:t>A</w:t>
            </w:r>
            <w:r w:rsidRPr="00E87E42">
              <w:t xml:space="preserve">. Assembly: </w:t>
            </w:r>
            <w:r w:rsidRPr="00E87E42">
              <w:rPr>
                <w:b/>
              </w:rPr>
              <w:t>B</w:t>
            </w:r>
            <w:r w:rsidRPr="00E87E42">
              <w:t xml:space="preserve">. Educational; </w:t>
            </w:r>
            <w:r w:rsidRPr="00E87E42">
              <w:rPr>
                <w:b/>
              </w:rPr>
              <w:t>C</w:t>
            </w:r>
            <w:r w:rsidRPr="00E87E42">
              <w:t xml:space="preserve">. Health care, </w:t>
            </w:r>
            <w:r w:rsidR="00A43875" w:rsidRPr="00E87E42">
              <w:t>D</w:t>
            </w:r>
            <w:r w:rsidRPr="00E87E42">
              <w:t>ete</w:t>
            </w:r>
            <w:r w:rsidR="00A43875" w:rsidRPr="00E87E42">
              <w:t>n</w:t>
            </w:r>
            <w:r w:rsidRPr="00E87E42">
              <w:t xml:space="preserve">tion and </w:t>
            </w:r>
            <w:r w:rsidR="00A43875" w:rsidRPr="00E87E42">
              <w:t>C</w:t>
            </w:r>
            <w:r w:rsidRPr="00E87E42">
              <w:t xml:space="preserve">orrection; </w:t>
            </w:r>
            <w:r w:rsidRPr="00E87E42">
              <w:rPr>
                <w:b/>
              </w:rPr>
              <w:t>D</w:t>
            </w:r>
            <w:r w:rsidRPr="00E87E42">
              <w:t xml:space="preserve">. Residential; </w:t>
            </w:r>
            <w:r w:rsidRPr="00E87E42">
              <w:rPr>
                <w:b/>
              </w:rPr>
              <w:t>E</w:t>
            </w:r>
            <w:r w:rsidRPr="00E87E42">
              <w:t xml:space="preserve">. Mercantile, Business; </w:t>
            </w:r>
            <w:r w:rsidRPr="00E87E42">
              <w:rPr>
                <w:b/>
              </w:rPr>
              <w:t>F</w:t>
            </w:r>
            <w:r w:rsidRPr="00E87E42">
              <w:t xml:space="preserve">. Wholesale and distributive trades; </w:t>
            </w:r>
            <w:r w:rsidRPr="00E87E42">
              <w:rPr>
                <w:b/>
              </w:rPr>
              <w:t>G</w:t>
            </w:r>
            <w:r w:rsidRPr="00E87E42">
              <w:t xml:space="preserve">. Retail distributive trades; </w:t>
            </w:r>
            <w:r w:rsidRPr="00E87E42">
              <w:rPr>
                <w:b/>
              </w:rPr>
              <w:t>H</w:t>
            </w:r>
            <w:r w:rsidRPr="00E87E42">
              <w:t xml:space="preserve">. Industrial, </w:t>
            </w:r>
            <w:r w:rsidR="00A43875" w:rsidRPr="00E87E42">
              <w:t>U</w:t>
            </w:r>
            <w:r w:rsidRPr="00E87E42">
              <w:t>tility</w:t>
            </w:r>
            <w:r w:rsidR="00A43875" w:rsidRPr="00E87E42">
              <w:t>,</w:t>
            </w:r>
            <w:r w:rsidRPr="00E87E42">
              <w:t xml:space="preserve"> </w:t>
            </w:r>
            <w:r w:rsidR="00A43875" w:rsidRPr="00E87E42">
              <w:t>D</w:t>
            </w:r>
            <w:r w:rsidRPr="00E87E42">
              <w:t>efence</w:t>
            </w:r>
            <w:r w:rsidR="00A43875" w:rsidRPr="00E87E42">
              <w:t>,</w:t>
            </w:r>
            <w:r w:rsidRPr="00E87E42">
              <w:t xml:space="preserve"> </w:t>
            </w:r>
            <w:r w:rsidR="00A43875" w:rsidRPr="00E87E42">
              <w:t>A</w:t>
            </w:r>
            <w:r w:rsidRPr="00E87E42">
              <w:t xml:space="preserve">gricultural and </w:t>
            </w:r>
            <w:r w:rsidR="00A43875" w:rsidRPr="00E87E42">
              <w:t>M</w:t>
            </w:r>
            <w:r w:rsidRPr="00E87E42">
              <w:t xml:space="preserve">ining; </w:t>
            </w:r>
            <w:r w:rsidRPr="00E87E42">
              <w:rPr>
                <w:b/>
              </w:rPr>
              <w:t>I</w:t>
            </w:r>
            <w:r w:rsidRPr="00E87E42">
              <w:t xml:space="preserve">. Chemical and allied; </w:t>
            </w:r>
            <w:r w:rsidRPr="00E87E42">
              <w:rPr>
                <w:b/>
              </w:rPr>
              <w:t>J</w:t>
            </w:r>
            <w:r w:rsidRPr="00E87E42">
              <w:t xml:space="preserve">. Manufacturing, </w:t>
            </w:r>
            <w:r w:rsidR="00A43875" w:rsidRPr="00E87E42">
              <w:t>P</w:t>
            </w:r>
            <w:r w:rsidRPr="00E87E42">
              <w:t xml:space="preserve">rocessing; </w:t>
            </w:r>
            <w:r w:rsidRPr="00E87E42">
              <w:rPr>
                <w:b/>
              </w:rPr>
              <w:t>K</w:t>
            </w:r>
            <w:r w:rsidRPr="00E87E42">
              <w:t xml:space="preserve">. Timber and furniture; </w:t>
            </w:r>
            <w:r w:rsidRPr="00E87E42">
              <w:rPr>
                <w:b/>
              </w:rPr>
              <w:t>L</w:t>
            </w:r>
            <w:r w:rsidRPr="00E87E42">
              <w:t xml:space="preserve">. Textiles; </w:t>
            </w:r>
            <w:r w:rsidRPr="00E87E42">
              <w:rPr>
                <w:b/>
              </w:rPr>
              <w:t>M</w:t>
            </w:r>
            <w:r w:rsidRPr="00E87E42">
              <w:t xml:space="preserve">. Paper, printing and publishing; </w:t>
            </w:r>
            <w:r w:rsidRPr="00E87E42">
              <w:rPr>
                <w:b/>
              </w:rPr>
              <w:t>N</w:t>
            </w:r>
            <w:r w:rsidRPr="00E87E42">
              <w:t xml:space="preserve">. Storage; </w:t>
            </w:r>
            <w:r w:rsidRPr="00E87E42">
              <w:rPr>
                <w:b/>
              </w:rPr>
              <w:t>O</w:t>
            </w:r>
            <w:r w:rsidRPr="00E87E42">
              <w:t>. Outside or special property.</w:t>
            </w:r>
          </w:p>
        </w:tc>
      </w:tr>
    </w:tbl>
    <w:p w14:paraId="0EEA3326" w14:textId="77777777" w:rsidR="00F35BE0" w:rsidRPr="00E87E42" w:rsidRDefault="00F35BE0"/>
    <w:p w14:paraId="12C0CE92" w14:textId="7858ED67" w:rsidR="009C619E" w:rsidRPr="00E87E42" w:rsidRDefault="00F453F5" w:rsidP="008A55B5">
      <w:pPr>
        <w:pStyle w:val="Heading1"/>
        <w:numPr>
          <w:ilvl w:val="0"/>
          <w:numId w:val="35"/>
        </w:numPr>
      </w:pPr>
      <w:r w:rsidRPr="00E87E42">
        <w:t>general considerations</w:t>
      </w:r>
      <w:r w:rsidR="00286102" w:rsidRPr="00E87E42">
        <w:t xml:space="preserve"> AND CONCLUSIONS</w:t>
      </w:r>
    </w:p>
    <w:p w14:paraId="705E45DE" w14:textId="1FEFF442" w:rsidR="0047514C" w:rsidRPr="00E87E42" w:rsidRDefault="00EF1D03" w:rsidP="00F453F5">
      <w:r w:rsidRPr="00E87E42">
        <w:t>This paper has presented a</w:t>
      </w:r>
      <w:r w:rsidR="00E67420" w:rsidRPr="00E87E42">
        <w:t>n</w:t>
      </w:r>
      <w:r w:rsidRPr="00E87E42">
        <w:t xml:space="preserve"> in depth analysis and comparison of the PD 7974-7 Annex A </w:t>
      </w:r>
      <w:r w:rsidR="0082410F" w:rsidRPr="00E87E42">
        <w:t>t</w:t>
      </w:r>
      <w:r w:rsidRPr="00E87E42">
        <w:t>ables A.1, A.2, A.4, A.5, A.6, A.7, A.8, and A.12 to the NF</w:t>
      </w:r>
      <w:r w:rsidR="00407E2D" w:rsidRPr="00E87E42">
        <w:t>IR</w:t>
      </w:r>
      <w:r w:rsidRPr="00E87E42">
        <w:t xml:space="preserve">S fire statistics from the USA (with selected comparisons to current UK data </w:t>
      </w:r>
      <w:proofErr w:type="spellStart"/>
      <w:r w:rsidRPr="00E87E42">
        <w:t>where</w:t>
      </w:r>
      <w:proofErr w:type="spellEnd"/>
      <w:r w:rsidRPr="00E87E42">
        <w:t xml:space="preserve"> available)</w:t>
      </w:r>
      <w:r w:rsidR="007A6F5C" w:rsidRPr="00E87E42">
        <w:t xml:space="preserve">. </w:t>
      </w:r>
      <w:r w:rsidRPr="00E87E42">
        <w:t>This paper has also presented a brief history of where the current PD 7974-7 analyses and functions have been derived from and highlight the need to update these with more recent fire statistics, as the data within PD 7974-7 Annex A can dat</w:t>
      </w:r>
      <w:r w:rsidR="007A045B" w:rsidRPr="00E87E42">
        <w:t>e</w:t>
      </w:r>
      <w:r w:rsidRPr="00E87E42">
        <w:t xml:space="preserve"> back to 1966. </w:t>
      </w:r>
    </w:p>
    <w:p w14:paraId="3DFEA1B7" w14:textId="5CB56D5E" w:rsidR="004313B5" w:rsidRPr="00E87E42" w:rsidRDefault="0082410F" w:rsidP="00F453F5">
      <w:r w:rsidRPr="00E87E42">
        <w:t xml:space="preserve">USA fire statistics were used for this </w:t>
      </w:r>
      <w:proofErr w:type="gramStart"/>
      <w:r w:rsidRPr="00E87E42">
        <w:t>comparison</w:t>
      </w:r>
      <w:proofErr w:type="gramEnd"/>
      <w:r w:rsidRPr="00E87E42">
        <w:t xml:space="preserve"> as necessary datasets were not available to the authors at the time of initial analyses</w:t>
      </w:r>
      <w:r w:rsidR="0047514C" w:rsidRPr="00E87E42">
        <w:t xml:space="preserve">. Comparing PD 7974-7 and USA fire statistics is clear to understand how common fire incidents </w:t>
      </w:r>
      <w:r w:rsidR="00A467D0" w:rsidRPr="00E87E42">
        <w:t>fields</w:t>
      </w:r>
      <w:r w:rsidR="0047514C" w:rsidRPr="00E87E42">
        <w:t xml:space="preserve"> </w:t>
      </w:r>
      <w:proofErr w:type="gramStart"/>
      <w:r w:rsidR="0047514C" w:rsidRPr="00E87E42">
        <w:t>are recorded</w:t>
      </w:r>
      <w:proofErr w:type="gramEnd"/>
      <w:r w:rsidR="0047514C" w:rsidRPr="00E87E42">
        <w:t xml:space="preserve"> by fire departments in the two countries and conversions have been developed to harmonize possible different values. The authors are aware of the differences in engineering culture, sets of codes and approach </w:t>
      </w:r>
      <w:r w:rsidR="0047514C" w:rsidRPr="00E87E42">
        <w:lastRenderedPageBreak/>
        <w:t xml:space="preserve">to fire safety within the two countries, however, the research has to </w:t>
      </w:r>
      <w:proofErr w:type="gramStart"/>
      <w:r w:rsidR="0047514C" w:rsidRPr="00E87E42">
        <w:t>be contextualized</w:t>
      </w:r>
      <w:proofErr w:type="gramEnd"/>
      <w:r w:rsidR="0047514C" w:rsidRPr="00E87E42">
        <w:t xml:space="preserve"> as the first attempt to improve a complex and fundamental data problem relating to the application of probabilistic techniques to fire safety.</w:t>
      </w:r>
    </w:p>
    <w:p w14:paraId="031057CE" w14:textId="308C5F14" w:rsidR="00EF1D03" w:rsidRPr="00E87E42" w:rsidRDefault="00A55C6E" w:rsidP="008A55B5">
      <w:r>
        <w:t>The current t</w:t>
      </w:r>
      <w:r w:rsidR="00EF1D03" w:rsidRPr="00E87E42">
        <w:t xml:space="preserve">able A.2 over-estimates the frequency of fire in all areas, with residential fires in </w:t>
      </w:r>
      <w:r w:rsidR="00E67420" w:rsidRPr="00E87E42">
        <w:t>contemporary</w:t>
      </w:r>
      <w:r w:rsidR="004313B5" w:rsidRPr="00E87E42">
        <w:t xml:space="preserve"> </w:t>
      </w:r>
      <w:r w:rsidR="00EF1D03" w:rsidRPr="00E87E42">
        <w:t>UK and US</w:t>
      </w:r>
      <w:r w:rsidR="004313B5" w:rsidRPr="00E87E42">
        <w:t>A statistics</w:t>
      </w:r>
      <w:r w:rsidR="00EF1D03" w:rsidRPr="00E87E42">
        <w:t xml:space="preserve"> being half as frequent as stated in PD</w:t>
      </w:r>
      <w:r w:rsidR="00890356" w:rsidRPr="00E87E42">
        <w:t xml:space="preserve"> </w:t>
      </w:r>
      <w:r w:rsidR="00EF1D03" w:rsidRPr="00E87E42">
        <w:t>7974-7, and 10 to 100 less frequent in hospitals as stated</w:t>
      </w:r>
      <w:r w:rsidR="004313B5" w:rsidRPr="00E87E42">
        <w:t xml:space="preserve"> assuming frequency on a yearly bas</w:t>
      </w:r>
      <w:r w:rsidR="00F53880" w:rsidRPr="00E87E42">
        <w:t>is</w:t>
      </w:r>
      <w:r w:rsidR="00EF1D03" w:rsidRPr="00E87E42">
        <w:t>.</w:t>
      </w:r>
    </w:p>
    <w:p w14:paraId="7C6A4AD1" w14:textId="54E32ABC" w:rsidR="00EF1D03" w:rsidRPr="00E87E42" w:rsidRDefault="000B672C" w:rsidP="008A55B5">
      <w:r w:rsidRPr="00E87E42">
        <w:t>When f</w:t>
      </w:r>
      <w:r w:rsidR="00EF1D03" w:rsidRPr="00E87E42">
        <w:t xml:space="preserve">ire frequency </w:t>
      </w:r>
      <w:proofErr w:type="gramStart"/>
      <w:r w:rsidRPr="00E87E42">
        <w:t>is obtained</w:t>
      </w:r>
      <w:proofErr w:type="gramEnd"/>
      <w:r w:rsidRPr="00E87E42">
        <w:t xml:space="preserve"> </w:t>
      </w:r>
      <w:r w:rsidR="00EF1D03" w:rsidRPr="00E87E42">
        <w:t xml:space="preserve">with respect to building area (Table A.1 PD 7974-7) </w:t>
      </w:r>
      <w:r w:rsidR="00F16828">
        <w:t xml:space="preserve">in the USA fire statistics </w:t>
      </w:r>
      <w:r w:rsidRPr="00E87E42">
        <w:t xml:space="preserve">following the </w:t>
      </w:r>
      <w:r w:rsidR="00F16828">
        <w:t>approach</w:t>
      </w:r>
      <w:r w:rsidRPr="00E87E42">
        <w:t xml:space="preserve"> </w:t>
      </w:r>
      <w:r w:rsidR="00286102" w:rsidRPr="00E87E42">
        <w:t xml:space="preserve">used </w:t>
      </w:r>
      <w:r w:rsidR="00F16828">
        <w:t>in the</w:t>
      </w:r>
      <w:r w:rsidRPr="00E87E42">
        <w:t xml:space="preserve"> PD 7974-7</w:t>
      </w:r>
      <w:r w:rsidR="006C5601" w:rsidRPr="00E87E42">
        <w:t xml:space="preserve">, </w:t>
      </w:r>
      <w:r w:rsidR="00286102" w:rsidRPr="00E87E42">
        <w:t>very little correlation can be seen between old and new relationships</w:t>
      </w:r>
      <w:r w:rsidRPr="00E87E42">
        <w:t xml:space="preserve">. </w:t>
      </w:r>
      <w:r w:rsidR="00EF1D03" w:rsidRPr="00E87E42">
        <w:t xml:space="preserve">Two improved </w:t>
      </w:r>
      <w:r w:rsidR="00A55C6E">
        <w:t>functions</w:t>
      </w:r>
      <w:r w:rsidR="00286102" w:rsidRPr="00E87E42">
        <w:t xml:space="preserve"> </w:t>
      </w:r>
      <w:proofErr w:type="gramStart"/>
      <w:r w:rsidR="00EF1D03" w:rsidRPr="00E87E42">
        <w:t>are proposed</w:t>
      </w:r>
      <w:proofErr w:type="gramEnd"/>
      <w:r w:rsidR="00EF1D03" w:rsidRPr="00E87E42">
        <w:t xml:space="preserve">, a power law and </w:t>
      </w:r>
      <w:r w:rsidR="00286102" w:rsidRPr="00E87E42">
        <w:t>a</w:t>
      </w:r>
      <w:r w:rsidR="00EF1D03" w:rsidRPr="00E87E42">
        <w:t xml:space="preserve"> polynomial</w:t>
      </w:r>
      <w:r w:rsidR="00286102" w:rsidRPr="00E87E42">
        <w:t xml:space="preserve"> law</w:t>
      </w:r>
      <w:r w:rsidR="00EF1D03" w:rsidRPr="00E87E42">
        <w:t>, which provide better correlations, however the physical reality of the</w:t>
      </w:r>
      <w:r w:rsidR="00286102" w:rsidRPr="00E87E42">
        <w:t>se</w:t>
      </w:r>
      <w:r w:rsidR="00EF1D03" w:rsidRPr="00E87E42">
        <w:t xml:space="preserve"> curve</w:t>
      </w:r>
      <w:r w:rsidR="00286102" w:rsidRPr="00E87E42">
        <w:t>s</w:t>
      </w:r>
      <w:r w:rsidR="00EF1D03" w:rsidRPr="00E87E42">
        <w:t xml:space="preserve"> needs to be investigated further</w:t>
      </w:r>
      <w:r w:rsidRPr="00E87E42">
        <w:t>.</w:t>
      </w:r>
      <w:r w:rsidR="00203176" w:rsidRPr="00E87E42">
        <w:t xml:space="preserve"> Greater fidelity in building size is required to improve the</w:t>
      </w:r>
      <w:r w:rsidR="00286102" w:rsidRPr="00E87E42">
        <w:t>se</w:t>
      </w:r>
      <w:r w:rsidR="00203176" w:rsidRPr="00E87E42">
        <w:t xml:space="preserve"> relationships, which</w:t>
      </w:r>
      <w:r w:rsidR="00286102" w:rsidRPr="00E87E42">
        <w:t xml:space="preserve"> </w:t>
      </w:r>
      <w:r w:rsidR="00203176" w:rsidRPr="00E87E42">
        <w:t xml:space="preserve">are limited </w:t>
      </w:r>
      <w:r w:rsidR="00286102" w:rsidRPr="00E87E42">
        <w:t xml:space="preserve">in some cases (i.e. industrial structures) </w:t>
      </w:r>
      <w:r w:rsidR="00203176" w:rsidRPr="00E87E42">
        <w:t xml:space="preserve">to the </w:t>
      </w:r>
      <w:proofErr w:type="spellStart"/>
      <w:r w:rsidR="00203176" w:rsidRPr="00E87E42">
        <w:t>Rutstein</w:t>
      </w:r>
      <w:r w:rsidR="004313B5" w:rsidRPr="00E87E42">
        <w:t>’s</w:t>
      </w:r>
      <w:proofErr w:type="spellEnd"/>
      <w:r w:rsidR="00203176" w:rsidRPr="00E87E42">
        <w:t xml:space="preserve"> approach</w:t>
      </w:r>
      <w:r w:rsidR="00286102" w:rsidRPr="00E87E42">
        <w:t xml:space="preserve"> and</w:t>
      </w:r>
      <w:r w:rsidRPr="00E87E42">
        <w:t xml:space="preserve"> not always present a positive exponent for the power law. </w:t>
      </w:r>
      <w:r w:rsidR="006C5601" w:rsidRPr="00E87E42">
        <w:t>Possible reasons could be</w:t>
      </w:r>
      <w:r w:rsidRPr="00E87E42">
        <w:t xml:space="preserve"> due to the composition of the </w:t>
      </w:r>
      <w:r w:rsidR="006C5601" w:rsidRPr="00E87E42">
        <w:t xml:space="preserve">industrial </w:t>
      </w:r>
      <w:r w:rsidRPr="00E87E42">
        <w:t xml:space="preserve">buildings sample or to the nature of the </w:t>
      </w:r>
      <w:r w:rsidR="00A55C6E">
        <w:t>trend</w:t>
      </w:r>
      <w:r w:rsidRPr="00E87E42">
        <w:t xml:space="preserve">. </w:t>
      </w:r>
    </w:p>
    <w:p w14:paraId="78898CCB" w14:textId="098CD4F8" w:rsidR="00EF1D03" w:rsidRPr="00E87E42" w:rsidRDefault="00203176" w:rsidP="008A55B5">
      <w:r w:rsidRPr="00E87E42">
        <w:t xml:space="preserve">The relationship of fire spread and damage has been examined in depth within this paper, where </w:t>
      </w:r>
      <w:proofErr w:type="gramStart"/>
      <w:r w:rsidRPr="00E87E42">
        <w:t>8</w:t>
      </w:r>
      <w:proofErr w:type="gramEnd"/>
      <w:r w:rsidRPr="00E87E42">
        <w:t xml:space="preserve"> different property types are examined from the NF</w:t>
      </w:r>
      <w:r w:rsidR="00407E2D" w:rsidRPr="00E87E42">
        <w:t>IR</w:t>
      </w:r>
      <w:r w:rsidRPr="00E87E42">
        <w:t xml:space="preserve">S data. The results show that sprinkler systems can increase the likelihood of fires being contained to the object first ignited by between 10-30% depending on building type. </w:t>
      </w:r>
      <w:r w:rsidR="003873D9" w:rsidRPr="00E87E42">
        <w:t>S</w:t>
      </w:r>
      <w:r w:rsidRPr="00E87E42">
        <w:t>prinklers can also reduce the degree of damage observed</w:t>
      </w:r>
      <w:r w:rsidR="006C5601" w:rsidRPr="00E87E42">
        <w:t xml:space="preserve"> being limited to the class of minor damage and the spread to the room</w:t>
      </w:r>
      <w:r w:rsidRPr="00E87E42">
        <w:t xml:space="preserve"> </w:t>
      </w:r>
      <w:r w:rsidR="006C5601" w:rsidRPr="00E87E42">
        <w:t>of origin. Moreover, sprinklers</w:t>
      </w:r>
      <w:r w:rsidR="003873D9" w:rsidRPr="00E87E42">
        <w:t xml:space="preserve"> effectiveness</w:t>
      </w:r>
      <w:r w:rsidR="006C5601" w:rsidRPr="00E87E42">
        <w:t xml:space="preserve"> can limit fire damage and spread</w:t>
      </w:r>
      <w:r w:rsidR="007A045B" w:rsidRPr="00E87E42">
        <w:t>,</w:t>
      </w:r>
      <w:r w:rsidR="006C5601" w:rsidRPr="00E87E42">
        <w:t xml:space="preserve"> in 4 property types (</w:t>
      </w:r>
      <w:r w:rsidR="00A43875" w:rsidRPr="00E87E42">
        <w:rPr>
          <w:i/>
        </w:rPr>
        <w:t>Educational; Health care, Detention and Correction; Industrial, Utility, Defence, Agricultural and M</w:t>
      </w:r>
      <w:r w:rsidR="006C5601" w:rsidRPr="00E87E42">
        <w:rPr>
          <w:i/>
        </w:rPr>
        <w:t>ining; Storage</w:t>
      </w:r>
      <w:r w:rsidR="006C5601" w:rsidRPr="00E87E42">
        <w:t>) whi</w:t>
      </w:r>
      <w:r w:rsidR="003873D9" w:rsidRPr="00E87E42">
        <w:t xml:space="preserve">le in 3 of them </w:t>
      </w:r>
      <w:r w:rsidR="006C5601" w:rsidRPr="00E87E42">
        <w:t>only the area damage</w:t>
      </w:r>
      <w:r w:rsidR="003873D9" w:rsidRPr="00E87E42">
        <w:t xml:space="preserve"> is reduced (</w:t>
      </w:r>
      <w:r w:rsidR="003873D9" w:rsidRPr="00E87E42">
        <w:rPr>
          <w:i/>
        </w:rPr>
        <w:t>Assembly; Residential; Mercantile, Business</w:t>
      </w:r>
      <w:r w:rsidR="003873D9" w:rsidRPr="00E87E42">
        <w:t xml:space="preserve">) and in </w:t>
      </w:r>
      <w:r w:rsidR="003873D9" w:rsidRPr="00E87E42">
        <w:rPr>
          <w:i/>
        </w:rPr>
        <w:t>Manufacturing, Processing</w:t>
      </w:r>
      <w:r w:rsidR="003873D9" w:rsidRPr="00E87E42">
        <w:t xml:space="preserve"> </w:t>
      </w:r>
      <w:r w:rsidR="006C5601" w:rsidRPr="00E87E42">
        <w:t>only the fire spread</w:t>
      </w:r>
      <w:r w:rsidR="003873D9" w:rsidRPr="00E87E42">
        <w:t xml:space="preserve"> and not the damage is confined</w:t>
      </w:r>
      <w:r w:rsidR="006C5601" w:rsidRPr="00E87E42">
        <w:t xml:space="preserve">.  </w:t>
      </w:r>
    </w:p>
    <w:p w14:paraId="79E9F926" w14:textId="5F64483B" w:rsidR="00203176" w:rsidRPr="00E87E42" w:rsidRDefault="00203176" w:rsidP="008A55B5">
      <w:r w:rsidRPr="00E87E42">
        <w:t>PD</w:t>
      </w:r>
      <w:r w:rsidR="007A045B" w:rsidRPr="00E87E42">
        <w:t xml:space="preserve"> 7974-7</w:t>
      </w:r>
      <w:r w:rsidRPr="00E87E42">
        <w:t xml:space="preserve"> data </w:t>
      </w:r>
      <w:r w:rsidR="00286102" w:rsidRPr="00E87E42">
        <w:t xml:space="preserve">(tables A.4 an A.5) </w:t>
      </w:r>
      <w:r w:rsidR="00A55C6E">
        <w:t>predict</w:t>
      </w:r>
      <w:r w:rsidRPr="00E87E42">
        <w:t xml:space="preserve"> less fire spread and damage than presented in the US</w:t>
      </w:r>
      <w:r w:rsidR="006728B6" w:rsidRPr="00E87E42">
        <w:t>A</w:t>
      </w:r>
      <w:r w:rsidRPr="00E87E42">
        <w:t xml:space="preserve"> fire statistics</w:t>
      </w:r>
      <w:r w:rsidR="00EB0ACA" w:rsidRPr="00E87E42">
        <w:t xml:space="preserve">. </w:t>
      </w:r>
      <w:r w:rsidR="009D713A" w:rsidRPr="00E87E42">
        <w:t>B</w:t>
      </w:r>
      <w:r w:rsidR="00EB0ACA" w:rsidRPr="00E87E42">
        <w:t xml:space="preserve">oth PD 7974-7 and USA </w:t>
      </w:r>
      <w:r w:rsidR="009D713A" w:rsidRPr="00E87E42">
        <w:t xml:space="preserve">fire statistics </w:t>
      </w:r>
      <w:r w:rsidR="00EB0ACA" w:rsidRPr="00E87E42">
        <w:t xml:space="preserve">have fire frequencies </w:t>
      </w:r>
      <w:r w:rsidR="009D713A" w:rsidRPr="00E87E42">
        <w:t xml:space="preserve">being </w:t>
      </w:r>
      <w:r w:rsidR="00EB0ACA" w:rsidRPr="00E87E42">
        <w:t xml:space="preserve">well confined to the room of origin, </w:t>
      </w:r>
      <w:r w:rsidR="009D713A" w:rsidRPr="00E87E42">
        <w:t xml:space="preserve">however, </w:t>
      </w:r>
      <w:r w:rsidR="00EB0ACA" w:rsidRPr="00E87E42">
        <w:t>in the NFIRS there are no</w:t>
      </w:r>
      <w:r w:rsidR="009D713A" w:rsidRPr="00E87E42">
        <w:t>n-</w:t>
      </w:r>
      <w:r w:rsidR="00EB0ACA" w:rsidRPr="00E87E42">
        <w:t xml:space="preserve">negligible percentages </w:t>
      </w:r>
      <w:r w:rsidR="009D713A" w:rsidRPr="00E87E42">
        <w:t>of fires being</w:t>
      </w:r>
      <w:r w:rsidR="00EB0ACA" w:rsidRPr="00E87E42">
        <w:t xml:space="preserve"> confined to building or beyond</w:t>
      </w:r>
      <w:r w:rsidR="009D713A" w:rsidRPr="00E87E42">
        <w:t>.</w:t>
      </w:r>
    </w:p>
    <w:p w14:paraId="78D7D366" w14:textId="1DFE624A" w:rsidR="00AF4BCB" w:rsidRPr="00E87E42" w:rsidRDefault="00203176" w:rsidP="008A55B5">
      <w:r w:rsidRPr="00E87E42">
        <w:t xml:space="preserve">The frequency </w:t>
      </w:r>
      <w:r w:rsidR="00AF4BCB" w:rsidRPr="00E87E42">
        <w:t xml:space="preserve">of area damaged - </w:t>
      </w:r>
      <w:r w:rsidR="009D713A" w:rsidRPr="00E87E42">
        <w:t>t</w:t>
      </w:r>
      <w:r w:rsidR="00AF4BCB" w:rsidRPr="00E87E42">
        <w:t xml:space="preserve">ables A.6, A.7, and A.8 in PD 7974-7 Annex A – are un-conservative </w:t>
      </w:r>
      <w:r w:rsidR="00887B85" w:rsidRPr="00E87E42">
        <w:t>if compared to</w:t>
      </w:r>
      <w:r w:rsidR="00AF4BCB" w:rsidRPr="00E87E42">
        <w:t xml:space="preserve"> the analysis of the US</w:t>
      </w:r>
      <w:r w:rsidR="009D713A" w:rsidRPr="00E87E42">
        <w:t>A</w:t>
      </w:r>
      <w:r w:rsidR="00AF4BCB" w:rsidRPr="00E87E42">
        <w:t xml:space="preserve"> fire statistics </w:t>
      </w:r>
      <w:r w:rsidR="00887B85" w:rsidRPr="00E87E42">
        <w:t xml:space="preserve">which </w:t>
      </w:r>
      <w:r w:rsidR="00AF4BCB" w:rsidRPr="00E87E42">
        <w:t>show</w:t>
      </w:r>
      <w:r w:rsidR="00887B85" w:rsidRPr="00E87E42">
        <w:t>s</w:t>
      </w:r>
      <w:r w:rsidR="00AF4BCB" w:rsidRPr="00E87E42">
        <w:t xml:space="preserve"> that fires more frequently cause greater damage</w:t>
      </w:r>
      <w:r w:rsidR="006B3569" w:rsidRPr="00E87E42">
        <w:t xml:space="preserve">. </w:t>
      </w:r>
      <w:r w:rsidR="00887B85" w:rsidRPr="00E87E42">
        <w:t>T</w:t>
      </w:r>
      <w:r w:rsidR="00AF4BCB" w:rsidRPr="00E87E42">
        <w:t>he form of the reducing frequency is very different to that presented in PD</w:t>
      </w:r>
      <w:r w:rsidR="007727A8" w:rsidRPr="00E87E42">
        <w:t xml:space="preserve"> </w:t>
      </w:r>
      <w:r w:rsidR="00AF4BCB" w:rsidRPr="00E87E42">
        <w:t>7974-7</w:t>
      </w:r>
      <w:r w:rsidR="00D97B80" w:rsidRPr="00E87E42">
        <w:t>,</w:t>
      </w:r>
      <w:r w:rsidR="00887B85" w:rsidRPr="00E87E42">
        <w:t xml:space="preserve"> which presents in general a zero value for more than 50 m</w:t>
      </w:r>
      <w:r w:rsidR="00887B85" w:rsidRPr="00E87E42">
        <w:rPr>
          <w:vertAlign w:val="superscript"/>
        </w:rPr>
        <w:t>2</w:t>
      </w:r>
      <w:r w:rsidR="00887B85" w:rsidRPr="00E87E42">
        <w:t xml:space="preserve"> and neglec</w:t>
      </w:r>
      <w:r w:rsidR="006B3569" w:rsidRPr="00E87E42">
        <w:t>ts</w:t>
      </w:r>
      <w:r w:rsidR="00887B85" w:rsidRPr="00E87E42">
        <w:t xml:space="preserve"> the </w:t>
      </w:r>
      <w:r w:rsidR="009D713A" w:rsidRPr="00E87E42">
        <w:t xml:space="preserve">tail </w:t>
      </w:r>
      <w:r w:rsidR="00887B85" w:rsidRPr="00E87E42">
        <w:t>present in the</w:t>
      </w:r>
      <w:r w:rsidR="007A045B" w:rsidRPr="00E87E42">
        <w:t xml:space="preserve"> NFIRS tendency</w:t>
      </w:r>
      <w:r w:rsidR="00887B85" w:rsidRPr="00E87E42">
        <w:t xml:space="preserve">. </w:t>
      </w:r>
    </w:p>
    <w:p w14:paraId="7CD2025E" w14:textId="0923A58C" w:rsidR="00203176" w:rsidRPr="00E87E42" w:rsidRDefault="00887B85" w:rsidP="008A55B5">
      <w:r w:rsidRPr="00E87E42">
        <w:t>Finally, analysing the direct financial loss, t</w:t>
      </w:r>
      <w:r w:rsidR="00AF4BCB" w:rsidRPr="00E87E42">
        <w:t xml:space="preserve">he average loss per fire </w:t>
      </w:r>
      <w:proofErr w:type="gramStart"/>
      <w:r w:rsidR="00AF4BCB" w:rsidRPr="00E87E42">
        <w:t>was also compared between PD</w:t>
      </w:r>
      <w:r w:rsidR="00A55C6E">
        <w:t xml:space="preserve"> </w:t>
      </w:r>
      <w:r w:rsidR="0024504A">
        <w:t xml:space="preserve">7974-7 </w:t>
      </w:r>
      <w:r w:rsidR="00AF4BCB" w:rsidRPr="00E87E42">
        <w:t>and the NF</w:t>
      </w:r>
      <w:r w:rsidR="00407E2D" w:rsidRPr="00E87E42">
        <w:t>IR</w:t>
      </w:r>
      <w:r w:rsidR="00AF4BCB" w:rsidRPr="00E87E42">
        <w:t xml:space="preserve">S data, and showed that </w:t>
      </w:r>
      <w:proofErr w:type="spellStart"/>
      <w:r w:rsidR="00AF4BCB" w:rsidRPr="00E87E42">
        <w:t>sprinklered</w:t>
      </w:r>
      <w:proofErr w:type="spellEnd"/>
      <w:r w:rsidR="00AF4BCB" w:rsidRPr="00E87E42">
        <w:t xml:space="preserve"> structures experienced less loss </w:t>
      </w:r>
      <w:r w:rsidR="00E51C9E" w:rsidRPr="00E87E42">
        <w:t>in general</w:t>
      </w:r>
      <w:r w:rsidR="00AF4BCB" w:rsidRPr="00E87E42">
        <w:t xml:space="preserve"> than un-</w:t>
      </w:r>
      <w:proofErr w:type="spellStart"/>
      <w:r w:rsidR="00AF4BCB" w:rsidRPr="00E87E42">
        <w:t>sprinklered</w:t>
      </w:r>
      <w:proofErr w:type="spellEnd"/>
      <w:r w:rsidR="00AF4BCB" w:rsidRPr="00E87E42">
        <w:t xml:space="preserve"> fires</w:t>
      </w:r>
      <w:proofErr w:type="gramEnd"/>
      <w:r w:rsidR="00AF4BCB" w:rsidRPr="00E87E42">
        <w:t xml:space="preserve">. These values are also on average less than those presented in PD 7974-7 </w:t>
      </w:r>
      <w:r w:rsidR="0024504A">
        <w:t xml:space="preserve">where comparisons </w:t>
      </w:r>
      <w:proofErr w:type="gramStart"/>
      <w:r w:rsidR="0024504A">
        <w:t>can be developed</w:t>
      </w:r>
      <w:proofErr w:type="gramEnd"/>
      <w:r w:rsidR="007A6F5C" w:rsidRPr="00E87E42">
        <w:t>.</w:t>
      </w:r>
    </w:p>
    <w:p w14:paraId="5B000FB6" w14:textId="0E7C4A33" w:rsidR="00E53653" w:rsidRPr="00E87E42" w:rsidRDefault="007A6F5C" w:rsidP="00E53653">
      <w:r w:rsidRPr="00E87E42">
        <w:t xml:space="preserve">One general </w:t>
      </w:r>
      <w:r w:rsidR="00B61A20" w:rsidRPr="00E87E42">
        <w:t xml:space="preserve">consideration </w:t>
      </w:r>
      <w:r w:rsidRPr="00E87E42">
        <w:t>from this paper is</w:t>
      </w:r>
      <w:r w:rsidR="002E5A05">
        <w:t xml:space="preserve"> that sprinkler systems can be</w:t>
      </w:r>
      <w:r w:rsidRPr="00E87E42">
        <w:t xml:space="preserve"> very effective means across all building types to reducing the severity of fire spread, damage</w:t>
      </w:r>
      <w:r w:rsidR="009D713A" w:rsidRPr="00E87E42">
        <w:t xml:space="preserve"> (due to flame)</w:t>
      </w:r>
      <w:r w:rsidRPr="00E87E42">
        <w:t xml:space="preserve"> and loss. </w:t>
      </w:r>
      <w:r w:rsidR="00AD5BB9" w:rsidRPr="00E87E42">
        <w:t>However</w:t>
      </w:r>
      <w:r w:rsidR="00D97B80" w:rsidRPr="00E87E42">
        <w:t>,</w:t>
      </w:r>
      <w:r w:rsidR="00AD5BB9" w:rsidRPr="00E87E42">
        <w:t xml:space="preserve"> the cost to benefit ratio of this needs to be explored in detail for each building type.</w:t>
      </w:r>
      <w:r w:rsidR="00B61A20" w:rsidRPr="00E87E42">
        <w:t xml:space="preserve"> </w:t>
      </w:r>
    </w:p>
    <w:p w14:paraId="7012F7BB" w14:textId="1330F34E" w:rsidR="00B61A20" w:rsidRPr="00E87E42" w:rsidRDefault="00B61A20">
      <w:r w:rsidRPr="00E87E42">
        <w:t xml:space="preserve">In conclusions, USA fire statistics </w:t>
      </w:r>
      <w:proofErr w:type="gramStart"/>
      <w:r w:rsidRPr="00E87E42">
        <w:t>have been investigated</w:t>
      </w:r>
      <w:proofErr w:type="gramEnd"/>
      <w:r w:rsidRPr="00E87E42">
        <w:t xml:space="preserve"> </w:t>
      </w:r>
      <w:r w:rsidR="0024504A">
        <w:t>based on</w:t>
      </w:r>
      <w:r w:rsidRPr="00E87E42">
        <w:t xml:space="preserve"> </w:t>
      </w:r>
      <w:proofErr w:type="spellStart"/>
      <w:r w:rsidRPr="00E87E42">
        <w:t>Rutstein's</w:t>
      </w:r>
      <w:proofErr w:type="spellEnd"/>
      <w:r w:rsidRPr="00E87E42">
        <w:t xml:space="preserve"> approach for </w:t>
      </w:r>
      <w:r w:rsidR="00E51C9E" w:rsidRPr="00E87E42">
        <w:t xml:space="preserve">the definition of </w:t>
      </w:r>
      <w:r w:rsidRPr="00E87E42">
        <w:t>fire</w:t>
      </w:r>
      <w:r w:rsidR="00E51C9E" w:rsidRPr="00E87E42">
        <w:t xml:space="preserve"> frequency according to</w:t>
      </w:r>
      <w:r w:rsidRPr="00E87E42">
        <w:t xml:space="preserve"> total building floor area</w:t>
      </w:r>
      <w:r w:rsidR="00E51C9E" w:rsidRPr="00E87E42">
        <w:t xml:space="preserve"> (Table A.1)</w:t>
      </w:r>
      <w:r w:rsidRPr="00E87E42">
        <w:t xml:space="preserve"> while the other tables</w:t>
      </w:r>
      <w:r w:rsidR="00E51C9E" w:rsidRPr="00E87E42">
        <w:t xml:space="preserve"> in PD 7974-7</w:t>
      </w:r>
      <w:r w:rsidRPr="00E87E42">
        <w:t xml:space="preserve"> </w:t>
      </w:r>
      <w:r w:rsidR="00563E1C" w:rsidRPr="00E87E42">
        <w:t>re</w:t>
      </w:r>
      <w:r w:rsidRPr="00E87E42">
        <w:t xml:space="preserve">created grouping </w:t>
      </w:r>
      <w:r w:rsidRPr="00E87E42">
        <w:lastRenderedPageBreak/>
        <w:t xml:space="preserve">and elaborating the data presents in the NFIRS. Changes are attributable to updated values for the fields present in the current fire statistics and not to a different method of analysis. </w:t>
      </w:r>
      <w:r w:rsidR="00EA50F6" w:rsidRPr="00E87E42">
        <w:t xml:space="preserve">Differences need to </w:t>
      </w:r>
      <w:proofErr w:type="gramStart"/>
      <w:r w:rsidR="00EA50F6" w:rsidRPr="00E87E42">
        <w:t>be considered</w:t>
      </w:r>
      <w:proofErr w:type="gramEnd"/>
      <w:r w:rsidR="00EA50F6" w:rsidRPr="00E87E42">
        <w:t xml:space="preserve"> with a degree of caution since PD 7974-7 datasets, with which previous data have been obtained, are not available and USA fire statistics could report data with a certain degree of uncertainty. However, the quantity of fire incidents present in the NFIRS provides significant statistical distribution. Future works will investigate the improved frequency functions introduced in the paper and the new released UK fire statistics of 2017.</w:t>
      </w:r>
    </w:p>
    <w:p w14:paraId="594D93AC" w14:textId="0EA96870" w:rsidR="00AB4A67" w:rsidRPr="00E87E42" w:rsidRDefault="00AB4A67" w:rsidP="00AB4A67">
      <w:pPr>
        <w:pStyle w:val="Heading1"/>
        <w:rPr>
          <w:sz w:val="24"/>
          <w:szCs w:val="24"/>
        </w:rPr>
      </w:pPr>
      <w:r w:rsidRPr="00E87E42">
        <w:rPr>
          <w:sz w:val="24"/>
          <w:szCs w:val="24"/>
        </w:rPr>
        <w:t>References</w:t>
      </w:r>
    </w:p>
    <w:p w14:paraId="5F3348CB" w14:textId="3FBA557A" w:rsidR="00BC5ED7" w:rsidRPr="00E87E42" w:rsidRDefault="00AB4A67" w:rsidP="00BC5ED7">
      <w:pPr>
        <w:widowControl w:val="0"/>
        <w:autoSpaceDE w:val="0"/>
        <w:autoSpaceDN w:val="0"/>
        <w:adjustRightInd w:val="0"/>
        <w:spacing w:after="0"/>
        <w:ind w:left="640" w:hanging="640"/>
        <w:rPr>
          <w:noProof/>
          <w:szCs w:val="24"/>
        </w:rPr>
      </w:pPr>
      <w:r w:rsidRPr="00E87E42">
        <w:fldChar w:fldCharType="begin" w:fldLock="1"/>
      </w:r>
      <w:r w:rsidRPr="00E87E42">
        <w:instrText xml:space="preserve">ADDIN Mendeley Bibliography CSL_BIBLIOGRAPHY </w:instrText>
      </w:r>
      <w:r w:rsidRPr="00E87E42">
        <w:fldChar w:fldCharType="separate"/>
      </w:r>
      <w:r w:rsidR="00BC5ED7" w:rsidRPr="00E87E42">
        <w:rPr>
          <w:noProof/>
          <w:szCs w:val="24"/>
        </w:rPr>
        <w:t>[1]</w:t>
      </w:r>
      <w:r w:rsidR="00BC5ED7" w:rsidRPr="00E87E42">
        <w:rPr>
          <w:noProof/>
          <w:szCs w:val="24"/>
        </w:rPr>
        <w:tab/>
        <w:t xml:space="preserve">G. V. Hadjisophocleous, N. Benichou, and A. S. Tamim, “Literature review of performance- based fire codes and design environment,” </w:t>
      </w:r>
      <w:r w:rsidR="00BC5ED7" w:rsidRPr="00E87E42">
        <w:rPr>
          <w:i/>
          <w:iCs/>
          <w:noProof/>
          <w:szCs w:val="24"/>
        </w:rPr>
        <w:t>J. Fire Prot. Eng.</w:t>
      </w:r>
      <w:r w:rsidR="00BC5ED7" w:rsidRPr="00E87E42">
        <w:rPr>
          <w:noProof/>
          <w:szCs w:val="24"/>
        </w:rPr>
        <w:t>, vol. 9, no. 1, pp. 12–40, 1998.</w:t>
      </w:r>
    </w:p>
    <w:p w14:paraId="4D7C712E"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[2]</w:t>
      </w:r>
      <w:r w:rsidRPr="00E87E42">
        <w:rPr>
          <w:noProof/>
          <w:szCs w:val="24"/>
        </w:rPr>
        <w:tab/>
        <w:t xml:space="preserve">Y. Wang, I. Burgess, F. Wald, and M. Gillie, </w:t>
      </w:r>
      <w:r w:rsidRPr="00E87E42">
        <w:rPr>
          <w:i/>
          <w:iCs/>
          <w:noProof/>
          <w:szCs w:val="24"/>
        </w:rPr>
        <w:t>Preformance-Based Fire Engineering of Structures</w:t>
      </w:r>
      <w:r w:rsidRPr="00E87E42">
        <w:rPr>
          <w:noProof/>
          <w:szCs w:val="24"/>
        </w:rPr>
        <w:t>. CRC Press, 2012.</w:t>
      </w:r>
    </w:p>
    <w:p w14:paraId="3A0EDEF5"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[3]</w:t>
      </w:r>
      <w:r w:rsidRPr="00E87E42">
        <w:rPr>
          <w:noProof/>
          <w:szCs w:val="24"/>
        </w:rPr>
        <w:tab/>
        <w:t>BSI, “PD 7974-7: Application of fire safety engineering principles to the design of buildings — Part 7 : Probabilistic risk assessment,” vol. 3, 2003.</w:t>
      </w:r>
    </w:p>
    <w:p w14:paraId="678C3066"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[4]</w:t>
      </w:r>
      <w:r w:rsidRPr="00E87E42">
        <w:rPr>
          <w:noProof/>
          <w:szCs w:val="24"/>
        </w:rPr>
        <w:tab/>
        <w:t>BSI, “PD 7974-8:2012: Application of fire safety engineering principles to the design of buildings; Part 8: Property protection, business and mission continuity, and resilience,” 2012.</w:t>
      </w:r>
    </w:p>
    <w:p w14:paraId="08299944"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[5]</w:t>
      </w:r>
      <w:r w:rsidRPr="00E87E42">
        <w:rPr>
          <w:noProof/>
          <w:szCs w:val="24"/>
        </w:rPr>
        <w:tab/>
        <w:t>HM Government, “The Building Regulations 2010 Fire Safety: Approved document B Volume 1 - Dwellinghouses,” 2006.</w:t>
      </w:r>
    </w:p>
    <w:p w14:paraId="3EE981DF"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[6]</w:t>
      </w:r>
      <w:r w:rsidRPr="00E87E42">
        <w:rPr>
          <w:noProof/>
          <w:szCs w:val="24"/>
        </w:rPr>
        <w:tab/>
        <w:t>HM Government, “The Building Regulations 2010 Fire Safety Approved Document B - Buildings Other Than Dwelling Houses,” 2006.</w:t>
      </w:r>
    </w:p>
    <w:p w14:paraId="1F281C62"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[7]</w:t>
      </w:r>
      <w:r w:rsidRPr="00E87E42">
        <w:rPr>
          <w:noProof/>
          <w:szCs w:val="24"/>
        </w:rPr>
        <w:tab/>
        <w:t xml:space="preserve">BS EN 1992-1-1, “Eurocode 2: Design of concrete structures - Part 1-1 : General rules and rules for buildings,” </w:t>
      </w:r>
      <w:r w:rsidRPr="00E87E42">
        <w:rPr>
          <w:i/>
          <w:iCs/>
          <w:noProof/>
          <w:szCs w:val="24"/>
        </w:rPr>
        <w:t>Br. Stand. Inst.</w:t>
      </w:r>
      <w:r w:rsidRPr="00E87E42">
        <w:rPr>
          <w:noProof/>
          <w:szCs w:val="24"/>
        </w:rPr>
        <w:t>, vol. 1, no. 2004, p. 230, 2004.</w:t>
      </w:r>
    </w:p>
    <w:p w14:paraId="60D5A34E"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[8]</w:t>
      </w:r>
      <w:r w:rsidRPr="00E87E42">
        <w:rPr>
          <w:noProof/>
          <w:szCs w:val="24"/>
        </w:rPr>
        <w:tab/>
        <w:t xml:space="preserve">D. Hopkin, R. Van Coile, and D. Lange, “Certain Uncertainty - Demonstrating Safety in Fire Engineering Design and the Need for Safety Targets.,” </w:t>
      </w:r>
      <w:r w:rsidRPr="00E87E42">
        <w:rPr>
          <w:i/>
          <w:iCs/>
          <w:noProof/>
          <w:szCs w:val="24"/>
        </w:rPr>
        <w:t>SFPE Europe</w:t>
      </w:r>
      <w:r w:rsidRPr="00E87E42">
        <w:rPr>
          <w:noProof/>
          <w:szCs w:val="24"/>
        </w:rPr>
        <w:t>, 2017.</w:t>
      </w:r>
    </w:p>
    <w:p w14:paraId="7EE6E104"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[9]</w:t>
      </w:r>
      <w:r w:rsidRPr="00E87E42">
        <w:rPr>
          <w:noProof/>
          <w:szCs w:val="24"/>
        </w:rPr>
        <w:tab/>
        <w:t>National Fire Protection Association and National Fire Protection Association. Technical Committee on Uniform Fire Code., “NFPA 1 Uniform Fire Code. National Fire Protection Association.,” 2006.</w:t>
      </w:r>
    </w:p>
    <w:p w14:paraId="7A53560E"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[10]</w:t>
      </w:r>
      <w:r w:rsidRPr="00E87E42">
        <w:rPr>
          <w:noProof/>
          <w:szCs w:val="24"/>
        </w:rPr>
        <w:tab/>
        <w:t>National Fire Protection Association., “NFPA 101, Life Safety Code 2000 edition.,” 2000.</w:t>
      </w:r>
    </w:p>
    <w:p w14:paraId="6A193DCF"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[11]</w:t>
      </w:r>
      <w:r w:rsidRPr="00E87E42">
        <w:rPr>
          <w:noProof/>
          <w:szCs w:val="24"/>
        </w:rPr>
        <w:tab/>
        <w:t>S. Bryant and I. Preston, “Focus on trends in fires and fire- related fatalities,” no. October, 2017.</w:t>
      </w:r>
    </w:p>
    <w:p w14:paraId="65652F99"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[12]</w:t>
      </w:r>
      <w:r w:rsidRPr="00E87E42">
        <w:rPr>
          <w:noProof/>
          <w:szCs w:val="24"/>
        </w:rPr>
        <w:tab/>
        <w:t>H. J. G. Haynes, “Fire Loss in the United States during 2016,” 2017.</w:t>
      </w:r>
    </w:p>
    <w:p w14:paraId="75DFF505"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[13]</w:t>
      </w:r>
      <w:r w:rsidRPr="00E87E42">
        <w:rPr>
          <w:noProof/>
          <w:szCs w:val="24"/>
        </w:rPr>
        <w:tab/>
        <w:t xml:space="preserve">J. Hall, </w:t>
      </w:r>
      <w:r w:rsidRPr="00E87E42">
        <w:rPr>
          <w:i/>
          <w:iCs/>
          <w:noProof/>
          <w:szCs w:val="24"/>
        </w:rPr>
        <w:t>The total cost of fire in the United States</w:t>
      </w:r>
      <w:r w:rsidRPr="00E87E42">
        <w:rPr>
          <w:noProof/>
          <w:szCs w:val="24"/>
        </w:rPr>
        <w:t>, no. March. Quincy, MA: NFPA, 2014.</w:t>
      </w:r>
    </w:p>
    <w:p w14:paraId="2BC7A4FF"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[14]</w:t>
      </w:r>
      <w:r w:rsidRPr="00E87E42">
        <w:rPr>
          <w:noProof/>
          <w:szCs w:val="24"/>
        </w:rPr>
        <w:tab/>
        <w:t xml:space="preserve">Y. Wang, Y. L. Dong, B. Li, and G. C. Zhou, “A fire test on continuous reinforced concrete slabs in a full-scale multi-story steel-framed building,” </w:t>
      </w:r>
      <w:r w:rsidRPr="00E87E42">
        <w:rPr>
          <w:i/>
          <w:iCs/>
          <w:noProof/>
          <w:szCs w:val="24"/>
        </w:rPr>
        <w:t>Fire Saf. J.</w:t>
      </w:r>
      <w:r w:rsidRPr="00E87E42">
        <w:rPr>
          <w:noProof/>
          <w:szCs w:val="24"/>
        </w:rPr>
        <w:t>, vol. 61, pp. 232–242, 2013.</w:t>
      </w:r>
    </w:p>
    <w:p w14:paraId="25119EEF"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[15]</w:t>
      </w:r>
      <w:r w:rsidRPr="00E87E42">
        <w:rPr>
          <w:noProof/>
          <w:szCs w:val="24"/>
        </w:rPr>
        <w:tab/>
        <w:t>G. Kirby, B.R.; Lapwood, D. G; Thompson, “Reinstatement of Fire Damaged Steel and Iron Framed Structures,” 1993.</w:t>
      </w:r>
    </w:p>
    <w:p w14:paraId="300AF790"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[16]</w:t>
      </w:r>
      <w:r w:rsidRPr="00E87E42">
        <w:rPr>
          <w:noProof/>
          <w:szCs w:val="24"/>
        </w:rPr>
        <w:tab/>
        <w:t xml:space="preserve">M. Manes and D. Rush, “Meta-analysis of UK , USA and New Zealand fire statistics databases with respect to damage and financial loss.,” in </w:t>
      </w:r>
      <w:r w:rsidRPr="00E87E42">
        <w:rPr>
          <w:i/>
          <w:iCs/>
          <w:noProof/>
          <w:szCs w:val="24"/>
        </w:rPr>
        <w:t>Applications of Fire Engineering: Proceedings of the International Conference of Applications of Structural Fire Engineering (ASFE 2017)</w:t>
      </w:r>
      <w:r w:rsidRPr="00E87E42">
        <w:rPr>
          <w:noProof/>
          <w:szCs w:val="24"/>
        </w:rPr>
        <w:t>, 2017, pp. 179–188.</w:t>
      </w:r>
    </w:p>
    <w:p w14:paraId="2FC826C1"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[17]</w:t>
      </w:r>
      <w:r w:rsidRPr="00E87E42">
        <w:rPr>
          <w:noProof/>
          <w:szCs w:val="24"/>
        </w:rPr>
        <w:tab/>
        <w:t xml:space="preserve">M. Manes and D. Rush, “Meta-analysis of response times and safety systems to the fire size, growth and </w:t>
      </w:r>
      <w:r w:rsidRPr="00E87E42">
        <w:rPr>
          <w:noProof/>
          <w:szCs w:val="24"/>
        </w:rPr>
        <w:lastRenderedPageBreak/>
        <w:t xml:space="preserve">damage, based on UK, USA and New Zealand fire statistics databases.,” </w:t>
      </w:r>
      <w:r w:rsidRPr="00E87E42">
        <w:rPr>
          <w:i/>
          <w:iCs/>
          <w:noProof/>
          <w:szCs w:val="24"/>
        </w:rPr>
        <w:t>2nd Int. Conf. Struct. Saf. under Fire Blast Load. (CONFAB 17)</w:t>
      </w:r>
      <w:r w:rsidRPr="00E87E42">
        <w:rPr>
          <w:noProof/>
          <w:szCs w:val="24"/>
        </w:rPr>
        <w:t>, pp. 108–117, 2017.</w:t>
      </w:r>
    </w:p>
    <w:p w14:paraId="2C8392FB"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[18]</w:t>
      </w:r>
      <w:r w:rsidRPr="00E87E42">
        <w:rPr>
          <w:noProof/>
          <w:szCs w:val="24"/>
        </w:rPr>
        <w:tab/>
        <w:t>CEN, “BS EN 1991-1-2:2002 Eurocode 1- Actions on structures; Part 1-2: General Actions - Actions on structures exposed to fire,” Brussels, Belgium, 2009.</w:t>
      </w:r>
    </w:p>
    <w:p w14:paraId="4EAA6AFE"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[19]</w:t>
      </w:r>
      <w:r w:rsidRPr="00E87E42">
        <w:rPr>
          <w:noProof/>
          <w:szCs w:val="24"/>
        </w:rPr>
        <w:tab/>
        <w:t xml:space="preserve">G. Ramachandran, “Probabilistic Approach to Fire Risk Evaluation,” </w:t>
      </w:r>
      <w:r w:rsidRPr="00E87E42">
        <w:rPr>
          <w:i/>
          <w:iCs/>
          <w:noProof/>
          <w:szCs w:val="24"/>
        </w:rPr>
        <w:t>Fire Technol.</w:t>
      </w:r>
      <w:r w:rsidRPr="00E87E42">
        <w:rPr>
          <w:noProof/>
          <w:szCs w:val="24"/>
        </w:rPr>
        <w:t>, pp. 204–226, 1988.</w:t>
      </w:r>
    </w:p>
    <w:p w14:paraId="7AD77ADF"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[20]</w:t>
      </w:r>
      <w:r w:rsidRPr="00E87E42">
        <w:rPr>
          <w:noProof/>
          <w:szCs w:val="24"/>
        </w:rPr>
        <w:tab/>
        <w:t xml:space="preserve">D. Rush, L. Bisby, I. Ioannou, and T. Rossetto, “Towards fragility analysis for concrete buildings in fire: residual capacity of concrete columns,” in </w:t>
      </w:r>
      <w:r w:rsidRPr="00E87E42">
        <w:rPr>
          <w:i/>
          <w:iCs/>
          <w:noProof/>
          <w:szCs w:val="24"/>
        </w:rPr>
        <w:t>8th SiF</w:t>
      </w:r>
      <w:r w:rsidRPr="00E87E42">
        <w:rPr>
          <w:noProof/>
          <w:szCs w:val="24"/>
        </w:rPr>
        <w:t>, 2014, pp. 467–474.</w:t>
      </w:r>
    </w:p>
    <w:p w14:paraId="3791ACBB"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[21]</w:t>
      </w:r>
      <w:r w:rsidRPr="00E87E42">
        <w:rPr>
          <w:noProof/>
          <w:szCs w:val="24"/>
        </w:rPr>
        <w:tab/>
        <w:t xml:space="preserve">L. Bisby, J. Gales, and C. Maluk, “A contemporary review of large-scale non-standard structural fire testing,” </w:t>
      </w:r>
      <w:r w:rsidRPr="00E87E42">
        <w:rPr>
          <w:i/>
          <w:iCs/>
          <w:noProof/>
          <w:szCs w:val="24"/>
        </w:rPr>
        <w:t>Fire Sci. Rev.</w:t>
      </w:r>
      <w:r w:rsidRPr="00E87E42">
        <w:rPr>
          <w:noProof/>
          <w:szCs w:val="24"/>
        </w:rPr>
        <w:t>, vol. 2, no. 1, p. 1, 2013.</w:t>
      </w:r>
    </w:p>
    <w:p w14:paraId="6A9C552D"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[22]</w:t>
      </w:r>
      <w:r w:rsidRPr="00E87E42">
        <w:rPr>
          <w:noProof/>
          <w:szCs w:val="24"/>
        </w:rPr>
        <w:tab/>
        <w:t xml:space="preserve">A. Borg, O. Njå, and J. L. Torero, “A Framework for Selecting Design Fires in Performance Based Fire Safety Engineering,” </w:t>
      </w:r>
      <w:r w:rsidRPr="00E87E42">
        <w:rPr>
          <w:i/>
          <w:iCs/>
          <w:noProof/>
          <w:szCs w:val="24"/>
        </w:rPr>
        <w:t>Fire Technol.</w:t>
      </w:r>
      <w:r w:rsidRPr="00E87E42">
        <w:rPr>
          <w:noProof/>
          <w:szCs w:val="24"/>
        </w:rPr>
        <w:t>, vol. 51, no. 4, pp. 995–1017, 2015.</w:t>
      </w:r>
    </w:p>
    <w:p w14:paraId="0A7C97FC"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[23]</w:t>
      </w:r>
      <w:r w:rsidRPr="00E87E42">
        <w:rPr>
          <w:noProof/>
          <w:szCs w:val="24"/>
        </w:rPr>
        <w:tab/>
        <w:t>Home Office, “Publishing Incident Recording System data on the fire and rescue service at an incident level : ‘Other building’ fires dataset guidance,” 2017.</w:t>
      </w:r>
    </w:p>
    <w:p w14:paraId="68DF62F4"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[24]</w:t>
      </w:r>
      <w:r w:rsidRPr="00E87E42">
        <w:rPr>
          <w:noProof/>
          <w:szCs w:val="24"/>
        </w:rPr>
        <w:tab/>
        <w:t xml:space="preserve">R. D’Addario, </w:t>
      </w:r>
      <w:r w:rsidRPr="00E87E42">
        <w:rPr>
          <w:i/>
          <w:iCs/>
          <w:noProof/>
          <w:szCs w:val="24"/>
        </w:rPr>
        <w:t>Considerazioni sul tasso di premio delle assicurazioni incendi</w:t>
      </w:r>
      <w:r w:rsidRPr="00E87E42">
        <w:rPr>
          <w:noProof/>
          <w:szCs w:val="24"/>
        </w:rPr>
        <w:t>. Bari, 1940.</w:t>
      </w:r>
    </w:p>
    <w:p w14:paraId="5CE4249F"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[25]</w:t>
      </w:r>
      <w:r w:rsidRPr="00E87E42">
        <w:rPr>
          <w:noProof/>
          <w:szCs w:val="24"/>
        </w:rPr>
        <w:tab/>
        <w:t xml:space="preserve">P. Ramachandran, G, Kirsop, “Preliminary analysis of large fires during 1968,” </w:t>
      </w:r>
      <w:r w:rsidRPr="00E87E42">
        <w:rPr>
          <w:i/>
          <w:iCs/>
          <w:noProof/>
          <w:szCs w:val="24"/>
        </w:rPr>
        <w:t>Fire Reserach Note No 763</w:t>
      </w:r>
      <w:r w:rsidRPr="00E87E42">
        <w:rPr>
          <w:noProof/>
          <w:szCs w:val="24"/>
        </w:rPr>
        <w:t>, no. October, 1969.</w:t>
      </w:r>
    </w:p>
    <w:p w14:paraId="375DDCE0"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[26]</w:t>
      </w:r>
      <w:r w:rsidRPr="00E87E42">
        <w:rPr>
          <w:noProof/>
          <w:szCs w:val="24"/>
        </w:rPr>
        <w:tab/>
        <w:t xml:space="preserve">P. Ramachandran, G, Kirsop, “A brief analysis of large fires during 1965 to 1968,” </w:t>
      </w:r>
      <w:r w:rsidRPr="00E87E42">
        <w:rPr>
          <w:i/>
          <w:iCs/>
          <w:noProof/>
          <w:szCs w:val="24"/>
        </w:rPr>
        <w:t>Fire Reserach Note No 792</w:t>
      </w:r>
      <w:r w:rsidRPr="00E87E42">
        <w:rPr>
          <w:noProof/>
          <w:szCs w:val="24"/>
        </w:rPr>
        <w:t>, no. 792, 1969.</w:t>
      </w:r>
    </w:p>
    <w:p w14:paraId="26EF538B"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[27]</w:t>
      </w:r>
      <w:r w:rsidRPr="00E87E42">
        <w:rPr>
          <w:noProof/>
          <w:szCs w:val="24"/>
        </w:rPr>
        <w:tab/>
        <w:t xml:space="preserve">G. Ramachandran, “Fire loss indexes,” </w:t>
      </w:r>
      <w:r w:rsidRPr="00E87E42">
        <w:rPr>
          <w:i/>
          <w:iCs/>
          <w:noProof/>
          <w:szCs w:val="24"/>
        </w:rPr>
        <w:t>Fire Reserach Note No 839</w:t>
      </w:r>
      <w:r w:rsidRPr="00E87E42">
        <w:rPr>
          <w:noProof/>
          <w:szCs w:val="24"/>
        </w:rPr>
        <w:t>, no. September, 1970.</w:t>
      </w:r>
    </w:p>
    <w:p w14:paraId="4664D0FD"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[28]</w:t>
      </w:r>
      <w:r w:rsidRPr="00E87E42">
        <w:rPr>
          <w:noProof/>
          <w:szCs w:val="24"/>
        </w:rPr>
        <w:tab/>
        <w:t xml:space="preserve">R. Rutstein, “The probability of fire in different sectors of industry.pdf,” </w:t>
      </w:r>
      <w:r w:rsidRPr="00E87E42">
        <w:rPr>
          <w:i/>
          <w:iCs/>
          <w:noProof/>
          <w:szCs w:val="24"/>
        </w:rPr>
        <w:t>Fire Surv.</w:t>
      </w:r>
      <w:r w:rsidRPr="00E87E42">
        <w:rPr>
          <w:noProof/>
          <w:szCs w:val="24"/>
        </w:rPr>
        <w:t>, vol. 8, no. 1, pp. 20–23, 1979.</w:t>
      </w:r>
    </w:p>
    <w:p w14:paraId="24B25D6B"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[29]</w:t>
      </w:r>
      <w:r w:rsidRPr="00E87E42">
        <w:rPr>
          <w:noProof/>
          <w:szCs w:val="24"/>
        </w:rPr>
        <w:tab/>
        <w:t>P. Gaught, J. Gallucci, and G. Smalldridge, “Fire Statistics England, 2014/15,” no. June, 2016.</w:t>
      </w:r>
    </w:p>
    <w:p w14:paraId="69B68DBD"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[30]</w:t>
      </w:r>
      <w:r w:rsidRPr="00E87E42">
        <w:rPr>
          <w:noProof/>
          <w:szCs w:val="24"/>
        </w:rPr>
        <w:tab/>
        <w:t>USFA, “National Fire Incident Reporting System,” vol. 2014, no. 12/31, 2014.</w:t>
      </w:r>
    </w:p>
    <w:p w14:paraId="1B686A86"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[31]</w:t>
      </w:r>
      <w:r w:rsidRPr="00E87E42">
        <w:rPr>
          <w:noProof/>
          <w:szCs w:val="24"/>
        </w:rPr>
        <w:tab/>
        <w:t>International Code Council, “Building Valuation Data – FEBRUARY 2017,” 2017.</w:t>
      </w:r>
    </w:p>
    <w:p w14:paraId="0FCB4883"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[32]</w:t>
      </w:r>
      <w:r w:rsidRPr="00E87E42">
        <w:rPr>
          <w:noProof/>
          <w:szCs w:val="24"/>
        </w:rPr>
        <w:tab/>
        <w:t>U.S. Energy Information Administration, “https://www.eia.gov/.” .</w:t>
      </w:r>
    </w:p>
    <w:p w14:paraId="04A9750D"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[33]</w:t>
      </w:r>
      <w:r w:rsidRPr="00E87E42">
        <w:rPr>
          <w:noProof/>
          <w:szCs w:val="24"/>
        </w:rPr>
        <w:tab/>
        <w:t>Commercial Buildings Energy Consumption Survey, “https://www.eia.gov/consumption/commercial/.” .</w:t>
      </w:r>
    </w:p>
    <w:p w14:paraId="73FC34AF"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[34]</w:t>
      </w:r>
      <w:r w:rsidRPr="00E87E42">
        <w:rPr>
          <w:noProof/>
          <w:szCs w:val="24"/>
        </w:rPr>
        <w:tab/>
        <w:t>Manufacturing Energy Consumption Survey, “https://www.eia.gov/consumption/manufacturing/.” .</w:t>
      </w:r>
    </w:p>
    <w:p w14:paraId="2D7E09EC"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[35]</w:t>
      </w:r>
      <w:r w:rsidRPr="00E87E42">
        <w:rPr>
          <w:noProof/>
          <w:szCs w:val="24"/>
        </w:rPr>
        <w:tab/>
        <w:t>Executive office of the President and Office of Mangement and Budget, “North American Industry Classification System,” p. 963, 2017.</w:t>
      </w:r>
    </w:p>
    <w:p w14:paraId="574F6F63"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[36]</w:t>
      </w:r>
      <w:r w:rsidRPr="00E87E42">
        <w:rPr>
          <w:noProof/>
          <w:szCs w:val="24"/>
        </w:rPr>
        <w:tab/>
        <w:t xml:space="preserve">M. Sandberg, “Statistical determination of ignition frequencies,” </w:t>
      </w:r>
      <w:r w:rsidRPr="00E87E42">
        <w:rPr>
          <w:i/>
          <w:iCs/>
          <w:noProof/>
          <w:szCs w:val="24"/>
        </w:rPr>
        <w:t>Master Thesis</w:t>
      </w:r>
      <w:r w:rsidRPr="00E87E42">
        <w:rPr>
          <w:noProof/>
          <w:szCs w:val="24"/>
        </w:rPr>
        <w:t>, p. 92, 2004.</w:t>
      </w:r>
    </w:p>
    <w:p w14:paraId="1D70FBD7"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[37]</w:t>
      </w:r>
      <w:r w:rsidRPr="00E87E42">
        <w:rPr>
          <w:noProof/>
          <w:szCs w:val="24"/>
        </w:rPr>
        <w:tab/>
        <w:t xml:space="preserve">Y. Kobayashi, “Frequency of ignition of non-residential buildings in Japan,” </w:t>
      </w:r>
      <w:r w:rsidRPr="00E87E42">
        <w:rPr>
          <w:i/>
          <w:iCs/>
          <w:noProof/>
          <w:szCs w:val="24"/>
        </w:rPr>
        <w:t>Fire Saf. J.</w:t>
      </w:r>
      <w:r w:rsidRPr="00E87E42">
        <w:rPr>
          <w:noProof/>
          <w:szCs w:val="24"/>
        </w:rPr>
        <w:t>, vol. 91, no. May, pp. 1035–1043, 2017.</w:t>
      </w:r>
    </w:p>
    <w:p w14:paraId="127A168A"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[38]</w:t>
      </w:r>
      <w:r w:rsidRPr="00E87E42">
        <w:rPr>
          <w:noProof/>
          <w:szCs w:val="24"/>
        </w:rPr>
        <w:tab/>
        <w:t xml:space="preserve">K. Tillander and O. Keski-Rahkonen, “The ignition frequency of structural fires in Finland 1996-99,” </w:t>
      </w:r>
      <w:r w:rsidRPr="00E87E42">
        <w:rPr>
          <w:i/>
          <w:iCs/>
          <w:noProof/>
          <w:szCs w:val="24"/>
        </w:rPr>
        <w:t>Fire Saf. Sci.</w:t>
      </w:r>
      <w:r w:rsidRPr="00E87E42">
        <w:rPr>
          <w:noProof/>
          <w:szCs w:val="24"/>
        </w:rPr>
        <w:t>, pp. 1051–1062, 2003.</w:t>
      </w:r>
    </w:p>
    <w:p w14:paraId="70BF5EC8"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[39]</w:t>
      </w:r>
      <w:r w:rsidRPr="00E87E42">
        <w:rPr>
          <w:noProof/>
          <w:szCs w:val="24"/>
        </w:rPr>
        <w:tab/>
        <w:t>Department for Communities and Local Government, “English Housing Survey, Adaptations and Accessibility Report, 2014-2015,” 2015.</w:t>
      </w:r>
    </w:p>
    <w:p w14:paraId="78A416C3"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[40]</w:t>
      </w:r>
      <w:r w:rsidRPr="00E87E42">
        <w:rPr>
          <w:noProof/>
          <w:szCs w:val="24"/>
        </w:rPr>
        <w:tab/>
        <w:t xml:space="preserve">Valuation Office Agency, “Statistical Release Non-domestic rating : Stock of Properties England and Wales,” </w:t>
      </w:r>
      <w:r w:rsidRPr="00E87E42">
        <w:rPr>
          <w:noProof/>
          <w:szCs w:val="24"/>
        </w:rPr>
        <w:lastRenderedPageBreak/>
        <w:t>2016.</w:t>
      </w:r>
    </w:p>
    <w:p w14:paraId="4A0A3DA3"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[41]</w:t>
      </w:r>
      <w:r w:rsidRPr="00E87E42">
        <w:rPr>
          <w:noProof/>
          <w:szCs w:val="24"/>
        </w:rPr>
        <w:tab/>
        <w:t>Unite States Census Bureau, “Statistical Abstract of The United States 2012,” 2012.</w:t>
      </w:r>
    </w:p>
    <w:p w14:paraId="05EB675E"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[42]</w:t>
      </w:r>
      <w:r w:rsidRPr="00E87E42">
        <w:rPr>
          <w:noProof/>
          <w:szCs w:val="24"/>
        </w:rPr>
        <w:tab/>
        <w:t xml:space="preserve">P. G. Holborn, P. F. Nolan, and J. Golt, “An analysis of fire sizes, fire growth rates and times between events using data from fire investigations,” </w:t>
      </w:r>
      <w:r w:rsidRPr="00E87E42">
        <w:rPr>
          <w:i/>
          <w:iCs/>
          <w:noProof/>
          <w:szCs w:val="24"/>
        </w:rPr>
        <w:t>Fire Saf. J.</w:t>
      </w:r>
      <w:r w:rsidRPr="00E87E42">
        <w:rPr>
          <w:noProof/>
          <w:szCs w:val="24"/>
        </w:rPr>
        <w:t>, vol. 39, no. 6, pp. 481–524, 2004.</w:t>
      </w:r>
    </w:p>
    <w:p w14:paraId="32E929C3" w14:textId="77777777" w:rsidR="00BC5ED7" w:rsidRPr="00E87E42" w:rsidRDefault="00BC5ED7" w:rsidP="00BC5ED7">
      <w:pPr>
        <w:widowControl w:val="0"/>
        <w:autoSpaceDE w:val="0"/>
        <w:autoSpaceDN w:val="0"/>
        <w:adjustRightInd w:val="0"/>
        <w:spacing w:after="0"/>
        <w:ind w:left="640" w:hanging="640"/>
        <w:rPr>
          <w:noProof/>
          <w:szCs w:val="24"/>
        </w:rPr>
      </w:pPr>
      <w:r w:rsidRPr="00E87E42">
        <w:rPr>
          <w:noProof/>
          <w:szCs w:val="24"/>
        </w:rPr>
        <w:t>[43]</w:t>
      </w:r>
      <w:r w:rsidRPr="00E87E42">
        <w:rPr>
          <w:noProof/>
          <w:szCs w:val="24"/>
        </w:rPr>
        <w:tab/>
        <w:t>Bank of England Inflation Calculator, “http://bankofengland.education/inflationcalculator/.” .</w:t>
      </w:r>
    </w:p>
    <w:p w14:paraId="35F3E28D" w14:textId="77777777" w:rsidR="00BC5ED7" w:rsidRPr="00E87E42" w:rsidRDefault="00BC5ED7" w:rsidP="00BC5ED7">
      <w:pPr>
        <w:widowControl w:val="0"/>
        <w:autoSpaceDE w:val="0"/>
        <w:autoSpaceDN w:val="0"/>
        <w:adjustRightInd w:val="0"/>
        <w:spacing w:after="0"/>
        <w:ind w:left="640" w:hanging="640"/>
        <w:rPr>
          <w:noProof/>
        </w:rPr>
      </w:pPr>
      <w:r w:rsidRPr="00E87E42">
        <w:rPr>
          <w:noProof/>
          <w:szCs w:val="24"/>
        </w:rPr>
        <w:t>[44]</w:t>
      </w:r>
      <w:r w:rsidRPr="00E87E42">
        <w:rPr>
          <w:noProof/>
          <w:szCs w:val="24"/>
        </w:rPr>
        <w:tab/>
        <w:t>OFX International Money Transfer and Exchange, “https://www.ofx.com/en-gb/forex-news/historical-exchange-rates/yearly-average-rates/.” .</w:t>
      </w:r>
    </w:p>
    <w:p w14:paraId="32F7A643" w14:textId="59BC2A2B" w:rsidR="00601649" w:rsidRPr="00E87E42" w:rsidRDefault="00AB4A67" w:rsidP="00E77E64">
      <w:pPr>
        <w:widowControl w:val="0"/>
        <w:autoSpaceDE w:val="0"/>
        <w:autoSpaceDN w:val="0"/>
        <w:adjustRightInd w:val="0"/>
        <w:spacing w:after="0"/>
        <w:ind w:left="640" w:hanging="640"/>
        <w:sectPr w:rsidR="00601649" w:rsidRPr="00E87E42" w:rsidSect="00350A30">
          <w:pgSz w:w="11907" w:h="16840" w:code="9"/>
          <w:pgMar w:top="1077" w:right="618" w:bottom="1418" w:left="748" w:header="567" w:footer="567" w:gutter="284"/>
          <w:cols w:space="454"/>
          <w:docGrid w:linePitch="360"/>
        </w:sectPr>
      </w:pPr>
      <w:r w:rsidRPr="00E87E42">
        <w:fldChar w:fldCharType="end"/>
      </w:r>
    </w:p>
    <w:p w14:paraId="69DFDC2E" w14:textId="22C0307B" w:rsidR="00A27212" w:rsidRPr="00E87E42" w:rsidRDefault="00A27212" w:rsidP="008A55B5">
      <w:pPr>
        <w:pStyle w:val="Heading1"/>
      </w:pPr>
      <w:r w:rsidRPr="00E87E42">
        <w:lastRenderedPageBreak/>
        <w:t>appendix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7"/>
      </w:tblGrid>
      <w:tr w:rsidR="00FC3903" w:rsidRPr="00E87E42" w14:paraId="7AE9EB24" w14:textId="77777777" w:rsidTr="00FC3903">
        <w:tc>
          <w:tcPr>
            <w:tcW w:w="10250" w:type="dxa"/>
          </w:tcPr>
          <w:p w14:paraId="5C1DB65D" w14:textId="77777777" w:rsidR="00FC3903" w:rsidRPr="00E87E42" w:rsidRDefault="00FC3903" w:rsidP="00FC3903">
            <w:pPr>
              <w:spacing w:line="240" w:lineRule="auto"/>
              <w:jc w:val="center"/>
              <w:rPr>
                <w:sz w:val="16"/>
              </w:rPr>
            </w:pPr>
            <w:r w:rsidRPr="00E87E42">
              <w:rPr>
                <w:noProof/>
                <w:lang w:eastAsia="en-GB"/>
              </w:rPr>
              <w:drawing>
                <wp:anchor distT="0" distB="0" distL="114300" distR="114300" simplePos="0" relativeHeight="253383680" behindDoc="0" locked="0" layoutInCell="1" allowOverlap="1" wp14:anchorId="3919E6D4" wp14:editId="146C7212">
                  <wp:simplePos x="0" y="0"/>
                  <wp:positionH relativeFrom="column">
                    <wp:posOffset>-65405</wp:posOffset>
                  </wp:positionH>
                  <wp:positionV relativeFrom="paragraph">
                    <wp:posOffset>11290</wp:posOffset>
                  </wp:positionV>
                  <wp:extent cx="6515100" cy="2160000"/>
                  <wp:effectExtent l="0" t="0" r="0" b="0"/>
                  <wp:wrapSquare wrapText="bothSides"/>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tc>
      </w:tr>
    </w:tbl>
    <w:p w14:paraId="7AEED0B7" w14:textId="223762C8" w:rsidR="00FC3903" w:rsidRPr="00E87E42" w:rsidRDefault="00FC3903" w:rsidP="00FC3903">
      <w:pPr>
        <w:pStyle w:val="Caption"/>
        <w:spacing w:line="240" w:lineRule="auto"/>
      </w:pPr>
      <w:bookmarkStart w:id="55" w:name="_Ref518120289"/>
      <w:r w:rsidRPr="00E87E42">
        <w:t xml:space="preserve">Figure </w:t>
      </w:r>
      <w:r w:rsidR="00BC5ED7" w:rsidRPr="00E87E42">
        <w:rPr>
          <w:noProof/>
        </w:rPr>
        <w:fldChar w:fldCharType="begin"/>
      </w:r>
      <w:r w:rsidR="00BC5ED7" w:rsidRPr="00E87E42">
        <w:rPr>
          <w:noProof/>
        </w:rPr>
        <w:instrText xml:space="preserve"> SEQ Figure \* ROMAN\r 1 </w:instrText>
      </w:r>
      <w:r w:rsidR="00BC5ED7" w:rsidRPr="00E87E42">
        <w:rPr>
          <w:noProof/>
        </w:rPr>
        <w:fldChar w:fldCharType="separate"/>
      </w:r>
      <w:r w:rsidR="009F6872">
        <w:rPr>
          <w:noProof/>
        </w:rPr>
        <w:t>I</w:t>
      </w:r>
      <w:r w:rsidR="00BC5ED7" w:rsidRPr="00E87E42">
        <w:rPr>
          <w:noProof/>
        </w:rPr>
        <w:fldChar w:fldCharType="end"/>
      </w:r>
      <w:bookmarkEnd w:id="55"/>
      <w:r w:rsidRPr="00E87E42">
        <w:t>: Area damage in Health Care, Dete</w:t>
      </w:r>
      <w:r w:rsidR="00A43875" w:rsidRPr="00E87E42">
        <w:t>n</w:t>
      </w:r>
      <w:r w:rsidRPr="00E87E42">
        <w:t xml:space="preserve">tion and Correction for different spread of fire and damage classes, including weighted average area damage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7"/>
      </w:tblGrid>
      <w:tr w:rsidR="00B61F61" w:rsidRPr="00E87E42" w14:paraId="37EC2450" w14:textId="77777777" w:rsidTr="005839EF">
        <w:tc>
          <w:tcPr>
            <w:tcW w:w="10250" w:type="dxa"/>
          </w:tcPr>
          <w:p w14:paraId="3FD05F7D" w14:textId="77777777" w:rsidR="00B61F61" w:rsidRPr="00E87E42" w:rsidRDefault="00B61F61" w:rsidP="005839EF">
            <w:pPr>
              <w:jc w:val="center"/>
              <w:rPr>
                <w:sz w:val="16"/>
              </w:rPr>
            </w:pPr>
            <w:r w:rsidRPr="00E87E42">
              <w:rPr>
                <w:noProof/>
                <w:lang w:eastAsia="en-GB"/>
              </w:rPr>
              <w:drawing>
                <wp:anchor distT="0" distB="0" distL="114300" distR="114300" simplePos="0" relativeHeight="253388800" behindDoc="0" locked="0" layoutInCell="1" allowOverlap="1" wp14:anchorId="251A5020" wp14:editId="2662A60B">
                  <wp:simplePos x="0" y="0"/>
                  <wp:positionH relativeFrom="column">
                    <wp:posOffset>-65405</wp:posOffset>
                  </wp:positionH>
                  <wp:positionV relativeFrom="paragraph">
                    <wp:posOffset>553</wp:posOffset>
                  </wp:positionV>
                  <wp:extent cx="6515100" cy="2160000"/>
                  <wp:effectExtent l="0" t="0" r="0" b="0"/>
                  <wp:wrapSquare wrapText="bothSides"/>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tc>
      </w:tr>
    </w:tbl>
    <w:p w14:paraId="7939EC19" w14:textId="5751B49B" w:rsidR="00B61F61" w:rsidRPr="00E87E42" w:rsidRDefault="00B61F61" w:rsidP="00B61F61">
      <w:pPr>
        <w:pStyle w:val="Caption"/>
      </w:pPr>
      <w:bookmarkStart w:id="56" w:name="_Ref518120540"/>
      <w:r w:rsidRPr="00E87E42">
        <w:t xml:space="preserve">Figure </w:t>
      </w:r>
      <w:r w:rsidR="00BC5ED7" w:rsidRPr="00E87E42">
        <w:rPr>
          <w:noProof/>
        </w:rPr>
        <w:fldChar w:fldCharType="begin"/>
      </w:r>
      <w:r w:rsidR="00BC5ED7" w:rsidRPr="00E87E42">
        <w:rPr>
          <w:noProof/>
        </w:rPr>
        <w:instrText xml:space="preserve"> SEQ Figure \* ROMAN\n </w:instrText>
      </w:r>
      <w:r w:rsidR="00BC5ED7" w:rsidRPr="00E87E42">
        <w:rPr>
          <w:noProof/>
        </w:rPr>
        <w:fldChar w:fldCharType="separate"/>
      </w:r>
      <w:r w:rsidR="009F6872">
        <w:rPr>
          <w:noProof/>
        </w:rPr>
        <w:t>II</w:t>
      </w:r>
      <w:r w:rsidR="00BC5ED7" w:rsidRPr="00E87E42">
        <w:rPr>
          <w:noProof/>
        </w:rPr>
        <w:fldChar w:fldCharType="end"/>
      </w:r>
      <w:bookmarkEnd w:id="56"/>
      <w:r w:rsidRPr="00E87E42">
        <w:t xml:space="preserve">: Area damage in Industrial, Utility, Defence, Agricultural, and Mining for different spread of fire and damage classes, including weighted average area damage </w:t>
      </w:r>
    </w:p>
    <w:tbl>
      <w:tblPr>
        <w:tblStyle w:val="TableGrid"/>
        <w:tblW w:w="0" w:type="auto"/>
        <w:tblLook w:val="04A0" w:firstRow="1" w:lastRow="0" w:firstColumn="1" w:lastColumn="0" w:noHBand="0" w:noVBand="1"/>
      </w:tblPr>
      <w:tblGrid>
        <w:gridCol w:w="10257"/>
      </w:tblGrid>
      <w:tr w:rsidR="00B61F61" w:rsidRPr="00E87E42" w14:paraId="707A25A5" w14:textId="77777777" w:rsidTr="005839EF">
        <w:tc>
          <w:tcPr>
            <w:tcW w:w="10250" w:type="dxa"/>
            <w:tcBorders>
              <w:top w:val="nil"/>
              <w:left w:val="nil"/>
              <w:bottom w:val="nil"/>
              <w:right w:val="nil"/>
            </w:tcBorders>
          </w:tcPr>
          <w:p w14:paraId="3E236F85" w14:textId="77777777" w:rsidR="00B61F61" w:rsidRPr="00E87E42" w:rsidRDefault="00B61F61" w:rsidP="005839EF">
            <w:pPr>
              <w:rPr>
                <w:sz w:val="16"/>
              </w:rPr>
            </w:pPr>
            <w:r w:rsidRPr="00E87E42">
              <w:rPr>
                <w:noProof/>
                <w:lang w:eastAsia="en-GB"/>
              </w:rPr>
              <w:drawing>
                <wp:anchor distT="0" distB="0" distL="114300" distR="114300" simplePos="0" relativeHeight="253389824" behindDoc="0" locked="0" layoutInCell="1" allowOverlap="1" wp14:anchorId="4A742DCB" wp14:editId="0F991068">
                  <wp:simplePos x="0" y="0"/>
                  <wp:positionH relativeFrom="column">
                    <wp:posOffset>-65215</wp:posOffset>
                  </wp:positionH>
                  <wp:positionV relativeFrom="paragraph">
                    <wp:posOffset>296</wp:posOffset>
                  </wp:positionV>
                  <wp:extent cx="6515100" cy="2160000"/>
                  <wp:effectExtent l="0" t="0" r="0" b="0"/>
                  <wp:wrapSquare wrapText="bothSides"/>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p>
        </w:tc>
      </w:tr>
    </w:tbl>
    <w:p w14:paraId="19030D1A" w14:textId="713D122A" w:rsidR="00B61F61" w:rsidRPr="00E87E42" w:rsidRDefault="00B61F61" w:rsidP="00B61F61">
      <w:pPr>
        <w:pStyle w:val="Caption"/>
      </w:pPr>
      <w:bookmarkStart w:id="57" w:name="_Ref518120543"/>
      <w:r w:rsidRPr="00E87E42">
        <w:t xml:space="preserve">Figure </w:t>
      </w:r>
      <w:r w:rsidR="00BC5ED7" w:rsidRPr="00E87E42">
        <w:rPr>
          <w:noProof/>
        </w:rPr>
        <w:fldChar w:fldCharType="begin"/>
      </w:r>
      <w:r w:rsidR="00BC5ED7" w:rsidRPr="00E87E42">
        <w:rPr>
          <w:noProof/>
        </w:rPr>
        <w:instrText xml:space="preserve"> SEQ Figure \* ROMAN </w:instrText>
      </w:r>
      <w:r w:rsidR="00BC5ED7" w:rsidRPr="00E87E42">
        <w:rPr>
          <w:noProof/>
        </w:rPr>
        <w:fldChar w:fldCharType="separate"/>
      </w:r>
      <w:r w:rsidR="009F6872">
        <w:rPr>
          <w:noProof/>
        </w:rPr>
        <w:t>III</w:t>
      </w:r>
      <w:r w:rsidR="00BC5ED7" w:rsidRPr="00E87E42">
        <w:rPr>
          <w:noProof/>
        </w:rPr>
        <w:fldChar w:fldCharType="end"/>
      </w:r>
      <w:bookmarkEnd w:id="57"/>
      <w:r w:rsidRPr="00E87E42">
        <w:t>: Area damage in Storage for different spread of fire and damage classes, including weighted average area damage</w:t>
      </w:r>
    </w:p>
    <w:p w14:paraId="53066715" w14:textId="77777777" w:rsidR="00B61F61" w:rsidRPr="00E87E42" w:rsidRDefault="00B61F61" w:rsidP="008A55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7"/>
      </w:tblGrid>
      <w:tr w:rsidR="00FC3903" w:rsidRPr="00E87E42" w14:paraId="7D995B33" w14:textId="77777777" w:rsidTr="00FC3903">
        <w:tc>
          <w:tcPr>
            <w:tcW w:w="10250" w:type="dxa"/>
          </w:tcPr>
          <w:p w14:paraId="36C9FA70" w14:textId="77777777" w:rsidR="00FC3903" w:rsidRPr="00E87E42" w:rsidRDefault="00FC3903" w:rsidP="00FC3903">
            <w:pPr>
              <w:rPr>
                <w:sz w:val="16"/>
              </w:rPr>
            </w:pPr>
            <w:r w:rsidRPr="00E87E42">
              <w:rPr>
                <w:noProof/>
                <w:lang w:eastAsia="en-GB"/>
              </w:rPr>
              <w:lastRenderedPageBreak/>
              <w:drawing>
                <wp:anchor distT="0" distB="0" distL="114300" distR="114300" simplePos="0" relativeHeight="253384704" behindDoc="0" locked="0" layoutInCell="1" allowOverlap="1" wp14:anchorId="24854711" wp14:editId="1FC08609">
                  <wp:simplePos x="0" y="0"/>
                  <wp:positionH relativeFrom="column">
                    <wp:posOffset>-65405</wp:posOffset>
                  </wp:positionH>
                  <wp:positionV relativeFrom="paragraph">
                    <wp:posOffset>362</wp:posOffset>
                  </wp:positionV>
                  <wp:extent cx="6515100" cy="2160000"/>
                  <wp:effectExtent l="0" t="0" r="0" b="0"/>
                  <wp:wrapSquare wrapText="bothSides"/>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p>
        </w:tc>
      </w:tr>
    </w:tbl>
    <w:p w14:paraId="7F4C9C6C" w14:textId="4D0AA298" w:rsidR="00FC3903" w:rsidRPr="00E87E42" w:rsidRDefault="00FC3903" w:rsidP="00FC3903">
      <w:pPr>
        <w:pStyle w:val="Caption"/>
      </w:pPr>
      <w:bookmarkStart w:id="58" w:name="_Ref518121328"/>
      <w:r w:rsidRPr="00E87E42">
        <w:t xml:space="preserve">Figure </w:t>
      </w:r>
      <w:r w:rsidR="00BC5ED7" w:rsidRPr="00E87E42">
        <w:rPr>
          <w:noProof/>
        </w:rPr>
        <w:fldChar w:fldCharType="begin"/>
      </w:r>
      <w:r w:rsidR="00BC5ED7" w:rsidRPr="00E87E42">
        <w:rPr>
          <w:noProof/>
        </w:rPr>
        <w:instrText xml:space="preserve"> SEQ Figure \* ROMAN\n </w:instrText>
      </w:r>
      <w:r w:rsidR="00BC5ED7" w:rsidRPr="00E87E42">
        <w:rPr>
          <w:noProof/>
        </w:rPr>
        <w:fldChar w:fldCharType="separate"/>
      </w:r>
      <w:r w:rsidR="009F6872">
        <w:rPr>
          <w:noProof/>
        </w:rPr>
        <w:t>IV</w:t>
      </w:r>
      <w:r w:rsidR="00BC5ED7" w:rsidRPr="00E87E42">
        <w:rPr>
          <w:noProof/>
        </w:rPr>
        <w:fldChar w:fldCharType="end"/>
      </w:r>
      <w:bookmarkEnd w:id="58"/>
      <w:r w:rsidRPr="00E87E42">
        <w:t xml:space="preserve">: Area damage in Residential for different spread of fire and damage classes, including weighted average area damage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7"/>
      </w:tblGrid>
      <w:tr w:rsidR="00FC3903" w:rsidRPr="00E87E42" w14:paraId="3CE96640" w14:textId="77777777" w:rsidTr="00FC3903">
        <w:tc>
          <w:tcPr>
            <w:tcW w:w="10250" w:type="dxa"/>
          </w:tcPr>
          <w:p w14:paraId="328F4225" w14:textId="77777777" w:rsidR="00FC3903" w:rsidRPr="00E87E42" w:rsidRDefault="00FC3903" w:rsidP="00FC3903">
            <w:pPr>
              <w:jc w:val="center"/>
              <w:rPr>
                <w:sz w:val="16"/>
              </w:rPr>
            </w:pPr>
            <w:r w:rsidRPr="00E87E42">
              <w:rPr>
                <w:noProof/>
                <w:lang w:eastAsia="en-GB"/>
              </w:rPr>
              <w:drawing>
                <wp:anchor distT="0" distB="0" distL="114300" distR="114300" simplePos="0" relativeHeight="253386752" behindDoc="0" locked="0" layoutInCell="1" allowOverlap="1" wp14:anchorId="7B787009" wp14:editId="3AD17A64">
                  <wp:simplePos x="0" y="0"/>
                  <wp:positionH relativeFrom="column">
                    <wp:posOffset>-65405</wp:posOffset>
                  </wp:positionH>
                  <wp:positionV relativeFrom="paragraph">
                    <wp:posOffset>11603</wp:posOffset>
                  </wp:positionV>
                  <wp:extent cx="6515100" cy="2160000"/>
                  <wp:effectExtent l="0" t="0" r="0" b="0"/>
                  <wp:wrapSquare wrapText="bothSides"/>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p>
        </w:tc>
      </w:tr>
    </w:tbl>
    <w:p w14:paraId="610472CD" w14:textId="76093BBD" w:rsidR="00FC3903" w:rsidRPr="00E87E42" w:rsidRDefault="00FC3903" w:rsidP="00FC3903">
      <w:pPr>
        <w:pStyle w:val="Caption"/>
      </w:pPr>
      <w:bookmarkStart w:id="59" w:name="_Ref518121329"/>
      <w:r w:rsidRPr="00E87E42">
        <w:t xml:space="preserve">Figure </w:t>
      </w:r>
      <w:r w:rsidR="00BC5ED7" w:rsidRPr="00E87E42">
        <w:rPr>
          <w:noProof/>
        </w:rPr>
        <w:fldChar w:fldCharType="begin"/>
      </w:r>
      <w:r w:rsidR="00BC5ED7" w:rsidRPr="00E87E42">
        <w:rPr>
          <w:noProof/>
        </w:rPr>
        <w:instrText xml:space="preserve"> SEQ Figure \* ROMAN\n </w:instrText>
      </w:r>
      <w:r w:rsidR="00BC5ED7" w:rsidRPr="00E87E42">
        <w:rPr>
          <w:noProof/>
        </w:rPr>
        <w:fldChar w:fldCharType="separate"/>
      </w:r>
      <w:r w:rsidR="009F6872">
        <w:rPr>
          <w:noProof/>
        </w:rPr>
        <w:t>V</w:t>
      </w:r>
      <w:r w:rsidR="00BC5ED7" w:rsidRPr="00E87E42">
        <w:rPr>
          <w:noProof/>
        </w:rPr>
        <w:fldChar w:fldCharType="end"/>
      </w:r>
      <w:bookmarkEnd w:id="59"/>
      <w:r w:rsidRPr="00E87E42">
        <w:t xml:space="preserve">: Area damage in Mercantile, Business for different spread of fire and damage classes, including weighted average area damage </w:t>
      </w:r>
    </w:p>
    <w:p w14:paraId="0F9C4F86" w14:textId="77777777" w:rsidR="00B61F61" w:rsidRPr="00E87E42" w:rsidRDefault="00B61F61" w:rsidP="00FC3903">
      <w:pPr>
        <w:sectPr w:rsidR="00B61F61" w:rsidRPr="00E87E42" w:rsidSect="00350A30">
          <w:pgSz w:w="11907" w:h="16840" w:code="9"/>
          <w:pgMar w:top="1077" w:right="618" w:bottom="1418" w:left="748" w:header="567" w:footer="567" w:gutter="284"/>
          <w:cols w:space="454"/>
          <w:docGrid w:linePitch="360"/>
        </w:sectPr>
      </w:pPr>
    </w:p>
    <w:p w14:paraId="0E6BDB7D" w14:textId="0419E8A6" w:rsidR="00B61F61" w:rsidRPr="00E87E42" w:rsidRDefault="00B61F61" w:rsidP="00B61F61">
      <w:pPr>
        <w:pStyle w:val="Caption"/>
        <w:spacing w:line="240" w:lineRule="auto"/>
      </w:pPr>
      <w:bookmarkStart w:id="60" w:name="_Ref518120297"/>
      <w:r w:rsidRPr="00E87E42">
        <w:lastRenderedPageBreak/>
        <w:t xml:space="preserve">Table </w:t>
      </w:r>
      <w:r w:rsidR="00BC5ED7" w:rsidRPr="00E87E42">
        <w:rPr>
          <w:noProof/>
        </w:rPr>
        <w:fldChar w:fldCharType="begin"/>
      </w:r>
      <w:r w:rsidR="00BC5ED7" w:rsidRPr="00E87E42">
        <w:rPr>
          <w:noProof/>
        </w:rPr>
        <w:instrText xml:space="preserve"> SEQ Table \* ROMAN\r 1 </w:instrText>
      </w:r>
      <w:r w:rsidR="00BC5ED7" w:rsidRPr="00E87E42">
        <w:rPr>
          <w:noProof/>
        </w:rPr>
        <w:fldChar w:fldCharType="separate"/>
      </w:r>
      <w:r w:rsidR="009F6872">
        <w:rPr>
          <w:noProof/>
        </w:rPr>
        <w:t>I</w:t>
      </w:r>
      <w:r w:rsidR="00BC5ED7" w:rsidRPr="00E87E42">
        <w:rPr>
          <w:noProof/>
        </w:rPr>
        <w:fldChar w:fldCharType="end"/>
      </w:r>
      <w:bookmarkEnd w:id="60"/>
      <w:r w:rsidRPr="00E87E42">
        <w:t xml:space="preserve">: Health care, </w:t>
      </w:r>
      <w:r w:rsidR="00A43875" w:rsidRPr="00E87E42">
        <w:t>D</w:t>
      </w:r>
      <w:r w:rsidRPr="00E87E42">
        <w:t>ete</w:t>
      </w:r>
      <w:r w:rsidR="00A43875" w:rsidRPr="00E87E42">
        <w:t>n</w:t>
      </w:r>
      <w:r w:rsidRPr="00E87E42">
        <w:t xml:space="preserve">tion and </w:t>
      </w:r>
      <w:r w:rsidR="00A43875" w:rsidRPr="00E87E42">
        <w:t>C</w:t>
      </w:r>
      <w:r w:rsidRPr="00E87E42">
        <w:t>orrection:  area damage and fire spread according to damage class; and fire frequency with respect to fire spread in presence and absence of automatic extinguishing systems in USA fire statistics, with weighted are damage, and frequency for fires and unclassified damage fires in the USA fire statistics.</w:t>
      </w:r>
    </w:p>
    <w:tbl>
      <w:tblPr>
        <w:tblW w:w="5000" w:type="pct"/>
        <w:tblCellMar>
          <w:top w:w="28" w:type="dxa"/>
          <w:left w:w="45" w:type="dxa"/>
          <w:bottom w:w="28" w:type="dxa"/>
          <w:right w:w="45" w:type="dxa"/>
        </w:tblCellMar>
        <w:tblLook w:val="04A0" w:firstRow="1" w:lastRow="0" w:firstColumn="1" w:lastColumn="0" w:noHBand="0" w:noVBand="1"/>
      </w:tblPr>
      <w:tblGrid>
        <w:gridCol w:w="179"/>
        <w:gridCol w:w="347"/>
        <w:gridCol w:w="264"/>
        <w:gridCol w:w="697"/>
        <w:gridCol w:w="614"/>
        <w:gridCol w:w="556"/>
        <w:gridCol w:w="556"/>
        <w:gridCol w:w="189"/>
        <w:gridCol w:w="614"/>
        <w:gridCol w:w="614"/>
        <w:gridCol w:w="473"/>
        <w:gridCol w:w="473"/>
        <w:gridCol w:w="189"/>
        <w:gridCol w:w="614"/>
        <w:gridCol w:w="697"/>
        <w:gridCol w:w="556"/>
        <w:gridCol w:w="473"/>
        <w:gridCol w:w="189"/>
        <w:gridCol w:w="697"/>
        <w:gridCol w:w="614"/>
        <w:gridCol w:w="556"/>
        <w:gridCol w:w="473"/>
        <w:gridCol w:w="1081"/>
        <w:gridCol w:w="614"/>
        <w:gridCol w:w="697"/>
        <w:gridCol w:w="614"/>
        <w:gridCol w:w="700"/>
      </w:tblGrid>
      <w:tr w:rsidR="00B61F61" w:rsidRPr="00E87E42" w14:paraId="4BFD0912" w14:textId="77777777" w:rsidTr="005839EF">
        <w:trPr>
          <w:trHeight w:val="227"/>
        </w:trPr>
        <w:tc>
          <w:tcPr>
            <w:tcW w:w="62" w:type="pct"/>
            <w:tcBorders>
              <w:top w:val="nil"/>
              <w:left w:val="nil"/>
              <w:bottom w:val="nil"/>
              <w:right w:val="nil"/>
            </w:tcBorders>
            <w:shd w:val="clear" w:color="auto" w:fill="auto"/>
            <w:noWrap/>
            <w:vAlign w:val="bottom"/>
            <w:hideMark/>
          </w:tcPr>
          <w:p w14:paraId="5ACFFC89" w14:textId="77777777" w:rsidR="00B61F61" w:rsidRPr="00E87E42" w:rsidRDefault="00B61F61" w:rsidP="005839EF">
            <w:pPr>
              <w:spacing w:after="0" w:line="240" w:lineRule="auto"/>
              <w:jc w:val="left"/>
              <w:rPr>
                <w:rFonts w:eastAsia="Times New Roman"/>
                <w:sz w:val="16"/>
                <w:szCs w:val="16"/>
                <w:lang w:eastAsia="en-GB"/>
              </w:rPr>
            </w:pPr>
          </w:p>
        </w:tc>
        <w:tc>
          <w:tcPr>
            <w:tcW w:w="4938" w:type="pct"/>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180176" w14:textId="77777777" w:rsidR="00B61F61" w:rsidRPr="00E87E42" w:rsidRDefault="00B61F61" w:rsidP="005839EF">
            <w:pPr>
              <w:spacing w:after="0" w:line="240" w:lineRule="auto"/>
              <w:jc w:val="center"/>
              <w:rPr>
                <w:rFonts w:eastAsia="Times New Roman"/>
                <w:b/>
                <w:bCs/>
                <w:color w:val="000000"/>
                <w:sz w:val="16"/>
                <w:szCs w:val="16"/>
                <w:u w:val="single"/>
                <w:lang w:eastAsia="en-GB"/>
              </w:rPr>
            </w:pPr>
            <w:r w:rsidRPr="00E87E42">
              <w:rPr>
                <w:rFonts w:eastAsia="Times New Roman"/>
                <w:b/>
                <w:bCs/>
                <w:color w:val="000000"/>
                <w:sz w:val="16"/>
                <w:szCs w:val="16"/>
                <w:u w:val="single"/>
                <w:lang w:eastAsia="en-GB"/>
              </w:rPr>
              <w:t xml:space="preserve">Sprinklers - Area damage </w:t>
            </w:r>
            <w:r w:rsidRPr="00E87E42">
              <w:rPr>
                <w:rFonts w:eastAsia="Times New Roman"/>
                <w:b/>
                <w:color w:val="000000"/>
                <w:sz w:val="16"/>
                <w:szCs w:val="16"/>
                <w:u w:val="single"/>
                <w:lang w:eastAsia="en-GB"/>
              </w:rPr>
              <w:t>m</w:t>
            </w:r>
            <w:r w:rsidRPr="00E87E42">
              <w:rPr>
                <w:rFonts w:eastAsia="Times New Roman"/>
                <w:b/>
                <w:color w:val="000000"/>
                <w:sz w:val="16"/>
                <w:szCs w:val="16"/>
                <w:u w:val="single"/>
                <w:vertAlign w:val="superscript"/>
                <w:lang w:eastAsia="en-GB"/>
              </w:rPr>
              <w:t>2</w:t>
            </w:r>
          </w:p>
        </w:tc>
      </w:tr>
      <w:tr w:rsidR="00B61F61" w:rsidRPr="00E87E42" w14:paraId="05854033" w14:textId="77777777" w:rsidTr="005839EF">
        <w:trPr>
          <w:trHeight w:val="227"/>
        </w:trPr>
        <w:tc>
          <w:tcPr>
            <w:tcW w:w="62" w:type="pct"/>
            <w:tcBorders>
              <w:top w:val="nil"/>
              <w:left w:val="nil"/>
              <w:bottom w:val="nil"/>
              <w:right w:val="nil"/>
            </w:tcBorders>
            <w:shd w:val="clear" w:color="auto" w:fill="auto"/>
            <w:noWrap/>
            <w:vAlign w:val="bottom"/>
            <w:hideMark/>
          </w:tcPr>
          <w:p w14:paraId="4551E575" w14:textId="77777777" w:rsidR="00B61F61" w:rsidRPr="00E87E42" w:rsidRDefault="00B61F61" w:rsidP="005839EF">
            <w:pPr>
              <w:spacing w:after="0" w:line="240" w:lineRule="auto"/>
              <w:jc w:val="center"/>
              <w:rPr>
                <w:rFonts w:eastAsia="Times New Roman"/>
                <w:b/>
                <w:bCs/>
                <w:color w:val="000000"/>
                <w:sz w:val="16"/>
                <w:szCs w:val="16"/>
                <w:u w:val="single"/>
                <w:lang w:eastAsia="en-GB"/>
              </w:rPr>
            </w:pPr>
          </w:p>
        </w:tc>
        <w:tc>
          <w:tcPr>
            <w:tcW w:w="121" w:type="pct"/>
            <w:vMerge w:val="restart"/>
            <w:tcBorders>
              <w:top w:val="nil"/>
              <w:left w:val="single" w:sz="4" w:space="0" w:color="auto"/>
              <w:bottom w:val="nil"/>
              <w:right w:val="single" w:sz="4" w:space="0" w:color="auto"/>
            </w:tcBorders>
            <w:shd w:val="clear" w:color="auto" w:fill="auto"/>
            <w:noWrap/>
            <w:vAlign w:val="center"/>
            <w:hideMark/>
          </w:tcPr>
          <w:p w14:paraId="71DCA540"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w:t>
            </w:r>
          </w:p>
        </w:tc>
        <w:tc>
          <w:tcPr>
            <w:tcW w:w="937"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38BC69BC" w14:textId="77777777" w:rsidR="00B61F61" w:rsidRPr="00E87E42" w:rsidRDefault="00B61F61" w:rsidP="005839E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Minor</w:t>
            </w:r>
          </w:p>
        </w:tc>
        <w:tc>
          <w:tcPr>
            <w:tcW w:w="824"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2F3110EA" w14:textId="77777777" w:rsidR="00B61F61" w:rsidRPr="00E87E42" w:rsidRDefault="00B61F61" w:rsidP="005839E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Significantly</w:t>
            </w:r>
          </w:p>
        </w:tc>
        <w:tc>
          <w:tcPr>
            <w:tcW w:w="882"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08629CA8" w14:textId="77777777" w:rsidR="00B61F61" w:rsidRPr="00E87E42" w:rsidRDefault="00B61F61" w:rsidP="005839E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Heavy</w:t>
            </w:r>
          </w:p>
        </w:tc>
        <w:tc>
          <w:tcPr>
            <w:tcW w:w="882"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4A207C9F" w14:textId="77777777" w:rsidR="00B61F61" w:rsidRPr="00E87E42" w:rsidRDefault="00B61F61" w:rsidP="005839E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Extreme</w:t>
            </w:r>
          </w:p>
        </w:tc>
        <w:tc>
          <w:tcPr>
            <w:tcW w:w="377" w:type="pct"/>
            <w:vMerge w:val="restart"/>
            <w:tcBorders>
              <w:top w:val="nil"/>
              <w:left w:val="single" w:sz="4" w:space="0" w:color="auto"/>
              <w:bottom w:val="nil"/>
              <w:right w:val="single" w:sz="4" w:space="0" w:color="auto"/>
            </w:tcBorders>
            <w:shd w:val="clear" w:color="auto" w:fill="auto"/>
            <w:noWrap/>
            <w:vAlign w:val="center"/>
            <w:hideMark/>
          </w:tcPr>
          <w:p w14:paraId="5B59C450" w14:textId="77777777" w:rsidR="00B61F61" w:rsidRPr="00E87E42" w:rsidRDefault="00B61F61" w:rsidP="005839E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 xml:space="preserve">Weighted area </w:t>
            </w:r>
          </w:p>
          <w:p w14:paraId="1DCD2820" w14:textId="77777777" w:rsidR="00B61F61" w:rsidRPr="00E87E42" w:rsidRDefault="00B61F61" w:rsidP="005839E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damage</w:t>
            </w:r>
          </w:p>
          <w:p w14:paraId="62891F27"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457"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417CF89B"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8"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25A1930"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F+U</w:t>
            </w:r>
          </w:p>
        </w:tc>
      </w:tr>
      <w:tr w:rsidR="00B61F61" w:rsidRPr="00E87E42" w14:paraId="707B4FF2" w14:textId="77777777" w:rsidTr="005839EF">
        <w:trPr>
          <w:trHeight w:val="227"/>
        </w:trPr>
        <w:tc>
          <w:tcPr>
            <w:tcW w:w="62" w:type="pct"/>
            <w:tcBorders>
              <w:top w:val="nil"/>
              <w:left w:val="nil"/>
              <w:bottom w:val="nil"/>
              <w:right w:val="nil"/>
            </w:tcBorders>
            <w:shd w:val="clear" w:color="auto" w:fill="auto"/>
            <w:noWrap/>
            <w:vAlign w:val="bottom"/>
            <w:hideMark/>
          </w:tcPr>
          <w:p w14:paraId="63FC9E72" w14:textId="77777777" w:rsidR="00B61F61" w:rsidRPr="00E87E42" w:rsidRDefault="00B61F61" w:rsidP="005839EF">
            <w:pPr>
              <w:spacing w:after="0" w:line="240" w:lineRule="auto"/>
              <w:jc w:val="center"/>
              <w:rPr>
                <w:rFonts w:eastAsia="Times New Roman"/>
                <w:color w:val="000000"/>
                <w:sz w:val="16"/>
                <w:szCs w:val="16"/>
                <w:lang w:eastAsia="en-GB"/>
              </w:rPr>
            </w:pPr>
          </w:p>
        </w:tc>
        <w:tc>
          <w:tcPr>
            <w:tcW w:w="121" w:type="pct"/>
            <w:vMerge/>
            <w:tcBorders>
              <w:top w:val="nil"/>
              <w:left w:val="single" w:sz="4" w:space="0" w:color="auto"/>
              <w:bottom w:val="nil"/>
              <w:right w:val="single" w:sz="4" w:space="0" w:color="auto"/>
            </w:tcBorders>
            <w:vAlign w:val="center"/>
            <w:hideMark/>
          </w:tcPr>
          <w:p w14:paraId="6D5764E9" w14:textId="77777777" w:rsidR="00B61F61" w:rsidRPr="00E87E42" w:rsidRDefault="00B61F61" w:rsidP="005839EF">
            <w:pPr>
              <w:spacing w:after="0" w:line="240" w:lineRule="auto"/>
              <w:jc w:val="left"/>
              <w:rPr>
                <w:rFonts w:eastAsia="Times New Roman"/>
                <w:color w:val="000000"/>
                <w:sz w:val="16"/>
                <w:szCs w:val="16"/>
                <w:lang w:eastAsia="en-GB"/>
              </w:rPr>
            </w:pPr>
          </w:p>
        </w:tc>
        <w:tc>
          <w:tcPr>
            <w:tcW w:w="92" w:type="pct"/>
            <w:vMerge w:val="restart"/>
            <w:tcBorders>
              <w:top w:val="nil"/>
              <w:left w:val="single" w:sz="4" w:space="0" w:color="auto"/>
              <w:bottom w:val="nil"/>
              <w:right w:val="nil"/>
            </w:tcBorders>
            <w:shd w:val="clear" w:color="auto" w:fill="auto"/>
            <w:noWrap/>
            <w:vAlign w:val="center"/>
            <w:hideMark/>
          </w:tcPr>
          <w:p w14:paraId="4CC73541"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52ED23"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94" w:type="pct"/>
            <w:vMerge w:val="restart"/>
            <w:tcBorders>
              <w:top w:val="nil"/>
              <w:left w:val="single" w:sz="4" w:space="0" w:color="auto"/>
              <w:bottom w:val="nil"/>
              <w:right w:val="single" w:sz="4" w:space="0" w:color="auto"/>
            </w:tcBorders>
            <w:shd w:val="clear" w:color="auto" w:fill="auto"/>
            <w:noWrap/>
            <w:vAlign w:val="center"/>
            <w:hideMark/>
          </w:tcPr>
          <w:p w14:paraId="3560081F"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40244DC6"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94" w:type="pct"/>
            <w:vMerge w:val="restart"/>
            <w:tcBorders>
              <w:top w:val="nil"/>
              <w:left w:val="single" w:sz="4" w:space="0" w:color="auto"/>
              <w:bottom w:val="nil"/>
              <w:right w:val="single" w:sz="4" w:space="0" w:color="auto"/>
            </w:tcBorders>
            <w:shd w:val="clear" w:color="auto" w:fill="auto"/>
            <w:noWrap/>
            <w:vAlign w:val="center"/>
            <w:hideMark/>
          </w:tcPr>
          <w:p w14:paraId="4BC88DD4"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67F5E33E"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66" w:type="pct"/>
            <w:vMerge w:val="restart"/>
            <w:tcBorders>
              <w:top w:val="nil"/>
              <w:left w:val="single" w:sz="4" w:space="0" w:color="auto"/>
              <w:bottom w:val="nil"/>
              <w:right w:val="single" w:sz="4" w:space="0" w:color="auto"/>
            </w:tcBorders>
            <w:shd w:val="clear" w:color="auto" w:fill="auto"/>
            <w:noWrap/>
            <w:vAlign w:val="center"/>
            <w:hideMark/>
          </w:tcPr>
          <w:p w14:paraId="5F1BAA92"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436B9634"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65" w:type="pct"/>
            <w:vMerge w:val="restart"/>
            <w:tcBorders>
              <w:top w:val="nil"/>
              <w:left w:val="single" w:sz="4" w:space="0" w:color="auto"/>
              <w:bottom w:val="nil"/>
              <w:right w:val="single" w:sz="4" w:space="0" w:color="auto"/>
            </w:tcBorders>
            <w:shd w:val="clear" w:color="auto" w:fill="auto"/>
            <w:noWrap/>
            <w:vAlign w:val="center"/>
            <w:hideMark/>
          </w:tcPr>
          <w:p w14:paraId="116E29B3"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4A428594"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5" w:type="pct"/>
            <w:vMerge w:val="restart"/>
            <w:tcBorders>
              <w:top w:val="nil"/>
              <w:left w:val="single" w:sz="4" w:space="0" w:color="auto"/>
              <w:bottom w:val="nil"/>
              <w:right w:val="single" w:sz="4" w:space="0" w:color="auto"/>
            </w:tcBorders>
            <w:shd w:val="clear" w:color="auto" w:fill="auto"/>
            <w:noWrap/>
            <w:vAlign w:val="center"/>
            <w:hideMark/>
          </w:tcPr>
          <w:p w14:paraId="750B5887"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4F50241C"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66" w:type="pct"/>
            <w:vMerge w:val="restart"/>
            <w:tcBorders>
              <w:top w:val="nil"/>
              <w:left w:val="single" w:sz="4" w:space="0" w:color="auto"/>
              <w:bottom w:val="nil"/>
              <w:right w:val="single" w:sz="4" w:space="0" w:color="auto"/>
            </w:tcBorders>
            <w:shd w:val="clear" w:color="auto" w:fill="auto"/>
            <w:noWrap/>
            <w:vAlign w:val="center"/>
            <w:hideMark/>
          </w:tcPr>
          <w:p w14:paraId="508623C2"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7"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45169E4C"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94" w:type="pct"/>
            <w:vMerge w:val="restart"/>
            <w:tcBorders>
              <w:top w:val="nil"/>
              <w:left w:val="single" w:sz="4" w:space="0" w:color="auto"/>
              <w:bottom w:val="nil"/>
              <w:right w:val="single" w:sz="4" w:space="0" w:color="auto"/>
            </w:tcBorders>
            <w:shd w:val="clear" w:color="auto" w:fill="auto"/>
            <w:noWrap/>
            <w:vAlign w:val="center"/>
            <w:hideMark/>
          </w:tcPr>
          <w:p w14:paraId="0FC394C4"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5D2EDDCC"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5" w:type="pct"/>
            <w:vMerge w:val="restart"/>
            <w:tcBorders>
              <w:top w:val="nil"/>
              <w:left w:val="single" w:sz="4" w:space="0" w:color="auto"/>
              <w:bottom w:val="nil"/>
              <w:right w:val="single" w:sz="4" w:space="0" w:color="auto"/>
            </w:tcBorders>
            <w:shd w:val="clear" w:color="auto" w:fill="auto"/>
            <w:noWrap/>
            <w:vAlign w:val="center"/>
            <w:hideMark/>
          </w:tcPr>
          <w:p w14:paraId="69FFB698"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120CDD1B"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66" w:type="pct"/>
            <w:vMerge w:val="restart"/>
            <w:tcBorders>
              <w:top w:val="nil"/>
              <w:left w:val="single" w:sz="4" w:space="0" w:color="auto"/>
              <w:bottom w:val="nil"/>
              <w:right w:val="single" w:sz="4" w:space="0" w:color="auto"/>
            </w:tcBorders>
            <w:shd w:val="clear" w:color="auto" w:fill="auto"/>
            <w:noWrap/>
            <w:vAlign w:val="center"/>
            <w:hideMark/>
          </w:tcPr>
          <w:p w14:paraId="128B2044"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7" w:type="pct"/>
            <w:gridSpan w:val="2"/>
            <w:tcBorders>
              <w:top w:val="single" w:sz="4" w:space="0" w:color="auto"/>
              <w:left w:val="nil"/>
              <w:bottom w:val="nil"/>
              <w:right w:val="single" w:sz="4" w:space="0" w:color="000000"/>
            </w:tcBorders>
            <w:shd w:val="clear" w:color="auto" w:fill="auto"/>
            <w:noWrap/>
            <w:vAlign w:val="bottom"/>
            <w:hideMark/>
          </w:tcPr>
          <w:p w14:paraId="7E6180CE"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94" w:type="pct"/>
            <w:vMerge w:val="restart"/>
            <w:tcBorders>
              <w:top w:val="nil"/>
              <w:left w:val="single" w:sz="4" w:space="0" w:color="auto"/>
              <w:bottom w:val="nil"/>
              <w:right w:val="single" w:sz="4" w:space="0" w:color="auto"/>
            </w:tcBorders>
            <w:shd w:val="clear" w:color="auto" w:fill="auto"/>
            <w:noWrap/>
            <w:vAlign w:val="center"/>
            <w:hideMark/>
          </w:tcPr>
          <w:p w14:paraId="7D975033"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30ECADFD"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5" w:type="pct"/>
            <w:vMerge w:val="restart"/>
            <w:tcBorders>
              <w:top w:val="nil"/>
              <w:left w:val="single" w:sz="4" w:space="0" w:color="auto"/>
              <w:bottom w:val="nil"/>
              <w:right w:val="single" w:sz="4" w:space="0" w:color="auto"/>
            </w:tcBorders>
            <w:shd w:val="clear" w:color="auto" w:fill="auto"/>
            <w:noWrap/>
            <w:vAlign w:val="center"/>
            <w:hideMark/>
          </w:tcPr>
          <w:p w14:paraId="02DB8753"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3AE32869"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377" w:type="pct"/>
            <w:vMerge/>
            <w:tcBorders>
              <w:top w:val="nil"/>
              <w:left w:val="single" w:sz="4" w:space="0" w:color="auto"/>
              <w:bottom w:val="nil"/>
              <w:right w:val="single" w:sz="4" w:space="0" w:color="auto"/>
            </w:tcBorders>
            <w:vAlign w:val="center"/>
            <w:hideMark/>
          </w:tcPr>
          <w:p w14:paraId="379212E6" w14:textId="77777777" w:rsidR="00B61F61" w:rsidRPr="00E87E42" w:rsidRDefault="00B61F61" w:rsidP="005839EF">
            <w:pPr>
              <w:spacing w:after="0" w:line="240" w:lineRule="auto"/>
              <w:jc w:val="left"/>
              <w:rPr>
                <w:rFonts w:eastAsia="Times New Roman"/>
                <w:color w:val="000000"/>
                <w:sz w:val="16"/>
                <w:szCs w:val="16"/>
                <w:lang w:eastAsia="en-GB"/>
              </w:rPr>
            </w:pPr>
          </w:p>
        </w:tc>
        <w:tc>
          <w:tcPr>
            <w:tcW w:w="457" w:type="pct"/>
            <w:gridSpan w:val="2"/>
            <w:vMerge/>
            <w:tcBorders>
              <w:top w:val="single" w:sz="4" w:space="0" w:color="auto"/>
              <w:left w:val="single" w:sz="4" w:space="0" w:color="auto"/>
              <w:bottom w:val="single" w:sz="4" w:space="0" w:color="000000"/>
              <w:right w:val="nil"/>
            </w:tcBorders>
            <w:vAlign w:val="center"/>
            <w:hideMark/>
          </w:tcPr>
          <w:p w14:paraId="79EBC85C" w14:textId="77777777" w:rsidR="00B61F61" w:rsidRPr="00E87E42" w:rsidRDefault="00B61F61" w:rsidP="005839EF">
            <w:pPr>
              <w:spacing w:after="0" w:line="240" w:lineRule="auto"/>
              <w:jc w:val="left"/>
              <w:rPr>
                <w:rFonts w:eastAsia="Times New Roman"/>
                <w:color w:val="000000"/>
                <w:sz w:val="16"/>
                <w:szCs w:val="16"/>
                <w:lang w:eastAsia="en-GB"/>
              </w:rPr>
            </w:pPr>
          </w:p>
        </w:tc>
        <w:tc>
          <w:tcPr>
            <w:tcW w:w="458" w:type="pct"/>
            <w:gridSpan w:val="2"/>
            <w:vMerge/>
            <w:tcBorders>
              <w:top w:val="single" w:sz="4" w:space="0" w:color="auto"/>
              <w:left w:val="single" w:sz="4" w:space="0" w:color="auto"/>
              <w:bottom w:val="single" w:sz="4" w:space="0" w:color="000000"/>
              <w:right w:val="single" w:sz="4" w:space="0" w:color="000000"/>
            </w:tcBorders>
            <w:vAlign w:val="center"/>
            <w:hideMark/>
          </w:tcPr>
          <w:p w14:paraId="65726436" w14:textId="77777777" w:rsidR="00B61F61" w:rsidRPr="00E87E42" w:rsidRDefault="00B61F61" w:rsidP="005839EF">
            <w:pPr>
              <w:spacing w:after="0" w:line="240" w:lineRule="auto"/>
              <w:jc w:val="left"/>
              <w:rPr>
                <w:rFonts w:eastAsia="Times New Roman"/>
                <w:color w:val="000000"/>
                <w:sz w:val="16"/>
                <w:szCs w:val="16"/>
                <w:lang w:eastAsia="en-GB"/>
              </w:rPr>
            </w:pPr>
          </w:p>
        </w:tc>
      </w:tr>
      <w:tr w:rsidR="00AD472B" w:rsidRPr="00E87E42" w14:paraId="1AEDB7D8" w14:textId="77777777" w:rsidTr="00A446AC">
        <w:trPr>
          <w:trHeight w:val="227"/>
        </w:trPr>
        <w:tc>
          <w:tcPr>
            <w:tcW w:w="62" w:type="pct"/>
            <w:tcBorders>
              <w:top w:val="nil"/>
              <w:left w:val="nil"/>
              <w:bottom w:val="single" w:sz="4" w:space="0" w:color="auto"/>
              <w:right w:val="nil"/>
            </w:tcBorders>
            <w:shd w:val="clear" w:color="auto" w:fill="auto"/>
            <w:noWrap/>
            <w:vAlign w:val="bottom"/>
            <w:hideMark/>
          </w:tcPr>
          <w:p w14:paraId="45B6D91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w:t>
            </w:r>
          </w:p>
        </w:tc>
        <w:tc>
          <w:tcPr>
            <w:tcW w:w="121" w:type="pct"/>
            <w:vMerge/>
            <w:tcBorders>
              <w:top w:val="nil"/>
              <w:left w:val="single" w:sz="4" w:space="0" w:color="auto"/>
              <w:bottom w:val="nil"/>
              <w:right w:val="single" w:sz="4" w:space="0" w:color="auto"/>
            </w:tcBorders>
            <w:vAlign w:val="center"/>
            <w:hideMark/>
          </w:tcPr>
          <w:p w14:paraId="12B25F95"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92" w:type="pct"/>
            <w:vMerge/>
            <w:tcBorders>
              <w:top w:val="nil"/>
              <w:left w:val="single" w:sz="4" w:space="0" w:color="auto"/>
              <w:bottom w:val="nil"/>
              <w:right w:val="nil"/>
            </w:tcBorders>
            <w:vAlign w:val="center"/>
            <w:hideMark/>
          </w:tcPr>
          <w:p w14:paraId="60099B03"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43" w:type="pct"/>
            <w:tcBorders>
              <w:top w:val="nil"/>
              <w:left w:val="single" w:sz="4" w:space="0" w:color="auto"/>
              <w:bottom w:val="nil"/>
              <w:right w:val="single" w:sz="4" w:space="0" w:color="auto"/>
            </w:tcBorders>
            <w:shd w:val="clear" w:color="auto" w:fill="auto"/>
            <w:noWrap/>
            <w:vAlign w:val="bottom"/>
            <w:hideMark/>
          </w:tcPr>
          <w:p w14:paraId="6B8CB1A8" w14:textId="046923A4"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4" w:type="pct"/>
            <w:tcBorders>
              <w:top w:val="nil"/>
              <w:left w:val="nil"/>
              <w:bottom w:val="nil"/>
              <w:right w:val="single" w:sz="4" w:space="0" w:color="auto"/>
            </w:tcBorders>
            <w:shd w:val="clear" w:color="auto" w:fill="auto"/>
            <w:noWrap/>
            <w:vAlign w:val="bottom"/>
            <w:hideMark/>
          </w:tcPr>
          <w:p w14:paraId="0F8865A2" w14:textId="5088F3DD"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94" w:type="pct"/>
            <w:vMerge/>
            <w:tcBorders>
              <w:top w:val="nil"/>
              <w:left w:val="single" w:sz="4" w:space="0" w:color="auto"/>
              <w:bottom w:val="nil"/>
              <w:right w:val="single" w:sz="4" w:space="0" w:color="auto"/>
            </w:tcBorders>
            <w:vAlign w:val="center"/>
            <w:hideMark/>
          </w:tcPr>
          <w:p w14:paraId="7EAFA508"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94" w:type="pct"/>
            <w:vMerge/>
            <w:tcBorders>
              <w:top w:val="nil"/>
              <w:left w:val="single" w:sz="4" w:space="0" w:color="auto"/>
              <w:bottom w:val="nil"/>
              <w:right w:val="single" w:sz="4" w:space="0" w:color="auto"/>
            </w:tcBorders>
            <w:vAlign w:val="center"/>
            <w:hideMark/>
          </w:tcPr>
          <w:p w14:paraId="335B120D"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66" w:type="pct"/>
            <w:vMerge/>
            <w:tcBorders>
              <w:top w:val="nil"/>
              <w:left w:val="single" w:sz="4" w:space="0" w:color="auto"/>
              <w:bottom w:val="nil"/>
              <w:right w:val="single" w:sz="4" w:space="0" w:color="auto"/>
            </w:tcBorders>
            <w:vAlign w:val="center"/>
            <w:hideMark/>
          </w:tcPr>
          <w:p w14:paraId="47D05729"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4" w:type="pct"/>
            <w:tcBorders>
              <w:top w:val="nil"/>
              <w:left w:val="nil"/>
              <w:bottom w:val="nil"/>
              <w:right w:val="single" w:sz="4" w:space="0" w:color="auto"/>
            </w:tcBorders>
            <w:shd w:val="clear" w:color="auto" w:fill="auto"/>
            <w:noWrap/>
            <w:vAlign w:val="bottom"/>
            <w:hideMark/>
          </w:tcPr>
          <w:p w14:paraId="1EACA2F4" w14:textId="31004259"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4" w:type="pct"/>
            <w:tcBorders>
              <w:top w:val="nil"/>
              <w:left w:val="nil"/>
              <w:bottom w:val="nil"/>
              <w:right w:val="single" w:sz="4" w:space="0" w:color="auto"/>
            </w:tcBorders>
            <w:shd w:val="clear" w:color="auto" w:fill="auto"/>
            <w:noWrap/>
            <w:vAlign w:val="bottom"/>
            <w:hideMark/>
          </w:tcPr>
          <w:p w14:paraId="5FF4230F" w14:textId="71FE1ABC"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65" w:type="pct"/>
            <w:vMerge/>
            <w:tcBorders>
              <w:top w:val="nil"/>
              <w:left w:val="single" w:sz="4" w:space="0" w:color="auto"/>
              <w:bottom w:val="nil"/>
              <w:right w:val="single" w:sz="4" w:space="0" w:color="auto"/>
            </w:tcBorders>
            <w:vAlign w:val="center"/>
            <w:hideMark/>
          </w:tcPr>
          <w:p w14:paraId="33F1EE09"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5" w:type="pct"/>
            <w:vMerge/>
            <w:tcBorders>
              <w:top w:val="nil"/>
              <w:left w:val="single" w:sz="4" w:space="0" w:color="auto"/>
              <w:bottom w:val="nil"/>
              <w:right w:val="single" w:sz="4" w:space="0" w:color="auto"/>
            </w:tcBorders>
            <w:vAlign w:val="center"/>
            <w:hideMark/>
          </w:tcPr>
          <w:p w14:paraId="6345A536"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66" w:type="pct"/>
            <w:vMerge/>
            <w:tcBorders>
              <w:top w:val="nil"/>
              <w:left w:val="single" w:sz="4" w:space="0" w:color="auto"/>
              <w:bottom w:val="nil"/>
              <w:right w:val="single" w:sz="4" w:space="0" w:color="auto"/>
            </w:tcBorders>
            <w:vAlign w:val="center"/>
            <w:hideMark/>
          </w:tcPr>
          <w:p w14:paraId="01DFEF93"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4" w:type="pct"/>
            <w:tcBorders>
              <w:top w:val="nil"/>
              <w:left w:val="nil"/>
              <w:bottom w:val="nil"/>
              <w:right w:val="single" w:sz="4" w:space="0" w:color="auto"/>
            </w:tcBorders>
            <w:shd w:val="clear" w:color="auto" w:fill="auto"/>
            <w:noWrap/>
            <w:vAlign w:val="bottom"/>
            <w:hideMark/>
          </w:tcPr>
          <w:p w14:paraId="06F67D8C" w14:textId="3C54864C"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43" w:type="pct"/>
            <w:tcBorders>
              <w:top w:val="nil"/>
              <w:left w:val="nil"/>
              <w:bottom w:val="nil"/>
              <w:right w:val="single" w:sz="4" w:space="0" w:color="auto"/>
            </w:tcBorders>
            <w:shd w:val="clear" w:color="auto" w:fill="auto"/>
            <w:noWrap/>
            <w:vAlign w:val="bottom"/>
            <w:hideMark/>
          </w:tcPr>
          <w:p w14:paraId="393B1E9B" w14:textId="11B0EFF2"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94" w:type="pct"/>
            <w:vMerge/>
            <w:tcBorders>
              <w:top w:val="nil"/>
              <w:left w:val="single" w:sz="4" w:space="0" w:color="auto"/>
              <w:bottom w:val="nil"/>
              <w:right w:val="single" w:sz="4" w:space="0" w:color="auto"/>
            </w:tcBorders>
            <w:vAlign w:val="center"/>
            <w:hideMark/>
          </w:tcPr>
          <w:p w14:paraId="2C11FA5D"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5" w:type="pct"/>
            <w:vMerge/>
            <w:tcBorders>
              <w:top w:val="nil"/>
              <w:left w:val="single" w:sz="4" w:space="0" w:color="auto"/>
              <w:bottom w:val="nil"/>
              <w:right w:val="single" w:sz="4" w:space="0" w:color="auto"/>
            </w:tcBorders>
            <w:vAlign w:val="center"/>
            <w:hideMark/>
          </w:tcPr>
          <w:p w14:paraId="48BE9914"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66" w:type="pct"/>
            <w:vMerge/>
            <w:tcBorders>
              <w:top w:val="nil"/>
              <w:left w:val="single" w:sz="4" w:space="0" w:color="auto"/>
              <w:bottom w:val="nil"/>
              <w:right w:val="single" w:sz="4" w:space="0" w:color="auto"/>
            </w:tcBorders>
            <w:vAlign w:val="center"/>
            <w:hideMark/>
          </w:tcPr>
          <w:p w14:paraId="53035F31"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43" w:type="pct"/>
            <w:tcBorders>
              <w:top w:val="single" w:sz="4" w:space="0" w:color="auto"/>
              <w:left w:val="nil"/>
              <w:bottom w:val="nil"/>
              <w:right w:val="single" w:sz="4" w:space="0" w:color="auto"/>
            </w:tcBorders>
            <w:shd w:val="clear" w:color="auto" w:fill="auto"/>
            <w:noWrap/>
            <w:vAlign w:val="bottom"/>
            <w:hideMark/>
          </w:tcPr>
          <w:p w14:paraId="4367CD37" w14:textId="4BF1E4B0"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4" w:type="pct"/>
            <w:tcBorders>
              <w:top w:val="single" w:sz="4" w:space="0" w:color="auto"/>
              <w:left w:val="nil"/>
              <w:bottom w:val="nil"/>
              <w:right w:val="single" w:sz="4" w:space="0" w:color="auto"/>
            </w:tcBorders>
            <w:shd w:val="clear" w:color="auto" w:fill="auto"/>
            <w:noWrap/>
            <w:vAlign w:val="bottom"/>
            <w:hideMark/>
          </w:tcPr>
          <w:p w14:paraId="00389ED6" w14:textId="19DF229C"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94" w:type="pct"/>
            <w:vMerge/>
            <w:tcBorders>
              <w:top w:val="nil"/>
              <w:left w:val="single" w:sz="4" w:space="0" w:color="auto"/>
              <w:bottom w:val="nil"/>
              <w:right w:val="single" w:sz="4" w:space="0" w:color="auto"/>
            </w:tcBorders>
            <w:vAlign w:val="center"/>
            <w:hideMark/>
          </w:tcPr>
          <w:p w14:paraId="173221C8"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5" w:type="pct"/>
            <w:vMerge/>
            <w:tcBorders>
              <w:top w:val="nil"/>
              <w:left w:val="single" w:sz="4" w:space="0" w:color="auto"/>
              <w:bottom w:val="nil"/>
              <w:right w:val="single" w:sz="4" w:space="0" w:color="auto"/>
            </w:tcBorders>
            <w:vAlign w:val="center"/>
            <w:hideMark/>
          </w:tcPr>
          <w:p w14:paraId="7946A54F"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377" w:type="pct"/>
            <w:vMerge/>
            <w:tcBorders>
              <w:top w:val="nil"/>
              <w:left w:val="single" w:sz="4" w:space="0" w:color="auto"/>
              <w:bottom w:val="nil"/>
              <w:right w:val="single" w:sz="4" w:space="0" w:color="auto"/>
            </w:tcBorders>
            <w:vAlign w:val="center"/>
            <w:hideMark/>
          </w:tcPr>
          <w:p w14:paraId="2640C3FD"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4" w:type="pct"/>
            <w:tcBorders>
              <w:top w:val="nil"/>
              <w:left w:val="nil"/>
              <w:bottom w:val="nil"/>
              <w:right w:val="nil"/>
            </w:tcBorders>
            <w:shd w:val="clear" w:color="auto" w:fill="auto"/>
            <w:noWrap/>
            <w:vAlign w:val="bottom"/>
            <w:hideMark/>
          </w:tcPr>
          <w:p w14:paraId="1DAB895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3" w:type="pct"/>
            <w:tcBorders>
              <w:top w:val="nil"/>
              <w:left w:val="single" w:sz="4" w:space="0" w:color="auto"/>
              <w:bottom w:val="nil"/>
              <w:right w:val="single" w:sz="4" w:space="0" w:color="auto"/>
            </w:tcBorders>
            <w:shd w:val="clear" w:color="auto" w:fill="auto"/>
            <w:noWrap/>
            <w:vAlign w:val="bottom"/>
            <w:hideMark/>
          </w:tcPr>
          <w:p w14:paraId="58C1A76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c>
          <w:tcPr>
            <w:tcW w:w="214" w:type="pct"/>
            <w:tcBorders>
              <w:top w:val="nil"/>
              <w:left w:val="nil"/>
              <w:bottom w:val="nil"/>
              <w:right w:val="nil"/>
            </w:tcBorders>
            <w:shd w:val="clear" w:color="auto" w:fill="auto"/>
            <w:noWrap/>
            <w:vAlign w:val="bottom"/>
            <w:hideMark/>
          </w:tcPr>
          <w:p w14:paraId="1840D6F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4" w:type="pct"/>
            <w:tcBorders>
              <w:top w:val="nil"/>
              <w:left w:val="single" w:sz="4" w:space="0" w:color="auto"/>
              <w:bottom w:val="nil"/>
              <w:right w:val="single" w:sz="4" w:space="0" w:color="auto"/>
            </w:tcBorders>
            <w:shd w:val="clear" w:color="auto" w:fill="auto"/>
            <w:noWrap/>
            <w:vAlign w:val="bottom"/>
            <w:hideMark/>
          </w:tcPr>
          <w:p w14:paraId="0A84925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r>
      <w:tr w:rsidR="00A022DF" w:rsidRPr="00E87E42" w14:paraId="0D4622DB" w14:textId="77777777" w:rsidTr="005839EF">
        <w:trPr>
          <w:trHeight w:val="227"/>
        </w:trPr>
        <w:tc>
          <w:tcPr>
            <w:tcW w:w="62" w:type="pct"/>
            <w:tcBorders>
              <w:top w:val="nil"/>
              <w:left w:val="single" w:sz="4" w:space="0" w:color="auto"/>
              <w:bottom w:val="single" w:sz="4" w:space="0" w:color="auto"/>
              <w:right w:val="nil"/>
            </w:tcBorders>
            <w:shd w:val="clear" w:color="auto" w:fill="auto"/>
            <w:noWrap/>
            <w:vAlign w:val="bottom"/>
            <w:hideMark/>
          </w:tcPr>
          <w:p w14:paraId="2CB2967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121" w:type="pct"/>
            <w:tcBorders>
              <w:top w:val="single" w:sz="4" w:space="0" w:color="auto"/>
              <w:left w:val="single" w:sz="4" w:space="0" w:color="auto"/>
              <w:bottom w:val="single" w:sz="4" w:space="0" w:color="808080"/>
              <w:right w:val="single" w:sz="4" w:space="0" w:color="auto"/>
            </w:tcBorders>
            <w:shd w:val="clear" w:color="auto" w:fill="auto"/>
            <w:noWrap/>
            <w:vAlign w:val="bottom"/>
            <w:hideMark/>
          </w:tcPr>
          <w:p w14:paraId="5A43012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87</w:t>
            </w:r>
          </w:p>
        </w:tc>
        <w:tc>
          <w:tcPr>
            <w:tcW w:w="92" w:type="pct"/>
            <w:tcBorders>
              <w:top w:val="single" w:sz="4" w:space="0" w:color="auto"/>
              <w:left w:val="nil"/>
              <w:bottom w:val="single" w:sz="4" w:space="0" w:color="808080"/>
              <w:right w:val="single" w:sz="4" w:space="0" w:color="808080"/>
            </w:tcBorders>
            <w:shd w:val="clear" w:color="auto" w:fill="auto"/>
            <w:noWrap/>
            <w:vAlign w:val="bottom"/>
            <w:hideMark/>
          </w:tcPr>
          <w:p w14:paraId="579068F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w:t>
            </w:r>
          </w:p>
        </w:tc>
        <w:tc>
          <w:tcPr>
            <w:tcW w:w="243" w:type="pct"/>
            <w:tcBorders>
              <w:top w:val="single" w:sz="4" w:space="0" w:color="auto"/>
              <w:left w:val="nil"/>
              <w:bottom w:val="single" w:sz="4" w:space="0" w:color="808080"/>
              <w:right w:val="single" w:sz="4" w:space="0" w:color="808080"/>
            </w:tcBorders>
            <w:shd w:val="clear" w:color="auto" w:fill="auto"/>
            <w:noWrap/>
            <w:vAlign w:val="bottom"/>
            <w:hideMark/>
          </w:tcPr>
          <w:p w14:paraId="5A18D61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05D9962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37.36%</w:t>
            </w:r>
          </w:p>
        </w:tc>
        <w:tc>
          <w:tcPr>
            <w:tcW w:w="194" w:type="pct"/>
            <w:tcBorders>
              <w:top w:val="single" w:sz="4" w:space="0" w:color="auto"/>
              <w:left w:val="nil"/>
              <w:bottom w:val="single" w:sz="4" w:space="0" w:color="808080"/>
              <w:right w:val="single" w:sz="4" w:space="0" w:color="808080"/>
            </w:tcBorders>
            <w:shd w:val="clear" w:color="auto" w:fill="auto"/>
            <w:noWrap/>
            <w:vAlign w:val="bottom"/>
            <w:hideMark/>
          </w:tcPr>
          <w:p w14:paraId="07615A2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45.75</w:t>
            </w:r>
          </w:p>
        </w:tc>
        <w:tc>
          <w:tcPr>
            <w:tcW w:w="194" w:type="pct"/>
            <w:tcBorders>
              <w:top w:val="single" w:sz="4" w:space="0" w:color="auto"/>
              <w:left w:val="nil"/>
              <w:bottom w:val="single" w:sz="4" w:space="0" w:color="808080"/>
              <w:right w:val="single" w:sz="4" w:space="0" w:color="auto"/>
            </w:tcBorders>
            <w:shd w:val="clear" w:color="auto" w:fill="auto"/>
            <w:noWrap/>
            <w:vAlign w:val="bottom"/>
            <w:hideMark/>
          </w:tcPr>
          <w:p w14:paraId="3CCCBF7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45.75</w:t>
            </w:r>
          </w:p>
        </w:tc>
        <w:tc>
          <w:tcPr>
            <w:tcW w:w="66" w:type="pct"/>
            <w:tcBorders>
              <w:top w:val="single" w:sz="4" w:space="0" w:color="auto"/>
              <w:left w:val="nil"/>
              <w:bottom w:val="single" w:sz="4" w:space="0" w:color="808080"/>
              <w:right w:val="single" w:sz="4" w:space="0" w:color="808080"/>
            </w:tcBorders>
            <w:shd w:val="clear" w:color="auto" w:fill="auto"/>
            <w:noWrap/>
            <w:vAlign w:val="bottom"/>
            <w:hideMark/>
          </w:tcPr>
          <w:p w14:paraId="15DB347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157998F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74ED473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single" w:sz="4" w:space="0" w:color="auto"/>
              <w:left w:val="nil"/>
              <w:bottom w:val="single" w:sz="4" w:space="0" w:color="808080"/>
              <w:right w:val="single" w:sz="4" w:space="0" w:color="808080"/>
            </w:tcBorders>
            <w:shd w:val="clear" w:color="auto" w:fill="auto"/>
            <w:noWrap/>
            <w:vAlign w:val="bottom"/>
            <w:hideMark/>
          </w:tcPr>
          <w:p w14:paraId="4DD1F7E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single" w:sz="4" w:space="0" w:color="auto"/>
              <w:left w:val="nil"/>
              <w:bottom w:val="single" w:sz="4" w:space="0" w:color="808080"/>
              <w:right w:val="nil"/>
            </w:tcBorders>
            <w:shd w:val="clear" w:color="auto" w:fill="auto"/>
            <w:noWrap/>
            <w:vAlign w:val="bottom"/>
            <w:hideMark/>
          </w:tcPr>
          <w:p w14:paraId="0B1F1FA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6" w:type="pct"/>
            <w:tcBorders>
              <w:top w:val="single" w:sz="4" w:space="0" w:color="auto"/>
              <w:left w:val="single" w:sz="4" w:space="0" w:color="auto"/>
              <w:bottom w:val="single" w:sz="4" w:space="0" w:color="808080"/>
              <w:right w:val="single" w:sz="4" w:space="0" w:color="808080"/>
            </w:tcBorders>
            <w:shd w:val="clear" w:color="auto" w:fill="auto"/>
            <w:noWrap/>
            <w:vAlign w:val="bottom"/>
            <w:hideMark/>
          </w:tcPr>
          <w:p w14:paraId="440CE90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3E54C2A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3" w:type="pct"/>
            <w:tcBorders>
              <w:top w:val="single" w:sz="4" w:space="0" w:color="auto"/>
              <w:left w:val="nil"/>
              <w:bottom w:val="single" w:sz="4" w:space="0" w:color="808080"/>
              <w:right w:val="single" w:sz="4" w:space="0" w:color="808080"/>
            </w:tcBorders>
            <w:shd w:val="clear" w:color="auto" w:fill="auto"/>
            <w:noWrap/>
            <w:vAlign w:val="bottom"/>
            <w:hideMark/>
          </w:tcPr>
          <w:p w14:paraId="54BD60D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4" w:type="pct"/>
            <w:tcBorders>
              <w:top w:val="single" w:sz="4" w:space="0" w:color="auto"/>
              <w:left w:val="nil"/>
              <w:bottom w:val="single" w:sz="4" w:space="0" w:color="808080"/>
              <w:right w:val="single" w:sz="4" w:space="0" w:color="808080"/>
            </w:tcBorders>
            <w:shd w:val="clear" w:color="auto" w:fill="auto"/>
            <w:noWrap/>
            <w:vAlign w:val="bottom"/>
            <w:hideMark/>
          </w:tcPr>
          <w:p w14:paraId="00389A2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single" w:sz="4" w:space="0" w:color="auto"/>
              <w:left w:val="nil"/>
              <w:bottom w:val="single" w:sz="4" w:space="0" w:color="808080"/>
              <w:right w:val="single" w:sz="4" w:space="0" w:color="auto"/>
            </w:tcBorders>
            <w:shd w:val="clear" w:color="auto" w:fill="auto"/>
            <w:noWrap/>
            <w:vAlign w:val="bottom"/>
            <w:hideMark/>
          </w:tcPr>
          <w:p w14:paraId="167DBA2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6" w:type="pct"/>
            <w:tcBorders>
              <w:top w:val="single" w:sz="4" w:space="0" w:color="auto"/>
              <w:left w:val="nil"/>
              <w:bottom w:val="single" w:sz="4" w:space="0" w:color="808080"/>
              <w:right w:val="single" w:sz="4" w:space="0" w:color="808080"/>
            </w:tcBorders>
            <w:shd w:val="clear" w:color="auto" w:fill="auto"/>
            <w:noWrap/>
            <w:vAlign w:val="bottom"/>
            <w:hideMark/>
          </w:tcPr>
          <w:p w14:paraId="705B660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43" w:type="pct"/>
            <w:tcBorders>
              <w:top w:val="single" w:sz="4" w:space="0" w:color="auto"/>
              <w:left w:val="nil"/>
              <w:bottom w:val="single" w:sz="4" w:space="0" w:color="808080"/>
              <w:right w:val="single" w:sz="4" w:space="0" w:color="808080"/>
            </w:tcBorders>
            <w:shd w:val="clear" w:color="auto" w:fill="auto"/>
            <w:noWrap/>
            <w:vAlign w:val="bottom"/>
            <w:hideMark/>
          </w:tcPr>
          <w:p w14:paraId="7D65E60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4937661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4" w:type="pct"/>
            <w:tcBorders>
              <w:top w:val="single" w:sz="4" w:space="0" w:color="auto"/>
              <w:left w:val="nil"/>
              <w:bottom w:val="single" w:sz="4" w:space="0" w:color="808080"/>
              <w:right w:val="single" w:sz="4" w:space="0" w:color="808080"/>
            </w:tcBorders>
            <w:shd w:val="clear" w:color="auto" w:fill="auto"/>
            <w:noWrap/>
            <w:vAlign w:val="bottom"/>
            <w:hideMark/>
          </w:tcPr>
          <w:p w14:paraId="6D54C42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single" w:sz="4" w:space="0" w:color="auto"/>
              <w:left w:val="nil"/>
              <w:bottom w:val="single" w:sz="4" w:space="0" w:color="808080"/>
              <w:right w:val="nil"/>
            </w:tcBorders>
            <w:shd w:val="clear" w:color="auto" w:fill="auto"/>
            <w:noWrap/>
            <w:vAlign w:val="bottom"/>
            <w:hideMark/>
          </w:tcPr>
          <w:p w14:paraId="67F58AF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7" w:type="pct"/>
            <w:tcBorders>
              <w:top w:val="single" w:sz="4" w:space="0" w:color="auto"/>
              <w:left w:val="single" w:sz="4" w:space="0" w:color="auto"/>
              <w:bottom w:val="single" w:sz="4" w:space="0" w:color="808080"/>
              <w:right w:val="single" w:sz="4" w:space="0" w:color="auto"/>
            </w:tcBorders>
            <w:shd w:val="clear" w:color="auto" w:fill="auto"/>
            <w:noWrap/>
            <w:vAlign w:val="bottom"/>
            <w:hideMark/>
          </w:tcPr>
          <w:p w14:paraId="51E1298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45.75</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46030D4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36.56%</w:t>
            </w:r>
          </w:p>
        </w:tc>
        <w:tc>
          <w:tcPr>
            <w:tcW w:w="243" w:type="pct"/>
            <w:tcBorders>
              <w:top w:val="single" w:sz="4" w:space="0" w:color="auto"/>
              <w:left w:val="nil"/>
              <w:bottom w:val="single" w:sz="4" w:space="0" w:color="808080"/>
              <w:right w:val="single" w:sz="4" w:space="0" w:color="808080"/>
            </w:tcBorders>
            <w:shd w:val="clear" w:color="auto" w:fill="auto"/>
            <w:noWrap/>
            <w:vAlign w:val="bottom"/>
            <w:hideMark/>
          </w:tcPr>
          <w:p w14:paraId="7E21A34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36.56%</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6B81BB0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39.55%</w:t>
            </w:r>
          </w:p>
        </w:tc>
        <w:tc>
          <w:tcPr>
            <w:tcW w:w="244" w:type="pct"/>
            <w:tcBorders>
              <w:top w:val="single" w:sz="4" w:space="0" w:color="auto"/>
              <w:left w:val="nil"/>
              <w:bottom w:val="single" w:sz="4" w:space="0" w:color="808080"/>
              <w:right w:val="single" w:sz="4" w:space="0" w:color="auto"/>
            </w:tcBorders>
            <w:shd w:val="clear" w:color="auto" w:fill="auto"/>
            <w:noWrap/>
            <w:vAlign w:val="bottom"/>
            <w:hideMark/>
          </w:tcPr>
          <w:p w14:paraId="6AEFD18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39.55%</w:t>
            </w:r>
          </w:p>
        </w:tc>
      </w:tr>
      <w:tr w:rsidR="00A022DF" w:rsidRPr="00E87E42" w14:paraId="70383A1B" w14:textId="77777777" w:rsidTr="005839EF">
        <w:trPr>
          <w:trHeight w:val="227"/>
        </w:trPr>
        <w:tc>
          <w:tcPr>
            <w:tcW w:w="62" w:type="pct"/>
            <w:tcBorders>
              <w:top w:val="nil"/>
              <w:left w:val="single" w:sz="4" w:space="0" w:color="auto"/>
              <w:bottom w:val="single" w:sz="4" w:space="0" w:color="auto"/>
              <w:right w:val="nil"/>
            </w:tcBorders>
            <w:shd w:val="clear" w:color="auto" w:fill="auto"/>
            <w:noWrap/>
            <w:vAlign w:val="bottom"/>
            <w:hideMark/>
          </w:tcPr>
          <w:p w14:paraId="56B3D3F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121" w:type="pct"/>
            <w:tcBorders>
              <w:top w:val="nil"/>
              <w:left w:val="single" w:sz="4" w:space="0" w:color="auto"/>
              <w:bottom w:val="single" w:sz="4" w:space="0" w:color="808080"/>
              <w:right w:val="single" w:sz="4" w:space="0" w:color="auto"/>
            </w:tcBorders>
            <w:shd w:val="clear" w:color="auto" w:fill="auto"/>
            <w:noWrap/>
            <w:vAlign w:val="bottom"/>
            <w:hideMark/>
          </w:tcPr>
          <w:p w14:paraId="4BD6C11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124</w:t>
            </w:r>
          </w:p>
        </w:tc>
        <w:tc>
          <w:tcPr>
            <w:tcW w:w="92" w:type="pct"/>
            <w:tcBorders>
              <w:top w:val="nil"/>
              <w:left w:val="nil"/>
              <w:bottom w:val="single" w:sz="4" w:space="0" w:color="808080"/>
              <w:right w:val="single" w:sz="4" w:space="0" w:color="808080"/>
            </w:tcBorders>
            <w:shd w:val="clear" w:color="auto" w:fill="auto"/>
            <w:noWrap/>
            <w:vAlign w:val="bottom"/>
            <w:hideMark/>
          </w:tcPr>
          <w:p w14:paraId="08BA182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45</w:t>
            </w:r>
          </w:p>
        </w:tc>
        <w:tc>
          <w:tcPr>
            <w:tcW w:w="243" w:type="pct"/>
            <w:tcBorders>
              <w:top w:val="nil"/>
              <w:left w:val="nil"/>
              <w:bottom w:val="single" w:sz="4" w:space="0" w:color="808080"/>
              <w:right w:val="single" w:sz="4" w:space="0" w:color="808080"/>
            </w:tcBorders>
            <w:shd w:val="clear" w:color="auto" w:fill="auto"/>
            <w:noWrap/>
            <w:vAlign w:val="bottom"/>
            <w:hideMark/>
          </w:tcPr>
          <w:p w14:paraId="663C40C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97.83%</w:t>
            </w:r>
          </w:p>
        </w:tc>
        <w:tc>
          <w:tcPr>
            <w:tcW w:w="214" w:type="pct"/>
            <w:tcBorders>
              <w:top w:val="nil"/>
              <w:left w:val="nil"/>
              <w:bottom w:val="single" w:sz="4" w:space="0" w:color="808080"/>
              <w:right w:val="single" w:sz="4" w:space="0" w:color="808080"/>
            </w:tcBorders>
            <w:shd w:val="clear" w:color="auto" w:fill="auto"/>
            <w:noWrap/>
            <w:vAlign w:val="bottom"/>
            <w:hideMark/>
          </w:tcPr>
          <w:p w14:paraId="308D816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49.45%</w:t>
            </w:r>
          </w:p>
        </w:tc>
        <w:tc>
          <w:tcPr>
            <w:tcW w:w="194" w:type="pct"/>
            <w:tcBorders>
              <w:top w:val="nil"/>
              <w:left w:val="nil"/>
              <w:bottom w:val="single" w:sz="4" w:space="0" w:color="808080"/>
              <w:right w:val="single" w:sz="4" w:space="0" w:color="808080"/>
            </w:tcBorders>
            <w:shd w:val="clear" w:color="auto" w:fill="auto"/>
            <w:noWrap/>
            <w:vAlign w:val="bottom"/>
            <w:hideMark/>
          </w:tcPr>
          <w:p w14:paraId="3FAB5E2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103.85</w:t>
            </w:r>
          </w:p>
        </w:tc>
        <w:tc>
          <w:tcPr>
            <w:tcW w:w="194" w:type="pct"/>
            <w:tcBorders>
              <w:top w:val="nil"/>
              <w:left w:val="nil"/>
              <w:bottom w:val="single" w:sz="4" w:space="0" w:color="808080"/>
              <w:right w:val="single" w:sz="4" w:space="0" w:color="auto"/>
            </w:tcBorders>
            <w:shd w:val="clear" w:color="auto" w:fill="auto"/>
            <w:noWrap/>
            <w:vAlign w:val="bottom"/>
            <w:hideMark/>
          </w:tcPr>
          <w:p w14:paraId="2C49094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103.85</w:t>
            </w:r>
          </w:p>
        </w:tc>
        <w:tc>
          <w:tcPr>
            <w:tcW w:w="66" w:type="pct"/>
            <w:tcBorders>
              <w:top w:val="nil"/>
              <w:left w:val="nil"/>
              <w:bottom w:val="single" w:sz="4" w:space="0" w:color="808080"/>
              <w:right w:val="single" w:sz="4" w:space="0" w:color="808080"/>
            </w:tcBorders>
            <w:shd w:val="clear" w:color="auto" w:fill="auto"/>
            <w:noWrap/>
            <w:vAlign w:val="bottom"/>
            <w:hideMark/>
          </w:tcPr>
          <w:p w14:paraId="08F5478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14" w:type="pct"/>
            <w:tcBorders>
              <w:top w:val="nil"/>
              <w:left w:val="nil"/>
              <w:bottom w:val="single" w:sz="4" w:space="0" w:color="808080"/>
              <w:right w:val="single" w:sz="4" w:space="0" w:color="808080"/>
            </w:tcBorders>
            <w:shd w:val="clear" w:color="auto" w:fill="auto"/>
            <w:noWrap/>
            <w:vAlign w:val="bottom"/>
            <w:hideMark/>
          </w:tcPr>
          <w:p w14:paraId="44C5C70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2.17%</w:t>
            </w:r>
          </w:p>
        </w:tc>
        <w:tc>
          <w:tcPr>
            <w:tcW w:w="214" w:type="pct"/>
            <w:tcBorders>
              <w:top w:val="nil"/>
              <w:left w:val="nil"/>
              <w:bottom w:val="single" w:sz="4" w:space="0" w:color="808080"/>
              <w:right w:val="single" w:sz="4" w:space="0" w:color="808080"/>
            </w:tcBorders>
            <w:shd w:val="clear" w:color="auto" w:fill="auto"/>
            <w:noWrap/>
            <w:vAlign w:val="bottom"/>
            <w:hideMark/>
          </w:tcPr>
          <w:p w14:paraId="72705DB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50.00%</w:t>
            </w:r>
          </w:p>
        </w:tc>
        <w:tc>
          <w:tcPr>
            <w:tcW w:w="165" w:type="pct"/>
            <w:tcBorders>
              <w:top w:val="nil"/>
              <w:left w:val="nil"/>
              <w:bottom w:val="single" w:sz="4" w:space="0" w:color="808080"/>
              <w:right w:val="single" w:sz="4" w:space="0" w:color="808080"/>
            </w:tcBorders>
            <w:shd w:val="clear" w:color="auto" w:fill="auto"/>
            <w:noWrap/>
            <w:vAlign w:val="bottom"/>
            <w:hideMark/>
          </w:tcPr>
          <w:p w14:paraId="5BC7DB9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29.79</w:t>
            </w:r>
          </w:p>
        </w:tc>
        <w:tc>
          <w:tcPr>
            <w:tcW w:w="165" w:type="pct"/>
            <w:tcBorders>
              <w:top w:val="nil"/>
              <w:left w:val="nil"/>
              <w:bottom w:val="single" w:sz="4" w:space="0" w:color="808080"/>
              <w:right w:val="nil"/>
            </w:tcBorders>
            <w:shd w:val="clear" w:color="auto" w:fill="auto"/>
            <w:noWrap/>
            <w:vAlign w:val="bottom"/>
            <w:hideMark/>
          </w:tcPr>
          <w:p w14:paraId="1D4127C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9.66</w:t>
            </w:r>
          </w:p>
        </w:tc>
        <w:tc>
          <w:tcPr>
            <w:tcW w:w="66" w:type="pct"/>
            <w:tcBorders>
              <w:top w:val="nil"/>
              <w:left w:val="single" w:sz="4" w:space="0" w:color="auto"/>
              <w:bottom w:val="single" w:sz="4" w:space="0" w:color="808080"/>
              <w:right w:val="single" w:sz="4" w:space="0" w:color="808080"/>
            </w:tcBorders>
            <w:shd w:val="clear" w:color="auto" w:fill="auto"/>
            <w:noWrap/>
            <w:vAlign w:val="bottom"/>
            <w:hideMark/>
          </w:tcPr>
          <w:p w14:paraId="679F959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nil"/>
              <w:left w:val="nil"/>
              <w:bottom w:val="single" w:sz="4" w:space="0" w:color="808080"/>
              <w:right w:val="single" w:sz="4" w:space="0" w:color="808080"/>
            </w:tcBorders>
            <w:shd w:val="clear" w:color="auto" w:fill="auto"/>
            <w:noWrap/>
            <w:vAlign w:val="bottom"/>
            <w:hideMark/>
          </w:tcPr>
          <w:p w14:paraId="7039D62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3" w:type="pct"/>
            <w:tcBorders>
              <w:top w:val="nil"/>
              <w:left w:val="nil"/>
              <w:bottom w:val="single" w:sz="4" w:space="0" w:color="808080"/>
              <w:right w:val="single" w:sz="4" w:space="0" w:color="808080"/>
            </w:tcBorders>
            <w:shd w:val="clear" w:color="auto" w:fill="auto"/>
            <w:noWrap/>
            <w:vAlign w:val="bottom"/>
            <w:hideMark/>
          </w:tcPr>
          <w:p w14:paraId="75DAA23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4" w:type="pct"/>
            <w:tcBorders>
              <w:top w:val="nil"/>
              <w:left w:val="nil"/>
              <w:bottom w:val="single" w:sz="4" w:space="0" w:color="808080"/>
              <w:right w:val="single" w:sz="4" w:space="0" w:color="808080"/>
            </w:tcBorders>
            <w:shd w:val="clear" w:color="auto" w:fill="auto"/>
            <w:noWrap/>
            <w:vAlign w:val="bottom"/>
            <w:hideMark/>
          </w:tcPr>
          <w:p w14:paraId="5F8EDDF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nil"/>
              <w:left w:val="nil"/>
              <w:bottom w:val="single" w:sz="4" w:space="0" w:color="808080"/>
              <w:right w:val="single" w:sz="4" w:space="0" w:color="auto"/>
            </w:tcBorders>
            <w:shd w:val="clear" w:color="auto" w:fill="auto"/>
            <w:noWrap/>
            <w:vAlign w:val="bottom"/>
            <w:hideMark/>
          </w:tcPr>
          <w:p w14:paraId="06E73F6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6" w:type="pct"/>
            <w:tcBorders>
              <w:top w:val="nil"/>
              <w:left w:val="nil"/>
              <w:bottom w:val="single" w:sz="4" w:space="0" w:color="808080"/>
              <w:right w:val="single" w:sz="4" w:space="0" w:color="808080"/>
            </w:tcBorders>
            <w:shd w:val="clear" w:color="auto" w:fill="auto"/>
            <w:noWrap/>
            <w:vAlign w:val="bottom"/>
            <w:hideMark/>
          </w:tcPr>
          <w:p w14:paraId="70781BF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43" w:type="pct"/>
            <w:tcBorders>
              <w:top w:val="nil"/>
              <w:left w:val="nil"/>
              <w:bottom w:val="single" w:sz="4" w:space="0" w:color="808080"/>
              <w:right w:val="single" w:sz="4" w:space="0" w:color="808080"/>
            </w:tcBorders>
            <w:shd w:val="clear" w:color="auto" w:fill="auto"/>
            <w:noWrap/>
            <w:vAlign w:val="bottom"/>
            <w:hideMark/>
          </w:tcPr>
          <w:p w14:paraId="4AD6EDB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4" w:type="pct"/>
            <w:tcBorders>
              <w:top w:val="nil"/>
              <w:left w:val="nil"/>
              <w:bottom w:val="single" w:sz="4" w:space="0" w:color="808080"/>
              <w:right w:val="single" w:sz="4" w:space="0" w:color="808080"/>
            </w:tcBorders>
            <w:shd w:val="clear" w:color="auto" w:fill="auto"/>
            <w:noWrap/>
            <w:vAlign w:val="bottom"/>
            <w:hideMark/>
          </w:tcPr>
          <w:p w14:paraId="326A447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4" w:type="pct"/>
            <w:tcBorders>
              <w:top w:val="nil"/>
              <w:left w:val="nil"/>
              <w:bottom w:val="single" w:sz="4" w:space="0" w:color="808080"/>
              <w:right w:val="single" w:sz="4" w:space="0" w:color="808080"/>
            </w:tcBorders>
            <w:shd w:val="clear" w:color="auto" w:fill="auto"/>
            <w:noWrap/>
            <w:vAlign w:val="bottom"/>
            <w:hideMark/>
          </w:tcPr>
          <w:p w14:paraId="31D28CC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nil"/>
              <w:left w:val="nil"/>
              <w:bottom w:val="single" w:sz="4" w:space="0" w:color="808080"/>
              <w:right w:val="nil"/>
            </w:tcBorders>
            <w:shd w:val="clear" w:color="auto" w:fill="auto"/>
            <w:noWrap/>
            <w:vAlign w:val="bottom"/>
            <w:hideMark/>
          </w:tcPr>
          <w:p w14:paraId="756ED96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7" w:type="pct"/>
            <w:tcBorders>
              <w:top w:val="nil"/>
              <w:left w:val="single" w:sz="4" w:space="0" w:color="auto"/>
              <w:bottom w:val="single" w:sz="4" w:space="0" w:color="808080"/>
              <w:right w:val="single" w:sz="4" w:space="0" w:color="auto"/>
            </w:tcBorders>
            <w:shd w:val="clear" w:color="auto" w:fill="auto"/>
            <w:noWrap/>
            <w:vAlign w:val="bottom"/>
            <w:hideMark/>
          </w:tcPr>
          <w:p w14:paraId="3896FF9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102.24</w:t>
            </w:r>
          </w:p>
        </w:tc>
        <w:tc>
          <w:tcPr>
            <w:tcW w:w="214" w:type="pct"/>
            <w:tcBorders>
              <w:top w:val="nil"/>
              <w:left w:val="nil"/>
              <w:bottom w:val="single" w:sz="4" w:space="0" w:color="808080"/>
              <w:right w:val="single" w:sz="4" w:space="0" w:color="808080"/>
            </w:tcBorders>
            <w:shd w:val="clear" w:color="auto" w:fill="auto"/>
            <w:noWrap/>
            <w:vAlign w:val="bottom"/>
            <w:hideMark/>
          </w:tcPr>
          <w:p w14:paraId="13D8F0B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49.46%</w:t>
            </w:r>
          </w:p>
        </w:tc>
        <w:tc>
          <w:tcPr>
            <w:tcW w:w="243" w:type="pct"/>
            <w:tcBorders>
              <w:top w:val="nil"/>
              <w:left w:val="nil"/>
              <w:bottom w:val="single" w:sz="4" w:space="0" w:color="808080"/>
              <w:right w:val="single" w:sz="4" w:space="0" w:color="808080"/>
            </w:tcBorders>
            <w:shd w:val="clear" w:color="auto" w:fill="auto"/>
            <w:noWrap/>
            <w:vAlign w:val="bottom"/>
            <w:hideMark/>
          </w:tcPr>
          <w:p w14:paraId="04969B2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86.02%</w:t>
            </w:r>
          </w:p>
        </w:tc>
        <w:tc>
          <w:tcPr>
            <w:tcW w:w="214" w:type="pct"/>
            <w:tcBorders>
              <w:top w:val="nil"/>
              <w:left w:val="nil"/>
              <w:bottom w:val="single" w:sz="4" w:space="0" w:color="808080"/>
              <w:right w:val="single" w:sz="4" w:space="0" w:color="808080"/>
            </w:tcBorders>
            <w:shd w:val="clear" w:color="auto" w:fill="auto"/>
            <w:noWrap/>
            <w:vAlign w:val="bottom"/>
            <w:hideMark/>
          </w:tcPr>
          <w:p w14:paraId="20CB13B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56.36%</w:t>
            </w:r>
          </w:p>
        </w:tc>
        <w:tc>
          <w:tcPr>
            <w:tcW w:w="244" w:type="pct"/>
            <w:tcBorders>
              <w:top w:val="nil"/>
              <w:left w:val="nil"/>
              <w:bottom w:val="single" w:sz="4" w:space="0" w:color="808080"/>
              <w:right w:val="single" w:sz="4" w:space="0" w:color="auto"/>
            </w:tcBorders>
            <w:shd w:val="clear" w:color="auto" w:fill="auto"/>
            <w:noWrap/>
            <w:vAlign w:val="bottom"/>
            <w:hideMark/>
          </w:tcPr>
          <w:p w14:paraId="29C11B1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95.91%</w:t>
            </w:r>
          </w:p>
        </w:tc>
      </w:tr>
      <w:tr w:rsidR="00A022DF" w:rsidRPr="00E87E42" w14:paraId="4A4C930D" w14:textId="77777777" w:rsidTr="005839EF">
        <w:trPr>
          <w:trHeight w:val="227"/>
        </w:trPr>
        <w:tc>
          <w:tcPr>
            <w:tcW w:w="62" w:type="pct"/>
            <w:tcBorders>
              <w:top w:val="nil"/>
              <w:left w:val="single" w:sz="4" w:space="0" w:color="auto"/>
              <w:bottom w:val="single" w:sz="4" w:space="0" w:color="auto"/>
              <w:right w:val="nil"/>
            </w:tcBorders>
            <w:shd w:val="clear" w:color="auto" w:fill="auto"/>
            <w:noWrap/>
            <w:vAlign w:val="bottom"/>
            <w:hideMark/>
          </w:tcPr>
          <w:p w14:paraId="381A235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121" w:type="pct"/>
            <w:tcBorders>
              <w:top w:val="nil"/>
              <w:left w:val="single" w:sz="4" w:space="0" w:color="auto"/>
              <w:bottom w:val="single" w:sz="4" w:space="0" w:color="808080"/>
              <w:right w:val="single" w:sz="4" w:space="0" w:color="auto"/>
            </w:tcBorders>
            <w:shd w:val="clear" w:color="auto" w:fill="auto"/>
            <w:noWrap/>
            <w:vAlign w:val="bottom"/>
            <w:hideMark/>
          </w:tcPr>
          <w:p w14:paraId="5DCA41B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92" w:type="pct"/>
            <w:tcBorders>
              <w:top w:val="nil"/>
              <w:left w:val="nil"/>
              <w:bottom w:val="single" w:sz="4" w:space="0" w:color="808080"/>
              <w:right w:val="single" w:sz="4" w:space="0" w:color="808080"/>
            </w:tcBorders>
            <w:shd w:val="clear" w:color="auto" w:fill="auto"/>
            <w:noWrap/>
            <w:vAlign w:val="bottom"/>
            <w:hideMark/>
          </w:tcPr>
          <w:p w14:paraId="3348723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43" w:type="pct"/>
            <w:tcBorders>
              <w:top w:val="nil"/>
              <w:left w:val="nil"/>
              <w:bottom w:val="single" w:sz="4" w:space="0" w:color="808080"/>
              <w:right w:val="single" w:sz="4" w:space="0" w:color="808080"/>
            </w:tcBorders>
            <w:shd w:val="clear" w:color="auto" w:fill="auto"/>
            <w:noWrap/>
            <w:vAlign w:val="bottom"/>
            <w:hideMark/>
          </w:tcPr>
          <w:p w14:paraId="7D523BD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14" w:type="pct"/>
            <w:tcBorders>
              <w:top w:val="nil"/>
              <w:left w:val="nil"/>
              <w:bottom w:val="single" w:sz="4" w:space="0" w:color="808080"/>
              <w:right w:val="single" w:sz="4" w:space="0" w:color="808080"/>
            </w:tcBorders>
            <w:shd w:val="clear" w:color="auto" w:fill="auto"/>
            <w:noWrap/>
            <w:vAlign w:val="bottom"/>
            <w:hideMark/>
          </w:tcPr>
          <w:p w14:paraId="56CE5FC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2.20%</w:t>
            </w:r>
          </w:p>
        </w:tc>
        <w:tc>
          <w:tcPr>
            <w:tcW w:w="194" w:type="pct"/>
            <w:tcBorders>
              <w:top w:val="nil"/>
              <w:left w:val="nil"/>
              <w:bottom w:val="single" w:sz="4" w:space="0" w:color="808080"/>
              <w:right w:val="single" w:sz="4" w:space="0" w:color="808080"/>
            </w:tcBorders>
            <w:shd w:val="clear" w:color="auto" w:fill="auto"/>
            <w:noWrap/>
            <w:vAlign w:val="bottom"/>
            <w:hideMark/>
          </w:tcPr>
          <w:p w14:paraId="463C2EE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1.65</w:t>
            </w:r>
          </w:p>
        </w:tc>
        <w:tc>
          <w:tcPr>
            <w:tcW w:w="194" w:type="pct"/>
            <w:tcBorders>
              <w:top w:val="nil"/>
              <w:left w:val="nil"/>
              <w:bottom w:val="single" w:sz="4" w:space="0" w:color="808080"/>
              <w:right w:val="single" w:sz="4" w:space="0" w:color="auto"/>
            </w:tcBorders>
            <w:shd w:val="clear" w:color="auto" w:fill="auto"/>
            <w:noWrap/>
            <w:vAlign w:val="bottom"/>
            <w:hideMark/>
          </w:tcPr>
          <w:p w14:paraId="0DDF375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1.65</w:t>
            </w:r>
          </w:p>
        </w:tc>
        <w:tc>
          <w:tcPr>
            <w:tcW w:w="66" w:type="pct"/>
            <w:tcBorders>
              <w:top w:val="nil"/>
              <w:left w:val="nil"/>
              <w:bottom w:val="single" w:sz="4" w:space="0" w:color="808080"/>
              <w:right w:val="single" w:sz="4" w:space="0" w:color="808080"/>
            </w:tcBorders>
            <w:shd w:val="clear" w:color="auto" w:fill="auto"/>
            <w:noWrap/>
            <w:vAlign w:val="bottom"/>
            <w:hideMark/>
          </w:tcPr>
          <w:p w14:paraId="475A068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nil"/>
              <w:left w:val="nil"/>
              <w:bottom w:val="single" w:sz="4" w:space="0" w:color="808080"/>
              <w:right w:val="single" w:sz="4" w:space="0" w:color="808080"/>
            </w:tcBorders>
            <w:shd w:val="clear" w:color="auto" w:fill="auto"/>
            <w:noWrap/>
            <w:vAlign w:val="bottom"/>
            <w:hideMark/>
          </w:tcPr>
          <w:p w14:paraId="63B841C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4" w:type="pct"/>
            <w:tcBorders>
              <w:top w:val="nil"/>
              <w:left w:val="nil"/>
              <w:bottom w:val="single" w:sz="4" w:space="0" w:color="808080"/>
              <w:right w:val="single" w:sz="4" w:space="0" w:color="808080"/>
            </w:tcBorders>
            <w:shd w:val="clear" w:color="auto" w:fill="auto"/>
            <w:noWrap/>
            <w:vAlign w:val="bottom"/>
            <w:hideMark/>
          </w:tcPr>
          <w:p w14:paraId="2EC1457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nil"/>
              <w:left w:val="nil"/>
              <w:bottom w:val="single" w:sz="4" w:space="0" w:color="808080"/>
              <w:right w:val="single" w:sz="4" w:space="0" w:color="808080"/>
            </w:tcBorders>
            <w:shd w:val="clear" w:color="auto" w:fill="auto"/>
            <w:noWrap/>
            <w:vAlign w:val="bottom"/>
            <w:hideMark/>
          </w:tcPr>
          <w:p w14:paraId="4793BB7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nil"/>
              <w:left w:val="nil"/>
              <w:bottom w:val="single" w:sz="4" w:space="0" w:color="808080"/>
              <w:right w:val="nil"/>
            </w:tcBorders>
            <w:shd w:val="clear" w:color="auto" w:fill="auto"/>
            <w:noWrap/>
            <w:vAlign w:val="bottom"/>
            <w:hideMark/>
          </w:tcPr>
          <w:p w14:paraId="098B325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6" w:type="pct"/>
            <w:tcBorders>
              <w:top w:val="nil"/>
              <w:left w:val="single" w:sz="4" w:space="0" w:color="auto"/>
              <w:bottom w:val="single" w:sz="4" w:space="0" w:color="808080"/>
              <w:right w:val="single" w:sz="4" w:space="0" w:color="808080"/>
            </w:tcBorders>
            <w:shd w:val="clear" w:color="auto" w:fill="auto"/>
            <w:noWrap/>
            <w:vAlign w:val="bottom"/>
            <w:hideMark/>
          </w:tcPr>
          <w:p w14:paraId="3C16642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nil"/>
              <w:left w:val="nil"/>
              <w:bottom w:val="single" w:sz="4" w:space="0" w:color="808080"/>
              <w:right w:val="single" w:sz="4" w:space="0" w:color="808080"/>
            </w:tcBorders>
            <w:shd w:val="clear" w:color="auto" w:fill="auto"/>
            <w:noWrap/>
            <w:vAlign w:val="bottom"/>
            <w:hideMark/>
          </w:tcPr>
          <w:p w14:paraId="420E243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3" w:type="pct"/>
            <w:tcBorders>
              <w:top w:val="nil"/>
              <w:left w:val="nil"/>
              <w:bottom w:val="single" w:sz="4" w:space="0" w:color="808080"/>
              <w:right w:val="single" w:sz="4" w:space="0" w:color="808080"/>
            </w:tcBorders>
            <w:shd w:val="clear" w:color="auto" w:fill="auto"/>
            <w:noWrap/>
            <w:vAlign w:val="bottom"/>
            <w:hideMark/>
          </w:tcPr>
          <w:p w14:paraId="3390DE6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4" w:type="pct"/>
            <w:tcBorders>
              <w:top w:val="nil"/>
              <w:left w:val="nil"/>
              <w:bottom w:val="single" w:sz="4" w:space="0" w:color="808080"/>
              <w:right w:val="single" w:sz="4" w:space="0" w:color="808080"/>
            </w:tcBorders>
            <w:shd w:val="clear" w:color="auto" w:fill="auto"/>
            <w:noWrap/>
            <w:vAlign w:val="bottom"/>
            <w:hideMark/>
          </w:tcPr>
          <w:p w14:paraId="57AFD4C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nil"/>
              <w:left w:val="nil"/>
              <w:bottom w:val="single" w:sz="4" w:space="0" w:color="808080"/>
              <w:right w:val="single" w:sz="4" w:space="0" w:color="auto"/>
            </w:tcBorders>
            <w:shd w:val="clear" w:color="auto" w:fill="auto"/>
            <w:noWrap/>
            <w:vAlign w:val="bottom"/>
            <w:hideMark/>
          </w:tcPr>
          <w:p w14:paraId="0F82B03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6" w:type="pct"/>
            <w:tcBorders>
              <w:top w:val="nil"/>
              <w:left w:val="nil"/>
              <w:bottom w:val="single" w:sz="4" w:space="0" w:color="808080"/>
              <w:right w:val="single" w:sz="4" w:space="0" w:color="808080"/>
            </w:tcBorders>
            <w:shd w:val="clear" w:color="auto" w:fill="auto"/>
            <w:noWrap/>
            <w:vAlign w:val="bottom"/>
            <w:hideMark/>
          </w:tcPr>
          <w:p w14:paraId="23AEB9E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43" w:type="pct"/>
            <w:tcBorders>
              <w:top w:val="nil"/>
              <w:left w:val="nil"/>
              <w:bottom w:val="single" w:sz="4" w:space="0" w:color="808080"/>
              <w:right w:val="single" w:sz="4" w:space="0" w:color="808080"/>
            </w:tcBorders>
            <w:shd w:val="clear" w:color="auto" w:fill="auto"/>
            <w:noWrap/>
            <w:vAlign w:val="bottom"/>
            <w:hideMark/>
          </w:tcPr>
          <w:p w14:paraId="011E5B7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4" w:type="pct"/>
            <w:tcBorders>
              <w:top w:val="nil"/>
              <w:left w:val="nil"/>
              <w:bottom w:val="single" w:sz="4" w:space="0" w:color="808080"/>
              <w:right w:val="single" w:sz="4" w:space="0" w:color="808080"/>
            </w:tcBorders>
            <w:shd w:val="clear" w:color="auto" w:fill="auto"/>
            <w:noWrap/>
            <w:vAlign w:val="bottom"/>
            <w:hideMark/>
          </w:tcPr>
          <w:p w14:paraId="04A78C7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4" w:type="pct"/>
            <w:tcBorders>
              <w:top w:val="nil"/>
              <w:left w:val="nil"/>
              <w:bottom w:val="single" w:sz="4" w:space="0" w:color="808080"/>
              <w:right w:val="single" w:sz="4" w:space="0" w:color="808080"/>
            </w:tcBorders>
            <w:shd w:val="clear" w:color="auto" w:fill="auto"/>
            <w:noWrap/>
            <w:vAlign w:val="bottom"/>
            <w:hideMark/>
          </w:tcPr>
          <w:p w14:paraId="2AC49FD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nil"/>
              <w:left w:val="nil"/>
              <w:bottom w:val="single" w:sz="4" w:space="0" w:color="808080"/>
              <w:right w:val="nil"/>
            </w:tcBorders>
            <w:shd w:val="clear" w:color="auto" w:fill="auto"/>
            <w:noWrap/>
            <w:vAlign w:val="bottom"/>
            <w:hideMark/>
          </w:tcPr>
          <w:p w14:paraId="54344AE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7" w:type="pct"/>
            <w:tcBorders>
              <w:top w:val="nil"/>
              <w:left w:val="single" w:sz="4" w:space="0" w:color="auto"/>
              <w:bottom w:val="single" w:sz="4" w:space="0" w:color="808080"/>
              <w:right w:val="single" w:sz="4" w:space="0" w:color="auto"/>
            </w:tcBorders>
            <w:shd w:val="clear" w:color="auto" w:fill="auto"/>
            <w:noWrap/>
            <w:vAlign w:val="bottom"/>
            <w:hideMark/>
          </w:tcPr>
          <w:p w14:paraId="7529A9D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1.65</w:t>
            </w:r>
          </w:p>
        </w:tc>
        <w:tc>
          <w:tcPr>
            <w:tcW w:w="214" w:type="pct"/>
            <w:tcBorders>
              <w:top w:val="nil"/>
              <w:left w:val="nil"/>
              <w:bottom w:val="single" w:sz="4" w:space="0" w:color="808080"/>
              <w:right w:val="single" w:sz="4" w:space="0" w:color="808080"/>
            </w:tcBorders>
            <w:shd w:val="clear" w:color="auto" w:fill="auto"/>
            <w:noWrap/>
            <w:vAlign w:val="bottom"/>
            <w:hideMark/>
          </w:tcPr>
          <w:p w14:paraId="5A6658B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2.15%</w:t>
            </w:r>
          </w:p>
        </w:tc>
        <w:tc>
          <w:tcPr>
            <w:tcW w:w="243" w:type="pct"/>
            <w:tcBorders>
              <w:top w:val="nil"/>
              <w:left w:val="nil"/>
              <w:bottom w:val="single" w:sz="4" w:space="0" w:color="808080"/>
              <w:right w:val="single" w:sz="4" w:space="0" w:color="808080"/>
            </w:tcBorders>
            <w:shd w:val="clear" w:color="auto" w:fill="auto"/>
            <w:noWrap/>
            <w:vAlign w:val="bottom"/>
            <w:hideMark/>
          </w:tcPr>
          <w:p w14:paraId="2365CDE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88.17%</w:t>
            </w:r>
          </w:p>
        </w:tc>
        <w:tc>
          <w:tcPr>
            <w:tcW w:w="214" w:type="pct"/>
            <w:tcBorders>
              <w:top w:val="nil"/>
              <w:left w:val="nil"/>
              <w:bottom w:val="single" w:sz="4" w:space="0" w:color="808080"/>
              <w:right w:val="single" w:sz="4" w:space="0" w:color="808080"/>
            </w:tcBorders>
            <w:shd w:val="clear" w:color="auto" w:fill="auto"/>
            <w:noWrap/>
            <w:vAlign w:val="bottom"/>
            <w:hideMark/>
          </w:tcPr>
          <w:p w14:paraId="1399E37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0.91%</w:t>
            </w:r>
          </w:p>
        </w:tc>
        <w:tc>
          <w:tcPr>
            <w:tcW w:w="244" w:type="pct"/>
            <w:tcBorders>
              <w:top w:val="nil"/>
              <w:left w:val="nil"/>
              <w:bottom w:val="single" w:sz="4" w:space="0" w:color="808080"/>
              <w:right w:val="single" w:sz="4" w:space="0" w:color="auto"/>
            </w:tcBorders>
            <w:shd w:val="clear" w:color="auto" w:fill="auto"/>
            <w:noWrap/>
            <w:vAlign w:val="bottom"/>
            <w:hideMark/>
          </w:tcPr>
          <w:p w14:paraId="11B7914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96.82%</w:t>
            </w:r>
          </w:p>
        </w:tc>
      </w:tr>
      <w:tr w:rsidR="00A022DF" w:rsidRPr="00E87E42" w14:paraId="46F5411A" w14:textId="77777777" w:rsidTr="005839EF">
        <w:trPr>
          <w:trHeight w:val="227"/>
        </w:trPr>
        <w:tc>
          <w:tcPr>
            <w:tcW w:w="62" w:type="pct"/>
            <w:tcBorders>
              <w:top w:val="nil"/>
              <w:left w:val="single" w:sz="4" w:space="0" w:color="auto"/>
              <w:bottom w:val="single" w:sz="4" w:space="0" w:color="auto"/>
              <w:right w:val="nil"/>
            </w:tcBorders>
            <w:shd w:val="clear" w:color="auto" w:fill="auto"/>
            <w:noWrap/>
            <w:vAlign w:val="bottom"/>
            <w:hideMark/>
          </w:tcPr>
          <w:p w14:paraId="76B2402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121" w:type="pct"/>
            <w:tcBorders>
              <w:top w:val="nil"/>
              <w:left w:val="single" w:sz="4" w:space="0" w:color="auto"/>
              <w:bottom w:val="single" w:sz="4" w:space="0" w:color="808080"/>
              <w:right w:val="single" w:sz="4" w:space="0" w:color="auto"/>
            </w:tcBorders>
            <w:shd w:val="clear" w:color="auto" w:fill="auto"/>
            <w:noWrap/>
            <w:vAlign w:val="bottom"/>
            <w:hideMark/>
          </w:tcPr>
          <w:p w14:paraId="2F53D74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w:t>
            </w:r>
          </w:p>
        </w:tc>
        <w:tc>
          <w:tcPr>
            <w:tcW w:w="92" w:type="pct"/>
            <w:tcBorders>
              <w:top w:val="nil"/>
              <w:left w:val="nil"/>
              <w:bottom w:val="single" w:sz="4" w:space="0" w:color="808080"/>
              <w:right w:val="single" w:sz="4" w:space="0" w:color="808080"/>
            </w:tcBorders>
            <w:shd w:val="clear" w:color="auto" w:fill="auto"/>
            <w:noWrap/>
            <w:vAlign w:val="bottom"/>
            <w:hideMark/>
          </w:tcPr>
          <w:p w14:paraId="3E75D6B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w:t>
            </w:r>
          </w:p>
        </w:tc>
        <w:tc>
          <w:tcPr>
            <w:tcW w:w="243" w:type="pct"/>
            <w:tcBorders>
              <w:top w:val="nil"/>
              <w:left w:val="nil"/>
              <w:bottom w:val="single" w:sz="4" w:space="0" w:color="808080"/>
              <w:right w:val="single" w:sz="4" w:space="0" w:color="808080"/>
            </w:tcBorders>
            <w:shd w:val="clear" w:color="auto" w:fill="auto"/>
            <w:noWrap/>
            <w:vAlign w:val="bottom"/>
            <w:hideMark/>
          </w:tcPr>
          <w:p w14:paraId="49BB1F3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90.91%</w:t>
            </w:r>
          </w:p>
        </w:tc>
        <w:tc>
          <w:tcPr>
            <w:tcW w:w="214" w:type="pct"/>
            <w:tcBorders>
              <w:top w:val="nil"/>
              <w:left w:val="nil"/>
              <w:bottom w:val="single" w:sz="4" w:space="0" w:color="808080"/>
              <w:right w:val="single" w:sz="4" w:space="0" w:color="808080"/>
            </w:tcBorders>
            <w:shd w:val="clear" w:color="auto" w:fill="auto"/>
            <w:noWrap/>
            <w:vAlign w:val="bottom"/>
            <w:hideMark/>
          </w:tcPr>
          <w:p w14:paraId="2AA9810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10.99%</w:t>
            </w:r>
          </w:p>
        </w:tc>
        <w:tc>
          <w:tcPr>
            <w:tcW w:w="194" w:type="pct"/>
            <w:tcBorders>
              <w:top w:val="nil"/>
              <w:left w:val="nil"/>
              <w:bottom w:val="single" w:sz="4" w:space="0" w:color="808080"/>
              <w:right w:val="single" w:sz="4" w:space="0" w:color="808080"/>
            </w:tcBorders>
            <w:shd w:val="clear" w:color="auto" w:fill="auto"/>
            <w:noWrap/>
            <w:vAlign w:val="bottom"/>
            <w:hideMark/>
          </w:tcPr>
          <w:p w14:paraId="43C7FA0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21.43</w:t>
            </w:r>
          </w:p>
        </w:tc>
        <w:tc>
          <w:tcPr>
            <w:tcW w:w="194" w:type="pct"/>
            <w:tcBorders>
              <w:top w:val="nil"/>
              <w:left w:val="nil"/>
              <w:bottom w:val="single" w:sz="4" w:space="0" w:color="808080"/>
              <w:right w:val="single" w:sz="4" w:space="0" w:color="auto"/>
            </w:tcBorders>
            <w:shd w:val="clear" w:color="auto" w:fill="auto"/>
            <w:noWrap/>
            <w:vAlign w:val="bottom"/>
            <w:hideMark/>
          </w:tcPr>
          <w:p w14:paraId="69CED9F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21.43</w:t>
            </w:r>
          </w:p>
        </w:tc>
        <w:tc>
          <w:tcPr>
            <w:tcW w:w="66" w:type="pct"/>
            <w:tcBorders>
              <w:top w:val="nil"/>
              <w:left w:val="nil"/>
              <w:bottom w:val="single" w:sz="4" w:space="0" w:color="808080"/>
              <w:right w:val="single" w:sz="4" w:space="0" w:color="808080"/>
            </w:tcBorders>
            <w:shd w:val="clear" w:color="auto" w:fill="auto"/>
            <w:noWrap/>
            <w:vAlign w:val="bottom"/>
            <w:hideMark/>
          </w:tcPr>
          <w:p w14:paraId="3F8DD91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14" w:type="pct"/>
            <w:tcBorders>
              <w:top w:val="nil"/>
              <w:left w:val="nil"/>
              <w:bottom w:val="single" w:sz="4" w:space="0" w:color="808080"/>
              <w:right w:val="single" w:sz="4" w:space="0" w:color="808080"/>
            </w:tcBorders>
            <w:shd w:val="clear" w:color="auto" w:fill="auto"/>
            <w:noWrap/>
            <w:vAlign w:val="bottom"/>
            <w:hideMark/>
          </w:tcPr>
          <w:p w14:paraId="3FCF005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9.09%</w:t>
            </w:r>
          </w:p>
        </w:tc>
        <w:tc>
          <w:tcPr>
            <w:tcW w:w="214" w:type="pct"/>
            <w:tcBorders>
              <w:top w:val="nil"/>
              <w:left w:val="nil"/>
              <w:bottom w:val="single" w:sz="4" w:space="0" w:color="808080"/>
              <w:right w:val="single" w:sz="4" w:space="0" w:color="808080"/>
            </w:tcBorders>
            <w:shd w:val="clear" w:color="auto" w:fill="auto"/>
            <w:noWrap/>
            <w:vAlign w:val="bottom"/>
            <w:hideMark/>
          </w:tcPr>
          <w:p w14:paraId="034C8BB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50.00%</w:t>
            </w:r>
          </w:p>
        </w:tc>
        <w:tc>
          <w:tcPr>
            <w:tcW w:w="165" w:type="pct"/>
            <w:tcBorders>
              <w:top w:val="nil"/>
              <w:left w:val="nil"/>
              <w:bottom w:val="single" w:sz="4" w:space="0" w:color="808080"/>
              <w:right w:val="single" w:sz="4" w:space="0" w:color="808080"/>
            </w:tcBorders>
            <w:shd w:val="clear" w:color="auto" w:fill="auto"/>
            <w:noWrap/>
            <w:vAlign w:val="bottom"/>
            <w:hideMark/>
          </w:tcPr>
          <w:p w14:paraId="2A98558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98.31</w:t>
            </w:r>
          </w:p>
        </w:tc>
        <w:tc>
          <w:tcPr>
            <w:tcW w:w="165" w:type="pct"/>
            <w:tcBorders>
              <w:top w:val="nil"/>
              <w:left w:val="nil"/>
              <w:bottom w:val="single" w:sz="4" w:space="0" w:color="808080"/>
              <w:right w:val="nil"/>
            </w:tcBorders>
            <w:shd w:val="clear" w:color="auto" w:fill="auto"/>
            <w:noWrap/>
            <w:vAlign w:val="bottom"/>
            <w:hideMark/>
          </w:tcPr>
          <w:p w14:paraId="3115ED6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31.88</w:t>
            </w:r>
          </w:p>
        </w:tc>
        <w:tc>
          <w:tcPr>
            <w:tcW w:w="66" w:type="pct"/>
            <w:tcBorders>
              <w:top w:val="nil"/>
              <w:left w:val="single" w:sz="4" w:space="0" w:color="auto"/>
              <w:bottom w:val="single" w:sz="4" w:space="0" w:color="808080"/>
              <w:right w:val="single" w:sz="4" w:space="0" w:color="808080"/>
            </w:tcBorders>
            <w:shd w:val="clear" w:color="auto" w:fill="auto"/>
            <w:noWrap/>
            <w:vAlign w:val="bottom"/>
            <w:hideMark/>
          </w:tcPr>
          <w:p w14:paraId="3141F66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nil"/>
              <w:left w:val="nil"/>
              <w:bottom w:val="single" w:sz="4" w:space="0" w:color="808080"/>
              <w:right w:val="single" w:sz="4" w:space="0" w:color="808080"/>
            </w:tcBorders>
            <w:shd w:val="clear" w:color="auto" w:fill="auto"/>
            <w:noWrap/>
            <w:vAlign w:val="bottom"/>
            <w:hideMark/>
          </w:tcPr>
          <w:p w14:paraId="4A962FF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3" w:type="pct"/>
            <w:tcBorders>
              <w:top w:val="nil"/>
              <w:left w:val="nil"/>
              <w:bottom w:val="single" w:sz="4" w:space="0" w:color="808080"/>
              <w:right w:val="single" w:sz="4" w:space="0" w:color="808080"/>
            </w:tcBorders>
            <w:shd w:val="clear" w:color="auto" w:fill="auto"/>
            <w:noWrap/>
            <w:vAlign w:val="bottom"/>
            <w:hideMark/>
          </w:tcPr>
          <w:p w14:paraId="7EBB2E8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4" w:type="pct"/>
            <w:tcBorders>
              <w:top w:val="nil"/>
              <w:left w:val="nil"/>
              <w:bottom w:val="single" w:sz="4" w:space="0" w:color="808080"/>
              <w:right w:val="single" w:sz="4" w:space="0" w:color="808080"/>
            </w:tcBorders>
            <w:shd w:val="clear" w:color="auto" w:fill="auto"/>
            <w:noWrap/>
            <w:vAlign w:val="bottom"/>
            <w:hideMark/>
          </w:tcPr>
          <w:p w14:paraId="6DF517C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nil"/>
              <w:left w:val="nil"/>
              <w:bottom w:val="single" w:sz="4" w:space="0" w:color="808080"/>
              <w:right w:val="single" w:sz="4" w:space="0" w:color="auto"/>
            </w:tcBorders>
            <w:shd w:val="clear" w:color="auto" w:fill="auto"/>
            <w:noWrap/>
            <w:vAlign w:val="bottom"/>
            <w:hideMark/>
          </w:tcPr>
          <w:p w14:paraId="6E9D4D2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6" w:type="pct"/>
            <w:tcBorders>
              <w:top w:val="nil"/>
              <w:left w:val="nil"/>
              <w:bottom w:val="single" w:sz="4" w:space="0" w:color="808080"/>
              <w:right w:val="single" w:sz="4" w:space="0" w:color="808080"/>
            </w:tcBorders>
            <w:shd w:val="clear" w:color="auto" w:fill="auto"/>
            <w:noWrap/>
            <w:vAlign w:val="bottom"/>
            <w:hideMark/>
          </w:tcPr>
          <w:p w14:paraId="23A5F61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43" w:type="pct"/>
            <w:tcBorders>
              <w:top w:val="nil"/>
              <w:left w:val="nil"/>
              <w:bottom w:val="single" w:sz="4" w:space="0" w:color="808080"/>
              <w:right w:val="single" w:sz="4" w:space="0" w:color="808080"/>
            </w:tcBorders>
            <w:shd w:val="clear" w:color="auto" w:fill="auto"/>
            <w:noWrap/>
            <w:vAlign w:val="bottom"/>
            <w:hideMark/>
          </w:tcPr>
          <w:p w14:paraId="30DE7BE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4" w:type="pct"/>
            <w:tcBorders>
              <w:top w:val="nil"/>
              <w:left w:val="nil"/>
              <w:bottom w:val="single" w:sz="4" w:space="0" w:color="808080"/>
              <w:right w:val="single" w:sz="4" w:space="0" w:color="808080"/>
            </w:tcBorders>
            <w:shd w:val="clear" w:color="auto" w:fill="auto"/>
            <w:noWrap/>
            <w:vAlign w:val="bottom"/>
            <w:hideMark/>
          </w:tcPr>
          <w:p w14:paraId="6243A1C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4" w:type="pct"/>
            <w:tcBorders>
              <w:top w:val="nil"/>
              <w:left w:val="nil"/>
              <w:bottom w:val="single" w:sz="4" w:space="0" w:color="808080"/>
              <w:right w:val="single" w:sz="4" w:space="0" w:color="808080"/>
            </w:tcBorders>
            <w:shd w:val="clear" w:color="auto" w:fill="auto"/>
            <w:noWrap/>
            <w:vAlign w:val="bottom"/>
            <w:hideMark/>
          </w:tcPr>
          <w:p w14:paraId="57A177B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nil"/>
              <w:left w:val="nil"/>
              <w:bottom w:val="single" w:sz="4" w:space="0" w:color="808080"/>
              <w:right w:val="nil"/>
            </w:tcBorders>
            <w:shd w:val="clear" w:color="auto" w:fill="auto"/>
            <w:noWrap/>
            <w:vAlign w:val="bottom"/>
            <w:hideMark/>
          </w:tcPr>
          <w:p w14:paraId="687A014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7" w:type="pct"/>
            <w:tcBorders>
              <w:top w:val="nil"/>
              <w:left w:val="single" w:sz="4" w:space="0" w:color="auto"/>
              <w:bottom w:val="single" w:sz="4" w:space="0" w:color="808080"/>
              <w:right w:val="single" w:sz="4" w:space="0" w:color="auto"/>
            </w:tcBorders>
            <w:shd w:val="clear" w:color="auto" w:fill="auto"/>
            <w:noWrap/>
            <w:vAlign w:val="bottom"/>
            <w:hideMark/>
          </w:tcPr>
          <w:p w14:paraId="2B8F757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28.42</w:t>
            </w:r>
          </w:p>
        </w:tc>
        <w:tc>
          <w:tcPr>
            <w:tcW w:w="214" w:type="pct"/>
            <w:tcBorders>
              <w:top w:val="nil"/>
              <w:left w:val="nil"/>
              <w:bottom w:val="single" w:sz="4" w:space="0" w:color="808080"/>
              <w:right w:val="single" w:sz="4" w:space="0" w:color="808080"/>
            </w:tcBorders>
            <w:shd w:val="clear" w:color="auto" w:fill="auto"/>
            <w:noWrap/>
            <w:vAlign w:val="bottom"/>
            <w:hideMark/>
          </w:tcPr>
          <w:p w14:paraId="399AB91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11.83%</w:t>
            </w:r>
          </w:p>
        </w:tc>
        <w:tc>
          <w:tcPr>
            <w:tcW w:w="243" w:type="pct"/>
            <w:tcBorders>
              <w:top w:val="nil"/>
              <w:left w:val="nil"/>
              <w:bottom w:val="single" w:sz="4" w:space="0" w:color="808080"/>
              <w:right w:val="single" w:sz="4" w:space="0" w:color="808080"/>
            </w:tcBorders>
            <w:shd w:val="clear" w:color="auto" w:fill="auto"/>
            <w:noWrap/>
            <w:vAlign w:val="bottom"/>
            <w:hideMark/>
          </w:tcPr>
          <w:p w14:paraId="7FBC67A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14" w:type="pct"/>
            <w:tcBorders>
              <w:top w:val="nil"/>
              <w:left w:val="nil"/>
              <w:bottom w:val="single" w:sz="4" w:space="0" w:color="808080"/>
              <w:right w:val="single" w:sz="4" w:space="0" w:color="808080"/>
            </w:tcBorders>
            <w:shd w:val="clear" w:color="auto" w:fill="auto"/>
            <w:noWrap/>
            <w:vAlign w:val="bottom"/>
            <w:hideMark/>
          </w:tcPr>
          <w:p w14:paraId="79E21F0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3.18%</w:t>
            </w:r>
          </w:p>
        </w:tc>
        <w:tc>
          <w:tcPr>
            <w:tcW w:w="244" w:type="pct"/>
            <w:tcBorders>
              <w:top w:val="nil"/>
              <w:left w:val="nil"/>
              <w:bottom w:val="single" w:sz="4" w:space="0" w:color="808080"/>
              <w:right w:val="single" w:sz="4" w:space="0" w:color="auto"/>
            </w:tcBorders>
            <w:shd w:val="clear" w:color="auto" w:fill="auto"/>
            <w:noWrap/>
            <w:vAlign w:val="bottom"/>
            <w:hideMark/>
          </w:tcPr>
          <w:p w14:paraId="72CD3EF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r>
      <w:tr w:rsidR="00A022DF" w:rsidRPr="00E87E42" w14:paraId="3FA9C408" w14:textId="77777777" w:rsidTr="005839EF">
        <w:trPr>
          <w:trHeight w:val="227"/>
        </w:trPr>
        <w:tc>
          <w:tcPr>
            <w:tcW w:w="62" w:type="pct"/>
            <w:tcBorders>
              <w:top w:val="nil"/>
              <w:left w:val="single" w:sz="4" w:space="0" w:color="auto"/>
              <w:bottom w:val="single" w:sz="4" w:space="0" w:color="auto"/>
              <w:right w:val="nil"/>
            </w:tcBorders>
            <w:shd w:val="clear" w:color="auto" w:fill="auto"/>
            <w:noWrap/>
            <w:vAlign w:val="bottom"/>
            <w:hideMark/>
          </w:tcPr>
          <w:p w14:paraId="49CF654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121" w:type="pct"/>
            <w:tcBorders>
              <w:top w:val="nil"/>
              <w:left w:val="single" w:sz="4" w:space="0" w:color="auto"/>
              <w:bottom w:val="single" w:sz="4" w:space="0" w:color="auto"/>
              <w:right w:val="single" w:sz="4" w:space="0" w:color="auto"/>
            </w:tcBorders>
            <w:shd w:val="clear" w:color="auto" w:fill="auto"/>
            <w:noWrap/>
            <w:vAlign w:val="bottom"/>
            <w:hideMark/>
          </w:tcPr>
          <w:p w14:paraId="346D1EA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92" w:type="pct"/>
            <w:tcBorders>
              <w:top w:val="nil"/>
              <w:left w:val="nil"/>
              <w:bottom w:val="single" w:sz="4" w:space="0" w:color="auto"/>
              <w:right w:val="single" w:sz="4" w:space="0" w:color="808080"/>
            </w:tcBorders>
            <w:shd w:val="clear" w:color="auto" w:fill="auto"/>
            <w:noWrap/>
            <w:vAlign w:val="bottom"/>
            <w:hideMark/>
          </w:tcPr>
          <w:p w14:paraId="593E8A1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3" w:type="pct"/>
            <w:tcBorders>
              <w:top w:val="nil"/>
              <w:left w:val="nil"/>
              <w:bottom w:val="single" w:sz="4" w:space="0" w:color="auto"/>
              <w:right w:val="single" w:sz="4" w:space="0" w:color="808080"/>
            </w:tcBorders>
            <w:shd w:val="clear" w:color="auto" w:fill="auto"/>
            <w:noWrap/>
            <w:vAlign w:val="bottom"/>
            <w:hideMark/>
          </w:tcPr>
          <w:p w14:paraId="4F43A95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14" w:type="pct"/>
            <w:tcBorders>
              <w:top w:val="nil"/>
              <w:left w:val="nil"/>
              <w:bottom w:val="single" w:sz="4" w:space="0" w:color="auto"/>
              <w:right w:val="single" w:sz="4" w:space="0" w:color="808080"/>
            </w:tcBorders>
            <w:shd w:val="clear" w:color="auto" w:fill="auto"/>
            <w:noWrap/>
            <w:vAlign w:val="bottom"/>
            <w:hideMark/>
          </w:tcPr>
          <w:p w14:paraId="71C4F99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194" w:type="pct"/>
            <w:tcBorders>
              <w:top w:val="nil"/>
              <w:left w:val="nil"/>
              <w:bottom w:val="single" w:sz="4" w:space="0" w:color="auto"/>
              <w:right w:val="single" w:sz="4" w:space="0" w:color="808080"/>
            </w:tcBorders>
            <w:shd w:val="clear" w:color="auto" w:fill="auto"/>
            <w:noWrap/>
            <w:vAlign w:val="bottom"/>
            <w:hideMark/>
          </w:tcPr>
          <w:p w14:paraId="2CA75D5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194" w:type="pct"/>
            <w:tcBorders>
              <w:top w:val="nil"/>
              <w:left w:val="nil"/>
              <w:bottom w:val="single" w:sz="4" w:space="0" w:color="auto"/>
              <w:right w:val="single" w:sz="4" w:space="0" w:color="auto"/>
            </w:tcBorders>
            <w:shd w:val="clear" w:color="auto" w:fill="auto"/>
            <w:noWrap/>
            <w:vAlign w:val="bottom"/>
            <w:hideMark/>
          </w:tcPr>
          <w:p w14:paraId="2BB56E1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66" w:type="pct"/>
            <w:tcBorders>
              <w:top w:val="nil"/>
              <w:left w:val="nil"/>
              <w:bottom w:val="single" w:sz="4" w:space="0" w:color="auto"/>
              <w:right w:val="single" w:sz="4" w:space="0" w:color="808080"/>
            </w:tcBorders>
            <w:shd w:val="clear" w:color="auto" w:fill="auto"/>
            <w:noWrap/>
            <w:vAlign w:val="bottom"/>
            <w:hideMark/>
          </w:tcPr>
          <w:p w14:paraId="6A4C14E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14" w:type="pct"/>
            <w:tcBorders>
              <w:top w:val="nil"/>
              <w:left w:val="nil"/>
              <w:bottom w:val="single" w:sz="4" w:space="0" w:color="auto"/>
              <w:right w:val="single" w:sz="4" w:space="0" w:color="808080"/>
            </w:tcBorders>
            <w:shd w:val="clear" w:color="auto" w:fill="auto"/>
            <w:noWrap/>
            <w:vAlign w:val="bottom"/>
            <w:hideMark/>
          </w:tcPr>
          <w:p w14:paraId="03CAF1D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14" w:type="pct"/>
            <w:tcBorders>
              <w:top w:val="nil"/>
              <w:left w:val="nil"/>
              <w:bottom w:val="single" w:sz="4" w:space="0" w:color="auto"/>
              <w:right w:val="single" w:sz="4" w:space="0" w:color="808080"/>
            </w:tcBorders>
            <w:shd w:val="clear" w:color="auto" w:fill="auto"/>
            <w:noWrap/>
            <w:vAlign w:val="bottom"/>
            <w:hideMark/>
          </w:tcPr>
          <w:p w14:paraId="1BAD35C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165" w:type="pct"/>
            <w:tcBorders>
              <w:top w:val="nil"/>
              <w:left w:val="nil"/>
              <w:bottom w:val="single" w:sz="4" w:space="0" w:color="auto"/>
              <w:right w:val="single" w:sz="4" w:space="0" w:color="808080"/>
            </w:tcBorders>
            <w:shd w:val="clear" w:color="auto" w:fill="auto"/>
            <w:noWrap/>
            <w:vAlign w:val="bottom"/>
            <w:hideMark/>
          </w:tcPr>
          <w:p w14:paraId="5EF4D74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165" w:type="pct"/>
            <w:tcBorders>
              <w:top w:val="nil"/>
              <w:left w:val="nil"/>
              <w:bottom w:val="single" w:sz="4" w:space="0" w:color="auto"/>
              <w:right w:val="nil"/>
            </w:tcBorders>
            <w:shd w:val="clear" w:color="auto" w:fill="auto"/>
            <w:noWrap/>
            <w:vAlign w:val="bottom"/>
            <w:hideMark/>
          </w:tcPr>
          <w:p w14:paraId="71F2A8C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66" w:type="pct"/>
            <w:tcBorders>
              <w:top w:val="nil"/>
              <w:left w:val="single" w:sz="4" w:space="0" w:color="auto"/>
              <w:bottom w:val="single" w:sz="4" w:space="0" w:color="auto"/>
              <w:right w:val="single" w:sz="4" w:space="0" w:color="808080"/>
            </w:tcBorders>
            <w:shd w:val="clear" w:color="auto" w:fill="auto"/>
            <w:noWrap/>
            <w:vAlign w:val="bottom"/>
            <w:hideMark/>
          </w:tcPr>
          <w:p w14:paraId="05420E8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14" w:type="pct"/>
            <w:tcBorders>
              <w:top w:val="nil"/>
              <w:left w:val="nil"/>
              <w:bottom w:val="single" w:sz="4" w:space="0" w:color="auto"/>
              <w:right w:val="single" w:sz="4" w:space="0" w:color="808080"/>
            </w:tcBorders>
            <w:shd w:val="clear" w:color="auto" w:fill="auto"/>
            <w:noWrap/>
            <w:vAlign w:val="bottom"/>
            <w:hideMark/>
          </w:tcPr>
          <w:p w14:paraId="5232F22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3" w:type="pct"/>
            <w:tcBorders>
              <w:top w:val="nil"/>
              <w:left w:val="nil"/>
              <w:bottom w:val="single" w:sz="4" w:space="0" w:color="auto"/>
              <w:right w:val="single" w:sz="4" w:space="0" w:color="808080"/>
            </w:tcBorders>
            <w:shd w:val="clear" w:color="auto" w:fill="auto"/>
            <w:noWrap/>
            <w:vAlign w:val="bottom"/>
            <w:hideMark/>
          </w:tcPr>
          <w:p w14:paraId="077FCD9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194" w:type="pct"/>
            <w:tcBorders>
              <w:top w:val="nil"/>
              <w:left w:val="nil"/>
              <w:bottom w:val="single" w:sz="4" w:space="0" w:color="auto"/>
              <w:right w:val="single" w:sz="4" w:space="0" w:color="808080"/>
            </w:tcBorders>
            <w:shd w:val="clear" w:color="auto" w:fill="auto"/>
            <w:noWrap/>
            <w:vAlign w:val="bottom"/>
            <w:hideMark/>
          </w:tcPr>
          <w:p w14:paraId="4CFE8EB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165" w:type="pct"/>
            <w:tcBorders>
              <w:top w:val="nil"/>
              <w:left w:val="nil"/>
              <w:bottom w:val="single" w:sz="4" w:space="0" w:color="auto"/>
              <w:right w:val="single" w:sz="4" w:space="0" w:color="auto"/>
            </w:tcBorders>
            <w:shd w:val="clear" w:color="auto" w:fill="auto"/>
            <w:noWrap/>
            <w:vAlign w:val="bottom"/>
            <w:hideMark/>
          </w:tcPr>
          <w:p w14:paraId="5CB4F3A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66" w:type="pct"/>
            <w:tcBorders>
              <w:top w:val="nil"/>
              <w:left w:val="nil"/>
              <w:bottom w:val="single" w:sz="4" w:space="0" w:color="auto"/>
              <w:right w:val="single" w:sz="4" w:space="0" w:color="808080"/>
            </w:tcBorders>
            <w:shd w:val="clear" w:color="auto" w:fill="auto"/>
            <w:noWrap/>
            <w:vAlign w:val="bottom"/>
            <w:hideMark/>
          </w:tcPr>
          <w:p w14:paraId="24F4B90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3" w:type="pct"/>
            <w:tcBorders>
              <w:top w:val="nil"/>
              <w:left w:val="nil"/>
              <w:bottom w:val="single" w:sz="4" w:space="0" w:color="auto"/>
              <w:right w:val="single" w:sz="4" w:space="0" w:color="808080"/>
            </w:tcBorders>
            <w:shd w:val="clear" w:color="auto" w:fill="auto"/>
            <w:noWrap/>
            <w:vAlign w:val="bottom"/>
            <w:hideMark/>
          </w:tcPr>
          <w:p w14:paraId="5B6ABCB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14" w:type="pct"/>
            <w:tcBorders>
              <w:top w:val="nil"/>
              <w:left w:val="nil"/>
              <w:bottom w:val="single" w:sz="4" w:space="0" w:color="auto"/>
              <w:right w:val="single" w:sz="4" w:space="0" w:color="808080"/>
            </w:tcBorders>
            <w:shd w:val="clear" w:color="auto" w:fill="auto"/>
            <w:noWrap/>
            <w:vAlign w:val="bottom"/>
            <w:hideMark/>
          </w:tcPr>
          <w:p w14:paraId="28D7D39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194" w:type="pct"/>
            <w:tcBorders>
              <w:top w:val="nil"/>
              <w:left w:val="nil"/>
              <w:bottom w:val="single" w:sz="4" w:space="0" w:color="auto"/>
              <w:right w:val="single" w:sz="4" w:space="0" w:color="808080"/>
            </w:tcBorders>
            <w:shd w:val="clear" w:color="auto" w:fill="auto"/>
            <w:noWrap/>
            <w:vAlign w:val="bottom"/>
            <w:hideMark/>
          </w:tcPr>
          <w:p w14:paraId="7ADDFAE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165" w:type="pct"/>
            <w:tcBorders>
              <w:top w:val="nil"/>
              <w:left w:val="nil"/>
              <w:bottom w:val="single" w:sz="4" w:space="0" w:color="auto"/>
              <w:right w:val="nil"/>
            </w:tcBorders>
            <w:shd w:val="clear" w:color="auto" w:fill="auto"/>
            <w:noWrap/>
            <w:vAlign w:val="bottom"/>
            <w:hideMark/>
          </w:tcPr>
          <w:p w14:paraId="30EFA46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74838CB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14" w:type="pct"/>
            <w:tcBorders>
              <w:top w:val="nil"/>
              <w:left w:val="nil"/>
              <w:bottom w:val="single" w:sz="4" w:space="0" w:color="auto"/>
              <w:right w:val="single" w:sz="4" w:space="0" w:color="808080"/>
            </w:tcBorders>
            <w:shd w:val="clear" w:color="auto" w:fill="auto"/>
            <w:noWrap/>
            <w:vAlign w:val="bottom"/>
            <w:hideMark/>
          </w:tcPr>
          <w:p w14:paraId="75BB0FC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3" w:type="pct"/>
            <w:tcBorders>
              <w:top w:val="nil"/>
              <w:left w:val="nil"/>
              <w:bottom w:val="single" w:sz="4" w:space="0" w:color="auto"/>
              <w:right w:val="single" w:sz="4" w:space="0" w:color="808080"/>
            </w:tcBorders>
            <w:shd w:val="clear" w:color="auto" w:fill="auto"/>
            <w:noWrap/>
            <w:vAlign w:val="bottom"/>
            <w:hideMark/>
          </w:tcPr>
          <w:p w14:paraId="2458BBA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14" w:type="pct"/>
            <w:tcBorders>
              <w:top w:val="nil"/>
              <w:left w:val="nil"/>
              <w:bottom w:val="single" w:sz="4" w:space="0" w:color="auto"/>
              <w:right w:val="single" w:sz="4" w:space="0" w:color="808080"/>
            </w:tcBorders>
            <w:shd w:val="clear" w:color="auto" w:fill="auto"/>
            <w:noWrap/>
            <w:vAlign w:val="bottom"/>
            <w:hideMark/>
          </w:tcPr>
          <w:p w14:paraId="7B22D8D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4" w:type="pct"/>
            <w:tcBorders>
              <w:top w:val="nil"/>
              <w:left w:val="nil"/>
              <w:bottom w:val="single" w:sz="4" w:space="0" w:color="auto"/>
              <w:right w:val="single" w:sz="4" w:space="0" w:color="auto"/>
            </w:tcBorders>
            <w:shd w:val="clear" w:color="auto" w:fill="auto"/>
            <w:noWrap/>
            <w:vAlign w:val="bottom"/>
            <w:hideMark/>
          </w:tcPr>
          <w:p w14:paraId="02E5A9A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r>
      <w:tr w:rsidR="00A022DF" w:rsidRPr="00E87E42" w14:paraId="3E519AA4" w14:textId="77777777" w:rsidTr="005839EF">
        <w:trPr>
          <w:trHeight w:val="227"/>
        </w:trPr>
        <w:tc>
          <w:tcPr>
            <w:tcW w:w="3708" w:type="pct"/>
            <w:gridSpan w:val="22"/>
            <w:tcBorders>
              <w:top w:val="nil"/>
              <w:left w:val="single" w:sz="4" w:space="0" w:color="auto"/>
              <w:bottom w:val="single" w:sz="4" w:space="0" w:color="auto"/>
              <w:right w:val="nil"/>
            </w:tcBorders>
            <w:shd w:val="clear" w:color="auto" w:fill="auto"/>
            <w:noWrap/>
            <w:vAlign w:val="bottom"/>
          </w:tcPr>
          <w:p w14:paraId="6ED23D60" w14:textId="77777777" w:rsidR="00A022DF" w:rsidRPr="00E87E42" w:rsidRDefault="00A022DF" w:rsidP="00A022DF">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Total weighted area damage</w:t>
            </w:r>
          </w:p>
        </w:tc>
        <w:tc>
          <w:tcPr>
            <w:tcW w:w="377" w:type="pct"/>
            <w:tcBorders>
              <w:top w:val="nil"/>
              <w:left w:val="single" w:sz="4" w:space="0" w:color="auto"/>
              <w:bottom w:val="single" w:sz="4" w:space="0" w:color="auto"/>
              <w:right w:val="single" w:sz="4" w:space="0" w:color="auto"/>
            </w:tcBorders>
            <w:shd w:val="clear" w:color="auto" w:fill="auto"/>
            <w:noWrap/>
            <w:vAlign w:val="bottom"/>
          </w:tcPr>
          <w:p w14:paraId="12896DE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70.70</w:t>
            </w:r>
          </w:p>
        </w:tc>
        <w:tc>
          <w:tcPr>
            <w:tcW w:w="915" w:type="pct"/>
            <w:gridSpan w:val="4"/>
            <w:tcBorders>
              <w:top w:val="nil"/>
              <w:left w:val="nil"/>
              <w:bottom w:val="single" w:sz="4" w:space="0" w:color="auto"/>
              <w:right w:val="single" w:sz="4" w:space="0" w:color="auto"/>
            </w:tcBorders>
            <w:shd w:val="clear" w:color="auto" w:fill="auto"/>
            <w:noWrap/>
            <w:vAlign w:val="bottom"/>
          </w:tcPr>
          <w:p w14:paraId="3D49410E" w14:textId="77777777" w:rsidR="00A022DF" w:rsidRPr="00E87E42" w:rsidRDefault="00A022DF" w:rsidP="00A022DF">
            <w:pPr>
              <w:spacing w:after="0" w:line="240" w:lineRule="auto"/>
              <w:jc w:val="center"/>
              <w:rPr>
                <w:rFonts w:eastAsia="Times New Roman"/>
                <w:color w:val="000000"/>
                <w:sz w:val="16"/>
                <w:szCs w:val="16"/>
                <w:lang w:eastAsia="en-GB"/>
              </w:rPr>
            </w:pPr>
          </w:p>
        </w:tc>
      </w:tr>
      <w:tr w:rsidR="00A022DF" w:rsidRPr="00E87E42" w14:paraId="5A2E0039" w14:textId="77777777" w:rsidTr="005839EF">
        <w:trPr>
          <w:trHeight w:val="227"/>
        </w:trPr>
        <w:tc>
          <w:tcPr>
            <w:tcW w:w="62" w:type="pct"/>
            <w:tcBorders>
              <w:top w:val="nil"/>
              <w:left w:val="nil"/>
              <w:bottom w:val="nil"/>
              <w:right w:val="nil"/>
            </w:tcBorders>
            <w:shd w:val="clear" w:color="auto" w:fill="auto"/>
            <w:noWrap/>
            <w:vAlign w:val="bottom"/>
            <w:hideMark/>
          </w:tcPr>
          <w:p w14:paraId="5BA65646" w14:textId="77777777" w:rsidR="00A022DF" w:rsidRPr="00E87E42" w:rsidRDefault="00A022DF" w:rsidP="00A022DF">
            <w:pPr>
              <w:spacing w:after="0" w:line="240" w:lineRule="auto"/>
              <w:jc w:val="center"/>
              <w:rPr>
                <w:rFonts w:eastAsia="Times New Roman"/>
                <w:color w:val="000000"/>
                <w:sz w:val="16"/>
                <w:szCs w:val="16"/>
                <w:lang w:eastAsia="en-GB"/>
              </w:rPr>
            </w:pPr>
          </w:p>
        </w:tc>
        <w:tc>
          <w:tcPr>
            <w:tcW w:w="4938" w:type="pct"/>
            <w:gridSpan w:val="26"/>
            <w:tcBorders>
              <w:top w:val="nil"/>
              <w:left w:val="single" w:sz="4" w:space="0" w:color="auto"/>
              <w:bottom w:val="single" w:sz="4" w:space="0" w:color="auto"/>
              <w:right w:val="single" w:sz="4" w:space="0" w:color="000000"/>
            </w:tcBorders>
            <w:shd w:val="clear" w:color="auto" w:fill="auto"/>
            <w:noWrap/>
            <w:vAlign w:val="bottom"/>
            <w:hideMark/>
          </w:tcPr>
          <w:p w14:paraId="1748AD53" w14:textId="77777777" w:rsidR="00A022DF" w:rsidRPr="00E87E42" w:rsidRDefault="00A022DF" w:rsidP="00A022DF">
            <w:pPr>
              <w:spacing w:after="0" w:line="240" w:lineRule="auto"/>
              <w:jc w:val="center"/>
              <w:rPr>
                <w:rFonts w:eastAsia="Times New Roman"/>
                <w:b/>
                <w:bCs/>
                <w:color w:val="000000"/>
                <w:sz w:val="16"/>
                <w:szCs w:val="16"/>
                <w:u w:val="single"/>
                <w:lang w:eastAsia="en-GB"/>
              </w:rPr>
            </w:pPr>
            <w:r w:rsidRPr="00E87E42">
              <w:rPr>
                <w:rFonts w:eastAsia="Times New Roman"/>
                <w:b/>
                <w:bCs/>
                <w:color w:val="000000"/>
                <w:sz w:val="16"/>
                <w:szCs w:val="16"/>
                <w:u w:val="single"/>
                <w:lang w:eastAsia="en-GB"/>
              </w:rPr>
              <w:t xml:space="preserve">No Sprinklers - Area damage </w:t>
            </w:r>
            <w:r w:rsidRPr="00E87E42">
              <w:rPr>
                <w:rFonts w:eastAsia="Times New Roman"/>
                <w:b/>
                <w:color w:val="000000"/>
                <w:sz w:val="16"/>
                <w:szCs w:val="16"/>
                <w:u w:val="single"/>
                <w:lang w:eastAsia="en-GB"/>
              </w:rPr>
              <w:t>m</w:t>
            </w:r>
            <w:r w:rsidRPr="00E87E42">
              <w:rPr>
                <w:rFonts w:eastAsia="Times New Roman"/>
                <w:b/>
                <w:color w:val="000000"/>
                <w:sz w:val="16"/>
                <w:szCs w:val="16"/>
                <w:u w:val="single"/>
                <w:vertAlign w:val="superscript"/>
                <w:lang w:eastAsia="en-GB"/>
              </w:rPr>
              <w:t>2</w:t>
            </w:r>
          </w:p>
        </w:tc>
      </w:tr>
      <w:tr w:rsidR="00A022DF" w:rsidRPr="00E87E42" w14:paraId="3CFE13AD" w14:textId="77777777" w:rsidTr="005839EF">
        <w:trPr>
          <w:trHeight w:val="227"/>
        </w:trPr>
        <w:tc>
          <w:tcPr>
            <w:tcW w:w="62" w:type="pct"/>
            <w:tcBorders>
              <w:top w:val="nil"/>
              <w:left w:val="nil"/>
              <w:bottom w:val="nil"/>
              <w:right w:val="nil"/>
            </w:tcBorders>
            <w:shd w:val="clear" w:color="auto" w:fill="auto"/>
            <w:noWrap/>
            <w:vAlign w:val="bottom"/>
            <w:hideMark/>
          </w:tcPr>
          <w:p w14:paraId="31CB77F4" w14:textId="77777777" w:rsidR="00A022DF" w:rsidRPr="00E87E42" w:rsidRDefault="00A022DF" w:rsidP="00A022DF">
            <w:pPr>
              <w:spacing w:after="0" w:line="240" w:lineRule="auto"/>
              <w:jc w:val="center"/>
              <w:rPr>
                <w:rFonts w:eastAsia="Times New Roman"/>
                <w:b/>
                <w:bCs/>
                <w:color w:val="000000"/>
                <w:sz w:val="16"/>
                <w:szCs w:val="16"/>
                <w:u w:val="single"/>
                <w:lang w:eastAsia="en-GB"/>
              </w:rPr>
            </w:pPr>
          </w:p>
        </w:tc>
        <w:tc>
          <w:tcPr>
            <w:tcW w:w="121" w:type="pct"/>
            <w:vMerge w:val="restart"/>
            <w:tcBorders>
              <w:top w:val="nil"/>
              <w:left w:val="single" w:sz="4" w:space="0" w:color="auto"/>
              <w:bottom w:val="nil"/>
              <w:right w:val="single" w:sz="4" w:space="0" w:color="auto"/>
            </w:tcBorders>
            <w:shd w:val="clear" w:color="auto" w:fill="auto"/>
            <w:noWrap/>
            <w:vAlign w:val="center"/>
            <w:hideMark/>
          </w:tcPr>
          <w:p w14:paraId="65C59F0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w:t>
            </w:r>
          </w:p>
        </w:tc>
        <w:tc>
          <w:tcPr>
            <w:tcW w:w="937"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6972FC7A" w14:textId="77777777"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Minor</w:t>
            </w:r>
          </w:p>
        </w:tc>
        <w:tc>
          <w:tcPr>
            <w:tcW w:w="824"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7B4CB6D9" w14:textId="77777777"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Significantly</w:t>
            </w:r>
          </w:p>
        </w:tc>
        <w:tc>
          <w:tcPr>
            <w:tcW w:w="882"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490F9D90" w14:textId="77777777"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Heavy</w:t>
            </w:r>
          </w:p>
        </w:tc>
        <w:tc>
          <w:tcPr>
            <w:tcW w:w="882"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771C8B87" w14:textId="77777777"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Extreme</w:t>
            </w:r>
          </w:p>
        </w:tc>
        <w:tc>
          <w:tcPr>
            <w:tcW w:w="377" w:type="pct"/>
            <w:vMerge w:val="restart"/>
            <w:tcBorders>
              <w:top w:val="nil"/>
              <w:left w:val="single" w:sz="4" w:space="0" w:color="auto"/>
              <w:bottom w:val="nil"/>
              <w:right w:val="single" w:sz="4" w:space="0" w:color="auto"/>
            </w:tcBorders>
            <w:shd w:val="clear" w:color="auto" w:fill="auto"/>
            <w:noWrap/>
            <w:vAlign w:val="center"/>
            <w:hideMark/>
          </w:tcPr>
          <w:p w14:paraId="1D21C1AA" w14:textId="77777777" w:rsidR="00A022DF" w:rsidRPr="00E87E42" w:rsidRDefault="00A022DF" w:rsidP="00A022D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 xml:space="preserve">Weighted area </w:t>
            </w:r>
          </w:p>
          <w:p w14:paraId="330F67E8" w14:textId="77777777" w:rsidR="00A022DF" w:rsidRPr="00E87E42" w:rsidRDefault="00A022DF" w:rsidP="00A022D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damage</w:t>
            </w:r>
          </w:p>
          <w:p w14:paraId="7111FE4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457"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5A53EEA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8"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0F89F2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F+U</w:t>
            </w:r>
          </w:p>
        </w:tc>
      </w:tr>
      <w:tr w:rsidR="00A022DF" w:rsidRPr="00E87E42" w14:paraId="388DD0AC" w14:textId="77777777" w:rsidTr="005839EF">
        <w:trPr>
          <w:trHeight w:val="227"/>
        </w:trPr>
        <w:tc>
          <w:tcPr>
            <w:tcW w:w="62" w:type="pct"/>
            <w:tcBorders>
              <w:top w:val="nil"/>
              <w:left w:val="nil"/>
              <w:bottom w:val="nil"/>
              <w:right w:val="nil"/>
            </w:tcBorders>
            <w:shd w:val="clear" w:color="auto" w:fill="auto"/>
            <w:noWrap/>
            <w:vAlign w:val="bottom"/>
            <w:hideMark/>
          </w:tcPr>
          <w:p w14:paraId="7A45A764" w14:textId="77777777" w:rsidR="00A022DF" w:rsidRPr="00E87E42" w:rsidRDefault="00A022DF" w:rsidP="00A022DF">
            <w:pPr>
              <w:spacing w:after="0" w:line="240" w:lineRule="auto"/>
              <w:jc w:val="center"/>
              <w:rPr>
                <w:rFonts w:eastAsia="Times New Roman"/>
                <w:color w:val="000000"/>
                <w:sz w:val="16"/>
                <w:szCs w:val="16"/>
                <w:lang w:eastAsia="en-GB"/>
              </w:rPr>
            </w:pPr>
          </w:p>
        </w:tc>
        <w:tc>
          <w:tcPr>
            <w:tcW w:w="121" w:type="pct"/>
            <w:vMerge/>
            <w:tcBorders>
              <w:top w:val="nil"/>
              <w:left w:val="single" w:sz="4" w:space="0" w:color="auto"/>
              <w:bottom w:val="nil"/>
              <w:right w:val="single" w:sz="4" w:space="0" w:color="auto"/>
            </w:tcBorders>
            <w:vAlign w:val="center"/>
            <w:hideMark/>
          </w:tcPr>
          <w:p w14:paraId="5D339579"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92" w:type="pct"/>
            <w:vMerge w:val="restart"/>
            <w:tcBorders>
              <w:top w:val="nil"/>
              <w:left w:val="single" w:sz="4" w:space="0" w:color="auto"/>
              <w:bottom w:val="nil"/>
              <w:right w:val="nil"/>
            </w:tcBorders>
            <w:shd w:val="clear" w:color="auto" w:fill="auto"/>
            <w:noWrap/>
            <w:vAlign w:val="center"/>
            <w:hideMark/>
          </w:tcPr>
          <w:p w14:paraId="1EFA1D6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468EB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94" w:type="pct"/>
            <w:vMerge w:val="restart"/>
            <w:tcBorders>
              <w:top w:val="nil"/>
              <w:left w:val="single" w:sz="4" w:space="0" w:color="auto"/>
              <w:bottom w:val="nil"/>
              <w:right w:val="single" w:sz="4" w:space="0" w:color="auto"/>
            </w:tcBorders>
            <w:shd w:val="clear" w:color="auto" w:fill="auto"/>
            <w:noWrap/>
            <w:vAlign w:val="center"/>
            <w:hideMark/>
          </w:tcPr>
          <w:p w14:paraId="39DF142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3E15AD4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94" w:type="pct"/>
            <w:vMerge w:val="restart"/>
            <w:tcBorders>
              <w:top w:val="nil"/>
              <w:left w:val="single" w:sz="4" w:space="0" w:color="auto"/>
              <w:bottom w:val="nil"/>
              <w:right w:val="single" w:sz="4" w:space="0" w:color="auto"/>
            </w:tcBorders>
            <w:shd w:val="clear" w:color="auto" w:fill="auto"/>
            <w:noWrap/>
            <w:vAlign w:val="center"/>
            <w:hideMark/>
          </w:tcPr>
          <w:p w14:paraId="60A5801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482EEF0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66" w:type="pct"/>
            <w:vMerge w:val="restart"/>
            <w:tcBorders>
              <w:top w:val="nil"/>
              <w:left w:val="single" w:sz="4" w:space="0" w:color="auto"/>
              <w:bottom w:val="nil"/>
              <w:right w:val="single" w:sz="4" w:space="0" w:color="auto"/>
            </w:tcBorders>
            <w:shd w:val="clear" w:color="auto" w:fill="auto"/>
            <w:noWrap/>
            <w:vAlign w:val="center"/>
            <w:hideMark/>
          </w:tcPr>
          <w:p w14:paraId="4B93E99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475BCE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65" w:type="pct"/>
            <w:vMerge w:val="restart"/>
            <w:tcBorders>
              <w:top w:val="nil"/>
              <w:left w:val="single" w:sz="4" w:space="0" w:color="auto"/>
              <w:bottom w:val="nil"/>
              <w:right w:val="single" w:sz="4" w:space="0" w:color="auto"/>
            </w:tcBorders>
            <w:shd w:val="clear" w:color="auto" w:fill="auto"/>
            <w:noWrap/>
            <w:vAlign w:val="center"/>
            <w:hideMark/>
          </w:tcPr>
          <w:p w14:paraId="33DC720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2B0EA83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5" w:type="pct"/>
            <w:vMerge w:val="restart"/>
            <w:tcBorders>
              <w:top w:val="nil"/>
              <w:left w:val="single" w:sz="4" w:space="0" w:color="auto"/>
              <w:bottom w:val="nil"/>
              <w:right w:val="single" w:sz="4" w:space="0" w:color="auto"/>
            </w:tcBorders>
            <w:shd w:val="clear" w:color="auto" w:fill="auto"/>
            <w:noWrap/>
            <w:vAlign w:val="center"/>
            <w:hideMark/>
          </w:tcPr>
          <w:p w14:paraId="6C59337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3518D12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66" w:type="pct"/>
            <w:vMerge w:val="restart"/>
            <w:tcBorders>
              <w:top w:val="nil"/>
              <w:left w:val="single" w:sz="4" w:space="0" w:color="auto"/>
              <w:bottom w:val="nil"/>
              <w:right w:val="single" w:sz="4" w:space="0" w:color="auto"/>
            </w:tcBorders>
            <w:shd w:val="clear" w:color="auto" w:fill="auto"/>
            <w:noWrap/>
            <w:vAlign w:val="center"/>
            <w:hideMark/>
          </w:tcPr>
          <w:p w14:paraId="141D569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7"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448F648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94" w:type="pct"/>
            <w:vMerge w:val="restart"/>
            <w:tcBorders>
              <w:top w:val="nil"/>
              <w:left w:val="single" w:sz="4" w:space="0" w:color="auto"/>
              <w:bottom w:val="nil"/>
              <w:right w:val="single" w:sz="4" w:space="0" w:color="auto"/>
            </w:tcBorders>
            <w:shd w:val="clear" w:color="auto" w:fill="auto"/>
            <w:noWrap/>
            <w:vAlign w:val="center"/>
            <w:hideMark/>
          </w:tcPr>
          <w:p w14:paraId="4C11479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4DF3776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5" w:type="pct"/>
            <w:vMerge w:val="restart"/>
            <w:tcBorders>
              <w:top w:val="nil"/>
              <w:left w:val="single" w:sz="4" w:space="0" w:color="auto"/>
              <w:bottom w:val="nil"/>
              <w:right w:val="single" w:sz="4" w:space="0" w:color="auto"/>
            </w:tcBorders>
            <w:shd w:val="clear" w:color="auto" w:fill="auto"/>
            <w:noWrap/>
            <w:vAlign w:val="center"/>
            <w:hideMark/>
          </w:tcPr>
          <w:p w14:paraId="1039136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78A8F2A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66" w:type="pct"/>
            <w:vMerge w:val="restart"/>
            <w:tcBorders>
              <w:top w:val="nil"/>
              <w:left w:val="single" w:sz="4" w:space="0" w:color="auto"/>
              <w:bottom w:val="nil"/>
              <w:right w:val="single" w:sz="4" w:space="0" w:color="auto"/>
            </w:tcBorders>
            <w:shd w:val="clear" w:color="auto" w:fill="auto"/>
            <w:noWrap/>
            <w:vAlign w:val="center"/>
            <w:hideMark/>
          </w:tcPr>
          <w:p w14:paraId="047129D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7" w:type="pct"/>
            <w:gridSpan w:val="2"/>
            <w:tcBorders>
              <w:top w:val="single" w:sz="4" w:space="0" w:color="auto"/>
              <w:left w:val="nil"/>
              <w:bottom w:val="nil"/>
              <w:right w:val="single" w:sz="4" w:space="0" w:color="000000"/>
            </w:tcBorders>
            <w:shd w:val="clear" w:color="auto" w:fill="auto"/>
            <w:noWrap/>
            <w:vAlign w:val="bottom"/>
            <w:hideMark/>
          </w:tcPr>
          <w:p w14:paraId="045FC44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94" w:type="pct"/>
            <w:vMerge w:val="restart"/>
            <w:tcBorders>
              <w:top w:val="nil"/>
              <w:left w:val="single" w:sz="4" w:space="0" w:color="auto"/>
              <w:bottom w:val="nil"/>
              <w:right w:val="single" w:sz="4" w:space="0" w:color="auto"/>
            </w:tcBorders>
            <w:shd w:val="clear" w:color="auto" w:fill="auto"/>
            <w:noWrap/>
            <w:vAlign w:val="center"/>
            <w:hideMark/>
          </w:tcPr>
          <w:p w14:paraId="68F8913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22E8774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5" w:type="pct"/>
            <w:vMerge w:val="restart"/>
            <w:tcBorders>
              <w:top w:val="nil"/>
              <w:left w:val="single" w:sz="4" w:space="0" w:color="auto"/>
              <w:bottom w:val="nil"/>
              <w:right w:val="single" w:sz="4" w:space="0" w:color="auto"/>
            </w:tcBorders>
            <w:shd w:val="clear" w:color="auto" w:fill="auto"/>
            <w:noWrap/>
            <w:vAlign w:val="center"/>
            <w:hideMark/>
          </w:tcPr>
          <w:p w14:paraId="4B3589E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5FF8675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377" w:type="pct"/>
            <w:vMerge/>
            <w:tcBorders>
              <w:top w:val="nil"/>
              <w:left w:val="single" w:sz="4" w:space="0" w:color="auto"/>
              <w:bottom w:val="nil"/>
              <w:right w:val="single" w:sz="4" w:space="0" w:color="auto"/>
            </w:tcBorders>
            <w:vAlign w:val="center"/>
            <w:hideMark/>
          </w:tcPr>
          <w:p w14:paraId="57A066B1"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457" w:type="pct"/>
            <w:gridSpan w:val="2"/>
            <w:vMerge/>
            <w:tcBorders>
              <w:top w:val="single" w:sz="4" w:space="0" w:color="auto"/>
              <w:left w:val="single" w:sz="4" w:space="0" w:color="auto"/>
              <w:bottom w:val="single" w:sz="4" w:space="0" w:color="000000"/>
              <w:right w:val="nil"/>
            </w:tcBorders>
            <w:vAlign w:val="center"/>
            <w:hideMark/>
          </w:tcPr>
          <w:p w14:paraId="3F906D17"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458" w:type="pct"/>
            <w:gridSpan w:val="2"/>
            <w:vMerge/>
            <w:tcBorders>
              <w:top w:val="single" w:sz="4" w:space="0" w:color="auto"/>
              <w:left w:val="single" w:sz="4" w:space="0" w:color="auto"/>
              <w:bottom w:val="single" w:sz="4" w:space="0" w:color="000000"/>
              <w:right w:val="single" w:sz="4" w:space="0" w:color="000000"/>
            </w:tcBorders>
            <w:vAlign w:val="center"/>
            <w:hideMark/>
          </w:tcPr>
          <w:p w14:paraId="22B5EE90" w14:textId="77777777" w:rsidR="00A022DF" w:rsidRPr="00E87E42" w:rsidRDefault="00A022DF" w:rsidP="00A022DF">
            <w:pPr>
              <w:spacing w:after="0" w:line="240" w:lineRule="auto"/>
              <w:jc w:val="left"/>
              <w:rPr>
                <w:rFonts w:eastAsia="Times New Roman"/>
                <w:color w:val="000000"/>
                <w:sz w:val="16"/>
                <w:szCs w:val="16"/>
                <w:lang w:eastAsia="en-GB"/>
              </w:rPr>
            </w:pPr>
          </w:p>
        </w:tc>
      </w:tr>
      <w:tr w:rsidR="00AD472B" w:rsidRPr="00E87E42" w14:paraId="7A56A630" w14:textId="77777777" w:rsidTr="00A446AC">
        <w:trPr>
          <w:trHeight w:val="227"/>
        </w:trPr>
        <w:tc>
          <w:tcPr>
            <w:tcW w:w="62" w:type="pct"/>
            <w:tcBorders>
              <w:top w:val="nil"/>
              <w:left w:val="nil"/>
              <w:bottom w:val="single" w:sz="4" w:space="0" w:color="auto"/>
              <w:right w:val="single" w:sz="4" w:space="0" w:color="auto"/>
            </w:tcBorders>
            <w:shd w:val="clear" w:color="auto" w:fill="auto"/>
            <w:noWrap/>
            <w:vAlign w:val="bottom"/>
            <w:hideMark/>
          </w:tcPr>
          <w:p w14:paraId="338B1F7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w:t>
            </w:r>
          </w:p>
        </w:tc>
        <w:tc>
          <w:tcPr>
            <w:tcW w:w="121" w:type="pct"/>
            <w:vMerge/>
            <w:tcBorders>
              <w:top w:val="nil"/>
              <w:left w:val="single" w:sz="4" w:space="0" w:color="auto"/>
              <w:bottom w:val="nil"/>
              <w:right w:val="single" w:sz="4" w:space="0" w:color="auto"/>
            </w:tcBorders>
            <w:vAlign w:val="center"/>
            <w:hideMark/>
          </w:tcPr>
          <w:p w14:paraId="7B42EEEB"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92" w:type="pct"/>
            <w:vMerge/>
            <w:tcBorders>
              <w:top w:val="nil"/>
              <w:left w:val="single" w:sz="4" w:space="0" w:color="auto"/>
              <w:bottom w:val="nil"/>
              <w:right w:val="nil"/>
            </w:tcBorders>
            <w:vAlign w:val="center"/>
            <w:hideMark/>
          </w:tcPr>
          <w:p w14:paraId="51D4B3A4"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43" w:type="pct"/>
            <w:tcBorders>
              <w:top w:val="nil"/>
              <w:left w:val="single" w:sz="4" w:space="0" w:color="auto"/>
              <w:bottom w:val="nil"/>
              <w:right w:val="single" w:sz="4" w:space="0" w:color="auto"/>
            </w:tcBorders>
            <w:shd w:val="clear" w:color="auto" w:fill="auto"/>
            <w:noWrap/>
            <w:vAlign w:val="bottom"/>
            <w:hideMark/>
          </w:tcPr>
          <w:p w14:paraId="67FC8799" w14:textId="203F7904"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4" w:type="pct"/>
            <w:tcBorders>
              <w:top w:val="nil"/>
              <w:left w:val="nil"/>
              <w:bottom w:val="nil"/>
              <w:right w:val="single" w:sz="4" w:space="0" w:color="auto"/>
            </w:tcBorders>
            <w:shd w:val="clear" w:color="auto" w:fill="auto"/>
            <w:noWrap/>
            <w:vAlign w:val="bottom"/>
            <w:hideMark/>
          </w:tcPr>
          <w:p w14:paraId="5DEADD6F" w14:textId="3E1246BA"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94" w:type="pct"/>
            <w:vMerge/>
            <w:tcBorders>
              <w:top w:val="nil"/>
              <w:left w:val="single" w:sz="4" w:space="0" w:color="auto"/>
              <w:bottom w:val="nil"/>
              <w:right w:val="single" w:sz="4" w:space="0" w:color="auto"/>
            </w:tcBorders>
            <w:vAlign w:val="center"/>
            <w:hideMark/>
          </w:tcPr>
          <w:p w14:paraId="163DD7E6"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94" w:type="pct"/>
            <w:vMerge/>
            <w:tcBorders>
              <w:top w:val="nil"/>
              <w:left w:val="single" w:sz="4" w:space="0" w:color="auto"/>
              <w:bottom w:val="nil"/>
              <w:right w:val="single" w:sz="4" w:space="0" w:color="auto"/>
            </w:tcBorders>
            <w:vAlign w:val="center"/>
            <w:hideMark/>
          </w:tcPr>
          <w:p w14:paraId="5D904D99"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66" w:type="pct"/>
            <w:vMerge/>
            <w:tcBorders>
              <w:top w:val="nil"/>
              <w:left w:val="single" w:sz="4" w:space="0" w:color="auto"/>
              <w:bottom w:val="nil"/>
              <w:right w:val="single" w:sz="4" w:space="0" w:color="auto"/>
            </w:tcBorders>
            <w:vAlign w:val="center"/>
            <w:hideMark/>
          </w:tcPr>
          <w:p w14:paraId="03FDC585"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4" w:type="pct"/>
            <w:tcBorders>
              <w:top w:val="nil"/>
              <w:left w:val="nil"/>
              <w:bottom w:val="nil"/>
              <w:right w:val="single" w:sz="4" w:space="0" w:color="auto"/>
            </w:tcBorders>
            <w:shd w:val="clear" w:color="auto" w:fill="auto"/>
            <w:noWrap/>
            <w:vAlign w:val="bottom"/>
            <w:hideMark/>
          </w:tcPr>
          <w:p w14:paraId="398F381D" w14:textId="5E3010DB"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4" w:type="pct"/>
            <w:tcBorders>
              <w:top w:val="nil"/>
              <w:left w:val="nil"/>
              <w:bottom w:val="nil"/>
              <w:right w:val="single" w:sz="4" w:space="0" w:color="auto"/>
            </w:tcBorders>
            <w:shd w:val="clear" w:color="auto" w:fill="auto"/>
            <w:noWrap/>
            <w:vAlign w:val="bottom"/>
            <w:hideMark/>
          </w:tcPr>
          <w:p w14:paraId="46687E3C" w14:textId="75037FBE"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65" w:type="pct"/>
            <w:vMerge/>
            <w:tcBorders>
              <w:top w:val="nil"/>
              <w:left w:val="single" w:sz="4" w:space="0" w:color="auto"/>
              <w:bottom w:val="nil"/>
              <w:right w:val="single" w:sz="4" w:space="0" w:color="auto"/>
            </w:tcBorders>
            <w:vAlign w:val="center"/>
            <w:hideMark/>
          </w:tcPr>
          <w:p w14:paraId="31BFAB80"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5" w:type="pct"/>
            <w:vMerge/>
            <w:tcBorders>
              <w:top w:val="nil"/>
              <w:left w:val="single" w:sz="4" w:space="0" w:color="auto"/>
              <w:bottom w:val="nil"/>
              <w:right w:val="single" w:sz="4" w:space="0" w:color="auto"/>
            </w:tcBorders>
            <w:vAlign w:val="center"/>
            <w:hideMark/>
          </w:tcPr>
          <w:p w14:paraId="21230FF7"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66" w:type="pct"/>
            <w:vMerge/>
            <w:tcBorders>
              <w:top w:val="nil"/>
              <w:left w:val="single" w:sz="4" w:space="0" w:color="auto"/>
              <w:bottom w:val="nil"/>
              <w:right w:val="single" w:sz="4" w:space="0" w:color="auto"/>
            </w:tcBorders>
            <w:vAlign w:val="center"/>
            <w:hideMark/>
          </w:tcPr>
          <w:p w14:paraId="59282EA0"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4" w:type="pct"/>
            <w:tcBorders>
              <w:top w:val="nil"/>
              <w:left w:val="nil"/>
              <w:bottom w:val="nil"/>
              <w:right w:val="single" w:sz="4" w:space="0" w:color="auto"/>
            </w:tcBorders>
            <w:shd w:val="clear" w:color="auto" w:fill="auto"/>
            <w:noWrap/>
            <w:vAlign w:val="bottom"/>
            <w:hideMark/>
          </w:tcPr>
          <w:p w14:paraId="75919D4B" w14:textId="2248823A"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43" w:type="pct"/>
            <w:tcBorders>
              <w:top w:val="nil"/>
              <w:left w:val="nil"/>
              <w:bottom w:val="nil"/>
              <w:right w:val="single" w:sz="4" w:space="0" w:color="auto"/>
            </w:tcBorders>
            <w:shd w:val="clear" w:color="auto" w:fill="auto"/>
            <w:noWrap/>
            <w:vAlign w:val="bottom"/>
            <w:hideMark/>
          </w:tcPr>
          <w:p w14:paraId="6E4C3909" w14:textId="52B8BB9E"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94" w:type="pct"/>
            <w:vMerge/>
            <w:tcBorders>
              <w:top w:val="nil"/>
              <w:left w:val="single" w:sz="4" w:space="0" w:color="auto"/>
              <w:bottom w:val="nil"/>
              <w:right w:val="single" w:sz="4" w:space="0" w:color="auto"/>
            </w:tcBorders>
            <w:vAlign w:val="center"/>
            <w:hideMark/>
          </w:tcPr>
          <w:p w14:paraId="7D34F298"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5" w:type="pct"/>
            <w:vMerge/>
            <w:tcBorders>
              <w:top w:val="nil"/>
              <w:left w:val="single" w:sz="4" w:space="0" w:color="auto"/>
              <w:bottom w:val="nil"/>
              <w:right w:val="single" w:sz="4" w:space="0" w:color="auto"/>
            </w:tcBorders>
            <w:vAlign w:val="center"/>
            <w:hideMark/>
          </w:tcPr>
          <w:p w14:paraId="734BB9CF"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66" w:type="pct"/>
            <w:vMerge/>
            <w:tcBorders>
              <w:top w:val="nil"/>
              <w:left w:val="single" w:sz="4" w:space="0" w:color="auto"/>
              <w:bottom w:val="nil"/>
              <w:right w:val="single" w:sz="4" w:space="0" w:color="auto"/>
            </w:tcBorders>
            <w:vAlign w:val="center"/>
            <w:hideMark/>
          </w:tcPr>
          <w:p w14:paraId="3B243F7F"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43" w:type="pct"/>
            <w:tcBorders>
              <w:top w:val="single" w:sz="4" w:space="0" w:color="auto"/>
              <w:left w:val="nil"/>
              <w:bottom w:val="nil"/>
              <w:right w:val="single" w:sz="4" w:space="0" w:color="auto"/>
            </w:tcBorders>
            <w:shd w:val="clear" w:color="auto" w:fill="auto"/>
            <w:noWrap/>
            <w:vAlign w:val="bottom"/>
            <w:hideMark/>
          </w:tcPr>
          <w:p w14:paraId="78A4CA5E" w14:textId="1402805B"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4" w:type="pct"/>
            <w:tcBorders>
              <w:top w:val="single" w:sz="4" w:space="0" w:color="auto"/>
              <w:left w:val="nil"/>
              <w:bottom w:val="nil"/>
              <w:right w:val="single" w:sz="4" w:space="0" w:color="auto"/>
            </w:tcBorders>
            <w:shd w:val="clear" w:color="auto" w:fill="auto"/>
            <w:noWrap/>
            <w:vAlign w:val="bottom"/>
            <w:hideMark/>
          </w:tcPr>
          <w:p w14:paraId="64F4732E" w14:textId="3F02E260"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94" w:type="pct"/>
            <w:vMerge/>
            <w:tcBorders>
              <w:top w:val="nil"/>
              <w:left w:val="single" w:sz="4" w:space="0" w:color="auto"/>
              <w:bottom w:val="nil"/>
              <w:right w:val="single" w:sz="4" w:space="0" w:color="auto"/>
            </w:tcBorders>
            <w:vAlign w:val="center"/>
            <w:hideMark/>
          </w:tcPr>
          <w:p w14:paraId="10F38F72"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5" w:type="pct"/>
            <w:vMerge/>
            <w:tcBorders>
              <w:top w:val="nil"/>
              <w:left w:val="single" w:sz="4" w:space="0" w:color="auto"/>
              <w:bottom w:val="nil"/>
              <w:right w:val="single" w:sz="4" w:space="0" w:color="auto"/>
            </w:tcBorders>
            <w:vAlign w:val="center"/>
            <w:hideMark/>
          </w:tcPr>
          <w:p w14:paraId="6AD2B2D2"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377" w:type="pct"/>
            <w:vMerge/>
            <w:tcBorders>
              <w:top w:val="nil"/>
              <w:left w:val="single" w:sz="4" w:space="0" w:color="auto"/>
              <w:bottom w:val="nil"/>
              <w:right w:val="single" w:sz="4" w:space="0" w:color="auto"/>
            </w:tcBorders>
            <w:vAlign w:val="center"/>
            <w:hideMark/>
          </w:tcPr>
          <w:p w14:paraId="30231B26"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4" w:type="pct"/>
            <w:tcBorders>
              <w:top w:val="nil"/>
              <w:left w:val="nil"/>
              <w:bottom w:val="nil"/>
              <w:right w:val="nil"/>
            </w:tcBorders>
            <w:shd w:val="clear" w:color="auto" w:fill="auto"/>
            <w:noWrap/>
            <w:vAlign w:val="bottom"/>
            <w:hideMark/>
          </w:tcPr>
          <w:p w14:paraId="4DD55A3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3" w:type="pct"/>
            <w:tcBorders>
              <w:top w:val="nil"/>
              <w:left w:val="single" w:sz="4" w:space="0" w:color="auto"/>
              <w:bottom w:val="nil"/>
              <w:right w:val="single" w:sz="4" w:space="0" w:color="auto"/>
            </w:tcBorders>
            <w:shd w:val="clear" w:color="auto" w:fill="auto"/>
            <w:noWrap/>
            <w:vAlign w:val="bottom"/>
            <w:hideMark/>
          </w:tcPr>
          <w:p w14:paraId="0CF1FE6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c>
          <w:tcPr>
            <w:tcW w:w="214" w:type="pct"/>
            <w:tcBorders>
              <w:top w:val="nil"/>
              <w:left w:val="nil"/>
              <w:bottom w:val="nil"/>
              <w:right w:val="nil"/>
            </w:tcBorders>
            <w:shd w:val="clear" w:color="auto" w:fill="auto"/>
            <w:noWrap/>
            <w:vAlign w:val="bottom"/>
            <w:hideMark/>
          </w:tcPr>
          <w:p w14:paraId="3AB90E1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4" w:type="pct"/>
            <w:tcBorders>
              <w:top w:val="nil"/>
              <w:left w:val="single" w:sz="4" w:space="0" w:color="auto"/>
              <w:bottom w:val="nil"/>
              <w:right w:val="single" w:sz="4" w:space="0" w:color="auto"/>
            </w:tcBorders>
            <w:shd w:val="clear" w:color="auto" w:fill="auto"/>
            <w:noWrap/>
            <w:vAlign w:val="bottom"/>
            <w:hideMark/>
          </w:tcPr>
          <w:p w14:paraId="685E079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r>
      <w:tr w:rsidR="00A022DF" w:rsidRPr="00E87E42" w14:paraId="61AF9D0F" w14:textId="77777777" w:rsidTr="005839EF">
        <w:trPr>
          <w:trHeight w:val="227"/>
        </w:trPr>
        <w:tc>
          <w:tcPr>
            <w:tcW w:w="62" w:type="pct"/>
            <w:tcBorders>
              <w:top w:val="nil"/>
              <w:left w:val="single" w:sz="4" w:space="0" w:color="auto"/>
              <w:bottom w:val="single" w:sz="4" w:space="0" w:color="auto"/>
              <w:right w:val="nil"/>
            </w:tcBorders>
            <w:shd w:val="clear" w:color="auto" w:fill="auto"/>
            <w:noWrap/>
            <w:vAlign w:val="bottom"/>
            <w:hideMark/>
          </w:tcPr>
          <w:p w14:paraId="69327A5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121" w:type="pct"/>
            <w:tcBorders>
              <w:top w:val="single" w:sz="4" w:space="0" w:color="auto"/>
              <w:left w:val="single" w:sz="4" w:space="0" w:color="auto"/>
              <w:bottom w:val="nil"/>
              <w:right w:val="single" w:sz="4" w:space="0" w:color="auto"/>
            </w:tcBorders>
            <w:shd w:val="clear" w:color="auto" w:fill="auto"/>
            <w:noWrap/>
            <w:vAlign w:val="bottom"/>
            <w:hideMark/>
          </w:tcPr>
          <w:p w14:paraId="508B716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w:t>
            </w:r>
          </w:p>
        </w:tc>
        <w:tc>
          <w:tcPr>
            <w:tcW w:w="92" w:type="pct"/>
            <w:tcBorders>
              <w:top w:val="single" w:sz="4" w:space="0" w:color="auto"/>
              <w:left w:val="nil"/>
              <w:bottom w:val="single" w:sz="4" w:space="0" w:color="808080"/>
              <w:right w:val="single" w:sz="4" w:space="0" w:color="808080"/>
            </w:tcBorders>
            <w:shd w:val="clear" w:color="auto" w:fill="auto"/>
            <w:noWrap/>
            <w:vAlign w:val="bottom"/>
            <w:hideMark/>
          </w:tcPr>
          <w:p w14:paraId="108B7A6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w:t>
            </w:r>
          </w:p>
        </w:tc>
        <w:tc>
          <w:tcPr>
            <w:tcW w:w="243" w:type="pct"/>
            <w:tcBorders>
              <w:top w:val="single" w:sz="4" w:space="0" w:color="auto"/>
              <w:left w:val="nil"/>
              <w:bottom w:val="single" w:sz="4" w:space="0" w:color="808080"/>
              <w:right w:val="single" w:sz="4" w:space="0" w:color="808080"/>
            </w:tcBorders>
            <w:shd w:val="clear" w:color="auto" w:fill="auto"/>
            <w:noWrap/>
            <w:vAlign w:val="bottom"/>
            <w:hideMark/>
          </w:tcPr>
          <w:p w14:paraId="51E39B6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23CDC46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25.00%</w:t>
            </w:r>
          </w:p>
        </w:tc>
        <w:tc>
          <w:tcPr>
            <w:tcW w:w="194" w:type="pct"/>
            <w:tcBorders>
              <w:top w:val="single" w:sz="4" w:space="0" w:color="auto"/>
              <w:left w:val="nil"/>
              <w:bottom w:val="single" w:sz="4" w:space="0" w:color="808080"/>
              <w:right w:val="single" w:sz="4" w:space="0" w:color="808080"/>
            </w:tcBorders>
            <w:shd w:val="clear" w:color="auto" w:fill="auto"/>
            <w:noWrap/>
            <w:vAlign w:val="bottom"/>
            <w:hideMark/>
          </w:tcPr>
          <w:p w14:paraId="27F4017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53.17</w:t>
            </w:r>
          </w:p>
        </w:tc>
        <w:tc>
          <w:tcPr>
            <w:tcW w:w="194" w:type="pct"/>
            <w:tcBorders>
              <w:top w:val="single" w:sz="4" w:space="0" w:color="auto"/>
              <w:left w:val="nil"/>
              <w:bottom w:val="single" w:sz="4" w:space="0" w:color="808080"/>
              <w:right w:val="single" w:sz="4" w:space="0" w:color="auto"/>
            </w:tcBorders>
            <w:shd w:val="clear" w:color="auto" w:fill="auto"/>
            <w:noWrap/>
            <w:vAlign w:val="bottom"/>
            <w:hideMark/>
          </w:tcPr>
          <w:p w14:paraId="56E9744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53.17</w:t>
            </w:r>
          </w:p>
        </w:tc>
        <w:tc>
          <w:tcPr>
            <w:tcW w:w="66" w:type="pct"/>
            <w:tcBorders>
              <w:top w:val="single" w:sz="4" w:space="0" w:color="auto"/>
              <w:left w:val="nil"/>
              <w:bottom w:val="single" w:sz="4" w:space="0" w:color="808080"/>
              <w:right w:val="single" w:sz="4" w:space="0" w:color="808080"/>
            </w:tcBorders>
            <w:shd w:val="clear" w:color="auto" w:fill="auto"/>
            <w:noWrap/>
            <w:vAlign w:val="bottom"/>
            <w:hideMark/>
          </w:tcPr>
          <w:p w14:paraId="551F4C5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2CBFAEE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50A6520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single" w:sz="4" w:space="0" w:color="auto"/>
              <w:left w:val="nil"/>
              <w:bottom w:val="single" w:sz="4" w:space="0" w:color="808080"/>
              <w:right w:val="single" w:sz="4" w:space="0" w:color="808080"/>
            </w:tcBorders>
            <w:shd w:val="clear" w:color="auto" w:fill="auto"/>
            <w:noWrap/>
            <w:vAlign w:val="bottom"/>
            <w:hideMark/>
          </w:tcPr>
          <w:p w14:paraId="17A4A1A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single" w:sz="4" w:space="0" w:color="auto"/>
              <w:left w:val="nil"/>
              <w:bottom w:val="single" w:sz="4" w:space="0" w:color="808080"/>
              <w:right w:val="single" w:sz="4" w:space="0" w:color="auto"/>
            </w:tcBorders>
            <w:shd w:val="clear" w:color="auto" w:fill="auto"/>
            <w:noWrap/>
            <w:vAlign w:val="bottom"/>
            <w:hideMark/>
          </w:tcPr>
          <w:p w14:paraId="21DAE48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6" w:type="pct"/>
            <w:tcBorders>
              <w:top w:val="single" w:sz="4" w:space="0" w:color="auto"/>
              <w:left w:val="nil"/>
              <w:bottom w:val="single" w:sz="4" w:space="0" w:color="808080"/>
              <w:right w:val="single" w:sz="4" w:space="0" w:color="808080"/>
            </w:tcBorders>
            <w:shd w:val="clear" w:color="auto" w:fill="auto"/>
            <w:noWrap/>
            <w:vAlign w:val="bottom"/>
            <w:hideMark/>
          </w:tcPr>
          <w:p w14:paraId="657DECD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2AF450E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3" w:type="pct"/>
            <w:tcBorders>
              <w:top w:val="single" w:sz="4" w:space="0" w:color="auto"/>
              <w:left w:val="nil"/>
              <w:bottom w:val="single" w:sz="4" w:space="0" w:color="808080"/>
              <w:right w:val="single" w:sz="4" w:space="0" w:color="808080"/>
            </w:tcBorders>
            <w:shd w:val="clear" w:color="auto" w:fill="auto"/>
            <w:noWrap/>
            <w:vAlign w:val="bottom"/>
            <w:hideMark/>
          </w:tcPr>
          <w:p w14:paraId="79D12C8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4" w:type="pct"/>
            <w:tcBorders>
              <w:top w:val="single" w:sz="4" w:space="0" w:color="auto"/>
              <w:left w:val="nil"/>
              <w:bottom w:val="single" w:sz="4" w:space="0" w:color="808080"/>
              <w:right w:val="single" w:sz="4" w:space="0" w:color="808080"/>
            </w:tcBorders>
            <w:shd w:val="clear" w:color="auto" w:fill="auto"/>
            <w:noWrap/>
            <w:vAlign w:val="bottom"/>
            <w:hideMark/>
          </w:tcPr>
          <w:p w14:paraId="68A5F2C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single" w:sz="4" w:space="0" w:color="auto"/>
              <w:left w:val="nil"/>
              <w:bottom w:val="single" w:sz="4" w:space="0" w:color="808080"/>
              <w:right w:val="single" w:sz="4" w:space="0" w:color="auto"/>
            </w:tcBorders>
            <w:shd w:val="clear" w:color="auto" w:fill="auto"/>
            <w:noWrap/>
            <w:vAlign w:val="bottom"/>
            <w:hideMark/>
          </w:tcPr>
          <w:p w14:paraId="415EF3D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6" w:type="pct"/>
            <w:tcBorders>
              <w:top w:val="single" w:sz="4" w:space="0" w:color="auto"/>
              <w:left w:val="nil"/>
              <w:bottom w:val="single" w:sz="4" w:space="0" w:color="808080"/>
              <w:right w:val="single" w:sz="4" w:space="0" w:color="808080"/>
            </w:tcBorders>
            <w:shd w:val="clear" w:color="auto" w:fill="auto"/>
            <w:noWrap/>
            <w:vAlign w:val="bottom"/>
            <w:hideMark/>
          </w:tcPr>
          <w:p w14:paraId="72BD402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43" w:type="pct"/>
            <w:tcBorders>
              <w:top w:val="single" w:sz="4" w:space="0" w:color="auto"/>
              <w:left w:val="nil"/>
              <w:bottom w:val="single" w:sz="4" w:space="0" w:color="808080"/>
              <w:right w:val="single" w:sz="4" w:space="0" w:color="808080"/>
            </w:tcBorders>
            <w:shd w:val="clear" w:color="auto" w:fill="auto"/>
            <w:noWrap/>
            <w:vAlign w:val="bottom"/>
            <w:hideMark/>
          </w:tcPr>
          <w:p w14:paraId="6152986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38AD232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4" w:type="pct"/>
            <w:tcBorders>
              <w:top w:val="single" w:sz="4" w:space="0" w:color="auto"/>
              <w:left w:val="nil"/>
              <w:bottom w:val="single" w:sz="4" w:space="0" w:color="808080"/>
              <w:right w:val="single" w:sz="4" w:space="0" w:color="808080"/>
            </w:tcBorders>
            <w:shd w:val="clear" w:color="auto" w:fill="auto"/>
            <w:noWrap/>
            <w:vAlign w:val="bottom"/>
            <w:hideMark/>
          </w:tcPr>
          <w:p w14:paraId="652A351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single" w:sz="4" w:space="0" w:color="auto"/>
              <w:left w:val="nil"/>
              <w:bottom w:val="single" w:sz="4" w:space="0" w:color="808080"/>
              <w:right w:val="single" w:sz="4" w:space="0" w:color="auto"/>
            </w:tcBorders>
            <w:shd w:val="clear" w:color="auto" w:fill="auto"/>
            <w:noWrap/>
            <w:vAlign w:val="bottom"/>
            <w:hideMark/>
          </w:tcPr>
          <w:p w14:paraId="1F433D0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7" w:type="pct"/>
            <w:tcBorders>
              <w:top w:val="single" w:sz="4" w:space="0" w:color="auto"/>
              <w:left w:val="nil"/>
              <w:bottom w:val="single" w:sz="4" w:space="0" w:color="808080"/>
              <w:right w:val="single" w:sz="4" w:space="0" w:color="auto"/>
            </w:tcBorders>
            <w:shd w:val="clear" w:color="auto" w:fill="auto"/>
            <w:noWrap/>
            <w:vAlign w:val="bottom"/>
            <w:hideMark/>
          </w:tcPr>
          <w:p w14:paraId="7188D33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53.17</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291BBC2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17.65%</w:t>
            </w:r>
          </w:p>
        </w:tc>
        <w:tc>
          <w:tcPr>
            <w:tcW w:w="243" w:type="pct"/>
            <w:tcBorders>
              <w:top w:val="single" w:sz="4" w:space="0" w:color="auto"/>
              <w:left w:val="nil"/>
              <w:bottom w:val="single" w:sz="4" w:space="0" w:color="808080"/>
              <w:right w:val="single" w:sz="4" w:space="0" w:color="808080"/>
            </w:tcBorders>
            <w:shd w:val="clear" w:color="auto" w:fill="auto"/>
            <w:noWrap/>
            <w:vAlign w:val="bottom"/>
            <w:hideMark/>
          </w:tcPr>
          <w:p w14:paraId="280CD4B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17.65%</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0F48659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31.03%</w:t>
            </w:r>
          </w:p>
        </w:tc>
        <w:tc>
          <w:tcPr>
            <w:tcW w:w="244" w:type="pct"/>
            <w:tcBorders>
              <w:top w:val="single" w:sz="4" w:space="0" w:color="auto"/>
              <w:left w:val="nil"/>
              <w:bottom w:val="single" w:sz="4" w:space="0" w:color="808080"/>
              <w:right w:val="single" w:sz="4" w:space="0" w:color="auto"/>
            </w:tcBorders>
            <w:shd w:val="clear" w:color="auto" w:fill="auto"/>
            <w:noWrap/>
            <w:vAlign w:val="bottom"/>
            <w:hideMark/>
          </w:tcPr>
          <w:p w14:paraId="676D284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31.03%</w:t>
            </w:r>
          </w:p>
        </w:tc>
      </w:tr>
      <w:tr w:rsidR="00A022DF" w:rsidRPr="00E87E42" w14:paraId="79C9849E" w14:textId="77777777" w:rsidTr="005839EF">
        <w:trPr>
          <w:trHeight w:val="227"/>
        </w:trPr>
        <w:tc>
          <w:tcPr>
            <w:tcW w:w="62" w:type="pct"/>
            <w:tcBorders>
              <w:top w:val="nil"/>
              <w:left w:val="single" w:sz="4" w:space="0" w:color="auto"/>
              <w:bottom w:val="single" w:sz="4" w:space="0" w:color="auto"/>
              <w:right w:val="nil"/>
            </w:tcBorders>
            <w:shd w:val="clear" w:color="auto" w:fill="auto"/>
            <w:noWrap/>
            <w:vAlign w:val="bottom"/>
            <w:hideMark/>
          </w:tcPr>
          <w:p w14:paraId="2929442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121" w:type="pct"/>
            <w:tcBorders>
              <w:top w:val="single" w:sz="4" w:space="0" w:color="808080"/>
              <w:left w:val="single" w:sz="4" w:space="0" w:color="auto"/>
              <w:bottom w:val="single" w:sz="4" w:space="0" w:color="808080"/>
              <w:right w:val="single" w:sz="4" w:space="0" w:color="auto"/>
            </w:tcBorders>
            <w:shd w:val="clear" w:color="auto" w:fill="auto"/>
            <w:noWrap/>
            <w:vAlign w:val="bottom"/>
            <w:hideMark/>
          </w:tcPr>
          <w:p w14:paraId="2F28881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w:t>
            </w:r>
          </w:p>
        </w:tc>
        <w:tc>
          <w:tcPr>
            <w:tcW w:w="92" w:type="pct"/>
            <w:tcBorders>
              <w:top w:val="nil"/>
              <w:left w:val="nil"/>
              <w:bottom w:val="single" w:sz="4" w:space="0" w:color="808080"/>
              <w:right w:val="single" w:sz="4" w:space="0" w:color="808080"/>
            </w:tcBorders>
            <w:shd w:val="clear" w:color="auto" w:fill="auto"/>
            <w:noWrap/>
            <w:vAlign w:val="bottom"/>
            <w:hideMark/>
          </w:tcPr>
          <w:p w14:paraId="40FA118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30</w:t>
            </w:r>
          </w:p>
        </w:tc>
        <w:tc>
          <w:tcPr>
            <w:tcW w:w="243" w:type="pct"/>
            <w:tcBorders>
              <w:top w:val="nil"/>
              <w:left w:val="nil"/>
              <w:bottom w:val="single" w:sz="4" w:space="0" w:color="808080"/>
              <w:right w:val="single" w:sz="4" w:space="0" w:color="808080"/>
            </w:tcBorders>
            <w:shd w:val="clear" w:color="auto" w:fill="auto"/>
            <w:noWrap/>
            <w:vAlign w:val="bottom"/>
            <w:hideMark/>
          </w:tcPr>
          <w:p w14:paraId="548052B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85.71%</w:t>
            </w:r>
          </w:p>
        </w:tc>
        <w:tc>
          <w:tcPr>
            <w:tcW w:w="214" w:type="pct"/>
            <w:tcBorders>
              <w:top w:val="nil"/>
              <w:left w:val="nil"/>
              <w:bottom w:val="single" w:sz="4" w:space="0" w:color="808080"/>
              <w:right w:val="single" w:sz="4" w:space="0" w:color="808080"/>
            </w:tcBorders>
            <w:shd w:val="clear" w:color="auto" w:fill="auto"/>
            <w:noWrap/>
            <w:vAlign w:val="bottom"/>
            <w:hideMark/>
          </w:tcPr>
          <w:p w14:paraId="59F155E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50.00%</w:t>
            </w:r>
          </w:p>
        </w:tc>
        <w:tc>
          <w:tcPr>
            <w:tcW w:w="194" w:type="pct"/>
            <w:tcBorders>
              <w:top w:val="nil"/>
              <w:left w:val="nil"/>
              <w:bottom w:val="single" w:sz="4" w:space="0" w:color="808080"/>
              <w:right w:val="single" w:sz="4" w:space="0" w:color="808080"/>
            </w:tcBorders>
            <w:shd w:val="clear" w:color="auto" w:fill="auto"/>
            <w:noWrap/>
            <w:vAlign w:val="bottom"/>
            <w:hideMark/>
          </w:tcPr>
          <w:p w14:paraId="1A792D3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47.97</w:t>
            </w:r>
          </w:p>
        </w:tc>
        <w:tc>
          <w:tcPr>
            <w:tcW w:w="194" w:type="pct"/>
            <w:tcBorders>
              <w:top w:val="nil"/>
              <w:left w:val="nil"/>
              <w:bottom w:val="single" w:sz="4" w:space="0" w:color="808080"/>
              <w:right w:val="single" w:sz="4" w:space="0" w:color="auto"/>
            </w:tcBorders>
            <w:shd w:val="clear" w:color="auto" w:fill="auto"/>
            <w:noWrap/>
            <w:vAlign w:val="bottom"/>
            <w:hideMark/>
          </w:tcPr>
          <w:p w14:paraId="35C8C74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47.97</w:t>
            </w:r>
          </w:p>
        </w:tc>
        <w:tc>
          <w:tcPr>
            <w:tcW w:w="66" w:type="pct"/>
            <w:tcBorders>
              <w:top w:val="nil"/>
              <w:left w:val="nil"/>
              <w:bottom w:val="single" w:sz="4" w:space="0" w:color="808080"/>
              <w:right w:val="single" w:sz="4" w:space="0" w:color="808080"/>
            </w:tcBorders>
            <w:shd w:val="clear" w:color="auto" w:fill="auto"/>
            <w:noWrap/>
            <w:vAlign w:val="bottom"/>
            <w:hideMark/>
          </w:tcPr>
          <w:p w14:paraId="729224B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214" w:type="pct"/>
            <w:tcBorders>
              <w:top w:val="nil"/>
              <w:left w:val="nil"/>
              <w:bottom w:val="single" w:sz="4" w:space="0" w:color="808080"/>
              <w:right w:val="single" w:sz="4" w:space="0" w:color="808080"/>
            </w:tcBorders>
            <w:shd w:val="clear" w:color="auto" w:fill="auto"/>
            <w:noWrap/>
            <w:vAlign w:val="bottom"/>
            <w:hideMark/>
          </w:tcPr>
          <w:p w14:paraId="6B97819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11.43%</w:t>
            </w:r>
          </w:p>
        </w:tc>
        <w:tc>
          <w:tcPr>
            <w:tcW w:w="214" w:type="pct"/>
            <w:tcBorders>
              <w:top w:val="nil"/>
              <w:left w:val="nil"/>
              <w:bottom w:val="single" w:sz="4" w:space="0" w:color="808080"/>
              <w:right w:val="single" w:sz="4" w:space="0" w:color="808080"/>
            </w:tcBorders>
            <w:shd w:val="clear" w:color="auto" w:fill="auto"/>
            <w:noWrap/>
            <w:vAlign w:val="bottom"/>
            <w:hideMark/>
          </w:tcPr>
          <w:p w14:paraId="2E5309C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36.36%</w:t>
            </w:r>
          </w:p>
        </w:tc>
        <w:tc>
          <w:tcPr>
            <w:tcW w:w="165" w:type="pct"/>
            <w:tcBorders>
              <w:top w:val="nil"/>
              <w:left w:val="nil"/>
              <w:bottom w:val="single" w:sz="4" w:space="0" w:color="808080"/>
              <w:right w:val="single" w:sz="4" w:space="0" w:color="808080"/>
            </w:tcBorders>
            <w:shd w:val="clear" w:color="auto" w:fill="auto"/>
            <w:noWrap/>
            <w:vAlign w:val="bottom"/>
            <w:hideMark/>
          </w:tcPr>
          <w:p w14:paraId="42AA9FE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17.60</w:t>
            </w:r>
          </w:p>
        </w:tc>
        <w:tc>
          <w:tcPr>
            <w:tcW w:w="165" w:type="pct"/>
            <w:tcBorders>
              <w:top w:val="nil"/>
              <w:left w:val="nil"/>
              <w:bottom w:val="single" w:sz="4" w:space="0" w:color="808080"/>
              <w:right w:val="single" w:sz="4" w:space="0" w:color="auto"/>
            </w:tcBorders>
            <w:shd w:val="clear" w:color="auto" w:fill="auto"/>
            <w:noWrap/>
            <w:vAlign w:val="bottom"/>
            <w:hideMark/>
          </w:tcPr>
          <w:p w14:paraId="26C5833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5.71</w:t>
            </w:r>
          </w:p>
        </w:tc>
        <w:tc>
          <w:tcPr>
            <w:tcW w:w="66" w:type="pct"/>
            <w:tcBorders>
              <w:top w:val="nil"/>
              <w:left w:val="nil"/>
              <w:bottom w:val="single" w:sz="4" w:space="0" w:color="808080"/>
              <w:right w:val="single" w:sz="4" w:space="0" w:color="808080"/>
            </w:tcBorders>
            <w:shd w:val="clear" w:color="auto" w:fill="auto"/>
            <w:noWrap/>
            <w:vAlign w:val="bottom"/>
            <w:hideMark/>
          </w:tcPr>
          <w:p w14:paraId="0247991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nil"/>
              <w:left w:val="nil"/>
              <w:bottom w:val="single" w:sz="4" w:space="0" w:color="808080"/>
              <w:right w:val="single" w:sz="4" w:space="0" w:color="808080"/>
            </w:tcBorders>
            <w:shd w:val="clear" w:color="auto" w:fill="auto"/>
            <w:noWrap/>
            <w:vAlign w:val="bottom"/>
            <w:hideMark/>
          </w:tcPr>
          <w:p w14:paraId="0FC8E57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3" w:type="pct"/>
            <w:tcBorders>
              <w:top w:val="nil"/>
              <w:left w:val="nil"/>
              <w:bottom w:val="single" w:sz="4" w:space="0" w:color="808080"/>
              <w:right w:val="single" w:sz="4" w:space="0" w:color="808080"/>
            </w:tcBorders>
            <w:shd w:val="clear" w:color="auto" w:fill="auto"/>
            <w:noWrap/>
            <w:vAlign w:val="bottom"/>
            <w:hideMark/>
          </w:tcPr>
          <w:p w14:paraId="2917E57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4" w:type="pct"/>
            <w:tcBorders>
              <w:top w:val="nil"/>
              <w:left w:val="nil"/>
              <w:bottom w:val="single" w:sz="4" w:space="0" w:color="808080"/>
              <w:right w:val="single" w:sz="4" w:space="0" w:color="808080"/>
            </w:tcBorders>
            <w:shd w:val="clear" w:color="auto" w:fill="auto"/>
            <w:noWrap/>
            <w:vAlign w:val="bottom"/>
            <w:hideMark/>
          </w:tcPr>
          <w:p w14:paraId="14CAF1E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nil"/>
              <w:left w:val="nil"/>
              <w:bottom w:val="single" w:sz="4" w:space="0" w:color="808080"/>
              <w:right w:val="single" w:sz="4" w:space="0" w:color="auto"/>
            </w:tcBorders>
            <w:shd w:val="clear" w:color="auto" w:fill="auto"/>
            <w:noWrap/>
            <w:vAlign w:val="bottom"/>
            <w:hideMark/>
          </w:tcPr>
          <w:p w14:paraId="48AF056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6" w:type="pct"/>
            <w:tcBorders>
              <w:top w:val="nil"/>
              <w:left w:val="nil"/>
              <w:bottom w:val="single" w:sz="4" w:space="0" w:color="808080"/>
              <w:right w:val="single" w:sz="4" w:space="0" w:color="808080"/>
            </w:tcBorders>
            <w:shd w:val="clear" w:color="auto" w:fill="auto"/>
            <w:noWrap/>
            <w:vAlign w:val="bottom"/>
            <w:hideMark/>
          </w:tcPr>
          <w:p w14:paraId="7D7036F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43" w:type="pct"/>
            <w:tcBorders>
              <w:top w:val="nil"/>
              <w:left w:val="nil"/>
              <w:bottom w:val="single" w:sz="4" w:space="0" w:color="808080"/>
              <w:right w:val="single" w:sz="4" w:space="0" w:color="808080"/>
            </w:tcBorders>
            <w:shd w:val="clear" w:color="auto" w:fill="auto"/>
            <w:noWrap/>
            <w:vAlign w:val="bottom"/>
            <w:hideMark/>
          </w:tcPr>
          <w:p w14:paraId="54FA3C3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2.86%</w:t>
            </w:r>
          </w:p>
        </w:tc>
        <w:tc>
          <w:tcPr>
            <w:tcW w:w="214" w:type="pct"/>
            <w:tcBorders>
              <w:top w:val="nil"/>
              <w:left w:val="nil"/>
              <w:bottom w:val="single" w:sz="4" w:space="0" w:color="808080"/>
              <w:right w:val="single" w:sz="4" w:space="0" w:color="808080"/>
            </w:tcBorders>
            <w:shd w:val="clear" w:color="auto" w:fill="auto"/>
            <w:noWrap/>
            <w:vAlign w:val="bottom"/>
            <w:hideMark/>
          </w:tcPr>
          <w:p w14:paraId="1EE4B55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11.11%</w:t>
            </w:r>
          </w:p>
        </w:tc>
        <w:tc>
          <w:tcPr>
            <w:tcW w:w="194" w:type="pct"/>
            <w:tcBorders>
              <w:top w:val="nil"/>
              <w:left w:val="nil"/>
              <w:bottom w:val="single" w:sz="4" w:space="0" w:color="808080"/>
              <w:right w:val="single" w:sz="4" w:space="0" w:color="808080"/>
            </w:tcBorders>
            <w:shd w:val="clear" w:color="auto" w:fill="auto"/>
            <w:noWrap/>
            <w:vAlign w:val="bottom"/>
            <w:hideMark/>
          </w:tcPr>
          <w:p w14:paraId="470E912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10.22</w:t>
            </w:r>
          </w:p>
        </w:tc>
        <w:tc>
          <w:tcPr>
            <w:tcW w:w="165" w:type="pct"/>
            <w:tcBorders>
              <w:top w:val="nil"/>
              <w:left w:val="nil"/>
              <w:bottom w:val="single" w:sz="4" w:space="0" w:color="808080"/>
              <w:right w:val="single" w:sz="4" w:space="0" w:color="auto"/>
            </w:tcBorders>
            <w:shd w:val="clear" w:color="auto" w:fill="auto"/>
            <w:noWrap/>
            <w:vAlign w:val="bottom"/>
            <w:hideMark/>
          </w:tcPr>
          <w:p w14:paraId="14E3028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1.39</w:t>
            </w:r>
          </w:p>
        </w:tc>
        <w:tc>
          <w:tcPr>
            <w:tcW w:w="377" w:type="pct"/>
            <w:tcBorders>
              <w:top w:val="nil"/>
              <w:left w:val="nil"/>
              <w:bottom w:val="single" w:sz="4" w:space="0" w:color="808080"/>
              <w:right w:val="single" w:sz="4" w:space="0" w:color="auto"/>
            </w:tcBorders>
            <w:shd w:val="clear" w:color="auto" w:fill="auto"/>
            <w:noWrap/>
            <w:vAlign w:val="bottom"/>
            <w:hideMark/>
          </w:tcPr>
          <w:p w14:paraId="63E580F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43.42</w:t>
            </w:r>
          </w:p>
        </w:tc>
        <w:tc>
          <w:tcPr>
            <w:tcW w:w="214" w:type="pct"/>
            <w:tcBorders>
              <w:top w:val="nil"/>
              <w:left w:val="nil"/>
              <w:bottom w:val="single" w:sz="4" w:space="0" w:color="808080"/>
              <w:right w:val="single" w:sz="4" w:space="0" w:color="808080"/>
            </w:tcBorders>
            <w:shd w:val="clear" w:color="auto" w:fill="auto"/>
            <w:noWrap/>
            <w:vAlign w:val="bottom"/>
            <w:hideMark/>
          </w:tcPr>
          <w:p w14:paraId="7692325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41.18%</w:t>
            </w:r>
          </w:p>
        </w:tc>
        <w:tc>
          <w:tcPr>
            <w:tcW w:w="243" w:type="pct"/>
            <w:tcBorders>
              <w:top w:val="nil"/>
              <w:left w:val="nil"/>
              <w:bottom w:val="single" w:sz="4" w:space="0" w:color="808080"/>
              <w:right w:val="single" w:sz="4" w:space="0" w:color="808080"/>
            </w:tcBorders>
            <w:shd w:val="clear" w:color="auto" w:fill="auto"/>
            <w:noWrap/>
            <w:vAlign w:val="bottom"/>
            <w:hideMark/>
          </w:tcPr>
          <w:p w14:paraId="61A30C6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58.82%</w:t>
            </w:r>
          </w:p>
        </w:tc>
        <w:tc>
          <w:tcPr>
            <w:tcW w:w="214" w:type="pct"/>
            <w:tcBorders>
              <w:top w:val="nil"/>
              <w:left w:val="nil"/>
              <w:bottom w:val="single" w:sz="4" w:space="0" w:color="808080"/>
              <w:right w:val="single" w:sz="4" w:space="0" w:color="808080"/>
            </w:tcBorders>
            <w:shd w:val="clear" w:color="auto" w:fill="auto"/>
            <w:noWrap/>
            <w:vAlign w:val="bottom"/>
            <w:hideMark/>
          </w:tcPr>
          <w:p w14:paraId="4720882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47.13%</w:t>
            </w:r>
          </w:p>
        </w:tc>
        <w:tc>
          <w:tcPr>
            <w:tcW w:w="244" w:type="pct"/>
            <w:tcBorders>
              <w:top w:val="nil"/>
              <w:left w:val="nil"/>
              <w:bottom w:val="single" w:sz="4" w:space="0" w:color="808080"/>
              <w:right w:val="single" w:sz="4" w:space="0" w:color="auto"/>
            </w:tcBorders>
            <w:shd w:val="clear" w:color="auto" w:fill="auto"/>
            <w:noWrap/>
            <w:vAlign w:val="bottom"/>
            <w:hideMark/>
          </w:tcPr>
          <w:p w14:paraId="46139F0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78.16%</w:t>
            </w:r>
          </w:p>
        </w:tc>
      </w:tr>
      <w:tr w:rsidR="00A022DF" w:rsidRPr="00E87E42" w14:paraId="14A2C82D" w14:textId="77777777" w:rsidTr="005839EF">
        <w:trPr>
          <w:trHeight w:val="227"/>
        </w:trPr>
        <w:tc>
          <w:tcPr>
            <w:tcW w:w="62" w:type="pct"/>
            <w:tcBorders>
              <w:top w:val="nil"/>
              <w:left w:val="single" w:sz="4" w:space="0" w:color="auto"/>
              <w:bottom w:val="single" w:sz="4" w:space="0" w:color="auto"/>
              <w:right w:val="nil"/>
            </w:tcBorders>
            <w:shd w:val="clear" w:color="auto" w:fill="auto"/>
            <w:noWrap/>
            <w:vAlign w:val="bottom"/>
            <w:hideMark/>
          </w:tcPr>
          <w:p w14:paraId="42F1ABD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121" w:type="pct"/>
            <w:tcBorders>
              <w:top w:val="nil"/>
              <w:left w:val="single" w:sz="4" w:space="0" w:color="auto"/>
              <w:bottom w:val="single" w:sz="4" w:space="0" w:color="808080"/>
              <w:right w:val="single" w:sz="4" w:space="0" w:color="auto"/>
            </w:tcBorders>
            <w:shd w:val="clear" w:color="auto" w:fill="auto"/>
            <w:noWrap/>
            <w:vAlign w:val="bottom"/>
            <w:hideMark/>
          </w:tcPr>
          <w:p w14:paraId="4C5B30E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92" w:type="pct"/>
            <w:tcBorders>
              <w:top w:val="nil"/>
              <w:left w:val="nil"/>
              <w:bottom w:val="single" w:sz="4" w:space="0" w:color="808080"/>
              <w:right w:val="single" w:sz="4" w:space="0" w:color="808080"/>
            </w:tcBorders>
            <w:shd w:val="clear" w:color="auto" w:fill="auto"/>
            <w:noWrap/>
            <w:vAlign w:val="bottom"/>
            <w:hideMark/>
          </w:tcPr>
          <w:p w14:paraId="616FCBC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243" w:type="pct"/>
            <w:tcBorders>
              <w:top w:val="nil"/>
              <w:left w:val="nil"/>
              <w:bottom w:val="single" w:sz="4" w:space="0" w:color="808080"/>
              <w:right w:val="single" w:sz="4" w:space="0" w:color="808080"/>
            </w:tcBorders>
            <w:shd w:val="clear" w:color="auto" w:fill="auto"/>
            <w:noWrap/>
            <w:vAlign w:val="bottom"/>
            <w:hideMark/>
          </w:tcPr>
          <w:p w14:paraId="18EA9F6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75.00%</w:t>
            </w:r>
          </w:p>
        </w:tc>
        <w:tc>
          <w:tcPr>
            <w:tcW w:w="214" w:type="pct"/>
            <w:tcBorders>
              <w:top w:val="nil"/>
              <w:left w:val="nil"/>
              <w:bottom w:val="single" w:sz="4" w:space="0" w:color="808080"/>
              <w:right w:val="single" w:sz="4" w:space="0" w:color="808080"/>
            </w:tcBorders>
            <w:shd w:val="clear" w:color="auto" w:fill="auto"/>
            <w:noWrap/>
            <w:vAlign w:val="bottom"/>
            <w:hideMark/>
          </w:tcPr>
          <w:p w14:paraId="7BF174F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w:t>
            </w:r>
          </w:p>
        </w:tc>
        <w:tc>
          <w:tcPr>
            <w:tcW w:w="194" w:type="pct"/>
            <w:tcBorders>
              <w:top w:val="nil"/>
              <w:left w:val="nil"/>
              <w:bottom w:val="single" w:sz="4" w:space="0" w:color="808080"/>
              <w:right w:val="single" w:sz="4" w:space="0" w:color="808080"/>
            </w:tcBorders>
            <w:shd w:val="clear" w:color="auto" w:fill="auto"/>
            <w:noWrap/>
            <w:vAlign w:val="bottom"/>
            <w:hideMark/>
          </w:tcPr>
          <w:p w14:paraId="792176C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0.26</w:t>
            </w:r>
          </w:p>
        </w:tc>
        <w:tc>
          <w:tcPr>
            <w:tcW w:w="194" w:type="pct"/>
            <w:tcBorders>
              <w:top w:val="nil"/>
              <w:left w:val="nil"/>
              <w:bottom w:val="single" w:sz="4" w:space="0" w:color="808080"/>
              <w:right w:val="single" w:sz="4" w:space="0" w:color="auto"/>
            </w:tcBorders>
            <w:shd w:val="clear" w:color="auto" w:fill="auto"/>
            <w:noWrap/>
            <w:vAlign w:val="bottom"/>
            <w:hideMark/>
          </w:tcPr>
          <w:p w14:paraId="13D5C58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0.26</w:t>
            </w:r>
          </w:p>
        </w:tc>
        <w:tc>
          <w:tcPr>
            <w:tcW w:w="66" w:type="pct"/>
            <w:tcBorders>
              <w:top w:val="nil"/>
              <w:left w:val="nil"/>
              <w:bottom w:val="single" w:sz="4" w:space="0" w:color="808080"/>
              <w:right w:val="single" w:sz="4" w:space="0" w:color="808080"/>
            </w:tcBorders>
            <w:shd w:val="clear" w:color="auto" w:fill="auto"/>
            <w:noWrap/>
            <w:vAlign w:val="bottom"/>
            <w:hideMark/>
          </w:tcPr>
          <w:p w14:paraId="0B075F7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14" w:type="pct"/>
            <w:tcBorders>
              <w:top w:val="nil"/>
              <w:left w:val="nil"/>
              <w:bottom w:val="single" w:sz="4" w:space="0" w:color="808080"/>
              <w:right w:val="single" w:sz="4" w:space="0" w:color="808080"/>
            </w:tcBorders>
            <w:shd w:val="clear" w:color="auto" w:fill="auto"/>
            <w:noWrap/>
            <w:vAlign w:val="bottom"/>
            <w:hideMark/>
          </w:tcPr>
          <w:p w14:paraId="34E59A5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25.00%</w:t>
            </w:r>
          </w:p>
        </w:tc>
        <w:tc>
          <w:tcPr>
            <w:tcW w:w="214" w:type="pct"/>
            <w:tcBorders>
              <w:top w:val="nil"/>
              <w:left w:val="nil"/>
              <w:bottom w:val="single" w:sz="4" w:space="0" w:color="808080"/>
              <w:right w:val="single" w:sz="4" w:space="0" w:color="808080"/>
            </w:tcBorders>
            <w:shd w:val="clear" w:color="auto" w:fill="auto"/>
            <w:noWrap/>
            <w:vAlign w:val="bottom"/>
            <w:hideMark/>
          </w:tcPr>
          <w:p w14:paraId="675ED41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9.09%</w:t>
            </w:r>
          </w:p>
        </w:tc>
        <w:tc>
          <w:tcPr>
            <w:tcW w:w="165" w:type="pct"/>
            <w:tcBorders>
              <w:top w:val="nil"/>
              <w:left w:val="nil"/>
              <w:bottom w:val="single" w:sz="4" w:space="0" w:color="808080"/>
              <w:right w:val="single" w:sz="4" w:space="0" w:color="808080"/>
            </w:tcBorders>
            <w:shd w:val="clear" w:color="auto" w:fill="auto"/>
            <w:noWrap/>
            <w:vAlign w:val="bottom"/>
            <w:hideMark/>
          </w:tcPr>
          <w:p w14:paraId="3BFB8A6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6.87</w:t>
            </w:r>
          </w:p>
        </w:tc>
        <w:tc>
          <w:tcPr>
            <w:tcW w:w="165" w:type="pct"/>
            <w:tcBorders>
              <w:top w:val="nil"/>
              <w:left w:val="nil"/>
              <w:bottom w:val="single" w:sz="4" w:space="0" w:color="808080"/>
              <w:right w:val="single" w:sz="4" w:space="0" w:color="auto"/>
            </w:tcBorders>
            <w:shd w:val="clear" w:color="auto" w:fill="auto"/>
            <w:noWrap/>
            <w:vAlign w:val="bottom"/>
            <w:hideMark/>
          </w:tcPr>
          <w:p w14:paraId="3BF9DB5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2.23</w:t>
            </w:r>
          </w:p>
        </w:tc>
        <w:tc>
          <w:tcPr>
            <w:tcW w:w="66" w:type="pct"/>
            <w:tcBorders>
              <w:top w:val="nil"/>
              <w:left w:val="nil"/>
              <w:bottom w:val="single" w:sz="4" w:space="0" w:color="808080"/>
              <w:right w:val="single" w:sz="4" w:space="0" w:color="808080"/>
            </w:tcBorders>
            <w:shd w:val="clear" w:color="auto" w:fill="auto"/>
            <w:noWrap/>
            <w:vAlign w:val="bottom"/>
            <w:hideMark/>
          </w:tcPr>
          <w:p w14:paraId="7B60D32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nil"/>
              <w:left w:val="nil"/>
              <w:bottom w:val="single" w:sz="4" w:space="0" w:color="808080"/>
              <w:right w:val="single" w:sz="4" w:space="0" w:color="808080"/>
            </w:tcBorders>
            <w:shd w:val="clear" w:color="auto" w:fill="auto"/>
            <w:noWrap/>
            <w:vAlign w:val="bottom"/>
            <w:hideMark/>
          </w:tcPr>
          <w:p w14:paraId="4C924A2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3" w:type="pct"/>
            <w:tcBorders>
              <w:top w:val="nil"/>
              <w:left w:val="nil"/>
              <w:bottom w:val="single" w:sz="4" w:space="0" w:color="808080"/>
              <w:right w:val="single" w:sz="4" w:space="0" w:color="808080"/>
            </w:tcBorders>
            <w:shd w:val="clear" w:color="auto" w:fill="auto"/>
            <w:noWrap/>
            <w:vAlign w:val="bottom"/>
            <w:hideMark/>
          </w:tcPr>
          <w:p w14:paraId="2332934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4" w:type="pct"/>
            <w:tcBorders>
              <w:top w:val="nil"/>
              <w:left w:val="nil"/>
              <w:bottom w:val="single" w:sz="4" w:space="0" w:color="808080"/>
              <w:right w:val="single" w:sz="4" w:space="0" w:color="808080"/>
            </w:tcBorders>
            <w:shd w:val="clear" w:color="auto" w:fill="auto"/>
            <w:noWrap/>
            <w:vAlign w:val="bottom"/>
            <w:hideMark/>
          </w:tcPr>
          <w:p w14:paraId="6649DD7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nil"/>
              <w:left w:val="nil"/>
              <w:bottom w:val="single" w:sz="4" w:space="0" w:color="808080"/>
              <w:right w:val="single" w:sz="4" w:space="0" w:color="auto"/>
            </w:tcBorders>
            <w:shd w:val="clear" w:color="auto" w:fill="auto"/>
            <w:noWrap/>
            <w:vAlign w:val="bottom"/>
            <w:hideMark/>
          </w:tcPr>
          <w:p w14:paraId="3AC21F0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6" w:type="pct"/>
            <w:tcBorders>
              <w:top w:val="nil"/>
              <w:left w:val="nil"/>
              <w:bottom w:val="single" w:sz="4" w:space="0" w:color="808080"/>
              <w:right w:val="single" w:sz="4" w:space="0" w:color="808080"/>
            </w:tcBorders>
            <w:shd w:val="clear" w:color="auto" w:fill="auto"/>
            <w:noWrap/>
            <w:vAlign w:val="bottom"/>
            <w:hideMark/>
          </w:tcPr>
          <w:p w14:paraId="442D58F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43" w:type="pct"/>
            <w:tcBorders>
              <w:top w:val="nil"/>
              <w:left w:val="nil"/>
              <w:bottom w:val="single" w:sz="4" w:space="0" w:color="808080"/>
              <w:right w:val="single" w:sz="4" w:space="0" w:color="808080"/>
            </w:tcBorders>
            <w:shd w:val="clear" w:color="auto" w:fill="auto"/>
            <w:noWrap/>
            <w:vAlign w:val="bottom"/>
            <w:hideMark/>
          </w:tcPr>
          <w:p w14:paraId="1ABAB42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4" w:type="pct"/>
            <w:tcBorders>
              <w:top w:val="nil"/>
              <w:left w:val="nil"/>
              <w:bottom w:val="single" w:sz="4" w:space="0" w:color="808080"/>
              <w:right w:val="single" w:sz="4" w:space="0" w:color="808080"/>
            </w:tcBorders>
            <w:shd w:val="clear" w:color="auto" w:fill="auto"/>
            <w:noWrap/>
            <w:vAlign w:val="bottom"/>
            <w:hideMark/>
          </w:tcPr>
          <w:p w14:paraId="079E0D6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4" w:type="pct"/>
            <w:tcBorders>
              <w:top w:val="nil"/>
              <w:left w:val="nil"/>
              <w:bottom w:val="single" w:sz="4" w:space="0" w:color="808080"/>
              <w:right w:val="single" w:sz="4" w:space="0" w:color="808080"/>
            </w:tcBorders>
            <w:shd w:val="clear" w:color="auto" w:fill="auto"/>
            <w:noWrap/>
            <w:vAlign w:val="bottom"/>
            <w:hideMark/>
          </w:tcPr>
          <w:p w14:paraId="55748B4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nil"/>
              <w:left w:val="nil"/>
              <w:bottom w:val="single" w:sz="4" w:space="0" w:color="808080"/>
              <w:right w:val="single" w:sz="4" w:space="0" w:color="auto"/>
            </w:tcBorders>
            <w:shd w:val="clear" w:color="auto" w:fill="auto"/>
            <w:noWrap/>
            <w:vAlign w:val="bottom"/>
            <w:hideMark/>
          </w:tcPr>
          <w:p w14:paraId="730FBD0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7" w:type="pct"/>
            <w:tcBorders>
              <w:top w:val="nil"/>
              <w:left w:val="nil"/>
              <w:bottom w:val="single" w:sz="4" w:space="0" w:color="808080"/>
              <w:right w:val="single" w:sz="4" w:space="0" w:color="auto"/>
            </w:tcBorders>
            <w:shd w:val="clear" w:color="auto" w:fill="auto"/>
            <w:noWrap/>
            <w:vAlign w:val="bottom"/>
            <w:hideMark/>
          </w:tcPr>
          <w:p w14:paraId="3DD3325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1.92</w:t>
            </w:r>
          </w:p>
        </w:tc>
        <w:tc>
          <w:tcPr>
            <w:tcW w:w="214" w:type="pct"/>
            <w:tcBorders>
              <w:top w:val="nil"/>
              <w:left w:val="nil"/>
              <w:bottom w:val="single" w:sz="4" w:space="0" w:color="808080"/>
              <w:right w:val="single" w:sz="4" w:space="0" w:color="808080"/>
            </w:tcBorders>
            <w:shd w:val="clear" w:color="auto" w:fill="auto"/>
            <w:noWrap/>
            <w:vAlign w:val="bottom"/>
            <w:hideMark/>
          </w:tcPr>
          <w:p w14:paraId="6A3E54F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4.71%</w:t>
            </w:r>
          </w:p>
        </w:tc>
        <w:tc>
          <w:tcPr>
            <w:tcW w:w="243" w:type="pct"/>
            <w:tcBorders>
              <w:top w:val="nil"/>
              <w:left w:val="nil"/>
              <w:bottom w:val="single" w:sz="4" w:space="0" w:color="808080"/>
              <w:right w:val="single" w:sz="4" w:space="0" w:color="808080"/>
            </w:tcBorders>
            <w:shd w:val="clear" w:color="auto" w:fill="auto"/>
            <w:noWrap/>
            <w:vAlign w:val="bottom"/>
            <w:hideMark/>
          </w:tcPr>
          <w:p w14:paraId="744E9E7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63.53%</w:t>
            </w:r>
          </w:p>
        </w:tc>
        <w:tc>
          <w:tcPr>
            <w:tcW w:w="214" w:type="pct"/>
            <w:tcBorders>
              <w:top w:val="nil"/>
              <w:left w:val="nil"/>
              <w:bottom w:val="single" w:sz="4" w:space="0" w:color="808080"/>
              <w:right w:val="single" w:sz="4" w:space="0" w:color="808080"/>
            </w:tcBorders>
            <w:shd w:val="clear" w:color="auto" w:fill="auto"/>
            <w:noWrap/>
            <w:vAlign w:val="bottom"/>
            <w:hideMark/>
          </w:tcPr>
          <w:p w14:paraId="0722E69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5.75%</w:t>
            </w:r>
          </w:p>
        </w:tc>
        <w:tc>
          <w:tcPr>
            <w:tcW w:w="244" w:type="pct"/>
            <w:tcBorders>
              <w:top w:val="nil"/>
              <w:left w:val="nil"/>
              <w:bottom w:val="single" w:sz="4" w:space="0" w:color="808080"/>
              <w:right w:val="single" w:sz="4" w:space="0" w:color="auto"/>
            </w:tcBorders>
            <w:shd w:val="clear" w:color="auto" w:fill="auto"/>
            <w:noWrap/>
            <w:vAlign w:val="bottom"/>
            <w:hideMark/>
          </w:tcPr>
          <w:p w14:paraId="60F43BB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83.91%</w:t>
            </w:r>
          </w:p>
        </w:tc>
      </w:tr>
      <w:tr w:rsidR="00A022DF" w:rsidRPr="00E87E42" w14:paraId="1FB528BC" w14:textId="77777777" w:rsidTr="005839EF">
        <w:trPr>
          <w:trHeight w:val="227"/>
        </w:trPr>
        <w:tc>
          <w:tcPr>
            <w:tcW w:w="62" w:type="pct"/>
            <w:tcBorders>
              <w:top w:val="nil"/>
              <w:left w:val="single" w:sz="4" w:space="0" w:color="auto"/>
              <w:bottom w:val="single" w:sz="4" w:space="0" w:color="auto"/>
              <w:right w:val="nil"/>
            </w:tcBorders>
            <w:shd w:val="clear" w:color="auto" w:fill="auto"/>
            <w:noWrap/>
            <w:vAlign w:val="bottom"/>
            <w:hideMark/>
          </w:tcPr>
          <w:p w14:paraId="43E615C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121" w:type="pct"/>
            <w:tcBorders>
              <w:top w:val="nil"/>
              <w:left w:val="single" w:sz="4" w:space="0" w:color="auto"/>
              <w:bottom w:val="single" w:sz="4" w:space="0" w:color="808080"/>
              <w:right w:val="single" w:sz="4" w:space="0" w:color="auto"/>
            </w:tcBorders>
            <w:shd w:val="clear" w:color="auto" w:fill="auto"/>
            <w:noWrap/>
            <w:vAlign w:val="bottom"/>
            <w:hideMark/>
          </w:tcPr>
          <w:p w14:paraId="6CDE4C4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w:t>
            </w:r>
          </w:p>
        </w:tc>
        <w:tc>
          <w:tcPr>
            <w:tcW w:w="92" w:type="pct"/>
            <w:tcBorders>
              <w:top w:val="nil"/>
              <w:left w:val="nil"/>
              <w:bottom w:val="single" w:sz="4" w:space="0" w:color="808080"/>
              <w:right w:val="single" w:sz="4" w:space="0" w:color="808080"/>
            </w:tcBorders>
            <w:shd w:val="clear" w:color="auto" w:fill="auto"/>
            <w:noWrap/>
            <w:vAlign w:val="bottom"/>
            <w:hideMark/>
          </w:tcPr>
          <w:p w14:paraId="2722447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w:t>
            </w:r>
          </w:p>
        </w:tc>
        <w:tc>
          <w:tcPr>
            <w:tcW w:w="243" w:type="pct"/>
            <w:tcBorders>
              <w:top w:val="nil"/>
              <w:left w:val="nil"/>
              <w:bottom w:val="single" w:sz="4" w:space="0" w:color="808080"/>
              <w:right w:val="single" w:sz="4" w:space="0" w:color="808080"/>
            </w:tcBorders>
            <w:shd w:val="clear" w:color="auto" w:fill="auto"/>
            <w:noWrap/>
            <w:vAlign w:val="bottom"/>
            <w:hideMark/>
          </w:tcPr>
          <w:p w14:paraId="68A8A9D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40.00%</w:t>
            </w:r>
          </w:p>
        </w:tc>
        <w:tc>
          <w:tcPr>
            <w:tcW w:w="214" w:type="pct"/>
            <w:tcBorders>
              <w:top w:val="nil"/>
              <w:left w:val="nil"/>
              <w:bottom w:val="single" w:sz="4" w:space="0" w:color="808080"/>
              <w:right w:val="single" w:sz="4" w:space="0" w:color="808080"/>
            </w:tcBorders>
            <w:shd w:val="clear" w:color="auto" w:fill="auto"/>
            <w:noWrap/>
            <w:vAlign w:val="bottom"/>
            <w:hideMark/>
          </w:tcPr>
          <w:p w14:paraId="2988BAE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20.00%</w:t>
            </w:r>
          </w:p>
        </w:tc>
        <w:tc>
          <w:tcPr>
            <w:tcW w:w="194" w:type="pct"/>
            <w:tcBorders>
              <w:top w:val="nil"/>
              <w:left w:val="nil"/>
              <w:bottom w:val="single" w:sz="4" w:space="0" w:color="808080"/>
              <w:right w:val="single" w:sz="4" w:space="0" w:color="808080"/>
            </w:tcBorders>
            <w:shd w:val="clear" w:color="auto" w:fill="auto"/>
            <w:noWrap/>
            <w:vAlign w:val="bottom"/>
            <w:hideMark/>
          </w:tcPr>
          <w:p w14:paraId="7D771E4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17.53</w:t>
            </w:r>
          </w:p>
        </w:tc>
        <w:tc>
          <w:tcPr>
            <w:tcW w:w="194" w:type="pct"/>
            <w:tcBorders>
              <w:top w:val="nil"/>
              <w:left w:val="nil"/>
              <w:bottom w:val="single" w:sz="4" w:space="0" w:color="808080"/>
              <w:right w:val="single" w:sz="4" w:space="0" w:color="auto"/>
            </w:tcBorders>
            <w:shd w:val="clear" w:color="auto" w:fill="auto"/>
            <w:noWrap/>
            <w:vAlign w:val="bottom"/>
            <w:hideMark/>
          </w:tcPr>
          <w:p w14:paraId="5DD1C5B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17.53</w:t>
            </w:r>
          </w:p>
        </w:tc>
        <w:tc>
          <w:tcPr>
            <w:tcW w:w="66" w:type="pct"/>
            <w:tcBorders>
              <w:top w:val="nil"/>
              <w:left w:val="nil"/>
              <w:bottom w:val="single" w:sz="4" w:space="0" w:color="808080"/>
              <w:right w:val="single" w:sz="4" w:space="0" w:color="808080"/>
            </w:tcBorders>
            <w:shd w:val="clear" w:color="auto" w:fill="auto"/>
            <w:noWrap/>
            <w:vAlign w:val="bottom"/>
            <w:hideMark/>
          </w:tcPr>
          <w:p w14:paraId="539AC63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w:t>
            </w:r>
          </w:p>
        </w:tc>
        <w:tc>
          <w:tcPr>
            <w:tcW w:w="214" w:type="pct"/>
            <w:tcBorders>
              <w:top w:val="nil"/>
              <w:left w:val="nil"/>
              <w:bottom w:val="single" w:sz="4" w:space="0" w:color="808080"/>
              <w:right w:val="single" w:sz="4" w:space="0" w:color="808080"/>
            </w:tcBorders>
            <w:shd w:val="clear" w:color="auto" w:fill="auto"/>
            <w:noWrap/>
            <w:vAlign w:val="bottom"/>
            <w:hideMark/>
          </w:tcPr>
          <w:p w14:paraId="73B3D3F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20.00%</w:t>
            </w:r>
          </w:p>
        </w:tc>
        <w:tc>
          <w:tcPr>
            <w:tcW w:w="214" w:type="pct"/>
            <w:tcBorders>
              <w:top w:val="nil"/>
              <w:left w:val="nil"/>
              <w:bottom w:val="single" w:sz="4" w:space="0" w:color="808080"/>
              <w:right w:val="single" w:sz="4" w:space="0" w:color="808080"/>
            </w:tcBorders>
            <w:shd w:val="clear" w:color="auto" w:fill="auto"/>
            <w:noWrap/>
            <w:vAlign w:val="bottom"/>
            <w:hideMark/>
          </w:tcPr>
          <w:p w14:paraId="54D6D72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54.55%</w:t>
            </w:r>
          </w:p>
        </w:tc>
        <w:tc>
          <w:tcPr>
            <w:tcW w:w="165" w:type="pct"/>
            <w:tcBorders>
              <w:top w:val="nil"/>
              <w:left w:val="nil"/>
              <w:bottom w:val="single" w:sz="4" w:space="0" w:color="808080"/>
              <w:right w:val="single" w:sz="4" w:space="0" w:color="808080"/>
            </w:tcBorders>
            <w:shd w:val="clear" w:color="auto" w:fill="auto"/>
            <w:noWrap/>
            <w:vAlign w:val="bottom"/>
            <w:hideMark/>
          </w:tcPr>
          <w:p w14:paraId="510A120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51.17</w:t>
            </w:r>
          </w:p>
        </w:tc>
        <w:tc>
          <w:tcPr>
            <w:tcW w:w="165" w:type="pct"/>
            <w:tcBorders>
              <w:top w:val="nil"/>
              <w:left w:val="nil"/>
              <w:bottom w:val="single" w:sz="4" w:space="0" w:color="808080"/>
              <w:right w:val="single" w:sz="4" w:space="0" w:color="auto"/>
            </w:tcBorders>
            <w:shd w:val="clear" w:color="auto" w:fill="auto"/>
            <w:noWrap/>
            <w:vAlign w:val="bottom"/>
            <w:hideMark/>
          </w:tcPr>
          <w:p w14:paraId="0A63266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16.60</w:t>
            </w:r>
          </w:p>
        </w:tc>
        <w:tc>
          <w:tcPr>
            <w:tcW w:w="66" w:type="pct"/>
            <w:tcBorders>
              <w:top w:val="nil"/>
              <w:left w:val="nil"/>
              <w:bottom w:val="single" w:sz="4" w:space="0" w:color="808080"/>
              <w:right w:val="single" w:sz="4" w:space="0" w:color="808080"/>
            </w:tcBorders>
            <w:shd w:val="clear" w:color="auto" w:fill="auto"/>
            <w:noWrap/>
            <w:vAlign w:val="bottom"/>
            <w:hideMark/>
          </w:tcPr>
          <w:p w14:paraId="18C4572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214" w:type="pct"/>
            <w:tcBorders>
              <w:top w:val="nil"/>
              <w:left w:val="nil"/>
              <w:bottom w:val="single" w:sz="4" w:space="0" w:color="808080"/>
              <w:right w:val="single" w:sz="4" w:space="0" w:color="808080"/>
            </w:tcBorders>
            <w:shd w:val="clear" w:color="auto" w:fill="auto"/>
            <w:noWrap/>
            <w:vAlign w:val="bottom"/>
            <w:hideMark/>
          </w:tcPr>
          <w:p w14:paraId="3F4FDC3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16.67%</w:t>
            </w:r>
          </w:p>
        </w:tc>
        <w:tc>
          <w:tcPr>
            <w:tcW w:w="243" w:type="pct"/>
            <w:tcBorders>
              <w:top w:val="nil"/>
              <w:left w:val="nil"/>
              <w:bottom w:val="single" w:sz="4" w:space="0" w:color="808080"/>
              <w:right w:val="single" w:sz="4" w:space="0" w:color="808080"/>
            </w:tcBorders>
            <w:shd w:val="clear" w:color="auto" w:fill="auto"/>
            <w:noWrap/>
            <w:vAlign w:val="bottom"/>
            <w:hideMark/>
          </w:tcPr>
          <w:p w14:paraId="75C0FA0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194" w:type="pct"/>
            <w:tcBorders>
              <w:top w:val="nil"/>
              <w:left w:val="nil"/>
              <w:bottom w:val="single" w:sz="4" w:space="0" w:color="808080"/>
              <w:right w:val="single" w:sz="4" w:space="0" w:color="808080"/>
            </w:tcBorders>
            <w:shd w:val="clear" w:color="auto" w:fill="auto"/>
            <w:noWrap/>
            <w:vAlign w:val="bottom"/>
            <w:hideMark/>
          </w:tcPr>
          <w:p w14:paraId="0744F80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166.12</w:t>
            </w:r>
          </w:p>
        </w:tc>
        <w:tc>
          <w:tcPr>
            <w:tcW w:w="165" w:type="pct"/>
            <w:tcBorders>
              <w:top w:val="nil"/>
              <w:left w:val="nil"/>
              <w:bottom w:val="single" w:sz="4" w:space="0" w:color="808080"/>
              <w:right w:val="single" w:sz="4" w:space="0" w:color="auto"/>
            </w:tcBorders>
            <w:shd w:val="clear" w:color="auto" w:fill="auto"/>
            <w:noWrap/>
            <w:vAlign w:val="bottom"/>
            <w:hideMark/>
          </w:tcPr>
          <w:p w14:paraId="7BEACB7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32.15</w:t>
            </w:r>
          </w:p>
        </w:tc>
        <w:tc>
          <w:tcPr>
            <w:tcW w:w="66" w:type="pct"/>
            <w:tcBorders>
              <w:top w:val="nil"/>
              <w:left w:val="nil"/>
              <w:bottom w:val="single" w:sz="4" w:space="0" w:color="808080"/>
              <w:right w:val="single" w:sz="4" w:space="0" w:color="808080"/>
            </w:tcBorders>
            <w:shd w:val="clear" w:color="auto" w:fill="auto"/>
            <w:noWrap/>
            <w:vAlign w:val="bottom"/>
            <w:hideMark/>
          </w:tcPr>
          <w:p w14:paraId="798CD8F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w:t>
            </w:r>
          </w:p>
        </w:tc>
        <w:tc>
          <w:tcPr>
            <w:tcW w:w="243" w:type="pct"/>
            <w:tcBorders>
              <w:top w:val="nil"/>
              <w:left w:val="nil"/>
              <w:bottom w:val="single" w:sz="4" w:space="0" w:color="808080"/>
              <w:right w:val="single" w:sz="4" w:space="0" w:color="808080"/>
            </w:tcBorders>
            <w:shd w:val="clear" w:color="auto" w:fill="auto"/>
            <w:noWrap/>
            <w:vAlign w:val="bottom"/>
            <w:hideMark/>
          </w:tcPr>
          <w:p w14:paraId="2B6D61D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23.33%</w:t>
            </w:r>
          </w:p>
        </w:tc>
        <w:tc>
          <w:tcPr>
            <w:tcW w:w="214" w:type="pct"/>
            <w:tcBorders>
              <w:top w:val="nil"/>
              <w:left w:val="nil"/>
              <w:bottom w:val="single" w:sz="4" w:space="0" w:color="808080"/>
              <w:right w:val="single" w:sz="4" w:space="0" w:color="808080"/>
            </w:tcBorders>
            <w:shd w:val="clear" w:color="auto" w:fill="auto"/>
            <w:noWrap/>
            <w:vAlign w:val="bottom"/>
            <w:hideMark/>
          </w:tcPr>
          <w:p w14:paraId="1E4E44C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77.78%</w:t>
            </w:r>
          </w:p>
        </w:tc>
        <w:tc>
          <w:tcPr>
            <w:tcW w:w="194" w:type="pct"/>
            <w:tcBorders>
              <w:top w:val="nil"/>
              <w:left w:val="nil"/>
              <w:bottom w:val="single" w:sz="4" w:space="0" w:color="808080"/>
              <w:right w:val="single" w:sz="4" w:space="0" w:color="808080"/>
            </w:tcBorders>
            <w:shd w:val="clear" w:color="auto" w:fill="auto"/>
            <w:noWrap/>
            <w:vAlign w:val="bottom"/>
            <w:hideMark/>
          </w:tcPr>
          <w:p w14:paraId="3BB236F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613.23</w:t>
            </w:r>
          </w:p>
        </w:tc>
        <w:tc>
          <w:tcPr>
            <w:tcW w:w="165" w:type="pct"/>
            <w:tcBorders>
              <w:top w:val="nil"/>
              <w:left w:val="nil"/>
              <w:bottom w:val="single" w:sz="4" w:space="0" w:color="808080"/>
              <w:right w:val="single" w:sz="4" w:space="0" w:color="auto"/>
            </w:tcBorders>
            <w:shd w:val="clear" w:color="auto" w:fill="auto"/>
            <w:noWrap/>
            <w:vAlign w:val="bottom"/>
            <w:hideMark/>
          </w:tcPr>
          <w:p w14:paraId="3EF2F73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83.62</w:t>
            </w:r>
          </w:p>
        </w:tc>
        <w:tc>
          <w:tcPr>
            <w:tcW w:w="377" w:type="pct"/>
            <w:tcBorders>
              <w:top w:val="nil"/>
              <w:left w:val="nil"/>
              <w:bottom w:val="single" w:sz="4" w:space="0" w:color="808080"/>
              <w:right w:val="single" w:sz="4" w:space="0" w:color="auto"/>
            </w:tcBorders>
            <w:shd w:val="clear" w:color="auto" w:fill="auto"/>
            <w:noWrap/>
            <w:vAlign w:val="bottom"/>
            <w:hideMark/>
          </w:tcPr>
          <w:p w14:paraId="0A04061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188.02</w:t>
            </w:r>
          </w:p>
        </w:tc>
        <w:tc>
          <w:tcPr>
            <w:tcW w:w="214" w:type="pct"/>
            <w:tcBorders>
              <w:top w:val="nil"/>
              <w:left w:val="nil"/>
              <w:bottom w:val="single" w:sz="4" w:space="0" w:color="808080"/>
              <w:right w:val="single" w:sz="4" w:space="0" w:color="808080"/>
            </w:tcBorders>
            <w:shd w:val="clear" w:color="auto" w:fill="auto"/>
            <w:noWrap/>
            <w:vAlign w:val="bottom"/>
            <w:hideMark/>
          </w:tcPr>
          <w:p w14:paraId="576AE19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35.29%</w:t>
            </w:r>
          </w:p>
        </w:tc>
        <w:tc>
          <w:tcPr>
            <w:tcW w:w="243" w:type="pct"/>
            <w:tcBorders>
              <w:top w:val="nil"/>
              <w:left w:val="nil"/>
              <w:bottom w:val="single" w:sz="4" w:space="0" w:color="808080"/>
              <w:right w:val="single" w:sz="4" w:space="0" w:color="808080"/>
            </w:tcBorders>
            <w:shd w:val="clear" w:color="auto" w:fill="auto"/>
            <w:noWrap/>
            <w:vAlign w:val="bottom"/>
            <w:hideMark/>
          </w:tcPr>
          <w:p w14:paraId="3A5D6F5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98.82%</w:t>
            </w:r>
          </w:p>
        </w:tc>
        <w:tc>
          <w:tcPr>
            <w:tcW w:w="214" w:type="pct"/>
            <w:tcBorders>
              <w:top w:val="nil"/>
              <w:left w:val="nil"/>
              <w:bottom w:val="single" w:sz="4" w:space="0" w:color="808080"/>
              <w:right w:val="single" w:sz="4" w:space="0" w:color="808080"/>
            </w:tcBorders>
            <w:shd w:val="clear" w:color="auto" w:fill="auto"/>
            <w:noWrap/>
            <w:vAlign w:val="bottom"/>
            <w:hideMark/>
          </w:tcPr>
          <w:p w14:paraId="2D86394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14.94%</w:t>
            </w:r>
          </w:p>
        </w:tc>
        <w:tc>
          <w:tcPr>
            <w:tcW w:w="244" w:type="pct"/>
            <w:tcBorders>
              <w:top w:val="nil"/>
              <w:left w:val="nil"/>
              <w:bottom w:val="single" w:sz="4" w:space="0" w:color="808080"/>
              <w:right w:val="single" w:sz="4" w:space="0" w:color="auto"/>
            </w:tcBorders>
            <w:shd w:val="clear" w:color="auto" w:fill="auto"/>
            <w:noWrap/>
            <w:vAlign w:val="bottom"/>
            <w:hideMark/>
          </w:tcPr>
          <w:p w14:paraId="114F066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98.85%</w:t>
            </w:r>
          </w:p>
        </w:tc>
      </w:tr>
      <w:tr w:rsidR="00A022DF" w:rsidRPr="00E87E42" w14:paraId="266CC00F" w14:textId="77777777" w:rsidTr="005839EF">
        <w:trPr>
          <w:trHeight w:val="227"/>
        </w:trPr>
        <w:tc>
          <w:tcPr>
            <w:tcW w:w="62" w:type="pct"/>
            <w:tcBorders>
              <w:top w:val="nil"/>
              <w:left w:val="single" w:sz="4" w:space="0" w:color="auto"/>
              <w:bottom w:val="single" w:sz="4" w:space="0" w:color="auto"/>
              <w:right w:val="nil"/>
            </w:tcBorders>
            <w:shd w:val="clear" w:color="auto" w:fill="auto"/>
            <w:noWrap/>
            <w:vAlign w:val="bottom"/>
            <w:hideMark/>
          </w:tcPr>
          <w:p w14:paraId="03E8783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121" w:type="pct"/>
            <w:tcBorders>
              <w:top w:val="nil"/>
              <w:left w:val="single" w:sz="4" w:space="0" w:color="auto"/>
              <w:bottom w:val="single" w:sz="4" w:space="0" w:color="auto"/>
              <w:right w:val="single" w:sz="4" w:space="0" w:color="auto"/>
            </w:tcBorders>
            <w:shd w:val="clear" w:color="auto" w:fill="auto"/>
            <w:noWrap/>
            <w:vAlign w:val="bottom"/>
            <w:hideMark/>
          </w:tcPr>
          <w:p w14:paraId="08576C4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92" w:type="pct"/>
            <w:tcBorders>
              <w:top w:val="nil"/>
              <w:left w:val="nil"/>
              <w:bottom w:val="single" w:sz="4" w:space="0" w:color="auto"/>
              <w:right w:val="single" w:sz="4" w:space="0" w:color="808080"/>
            </w:tcBorders>
            <w:shd w:val="clear" w:color="auto" w:fill="auto"/>
            <w:noWrap/>
            <w:vAlign w:val="bottom"/>
            <w:hideMark/>
          </w:tcPr>
          <w:p w14:paraId="1CE1CB6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43" w:type="pct"/>
            <w:tcBorders>
              <w:top w:val="nil"/>
              <w:left w:val="nil"/>
              <w:bottom w:val="single" w:sz="4" w:space="0" w:color="auto"/>
              <w:right w:val="single" w:sz="4" w:space="0" w:color="808080"/>
            </w:tcBorders>
            <w:shd w:val="clear" w:color="auto" w:fill="auto"/>
            <w:noWrap/>
            <w:vAlign w:val="bottom"/>
            <w:hideMark/>
          </w:tcPr>
          <w:p w14:paraId="1D448EE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4" w:type="pct"/>
            <w:tcBorders>
              <w:top w:val="nil"/>
              <w:left w:val="nil"/>
              <w:bottom w:val="single" w:sz="4" w:space="0" w:color="auto"/>
              <w:right w:val="single" w:sz="4" w:space="0" w:color="808080"/>
            </w:tcBorders>
            <w:shd w:val="clear" w:color="auto" w:fill="auto"/>
            <w:noWrap/>
            <w:vAlign w:val="bottom"/>
            <w:hideMark/>
          </w:tcPr>
          <w:p w14:paraId="6A29EF2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4" w:type="pct"/>
            <w:tcBorders>
              <w:top w:val="nil"/>
              <w:left w:val="nil"/>
              <w:bottom w:val="single" w:sz="4" w:space="0" w:color="auto"/>
              <w:right w:val="single" w:sz="4" w:space="0" w:color="808080"/>
            </w:tcBorders>
            <w:shd w:val="clear" w:color="auto" w:fill="auto"/>
            <w:noWrap/>
            <w:vAlign w:val="bottom"/>
            <w:hideMark/>
          </w:tcPr>
          <w:p w14:paraId="65C8ABD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4" w:type="pct"/>
            <w:tcBorders>
              <w:top w:val="nil"/>
              <w:left w:val="nil"/>
              <w:bottom w:val="single" w:sz="4" w:space="0" w:color="auto"/>
              <w:right w:val="single" w:sz="4" w:space="0" w:color="auto"/>
            </w:tcBorders>
            <w:shd w:val="clear" w:color="auto" w:fill="auto"/>
            <w:noWrap/>
            <w:vAlign w:val="bottom"/>
            <w:hideMark/>
          </w:tcPr>
          <w:p w14:paraId="5E746C6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6" w:type="pct"/>
            <w:tcBorders>
              <w:top w:val="nil"/>
              <w:left w:val="nil"/>
              <w:bottom w:val="single" w:sz="4" w:space="0" w:color="auto"/>
              <w:right w:val="single" w:sz="4" w:space="0" w:color="808080"/>
            </w:tcBorders>
            <w:shd w:val="clear" w:color="auto" w:fill="auto"/>
            <w:noWrap/>
            <w:vAlign w:val="bottom"/>
            <w:hideMark/>
          </w:tcPr>
          <w:p w14:paraId="336FB8C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nil"/>
              <w:left w:val="nil"/>
              <w:bottom w:val="single" w:sz="4" w:space="0" w:color="auto"/>
              <w:right w:val="single" w:sz="4" w:space="0" w:color="808080"/>
            </w:tcBorders>
            <w:shd w:val="clear" w:color="auto" w:fill="auto"/>
            <w:noWrap/>
            <w:vAlign w:val="bottom"/>
            <w:hideMark/>
          </w:tcPr>
          <w:p w14:paraId="6011ADA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4" w:type="pct"/>
            <w:tcBorders>
              <w:top w:val="nil"/>
              <w:left w:val="nil"/>
              <w:bottom w:val="single" w:sz="4" w:space="0" w:color="auto"/>
              <w:right w:val="single" w:sz="4" w:space="0" w:color="808080"/>
            </w:tcBorders>
            <w:shd w:val="clear" w:color="auto" w:fill="auto"/>
            <w:noWrap/>
            <w:vAlign w:val="bottom"/>
            <w:hideMark/>
          </w:tcPr>
          <w:p w14:paraId="21407C7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nil"/>
              <w:left w:val="nil"/>
              <w:bottom w:val="single" w:sz="4" w:space="0" w:color="auto"/>
              <w:right w:val="single" w:sz="4" w:space="0" w:color="808080"/>
            </w:tcBorders>
            <w:shd w:val="clear" w:color="auto" w:fill="auto"/>
            <w:noWrap/>
            <w:vAlign w:val="bottom"/>
            <w:hideMark/>
          </w:tcPr>
          <w:p w14:paraId="41F3F16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nil"/>
              <w:left w:val="nil"/>
              <w:bottom w:val="single" w:sz="4" w:space="0" w:color="auto"/>
              <w:right w:val="single" w:sz="4" w:space="0" w:color="auto"/>
            </w:tcBorders>
            <w:shd w:val="clear" w:color="auto" w:fill="auto"/>
            <w:noWrap/>
            <w:vAlign w:val="bottom"/>
            <w:hideMark/>
          </w:tcPr>
          <w:p w14:paraId="4680757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6" w:type="pct"/>
            <w:tcBorders>
              <w:top w:val="nil"/>
              <w:left w:val="nil"/>
              <w:bottom w:val="single" w:sz="4" w:space="0" w:color="auto"/>
              <w:right w:val="single" w:sz="4" w:space="0" w:color="808080"/>
            </w:tcBorders>
            <w:shd w:val="clear" w:color="auto" w:fill="auto"/>
            <w:noWrap/>
            <w:vAlign w:val="bottom"/>
            <w:hideMark/>
          </w:tcPr>
          <w:p w14:paraId="49269AB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nil"/>
              <w:left w:val="nil"/>
              <w:bottom w:val="single" w:sz="4" w:space="0" w:color="auto"/>
              <w:right w:val="single" w:sz="4" w:space="0" w:color="808080"/>
            </w:tcBorders>
            <w:shd w:val="clear" w:color="auto" w:fill="auto"/>
            <w:noWrap/>
            <w:vAlign w:val="bottom"/>
            <w:hideMark/>
          </w:tcPr>
          <w:p w14:paraId="690B15F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3" w:type="pct"/>
            <w:tcBorders>
              <w:top w:val="nil"/>
              <w:left w:val="nil"/>
              <w:bottom w:val="single" w:sz="4" w:space="0" w:color="auto"/>
              <w:right w:val="single" w:sz="4" w:space="0" w:color="808080"/>
            </w:tcBorders>
            <w:shd w:val="clear" w:color="auto" w:fill="auto"/>
            <w:noWrap/>
            <w:vAlign w:val="bottom"/>
            <w:hideMark/>
          </w:tcPr>
          <w:p w14:paraId="695634E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4" w:type="pct"/>
            <w:tcBorders>
              <w:top w:val="nil"/>
              <w:left w:val="nil"/>
              <w:bottom w:val="single" w:sz="4" w:space="0" w:color="auto"/>
              <w:right w:val="single" w:sz="4" w:space="0" w:color="808080"/>
            </w:tcBorders>
            <w:shd w:val="clear" w:color="auto" w:fill="auto"/>
            <w:noWrap/>
            <w:vAlign w:val="bottom"/>
            <w:hideMark/>
          </w:tcPr>
          <w:p w14:paraId="2B38D7D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nil"/>
              <w:left w:val="nil"/>
              <w:bottom w:val="single" w:sz="4" w:space="0" w:color="auto"/>
              <w:right w:val="single" w:sz="4" w:space="0" w:color="auto"/>
            </w:tcBorders>
            <w:shd w:val="clear" w:color="auto" w:fill="auto"/>
            <w:noWrap/>
            <w:vAlign w:val="bottom"/>
            <w:hideMark/>
          </w:tcPr>
          <w:p w14:paraId="3EBD1CF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66" w:type="pct"/>
            <w:tcBorders>
              <w:top w:val="nil"/>
              <w:left w:val="nil"/>
              <w:bottom w:val="single" w:sz="4" w:space="0" w:color="auto"/>
              <w:right w:val="single" w:sz="4" w:space="0" w:color="808080"/>
            </w:tcBorders>
            <w:shd w:val="clear" w:color="auto" w:fill="auto"/>
            <w:noWrap/>
            <w:vAlign w:val="bottom"/>
            <w:hideMark/>
          </w:tcPr>
          <w:p w14:paraId="780DCD2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43" w:type="pct"/>
            <w:tcBorders>
              <w:top w:val="nil"/>
              <w:left w:val="nil"/>
              <w:bottom w:val="single" w:sz="4" w:space="0" w:color="auto"/>
              <w:right w:val="single" w:sz="4" w:space="0" w:color="808080"/>
            </w:tcBorders>
            <w:shd w:val="clear" w:color="auto" w:fill="auto"/>
            <w:noWrap/>
            <w:vAlign w:val="bottom"/>
            <w:hideMark/>
          </w:tcPr>
          <w:p w14:paraId="4483662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14" w:type="pct"/>
            <w:tcBorders>
              <w:top w:val="nil"/>
              <w:left w:val="nil"/>
              <w:bottom w:val="single" w:sz="4" w:space="0" w:color="auto"/>
              <w:right w:val="single" w:sz="4" w:space="0" w:color="808080"/>
            </w:tcBorders>
            <w:shd w:val="clear" w:color="auto" w:fill="auto"/>
            <w:noWrap/>
            <w:vAlign w:val="bottom"/>
            <w:hideMark/>
          </w:tcPr>
          <w:p w14:paraId="7FF3712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11.11%</w:t>
            </w:r>
          </w:p>
        </w:tc>
        <w:tc>
          <w:tcPr>
            <w:tcW w:w="194" w:type="pct"/>
            <w:tcBorders>
              <w:top w:val="nil"/>
              <w:left w:val="nil"/>
              <w:bottom w:val="single" w:sz="4" w:space="0" w:color="auto"/>
              <w:right w:val="single" w:sz="4" w:space="0" w:color="808080"/>
            </w:tcBorders>
            <w:shd w:val="clear" w:color="auto" w:fill="auto"/>
            <w:noWrap/>
            <w:vAlign w:val="bottom"/>
            <w:hideMark/>
          </w:tcPr>
          <w:p w14:paraId="39482CA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68.13</w:t>
            </w:r>
          </w:p>
        </w:tc>
        <w:tc>
          <w:tcPr>
            <w:tcW w:w="165" w:type="pct"/>
            <w:tcBorders>
              <w:top w:val="nil"/>
              <w:left w:val="nil"/>
              <w:bottom w:val="single" w:sz="4" w:space="0" w:color="auto"/>
              <w:right w:val="single" w:sz="4" w:space="0" w:color="auto"/>
            </w:tcBorders>
            <w:shd w:val="clear" w:color="auto" w:fill="auto"/>
            <w:noWrap/>
            <w:vAlign w:val="bottom"/>
            <w:hideMark/>
          </w:tcPr>
          <w:p w14:paraId="20E69E2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9.29</w:t>
            </w:r>
          </w:p>
        </w:tc>
        <w:tc>
          <w:tcPr>
            <w:tcW w:w="377" w:type="pct"/>
            <w:tcBorders>
              <w:top w:val="nil"/>
              <w:left w:val="nil"/>
              <w:bottom w:val="single" w:sz="4" w:space="0" w:color="auto"/>
              <w:right w:val="single" w:sz="4" w:space="0" w:color="auto"/>
            </w:tcBorders>
            <w:shd w:val="clear" w:color="auto" w:fill="auto"/>
            <w:noWrap/>
            <w:vAlign w:val="bottom"/>
            <w:hideMark/>
          </w:tcPr>
          <w:p w14:paraId="4A4CEAB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68.13</w:t>
            </w:r>
          </w:p>
        </w:tc>
        <w:tc>
          <w:tcPr>
            <w:tcW w:w="214" w:type="pct"/>
            <w:tcBorders>
              <w:top w:val="nil"/>
              <w:left w:val="nil"/>
              <w:bottom w:val="single" w:sz="4" w:space="0" w:color="auto"/>
              <w:right w:val="single" w:sz="4" w:space="0" w:color="808080"/>
            </w:tcBorders>
            <w:shd w:val="clear" w:color="auto" w:fill="auto"/>
            <w:noWrap/>
            <w:vAlign w:val="bottom"/>
            <w:hideMark/>
          </w:tcPr>
          <w:p w14:paraId="03D57E6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1.18%</w:t>
            </w:r>
          </w:p>
        </w:tc>
        <w:tc>
          <w:tcPr>
            <w:tcW w:w="243" w:type="pct"/>
            <w:tcBorders>
              <w:top w:val="nil"/>
              <w:left w:val="nil"/>
              <w:bottom w:val="single" w:sz="4" w:space="0" w:color="auto"/>
              <w:right w:val="single" w:sz="4" w:space="0" w:color="808080"/>
            </w:tcBorders>
            <w:shd w:val="clear" w:color="auto" w:fill="auto"/>
            <w:noWrap/>
            <w:vAlign w:val="bottom"/>
            <w:hideMark/>
          </w:tcPr>
          <w:p w14:paraId="305FA61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14" w:type="pct"/>
            <w:tcBorders>
              <w:top w:val="nil"/>
              <w:left w:val="nil"/>
              <w:bottom w:val="single" w:sz="4" w:space="0" w:color="auto"/>
              <w:right w:val="single" w:sz="4" w:space="0" w:color="808080"/>
            </w:tcBorders>
            <w:shd w:val="clear" w:color="auto" w:fill="auto"/>
            <w:noWrap/>
            <w:vAlign w:val="bottom"/>
            <w:hideMark/>
          </w:tcPr>
          <w:p w14:paraId="6073845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1.15%</w:t>
            </w:r>
          </w:p>
        </w:tc>
        <w:tc>
          <w:tcPr>
            <w:tcW w:w="244" w:type="pct"/>
            <w:tcBorders>
              <w:top w:val="nil"/>
              <w:left w:val="nil"/>
              <w:bottom w:val="single" w:sz="4" w:space="0" w:color="auto"/>
              <w:right w:val="single" w:sz="4" w:space="0" w:color="auto"/>
            </w:tcBorders>
            <w:shd w:val="clear" w:color="auto" w:fill="auto"/>
            <w:noWrap/>
            <w:vAlign w:val="bottom"/>
            <w:hideMark/>
          </w:tcPr>
          <w:p w14:paraId="4AA7E79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r>
      <w:tr w:rsidR="00A022DF" w:rsidRPr="00E87E42" w14:paraId="14B48A08" w14:textId="77777777" w:rsidTr="005839EF">
        <w:trPr>
          <w:trHeight w:val="227"/>
        </w:trPr>
        <w:tc>
          <w:tcPr>
            <w:tcW w:w="3708" w:type="pct"/>
            <w:gridSpan w:val="22"/>
            <w:tcBorders>
              <w:top w:val="single" w:sz="4" w:space="0" w:color="auto"/>
              <w:left w:val="single" w:sz="4" w:space="0" w:color="auto"/>
              <w:bottom w:val="single" w:sz="4" w:space="0" w:color="auto"/>
              <w:right w:val="single" w:sz="4" w:space="0" w:color="auto"/>
            </w:tcBorders>
            <w:shd w:val="clear" w:color="auto" w:fill="auto"/>
            <w:noWrap/>
            <w:vAlign w:val="bottom"/>
          </w:tcPr>
          <w:p w14:paraId="3510D35F" w14:textId="77777777" w:rsidR="00A022DF" w:rsidRPr="00E87E42" w:rsidRDefault="00A022DF" w:rsidP="00A022DF">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Total weighted area damage</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89A7C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94.51</w:t>
            </w:r>
          </w:p>
        </w:tc>
        <w:tc>
          <w:tcPr>
            <w:tcW w:w="915"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8F61C9C" w14:textId="77777777" w:rsidR="00A022DF" w:rsidRPr="00E87E42" w:rsidRDefault="00A022DF" w:rsidP="00A022DF">
            <w:pPr>
              <w:spacing w:after="0" w:line="240" w:lineRule="auto"/>
              <w:jc w:val="center"/>
              <w:rPr>
                <w:rFonts w:eastAsia="Times New Roman"/>
                <w:color w:val="000000"/>
                <w:sz w:val="16"/>
                <w:szCs w:val="16"/>
                <w:lang w:eastAsia="en-GB"/>
              </w:rPr>
            </w:pPr>
          </w:p>
        </w:tc>
      </w:tr>
    </w:tbl>
    <w:p w14:paraId="6D200409" w14:textId="77777777" w:rsidR="00B61F61" w:rsidRPr="00E87E42" w:rsidRDefault="00B61F61" w:rsidP="00B61F61">
      <w:pPr>
        <w:pStyle w:val="Caption"/>
        <w:spacing w:line="240" w:lineRule="auto"/>
      </w:pPr>
    </w:p>
    <w:p w14:paraId="2475A917" w14:textId="3EA0172E" w:rsidR="00B61F61" w:rsidRPr="00E87E42" w:rsidRDefault="00B61F61" w:rsidP="008A55B5">
      <w:pPr>
        <w:spacing w:after="0" w:line="240" w:lineRule="auto"/>
        <w:jc w:val="left"/>
      </w:pPr>
      <w:r w:rsidRPr="00E87E42">
        <w:br w:type="page"/>
      </w:r>
    </w:p>
    <w:p w14:paraId="21FE1749" w14:textId="0B486794" w:rsidR="00B61F61" w:rsidRPr="00E87E42" w:rsidRDefault="00B61F61" w:rsidP="00B61F61">
      <w:pPr>
        <w:pStyle w:val="Caption"/>
        <w:spacing w:line="240" w:lineRule="auto"/>
      </w:pPr>
      <w:bookmarkStart w:id="61" w:name="_Ref518120564"/>
      <w:r w:rsidRPr="00E87E42">
        <w:lastRenderedPageBreak/>
        <w:t xml:space="preserve">Table </w:t>
      </w:r>
      <w:r w:rsidR="005617C3" w:rsidRPr="00E87E42">
        <w:rPr>
          <w:i w:val="0"/>
          <w:iCs w:val="0"/>
        </w:rPr>
        <w:fldChar w:fldCharType="begin"/>
      </w:r>
      <w:r w:rsidR="005617C3" w:rsidRPr="00E87E42">
        <w:rPr>
          <w:i w:val="0"/>
          <w:iCs w:val="0"/>
        </w:rPr>
        <w:instrText xml:space="preserve"> SEQ Table \* ROMAN\r 2 </w:instrText>
      </w:r>
      <w:r w:rsidR="005617C3" w:rsidRPr="00E87E42">
        <w:rPr>
          <w:i w:val="0"/>
          <w:iCs w:val="0"/>
        </w:rPr>
        <w:fldChar w:fldCharType="separate"/>
      </w:r>
      <w:r w:rsidR="009F6872">
        <w:rPr>
          <w:i w:val="0"/>
          <w:iCs w:val="0"/>
          <w:noProof/>
        </w:rPr>
        <w:t>II</w:t>
      </w:r>
      <w:r w:rsidR="005617C3" w:rsidRPr="00E87E42">
        <w:rPr>
          <w:i w:val="0"/>
          <w:iCs w:val="0"/>
        </w:rPr>
        <w:fldChar w:fldCharType="end"/>
      </w:r>
      <w:bookmarkEnd w:id="61"/>
      <w:r w:rsidRPr="00E87E42">
        <w:t xml:space="preserve">: Industrial, </w:t>
      </w:r>
      <w:r w:rsidR="00A43875" w:rsidRPr="00E87E42">
        <w:t>U</w:t>
      </w:r>
      <w:r w:rsidRPr="00E87E42">
        <w:t xml:space="preserve">tility, </w:t>
      </w:r>
      <w:r w:rsidR="00A43875" w:rsidRPr="00E87E42">
        <w:t>D</w:t>
      </w:r>
      <w:r w:rsidRPr="00E87E42">
        <w:t xml:space="preserve">efence, </w:t>
      </w:r>
      <w:r w:rsidR="00A43875" w:rsidRPr="00E87E42">
        <w:t>A</w:t>
      </w:r>
      <w:r w:rsidRPr="00E87E42">
        <w:t xml:space="preserve">gricultural, </w:t>
      </w:r>
      <w:r w:rsidR="00A43875" w:rsidRPr="00E87E42">
        <w:t>M</w:t>
      </w:r>
      <w:r w:rsidRPr="00E87E42">
        <w:t>ining: area damage and fire spread according to damage class; and fire frequency with respect to fire spread in presence and absence of automatic extinguishing systems in USA fire statistics, with weighted are damage, and frequency for fires and unclassified damage fires in the USA fire statistics.</w:t>
      </w:r>
    </w:p>
    <w:tbl>
      <w:tblPr>
        <w:tblW w:w="5000" w:type="pct"/>
        <w:tblCellMar>
          <w:top w:w="28" w:type="dxa"/>
          <w:left w:w="34" w:type="dxa"/>
          <w:bottom w:w="28" w:type="dxa"/>
          <w:right w:w="34" w:type="dxa"/>
        </w:tblCellMar>
        <w:tblLook w:val="04A0" w:firstRow="1" w:lastRow="0" w:firstColumn="1" w:lastColumn="0" w:noHBand="0" w:noVBand="1"/>
      </w:tblPr>
      <w:tblGrid>
        <w:gridCol w:w="160"/>
        <w:gridCol w:w="246"/>
        <w:gridCol w:w="246"/>
        <w:gridCol w:w="608"/>
        <w:gridCol w:w="608"/>
        <w:gridCol w:w="548"/>
        <w:gridCol w:w="548"/>
        <w:gridCol w:w="169"/>
        <w:gridCol w:w="608"/>
        <w:gridCol w:w="608"/>
        <w:gridCol w:w="548"/>
        <w:gridCol w:w="462"/>
        <w:gridCol w:w="247"/>
        <w:gridCol w:w="608"/>
        <w:gridCol w:w="694"/>
        <w:gridCol w:w="548"/>
        <w:gridCol w:w="462"/>
        <w:gridCol w:w="247"/>
        <w:gridCol w:w="608"/>
        <w:gridCol w:w="694"/>
        <w:gridCol w:w="637"/>
        <w:gridCol w:w="548"/>
        <w:gridCol w:w="1087"/>
        <w:gridCol w:w="608"/>
        <w:gridCol w:w="694"/>
        <w:gridCol w:w="608"/>
        <w:gridCol w:w="691"/>
      </w:tblGrid>
      <w:tr w:rsidR="00B61F61" w:rsidRPr="00E87E42" w14:paraId="7657DF9D" w14:textId="77777777" w:rsidTr="005839EF">
        <w:trPr>
          <w:trHeight w:val="227"/>
        </w:trPr>
        <w:tc>
          <w:tcPr>
            <w:tcW w:w="56" w:type="pct"/>
            <w:tcBorders>
              <w:top w:val="nil"/>
              <w:left w:val="nil"/>
              <w:bottom w:val="nil"/>
              <w:right w:val="nil"/>
            </w:tcBorders>
            <w:shd w:val="clear" w:color="auto" w:fill="auto"/>
            <w:noWrap/>
            <w:vAlign w:val="bottom"/>
            <w:hideMark/>
          </w:tcPr>
          <w:p w14:paraId="2BD01540" w14:textId="77777777" w:rsidR="00B61F61" w:rsidRPr="00E87E42" w:rsidRDefault="00B61F61" w:rsidP="005839EF">
            <w:pPr>
              <w:spacing w:after="0" w:line="240" w:lineRule="auto"/>
              <w:jc w:val="left"/>
              <w:rPr>
                <w:rFonts w:eastAsia="Times New Roman"/>
                <w:sz w:val="16"/>
                <w:szCs w:val="16"/>
                <w:lang w:eastAsia="en-GB"/>
              </w:rPr>
            </w:pPr>
          </w:p>
        </w:tc>
        <w:tc>
          <w:tcPr>
            <w:tcW w:w="4944" w:type="pct"/>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CC07E6" w14:textId="77777777" w:rsidR="00B61F61" w:rsidRPr="00E87E42" w:rsidRDefault="00B61F61" w:rsidP="005839EF">
            <w:pPr>
              <w:spacing w:after="0" w:line="240" w:lineRule="auto"/>
              <w:jc w:val="center"/>
              <w:rPr>
                <w:rFonts w:eastAsia="Times New Roman"/>
                <w:b/>
                <w:bCs/>
                <w:color w:val="000000"/>
                <w:sz w:val="16"/>
                <w:szCs w:val="16"/>
                <w:u w:val="single"/>
                <w:lang w:eastAsia="en-GB"/>
              </w:rPr>
            </w:pPr>
            <w:r w:rsidRPr="00E87E42">
              <w:rPr>
                <w:rFonts w:eastAsia="Times New Roman"/>
                <w:b/>
                <w:bCs/>
                <w:color w:val="000000"/>
                <w:sz w:val="16"/>
                <w:szCs w:val="16"/>
                <w:u w:val="single"/>
                <w:lang w:eastAsia="en-GB"/>
              </w:rPr>
              <w:t xml:space="preserve">Sprinklers - Area damage </w:t>
            </w:r>
            <w:r w:rsidRPr="00E87E42">
              <w:rPr>
                <w:rFonts w:eastAsia="Times New Roman"/>
                <w:b/>
                <w:color w:val="000000"/>
                <w:sz w:val="16"/>
                <w:szCs w:val="16"/>
                <w:u w:val="single"/>
                <w:lang w:eastAsia="en-GB"/>
              </w:rPr>
              <w:t>m</w:t>
            </w:r>
            <w:r w:rsidRPr="00E87E42">
              <w:rPr>
                <w:rFonts w:eastAsia="Times New Roman"/>
                <w:b/>
                <w:color w:val="000000"/>
                <w:sz w:val="16"/>
                <w:szCs w:val="16"/>
                <w:u w:val="single"/>
                <w:vertAlign w:val="superscript"/>
                <w:lang w:eastAsia="en-GB"/>
              </w:rPr>
              <w:t>2</w:t>
            </w:r>
          </w:p>
        </w:tc>
      </w:tr>
      <w:tr w:rsidR="00B61F61" w:rsidRPr="00E87E42" w14:paraId="15DE3F06" w14:textId="77777777" w:rsidTr="005839EF">
        <w:trPr>
          <w:trHeight w:val="227"/>
        </w:trPr>
        <w:tc>
          <w:tcPr>
            <w:tcW w:w="56" w:type="pct"/>
            <w:tcBorders>
              <w:top w:val="nil"/>
              <w:left w:val="nil"/>
              <w:bottom w:val="nil"/>
              <w:right w:val="nil"/>
            </w:tcBorders>
            <w:shd w:val="clear" w:color="auto" w:fill="auto"/>
            <w:noWrap/>
            <w:vAlign w:val="bottom"/>
            <w:hideMark/>
          </w:tcPr>
          <w:p w14:paraId="242A7ACE" w14:textId="77777777" w:rsidR="00B61F61" w:rsidRPr="00E87E42" w:rsidRDefault="00B61F61" w:rsidP="005839EF">
            <w:pPr>
              <w:spacing w:after="0" w:line="240" w:lineRule="auto"/>
              <w:jc w:val="center"/>
              <w:rPr>
                <w:rFonts w:eastAsia="Times New Roman"/>
                <w:b/>
                <w:bCs/>
                <w:color w:val="000000"/>
                <w:sz w:val="16"/>
                <w:szCs w:val="16"/>
                <w:u w:val="single"/>
                <w:lang w:eastAsia="en-GB"/>
              </w:rPr>
            </w:pPr>
          </w:p>
        </w:tc>
        <w:tc>
          <w:tcPr>
            <w:tcW w:w="86" w:type="pct"/>
            <w:vMerge w:val="restart"/>
            <w:tcBorders>
              <w:top w:val="nil"/>
              <w:left w:val="single" w:sz="4" w:space="0" w:color="auto"/>
              <w:bottom w:val="nil"/>
              <w:right w:val="single" w:sz="4" w:space="0" w:color="auto"/>
            </w:tcBorders>
            <w:shd w:val="clear" w:color="auto" w:fill="auto"/>
            <w:noWrap/>
            <w:vAlign w:val="center"/>
            <w:hideMark/>
          </w:tcPr>
          <w:p w14:paraId="0CB5F28D"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w:t>
            </w:r>
          </w:p>
        </w:tc>
        <w:tc>
          <w:tcPr>
            <w:tcW w:w="892"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3B26CA2A" w14:textId="77777777" w:rsidR="00B61F61" w:rsidRPr="00E87E42" w:rsidRDefault="00B61F61" w:rsidP="005839E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Minor</w:t>
            </w:r>
          </w:p>
        </w:tc>
        <w:tc>
          <w:tcPr>
            <w:tcW w:w="835"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5A2676E9" w14:textId="77777777" w:rsidR="00B61F61" w:rsidRPr="00E87E42" w:rsidRDefault="00B61F61" w:rsidP="005839E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Significantly</w:t>
            </w:r>
          </w:p>
        </w:tc>
        <w:tc>
          <w:tcPr>
            <w:tcW w:w="892"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10ACB7B1" w14:textId="77777777" w:rsidR="00B61F61" w:rsidRPr="00E87E42" w:rsidRDefault="00B61F61" w:rsidP="005839E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Heavy</w:t>
            </w:r>
          </w:p>
        </w:tc>
        <w:tc>
          <w:tcPr>
            <w:tcW w:w="953"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4D0FBC1E" w14:textId="77777777" w:rsidR="00B61F61" w:rsidRPr="00E87E42" w:rsidRDefault="00B61F61" w:rsidP="005839E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Extreme</w:t>
            </w:r>
          </w:p>
        </w:tc>
        <w:tc>
          <w:tcPr>
            <w:tcW w:w="379" w:type="pct"/>
            <w:vMerge w:val="restart"/>
            <w:tcBorders>
              <w:top w:val="nil"/>
              <w:left w:val="single" w:sz="4" w:space="0" w:color="auto"/>
              <w:bottom w:val="nil"/>
              <w:right w:val="single" w:sz="4" w:space="0" w:color="auto"/>
            </w:tcBorders>
            <w:shd w:val="clear" w:color="auto" w:fill="auto"/>
            <w:noWrap/>
            <w:vAlign w:val="center"/>
            <w:hideMark/>
          </w:tcPr>
          <w:p w14:paraId="6FB0BB4A" w14:textId="77777777" w:rsidR="00B61F61" w:rsidRPr="00E87E42" w:rsidRDefault="00B61F61" w:rsidP="005839E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 xml:space="preserve">Weighted area </w:t>
            </w:r>
          </w:p>
          <w:p w14:paraId="6A0DF167" w14:textId="77777777" w:rsidR="00B61F61" w:rsidRPr="00E87E42" w:rsidRDefault="00B61F61" w:rsidP="005839E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damage</w:t>
            </w:r>
          </w:p>
          <w:p w14:paraId="33F2EF6F"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454"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09D84833"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3"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9567BF5"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F+U</w:t>
            </w:r>
          </w:p>
        </w:tc>
      </w:tr>
      <w:tr w:rsidR="00B61F61" w:rsidRPr="00E87E42" w14:paraId="2EB34638" w14:textId="77777777" w:rsidTr="005839EF">
        <w:trPr>
          <w:trHeight w:val="227"/>
        </w:trPr>
        <w:tc>
          <w:tcPr>
            <w:tcW w:w="56" w:type="pct"/>
            <w:tcBorders>
              <w:top w:val="nil"/>
              <w:left w:val="nil"/>
              <w:bottom w:val="nil"/>
              <w:right w:val="nil"/>
            </w:tcBorders>
            <w:shd w:val="clear" w:color="auto" w:fill="auto"/>
            <w:noWrap/>
            <w:vAlign w:val="bottom"/>
            <w:hideMark/>
          </w:tcPr>
          <w:p w14:paraId="0A247491" w14:textId="77777777" w:rsidR="00B61F61" w:rsidRPr="00E87E42" w:rsidRDefault="00B61F61" w:rsidP="005839EF">
            <w:pPr>
              <w:spacing w:after="0" w:line="240" w:lineRule="auto"/>
              <w:jc w:val="center"/>
              <w:rPr>
                <w:rFonts w:eastAsia="Times New Roman"/>
                <w:color w:val="000000"/>
                <w:sz w:val="16"/>
                <w:szCs w:val="16"/>
                <w:lang w:eastAsia="en-GB"/>
              </w:rPr>
            </w:pPr>
          </w:p>
        </w:tc>
        <w:tc>
          <w:tcPr>
            <w:tcW w:w="86" w:type="pct"/>
            <w:vMerge/>
            <w:tcBorders>
              <w:top w:val="nil"/>
              <w:left w:val="single" w:sz="4" w:space="0" w:color="auto"/>
              <w:bottom w:val="nil"/>
              <w:right w:val="single" w:sz="4" w:space="0" w:color="auto"/>
            </w:tcBorders>
            <w:vAlign w:val="center"/>
            <w:hideMark/>
          </w:tcPr>
          <w:p w14:paraId="339898AC" w14:textId="77777777" w:rsidR="00B61F61" w:rsidRPr="00E87E42" w:rsidRDefault="00B61F61" w:rsidP="005839EF">
            <w:pPr>
              <w:spacing w:after="0" w:line="240" w:lineRule="auto"/>
              <w:jc w:val="left"/>
              <w:rPr>
                <w:rFonts w:eastAsia="Times New Roman"/>
                <w:color w:val="000000"/>
                <w:sz w:val="16"/>
                <w:szCs w:val="16"/>
                <w:lang w:eastAsia="en-GB"/>
              </w:rPr>
            </w:pPr>
          </w:p>
        </w:tc>
        <w:tc>
          <w:tcPr>
            <w:tcW w:w="86" w:type="pct"/>
            <w:vMerge w:val="restart"/>
            <w:tcBorders>
              <w:top w:val="nil"/>
              <w:left w:val="single" w:sz="4" w:space="0" w:color="auto"/>
              <w:bottom w:val="nil"/>
              <w:right w:val="nil"/>
            </w:tcBorders>
            <w:shd w:val="clear" w:color="auto" w:fill="auto"/>
            <w:noWrap/>
            <w:vAlign w:val="center"/>
            <w:hideMark/>
          </w:tcPr>
          <w:p w14:paraId="0025C898"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8D14FC"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91" w:type="pct"/>
            <w:vMerge w:val="restart"/>
            <w:tcBorders>
              <w:top w:val="nil"/>
              <w:left w:val="single" w:sz="4" w:space="0" w:color="auto"/>
              <w:bottom w:val="nil"/>
              <w:right w:val="single" w:sz="4" w:space="0" w:color="auto"/>
            </w:tcBorders>
            <w:shd w:val="clear" w:color="auto" w:fill="auto"/>
            <w:noWrap/>
            <w:vAlign w:val="center"/>
            <w:hideMark/>
          </w:tcPr>
          <w:p w14:paraId="736AD000"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63BA9106"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91" w:type="pct"/>
            <w:vMerge w:val="restart"/>
            <w:tcBorders>
              <w:top w:val="nil"/>
              <w:left w:val="single" w:sz="4" w:space="0" w:color="auto"/>
              <w:bottom w:val="nil"/>
              <w:right w:val="single" w:sz="4" w:space="0" w:color="auto"/>
            </w:tcBorders>
            <w:shd w:val="clear" w:color="auto" w:fill="auto"/>
            <w:noWrap/>
            <w:vAlign w:val="center"/>
            <w:hideMark/>
          </w:tcPr>
          <w:p w14:paraId="075A8B4B"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379E763E"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59" w:type="pct"/>
            <w:vMerge w:val="restart"/>
            <w:tcBorders>
              <w:top w:val="nil"/>
              <w:left w:val="single" w:sz="4" w:space="0" w:color="auto"/>
              <w:bottom w:val="nil"/>
              <w:right w:val="single" w:sz="4" w:space="0" w:color="auto"/>
            </w:tcBorders>
            <w:shd w:val="clear" w:color="auto" w:fill="auto"/>
            <w:noWrap/>
            <w:vAlign w:val="center"/>
            <w:hideMark/>
          </w:tcPr>
          <w:p w14:paraId="552AF2A0"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BAAD69D"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91" w:type="pct"/>
            <w:vMerge w:val="restart"/>
            <w:tcBorders>
              <w:top w:val="nil"/>
              <w:left w:val="single" w:sz="4" w:space="0" w:color="auto"/>
              <w:bottom w:val="nil"/>
              <w:right w:val="single" w:sz="4" w:space="0" w:color="auto"/>
            </w:tcBorders>
            <w:shd w:val="clear" w:color="auto" w:fill="auto"/>
            <w:noWrap/>
            <w:vAlign w:val="center"/>
            <w:hideMark/>
          </w:tcPr>
          <w:p w14:paraId="13F833DB"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33EA24E9"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1" w:type="pct"/>
            <w:vMerge w:val="restart"/>
            <w:tcBorders>
              <w:top w:val="nil"/>
              <w:left w:val="single" w:sz="4" w:space="0" w:color="auto"/>
              <w:bottom w:val="nil"/>
              <w:right w:val="single" w:sz="4" w:space="0" w:color="auto"/>
            </w:tcBorders>
            <w:shd w:val="clear" w:color="auto" w:fill="auto"/>
            <w:noWrap/>
            <w:vAlign w:val="center"/>
            <w:hideMark/>
          </w:tcPr>
          <w:p w14:paraId="3896DC02"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0E82F8A5"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86" w:type="pct"/>
            <w:vMerge w:val="restart"/>
            <w:tcBorders>
              <w:top w:val="nil"/>
              <w:left w:val="single" w:sz="4" w:space="0" w:color="auto"/>
              <w:bottom w:val="nil"/>
              <w:right w:val="single" w:sz="4" w:space="0" w:color="auto"/>
            </w:tcBorders>
            <w:shd w:val="clear" w:color="auto" w:fill="auto"/>
            <w:noWrap/>
            <w:vAlign w:val="center"/>
            <w:hideMark/>
          </w:tcPr>
          <w:p w14:paraId="51898318"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3770F8E"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91" w:type="pct"/>
            <w:vMerge w:val="restart"/>
            <w:tcBorders>
              <w:top w:val="nil"/>
              <w:left w:val="single" w:sz="4" w:space="0" w:color="auto"/>
              <w:bottom w:val="nil"/>
              <w:right w:val="single" w:sz="4" w:space="0" w:color="auto"/>
            </w:tcBorders>
            <w:shd w:val="clear" w:color="auto" w:fill="auto"/>
            <w:noWrap/>
            <w:vAlign w:val="center"/>
            <w:hideMark/>
          </w:tcPr>
          <w:p w14:paraId="299C7A47"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730BB867"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1" w:type="pct"/>
            <w:vMerge w:val="restart"/>
            <w:tcBorders>
              <w:top w:val="nil"/>
              <w:left w:val="single" w:sz="4" w:space="0" w:color="auto"/>
              <w:bottom w:val="nil"/>
              <w:right w:val="single" w:sz="4" w:space="0" w:color="auto"/>
            </w:tcBorders>
            <w:shd w:val="clear" w:color="auto" w:fill="auto"/>
            <w:noWrap/>
            <w:vAlign w:val="center"/>
            <w:hideMark/>
          </w:tcPr>
          <w:p w14:paraId="23AE339E"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6CFEF2F6"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86" w:type="pct"/>
            <w:vMerge w:val="restart"/>
            <w:tcBorders>
              <w:top w:val="nil"/>
              <w:left w:val="single" w:sz="4" w:space="0" w:color="auto"/>
              <w:bottom w:val="nil"/>
              <w:right w:val="single" w:sz="4" w:space="0" w:color="auto"/>
            </w:tcBorders>
            <w:shd w:val="clear" w:color="auto" w:fill="auto"/>
            <w:noWrap/>
            <w:vAlign w:val="center"/>
            <w:hideMark/>
          </w:tcPr>
          <w:p w14:paraId="0BBBBAE9"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4" w:type="pct"/>
            <w:gridSpan w:val="2"/>
            <w:tcBorders>
              <w:top w:val="single" w:sz="4" w:space="0" w:color="auto"/>
              <w:left w:val="nil"/>
              <w:bottom w:val="nil"/>
              <w:right w:val="single" w:sz="4" w:space="0" w:color="000000"/>
            </w:tcBorders>
            <w:shd w:val="clear" w:color="auto" w:fill="auto"/>
            <w:noWrap/>
            <w:vAlign w:val="bottom"/>
            <w:hideMark/>
          </w:tcPr>
          <w:p w14:paraId="3BFE33B8"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222" w:type="pct"/>
            <w:vMerge w:val="restart"/>
            <w:tcBorders>
              <w:top w:val="nil"/>
              <w:left w:val="single" w:sz="4" w:space="0" w:color="auto"/>
              <w:bottom w:val="nil"/>
              <w:right w:val="single" w:sz="4" w:space="0" w:color="auto"/>
            </w:tcBorders>
            <w:shd w:val="clear" w:color="auto" w:fill="auto"/>
            <w:noWrap/>
            <w:vAlign w:val="center"/>
            <w:hideMark/>
          </w:tcPr>
          <w:p w14:paraId="2212E0BA"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494412F7"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91" w:type="pct"/>
            <w:vMerge w:val="restart"/>
            <w:tcBorders>
              <w:top w:val="nil"/>
              <w:left w:val="single" w:sz="4" w:space="0" w:color="auto"/>
              <w:bottom w:val="nil"/>
              <w:right w:val="single" w:sz="4" w:space="0" w:color="auto"/>
            </w:tcBorders>
            <w:shd w:val="clear" w:color="auto" w:fill="auto"/>
            <w:noWrap/>
            <w:vAlign w:val="center"/>
            <w:hideMark/>
          </w:tcPr>
          <w:p w14:paraId="53986DF0"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19BE72B9"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379" w:type="pct"/>
            <w:vMerge/>
            <w:tcBorders>
              <w:top w:val="nil"/>
              <w:left w:val="single" w:sz="4" w:space="0" w:color="auto"/>
              <w:bottom w:val="nil"/>
              <w:right w:val="single" w:sz="4" w:space="0" w:color="auto"/>
            </w:tcBorders>
            <w:vAlign w:val="center"/>
            <w:hideMark/>
          </w:tcPr>
          <w:p w14:paraId="3A43D137" w14:textId="77777777" w:rsidR="00B61F61" w:rsidRPr="00E87E42" w:rsidRDefault="00B61F61" w:rsidP="005839EF">
            <w:pPr>
              <w:spacing w:after="0" w:line="240" w:lineRule="auto"/>
              <w:jc w:val="left"/>
              <w:rPr>
                <w:rFonts w:eastAsia="Times New Roman"/>
                <w:color w:val="000000"/>
                <w:sz w:val="16"/>
                <w:szCs w:val="16"/>
                <w:lang w:eastAsia="en-GB"/>
              </w:rPr>
            </w:pPr>
          </w:p>
        </w:tc>
        <w:tc>
          <w:tcPr>
            <w:tcW w:w="454" w:type="pct"/>
            <w:gridSpan w:val="2"/>
            <w:vMerge/>
            <w:tcBorders>
              <w:top w:val="single" w:sz="4" w:space="0" w:color="auto"/>
              <w:left w:val="single" w:sz="4" w:space="0" w:color="auto"/>
              <w:bottom w:val="single" w:sz="4" w:space="0" w:color="000000"/>
              <w:right w:val="nil"/>
            </w:tcBorders>
            <w:vAlign w:val="center"/>
            <w:hideMark/>
          </w:tcPr>
          <w:p w14:paraId="56BDF2B0" w14:textId="77777777" w:rsidR="00B61F61" w:rsidRPr="00E87E42" w:rsidRDefault="00B61F61" w:rsidP="005839EF">
            <w:pPr>
              <w:spacing w:after="0" w:line="240" w:lineRule="auto"/>
              <w:jc w:val="left"/>
              <w:rPr>
                <w:rFonts w:eastAsia="Times New Roman"/>
                <w:color w:val="000000"/>
                <w:sz w:val="16"/>
                <w:szCs w:val="16"/>
                <w:lang w:eastAsia="en-GB"/>
              </w:rPr>
            </w:pPr>
          </w:p>
        </w:tc>
        <w:tc>
          <w:tcPr>
            <w:tcW w:w="453" w:type="pct"/>
            <w:gridSpan w:val="2"/>
            <w:vMerge/>
            <w:tcBorders>
              <w:top w:val="single" w:sz="4" w:space="0" w:color="auto"/>
              <w:left w:val="single" w:sz="4" w:space="0" w:color="auto"/>
              <w:bottom w:val="single" w:sz="4" w:space="0" w:color="000000"/>
              <w:right w:val="single" w:sz="4" w:space="0" w:color="000000"/>
            </w:tcBorders>
            <w:vAlign w:val="center"/>
            <w:hideMark/>
          </w:tcPr>
          <w:p w14:paraId="50141D42" w14:textId="77777777" w:rsidR="00B61F61" w:rsidRPr="00E87E42" w:rsidRDefault="00B61F61" w:rsidP="005839EF">
            <w:pPr>
              <w:spacing w:after="0" w:line="240" w:lineRule="auto"/>
              <w:jc w:val="left"/>
              <w:rPr>
                <w:rFonts w:eastAsia="Times New Roman"/>
                <w:color w:val="000000"/>
                <w:sz w:val="16"/>
                <w:szCs w:val="16"/>
                <w:lang w:eastAsia="en-GB"/>
              </w:rPr>
            </w:pPr>
          </w:p>
        </w:tc>
      </w:tr>
      <w:tr w:rsidR="00AD472B" w:rsidRPr="00E87E42" w14:paraId="0E7C6AFF" w14:textId="77777777" w:rsidTr="00A446AC">
        <w:trPr>
          <w:trHeight w:val="227"/>
        </w:trPr>
        <w:tc>
          <w:tcPr>
            <w:tcW w:w="56" w:type="pct"/>
            <w:tcBorders>
              <w:top w:val="nil"/>
              <w:left w:val="nil"/>
              <w:bottom w:val="single" w:sz="4" w:space="0" w:color="auto"/>
              <w:right w:val="nil"/>
            </w:tcBorders>
            <w:shd w:val="clear" w:color="auto" w:fill="auto"/>
            <w:noWrap/>
            <w:vAlign w:val="bottom"/>
            <w:hideMark/>
          </w:tcPr>
          <w:p w14:paraId="2E9992A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w:t>
            </w:r>
          </w:p>
        </w:tc>
        <w:tc>
          <w:tcPr>
            <w:tcW w:w="86" w:type="pct"/>
            <w:vMerge/>
            <w:tcBorders>
              <w:top w:val="nil"/>
              <w:left w:val="single" w:sz="4" w:space="0" w:color="auto"/>
              <w:bottom w:val="nil"/>
              <w:right w:val="single" w:sz="4" w:space="0" w:color="auto"/>
            </w:tcBorders>
            <w:vAlign w:val="center"/>
            <w:hideMark/>
          </w:tcPr>
          <w:p w14:paraId="549B24D8"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86" w:type="pct"/>
            <w:vMerge/>
            <w:tcBorders>
              <w:top w:val="nil"/>
              <w:left w:val="single" w:sz="4" w:space="0" w:color="auto"/>
              <w:bottom w:val="nil"/>
              <w:right w:val="nil"/>
            </w:tcBorders>
            <w:vAlign w:val="center"/>
            <w:hideMark/>
          </w:tcPr>
          <w:p w14:paraId="5EE1640F"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2" w:type="pct"/>
            <w:tcBorders>
              <w:top w:val="nil"/>
              <w:left w:val="single" w:sz="4" w:space="0" w:color="auto"/>
              <w:bottom w:val="nil"/>
              <w:right w:val="single" w:sz="4" w:space="0" w:color="auto"/>
            </w:tcBorders>
            <w:shd w:val="clear" w:color="auto" w:fill="auto"/>
            <w:noWrap/>
            <w:vAlign w:val="bottom"/>
            <w:hideMark/>
          </w:tcPr>
          <w:p w14:paraId="07C87B61" w14:textId="658389E1"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2" w:type="pct"/>
            <w:tcBorders>
              <w:top w:val="nil"/>
              <w:left w:val="nil"/>
              <w:bottom w:val="nil"/>
              <w:right w:val="single" w:sz="4" w:space="0" w:color="auto"/>
            </w:tcBorders>
            <w:shd w:val="clear" w:color="auto" w:fill="auto"/>
            <w:noWrap/>
            <w:vAlign w:val="bottom"/>
            <w:hideMark/>
          </w:tcPr>
          <w:p w14:paraId="3131E93E" w14:textId="024D7108"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91" w:type="pct"/>
            <w:vMerge/>
            <w:tcBorders>
              <w:top w:val="nil"/>
              <w:left w:val="single" w:sz="4" w:space="0" w:color="auto"/>
              <w:bottom w:val="nil"/>
              <w:right w:val="single" w:sz="4" w:space="0" w:color="auto"/>
            </w:tcBorders>
            <w:vAlign w:val="center"/>
            <w:hideMark/>
          </w:tcPr>
          <w:p w14:paraId="62CDC16B"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91" w:type="pct"/>
            <w:vMerge/>
            <w:tcBorders>
              <w:top w:val="nil"/>
              <w:left w:val="single" w:sz="4" w:space="0" w:color="auto"/>
              <w:bottom w:val="nil"/>
              <w:right w:val="single" w:sz="4" w:space="0" w:color="auto"/>
            </w:tcBorders>
            <w:vAlign w:val="center"/>
            <w:hideMark/>
          </w:tcPr>
          <w:p w14:paraId="0A82142B"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59" w:type="pct"/>
            <w:vMerge/>
            <w:tcBorders>
              <w:top w:val="nil"/>
              <w:left w:val="single" w:sz="4" w:space="0" w:color="auto"/>
              <w:bottom w:val="nil"/>
              <w:right w:val="single" w:sz="4" w:space="0" w:color="auto"/>
            </w:tcBorders>
            <w:vAlign w:val="center"/>
            <w:hideMark/>
          </w:tcPr>
          <w:p w14:paraId="3B4C777C"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2" w:type="pct"/>
            <w:tcBorders>
              <w:top w:val="nil"/>
              <w:left w:val="nil"/>
              <w:bottom w:val="nil"/>
              <w:right w:val="single" w:sz="4" w:space="0" w:color="auto"/>
            </w:tcBorders>
            <w:shd w:val="clear" w:color="auto" w:fill="auto"/>
            <w:noWrap/>
            <w:vAlign w:val="bottom"/>
            <w:hideMark/>
          </w:tcPr>
          <w:p w14:paraId="7F909CEB" w14:textId="6FF5EFC8"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2" w:type="pct"/>
            <w:tcBorders>
              <w:top w:val="nil"/>
              <w:left w:val="nil"/>
              <w:bottom w:val="nil"/>
              <w:right w:val="single" w:sz="4" w:space="0" w:color="auto"/>
            </w:tcBorders>
            <w:shd w:val="clear" w:color="auto" w:fill="auto"/>
            <w:noWrap/>
            <w:vAlign w:val="bottom"/>
            <w:hideMark/>
          </w:tcPr>
          <w:p w14:paraId="69E0F182" w14:textId="48FCCE7C"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91" w:type="pct"/>
            <w:vMerge/>
            <w:tcBorders>
              <w:top w:val="nil"/>
              <w:left w:val="single" w:sz="4" w:space="0" w:color="auto"/>
              <w:bottom w:val="nil"/>
              <w:right w:val="single" w:sz="4" w:space="0" w:color="auto"/>
            </w:tcBorders>
            <w:vAlign w:val="center"/>
            <w:hideMark/>
          </w:tcPr>
          <w:p w14:paraId="759DF817"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1" w:type="pct"/>
            <w:vMerge/>
            <w:tcBorders>
              <w:top w:val="nil"/>
              <w:left w:val="single" w:sz="4" w:space="0" w:color="auto"/>
              <w:bottom w:val="nil"/>
              <w:right w:val="single" w:sz="4" w:space="0" w:color="auto"/>
            </w:tcBorders>
            <w:vAlign w:val="center"/>
            <w:hideMark/>
          </w:tcPr>
          <w:p w14:paraId="484391D3"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86" w:type="pct"/>
            <w:vMerge/>
            <w:tcBorders>
              <w:top w:val="nil"/>
              <w:left w:val="single" w:sz="4" w:space="0" w:color="auto"/>
              <w:bottom w:val="nil"/>
              <w:right w:val="single" w:sz="4" w:space="0" w:color="auto"/>
            </w:tcBorders>
            <w:vAlign w:val="center"/>
            <w:hideMark/>
          </w:tcPr>
          <w:p w14:paraId="633E3513"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2" w:type="pct"/>
            <w:tcBorders>
              <w:top w:val="nil"/>
              <w:left w:val="nil"/>
              <w:bottom w:val="nil"/>
              <w:right w:val="single" w:sz="4" w:space="0" w:color="auto"/>
            </w:tcBorders>
            <w:shd w:val="clear" w:color="auto" w:fill="auto"/>
            <w:noWrap/>
            <w:vAlign w:val="bottom"/>
            <w:hideMark/>
          </w:tcPr>
          <w:p w14:paraId="6487098B" w14:textId="258A3B26"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42" w:type="pct"/>
            <w:tcBorders>
              <w:top w:val="nil"/>
              <w:left w:val="nil"/>
              <w:bottom w:val="nil"/>
              <w:right w:val="single" w:sz="4" w:space="0" w:color="auto"/>
            </w:tcBorders>
            <w:shd w:val="clear" w:color="auto" w:fill="auto"/>
            <w:noWrap/>
            <w:vAlign w:val="bottom"/>
            <w:hideMark/>
          </w:tcPr>
          <w:p w14:paraId="2B860C10" w14:textId="430BDAF3"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91" w:type="pct"/>
            <w:vMerge/>
            <w:tcBorders>
              <w:top w:val="nil"/>
              <w:left w:val="single" w:sz="4" w:space="0" w:color="auto"/>
              <w:bottom w:val="nil"/>
              <w:right w:val="single" w:sz="4" w:space="0" w:color="auto"/>
            </w:tcBorders>
            <w:vAlign w:val="center"/>
            <w:hideMark/>
          </w:tcPr>
          <w:p w14:paraId="5089913C"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1" w:type="pct"/>
            <w:vMerge/>
            <w:tcBorders>
              <w:top w:val="nil"/>
              <w:left w:val="single" w:sz="4" w:space="0" w:color="auto"/>
              <w:bottom w:val="nil"/>
              <w:right w:val="single" w:sz="4" w:space="0" w:color="auto"/>
            </w:tcBorders>
            <w:vAlign w:val="center"/>
            <w:hideMark/>
          </w:tcPr>
          <w:p w14:paraId="48959951"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86" w:type="pct"/>
            <w:vMerge/>
            <w:tcBorders>
              <w:top w:val="nil"/>
              <w:left w:val="single" w:sz="4" w:space="0" w:color="auto"/>
              <w:bottom w:val="nil"/>
              <w:right w:val="single" w:sz="4" w:space="0" w:color="auto"/>
            </w:tcBorders>
            <w:vAlign w:val="center"/>
            <w:hideMark/>
          </w:tcPr>
          <w:p w14:paraId="2E278F32"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2" w:type="pct"/>
            <w:tcBorders>
              <w:top w:val="single" w:sz="4" w:space="0" w:color="auto"/>
              <w:left w:val="nil"/>
              <w:bottom w:val="nil"/>
              <w:right w:val="single" w:sz="4" w:space="0" w:color="auto"/>
            </w:tcBorders>
            <w:shd w:val="clear" w:color="auto" w:fill="auto"/>
            <w:noWrap/>
            <w:vAlign w:val="bottom"/>
            <w:hideMark/>
          </w:tcPr>
          <w:p w14:paraId="3EAD31AD" w14:textId="38DB7452"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42" w:type="pct"/>
            <w:tcBorders>
              <w:top w:val="single" w:sz="4" w:space="0" w:color="auto"/>
              <w:left w:val="nil"/>
              <w:bottom w:val="nil"/>
              <w:right w:val="single" w:sz="4" w:space="0" w:color="auto"/>
            </w:tcBorders>
            <w:shd w:val="clear" w:color="auto" w:fill="auto"/>
            <w:noWrap/>
            <w:vAlign w:val="bottom"/>
            <w:hideMark/>
          </w:tcPr>
          <w:p w14:paraId="1557A2C0" w14:textId="560A31AC"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222" w:type="pct"/>
            <w:vMerge/>
            <w:tcBorders>
              <w:top w:val="nil"/>
              <w:left w:val="single" w:sz="4" w:space="0" w:color="auto"/>
              <w:bottom w:val="nil"/>
              <w:right w:val="single" w:sz="4" w:space="0" w:color="auto"/>
            </w:tcBorders>
            <w:vAlign w:val="center"/>
            <w:hideMark/>
          </w:tcPr>
          <w:p w14:paraId="5E0B5E9D"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91" w:type="pct"/>
            <w:vMerge/>
            <w:tcBorders>
              <w:top w:val="nil"/>
              <w:left w:val="single" w:sz="4" w:space="0" w:color="auto"/>
              <w:bottom w:val="nil"/>
              <w:right w:val="single" w:sz="4" w:space="0" w:color="auto"/>
            </w:tcBorders>
            <w:vAlign w:val="center"/>
            <w:hideMark/>
          </w:tcPr>
          <w:p w14:paraId="75399615"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379" w:type="pct"/>
            <w:vMerge/>
            <w:tcBorders>
              <w:top w:val="nil"/>
              <w:left w:val="single" w:sz="4" w:space="0" w:color="auto"/>
              <w:bottom w:val="nil"/>
              <w:right w:val="single" w:sz="4" w:space="0" w:color="auto"/>
            </w:tcBorders>
            <w:vAlign w:val="center"/>
            <w:hideMark/>
          </w:tcPr>
          <w:p w14:paraId="3D3F96CB"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2" w:type="pct"/>
            <w:tcBorders>
              <w:top w:val="nil"/>
              <w:left w:val="nil"/>
              <w:bottom w:val="nil"/>
              <w:right w:val="nil"/>
            </w:tcBorders>
            <w:shd w:val="clear" w:color="auto" w:fill="auto"/>
            <w:noWrap/>
            <w:vAlign w:val="bottom"/>
            <w:hideMark/>
          </w:tcPr>
          <w:p w14:paraId="4B88CAA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2" w:type="pct"/>
            <w:tcBorders>
              <w:top w:val="nil"/>
              <w:left w:val="single" w:sz="4" w:space="0" w:color="auto"/>
              <w:bottom w:val="nil"/>
              <w:right w:val="single" w:sz="4" w:space="0" w:color="auto"/>
            </w:tcBorders>
            <w:shd w:val="clear" w:color="auto" w:fill="auto"/>
            <w:noWrap/>
            <w:vAlign w:val="bottom"/>
            <w:hideMark/>
          </w:tcPr>
          <w:p w14:paraId="59D2570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c>
          <w:tcPr>
            <w:tcW w:w="212" w:type="pct"/>
            <w:tcBorders>
              <w:top w:val="nil"/>
              <w:left w:val="nil"/>
              <w:bottom w:val="nil"/>
              <w:right w:val="nil"/>
            </w:tcBorders>
            <w:shd w:val="clear" w:color="auto" w:fill="auto"/>
            <w:noWrap/>
            <w:vAlign w:val="bottom"/>
            <w:hideMark/>
          </w:tcPr>
          <w:p w14:paraId="7560BD5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1" w:type="pct"/>
            <w:tcBorders>
              <w:top w:val="nil"/>
              <w:left w:val="single" w:sz="4" w:space="0" w:color="auto"/>
              <w:bottom w:val="nil"/>
              <w:right w:val="single" w:sz="4" w:space="0" w:color="auto"/>
            </w:tcBorders>
            <w:shd w:val="clear" w:color="auto" w:fill="auto"/>
            <w:noWrap/>
            <w:vAlign w:val="bottom"/>
            <w:hideMark/>
          </w:tcPr>
          <w:p w14:paraId="1B4DB09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r>
      <w:tr w:rsidR="00A022DF" w:rsidRPr="00E87E42" w14:paraId="4F3487FA" w14:textId="77777777" w:rsidTr="005839EF">
        <w:trPr>
          <w:trHeight w:val="227"/>
        </w:trPr>
        <w:tc>
          <w:tcPr>
            <w:tcW w:w="56" w:type="pct"/>
            <w:tcBorders>
              <w:top w:val="nil"/>
              <w:left w:val="single" w:sz="4" w:space="0" w:color="auto"/>
              <w:bottom w:val="single" w:sz="4" w:space="0" w:color="auto"/>
              <w:right w:val="nil"/>
            </w:tcBorders>
            <w:shd w:val="clear" w:color="auto" w:fill="auto"/>
            <w:noWrap/>
            <w:vAlign w:val="bottom"/>
            <w:hideMark/>
          </w:tcPr>
          <w:p w14:paraId="56217FD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86" w:type="pct"/>
            <w:tcBorders>
              <w:top w:val="single" w:sz="4" w:space="0" w:color="auto"/>
              <w:left w:val="single" w:sz="4" w:space="0" w:color="auto"/>
              <w:bottom w:val="single" w:sz="4" w:space="0" w:color="808080"/>
              <w:right w:val="single" w:sz="4" w:space="0" w:color="auto"/>
            </w:tcBorders>
            <w:shd w:val="clear" w:color="auto" w:fill="auto"/>
            <w:noWrap/>
            <w:vAlign w:val="bottom"/>
            <w:hideMark/>
          </w:tcPr>
          <w:p w14:paraId="5E31643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w:t>
            </w:r>
          </w:p>
        </w:tc>
        <w:tc>
          <w:tcPr>
            <w:tcW w:w="86" w:type="pct"/>
            <w:tcBorders>
              <w:top w:val="single" w:sz="4" w:space="0" w:color="auto"/>
              <w:left w:val="nil"/>
              <w:bottom w:val="single" w:sz="4" w:space="0" w:color="808080"/>
              <w:right w:val="single" w:sz="4" w:space="0" w:color="808080"/>
            </w:tcBorders>
            <w:shd w:val="clear" w:color="auto" w:fill="auto"/>
            <w:noWrap/>
            <w:vAlign w:val="bottom"/>
            <w:hideMark/>
          </w:tcPr>
          <w:p w14:paraId="27DDA1E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w:t>
            </w:r>
          </w:p>
        </w:tc>
        <w:tc>
          <w:tcPr>
            <w:tcW w:w="212" w:type="pct"/>
            <w:tcBorders>
              <w:top w:val="single" w:sz="4" w:space="0" w:color="auto"/>
              <w:left w:val="nil"/>
              <w:bottom w:val="single" w:sz="4" w:space="0" w:color="808080"/>
              <w:right w:val="single" w:sz="4" w:space="0" w:color="808080"/>
            </w:tcBorders>
            <w:shd w:val="clear" w:color="auto" w:fill="auto"/>
            <w:noWrap/>
            <w:vAlign w:val="bottom"/>
            <w:hideMark/>
          </w:tcPr>
          <w:p w14:paraId="7C98657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88.89%</w:t>
            </w:r>
          </w:p>
        </w:tc>
        <w:tc>
          <w:tcPr>
            <w:tcW w:w="212" w:type="pct"/>
            <w:tcBorders>
              <w:top w:val="single" w:sz="4" w:space="0" w:color="auto"/>
              <w:left w:val="nil"/>
              <w:bottom w:val="single" w:sz="4" w:space="0" w:color="808080"/>
              <w:right w:val="single" w:sz="4" w:space="0" w:color="808080"/>
            </w:tcBorders>
            <w:shd w:val="clear" w:color="auto" w:fill="auto"/>
            <w:noWrap/>
            <w:vAlign w:val="bottom"/>
            <w:hideMark/>
          </w:tcPr>
          <w:p w14:paraId="7D7A7F6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32.00%</w:t>
            </w:r>
          </w:p>
        </w:tc>
        <w:tc>
          <w:tcPr>
            <w:tcW w:w="191" w:type="pct"/>
            <w:tcBorders>
              <w:top w:val="single" w:sz="4" w:space="0" w:color="auto"/>
              <w:left w:val="nil"/>
              <w:bottom w:val="single" w:sz="4" w:space="0" w:color="808080"/>
              <w:right w:val="single" w:sz="4" w:space="0" w:color="808080"/>
            </w:tcBorders>
            <w:shd w:val="clear" w:color="auto" w:fill="auto"/>
            <w:noWrap/>
            <w:vAlign w:val="bottom"/>
            <w:hideMark/>
          </w:tcPr>
          <w:p w14:paraId="5F77146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90.34</w:t>
            </w:r>
          </w:p>
        </w:tc>
        <w:tc>
          <w:tcPr>
            <w:tcW w:w="191" w:type="pct"/>
            <w:tcBorders>
              <w:top w:val="single" w:sz="4" w:space="0" w:color="auto"/>
              <w:left w:val="nil"/>
              <w:bottom w:val="single" w:sz="4" w:space="0" w:color="808080"/>
              <w:right w:val="nil"/>
            </w:tcBorders>
            <w:shd w:val="clear" w:color="auto" w:fill="auto"/>
            <w:noWrap/>
            <w:vAlign w:val="bottom"/>
            <w:hideMark/>
          </w:tcPr>
          <w:p w14:paraId="76564F8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90.34</w:t>
            </w:r>
          </w:p>
        </w:tc>
        <w:tc>
          <w:tcPr>
            <w:tcW w:w="59" w:type="pct"/>
            <w:tcBorders>
              <w:top w:val="single" w:sz="4" w:space="0" w:color="auto"/>
              <w:left w:val="single" w:sz="4" w:space="0" w:color="auto"/>
              <w:bottom w:val="single" w:sz="4" w:space="0" w:color="808080"/>
              <w:right w:val="single" w:sz="4" w:space="0" w:color="808080"/>
            </w:tcBorders>
            <w:shd w:val="clear" w:color="auto" w:fill="auto"/>
            <w:noWrap/>
            <w:vAlign w:val="bottom"/>
            <w:hideMark/>
          </w:tcPr>
          <w:p w14:paraId="6835593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2" w:type="pct"/>
            <w:tcBorders>
              <w:top w:val="single" w:sz="4" w:space="0" w:color="auto"/>
              <w:left w:val="nil"/>
              <w:bottom w:val="single" w:sz="4" w:space="0" w:color="808080"/>
              <w:right w:val="single" w:sz="4" w:space="0" w:color="808080"/>
            </w:tcBorders>
            <w:shd w:val="clear" w:color="auto" w:fill="auto"/>
            <w:noWrap/>
            <w:vAlign w:val="bottom"/>
            <w:hideMark/>
          </w:tcPr>
          <w:p w14:paraId="61AC59F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2" w:type="pct"/>
            <w:tcBorders>
              <w:top w:val="single" w:sz="4" w:space="0" w:color="auto"/>
              <w:left w:val="nil"/>
              <w:bottom w:val="single" w:sz="4" w:space="0" w:color="808080"/>
              <w:right w:val="single" w:sz="4" w:space="0" w:color="808080"/>
            </w:tcBorders>
            <w:shd w:val="clear" w:color="auto" w:fill="auto"/>
            <w:noWrap/>
            <w:vAlign w:val="bottom"/>
            <w:hideMark/>
          </w:tcPr>
          <w:p w14:paraId="2C03268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1" w:type="pct"/>
            <w:tcBorders>
              <w:top w:val="single" w:sz="4" w:space="0" w:color="auto"/>
              <w:left w:val="nil"/>
              <w:bottom w:val="single" w:sz="4" w:space="0" w:color="808080"/>
              <w:right w:val="single" w:sz="4" w:space="0" w:color="808080"/>
            </w:tcBorders>
            <w:shd w:val="clear" w:color="auto" w:fill="auto"/>
            <w:noWrap/>
            <w:vAlign w:val="bottom"/>
            <w:hideMark/>
          </w:tcPr>
          <w:p w14:paraId="0FEACB5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1" w:type="pct"/>
            <w:tcBorders>
              <w:top w:val="single" w:sz="4" w:space="0" w:color="auto"/>
              <w:left w:val="nil"/>
              <w:bottom w:val="single" w:sz="4" w:space="0" w:color="808080"/>
              <w:right w:val="single" w:sz="4" w:space="0" w:color="auto"/>
            </w:tcBorders>
            <w:shd w:val="clear" w:color="auto" w:fill="auto"/>
            <w:noWrap/>
            <w:vAlign w:val="bottom"/>
            <w:hideMark/>
          </w:tcPr>
          <w:p w14:paraId="3D86789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86" w:type="pct"/>
            <w:tcBorders>
              <w:top w:val="single" w:sz="4" w:space="0" w:color="auto"/>
              <w:left w:val="nil"/>
              <w:bottom w:val="single" w:sz="4" w:space="0" w:color="808080"/>
              <w:right w:val="single" w:sz="4" w:space="0" w:color="808080"/>
            </w:tcBorders>
            <w:shd w:val="clear" w:color="auto" w:fill="auto"/>
            <w:noWrap/>
            <w:vAlign w:val="bottom"/>
            <w:hideMark/>
          </w:tcPr>
          <w:p w14:paraId="6ACDA32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2" w:type="pct"/>
            <w:tcBorders>
              <w:top w:val="single" w:sz="4" w:space="0" w:color="auto"/>
              <w:left w:val="nil"/>
              <w:bottom w:val="single" w:sz="4" w:space="0" w:color="808080"/>
              <w:right w:val="single" w:sz="4" w:space="0" w:color="808080"/>
            </w:tcBorders>
            <w:shd w:val="clear" w:color="auto" w:fill="auto"/>
            <w:noWrap/>
            <w:vAlign w:val="bottom"/>
            <w:hideMark/>
          </w:tcPr>
          <w:p w14:paraId="6DF90EF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2" w:type="pct"/>
            <w:tcBorders>
              <w:top w:val="single" w:sz="4" w:space="0" w:color="auto"/>
              <w:left w:val="nil"/>
              <w:bottom w:val="single" w:sz="4" w:space="0" w:color="808080"/>
              <w:right w:val="single" w:sz="4" w:space="0" w:color="808080"/>
            </w:tcBorders>
            <w:shd w:val="clear" w:color="auto" w:fill="auto"/>
            <w:noWrap/>
            <w:vAlign w:val="bottom"/>
            <w:hideMark/>
          </w:tcPr>
          <w:p w14:paraId="06C121F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1" w:type="pct"/>
            <w:tcBorders>
              <w:top w:val="single" w:sz="4" w:space="0" w:color="auto"/>
              <w:left w:val="nil"/>
              <w:bottom w:val="single" w:sz="4" w:space="0" w:color="808080"/>
              <w:right w:val="single" w:sz="4" w:space="0" w:color="808080"/>
            </w:tcBorders>
            <w:shd w:val="clear" w:color="auto" w:fill="auto"/>
            <w:noWrap/>
            <w:vAlign w:val="bottom"/>
            <w:hideMark/>
          </w:tcPr>
          <w:p w14:paraId="3A416FD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1" w:type="pct"/>
            <w:tcBorders>
              <w:top w:val="single" w:sz="4" w:space="0" w:color="auto"/>
              <w:left w:val="nil"/>
              <w:bottom w:val="single" w:sz="4" w:space="0" w:color="808080"/>
              <w:right w:val="nil"/>
            </w:tcBorders>
            <w:shd w:val="clear" w:color="auto" w:fill="auto"/>
            <w:noWrap/>
            <w:vAlign w:val="bottom"/>
            <w:hideMark/>
          </w:tcPr>
          <w:p w14:paraId="7B6BE31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86" w:type="pct"/>
            <w:tcBorders>
              <w:top w:val="single" w:sz="4" w:space="0" w:color="auto"/>
              <w:left w:val="single" w:sz="4" w:space="0" w:color="auto"/>
              <w:bottom w:val="single" w:sz="4" w:space="0" w:color="808080"/>
              <w:right w:val="single" w:sz="4" w:space="0" w:color="808080"/>
            </w:tcBorders>
            <w:shd w:val="clear" w:color="auto" w:fill="auto"/>
            <w:noWrap/>
            <w:vAlign w:val="bottom"/>
            <w:hideMark/>
          </w:tcPr>
          <w:p w14:paraId="74F3E9B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12" w:type="pct"/>
            <w:tcBorders>
              <w:top w:val="single" w:sz="4" w:space="0" w:color="auto"/>
              <w:left w:val="nil"/>
              <w:bottom w:val="single" w:sz="4" w:space="0" w:color="808080"/>
              <w:right w:val="single" w:sz="4" w:space="0" w:color="808080"/>
            </w:tcBorders>
            <w:shd w:val="clear" w:color="auto" w:fill="auto"/>
            <w:noWrap/>
            <w:vAlign w:val="bottom"/>
            <w:hideMark/>
          </w:tcPr>
          <w:p w14:paraId="4C59A47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11.11%</w:t>
            </w:r>
          </w:p>
        </w:tc>
        <w:tc>
          <w:tcPr>
            <w:tcW w:w="242" w:type="pct"/>
            <w:tcBorders>
              <w:top w:val="single" w:sz="4" w:space="0" w:color="auto"/>
              <w:left w:val="nil"/>
              <w:bottom w:val="single" w:sz="4" w:space="0" w:color="808080"/>
              <w:right w:val="single" w:sz="4" w:space="0" w:color="808080"/>
            </w:tcBorders>
            <w:shd w:val="clear" w:color="auto" w:fill="auto"/>
            <w:noWrap/>
            <w:vAlign w:val="bottom"/>
            <w:hideMark/>
          </w:tcPr>
          <w:p w14:paraId="260634E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22" w:type="pct"/>
            <w:tcBorders>
              <w:top w:val="single" w:sz="4" w:space="0" w:color="auto"/>
              <w:left w:val="nil"/>
              <w:bottom w:val="single" w:sz="4" w:space="0" w:color="808080"/>
              <w:right w:val="single" w:sz="4" w:space="0" w:color="808080"/>
            </w:tcBorders>
            <w:shd w:val="clear" w:color="auto" w:fill="auto"/>
            <w:noWrap/>
            <w:vAlign w:val="bottom"/>
            <w:hideMark/>
          </w:tcPr>
          <w:p w14:paraId="57276D8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0.39</w:t>
            </w:r>
          </w:p>
        </w:tc>
        <w:tc>
          <w:tcPr>
            <w:tcW w:w="191" w:type="pct"/>
            <w:tcBorders>
              <w:top w:val="single" w:sz="4" w:space="0" w:color="auto"/>
              <w:left w:val="nil"/>
              <w:bottom w:val="single" w:sz="4" w:space="0" w:color="808080"/>
              <w:right w:val="single" w:sz="4" w:space="0" w:color="auto"/>
            </w:tcBorders>
            <w:shd w:val="clear" w:color="auto" w:fill="auto"/>
            <w:noWrap/>
            <w:vAlign w:val="bottom"/>
            <w:hideMark/>
          </w:tcPr>
          <w:p w14:paraId="1EA2EE4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0.05</w:t>
            </w:r>
          </w:p>
        </w:tc>
        <w:tc>
          <w:tcPr>
            <w:tcW w:w="379" w:type="pct"/>
            <w:tcBorders>
              <w:top w:val="single" w:sz="4" w:space="0" w:color="auto"/>
              <w:left w:val="nil"/>
              <w:bottom w:val="single" w:sz="4" w:space="0" w:color="808080"/>
              <w:right w:val="single" w:sz="4" w:space="0" w:color="auto"/>
            </w:tcBorders>
            <w:shd w:val="clear" w:color="auto" w:fill="auto"/>
            <w:noWrap/>
            <w:vAlign w:val="bottom"/>
            <w:hideMark/>
          </w:tcPr>
          <w:p w14:paraId="6B9BDFC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80.34</w:t>
            </w:r>
          </w:p>
        </w:tc>
        <w:tc>
          <w:tcPr>
            <w:tcW w:w="212" w:type="pct"/>
            <w:tcBorders>
              <w:top w:val="single" w:sz="4" w:space="0" w:color="auto"/>
              <w:left w:val="nil"/>
              <w:bottom w:val="single" w:sz="4" w:space="0" w:color="808080"/>
              <w:right w:val="single" w:sz="4" w:space="0" w:color="808080"/>
            </w:tcBorders>
            <w:shd w:val="clear" w:color="auto" w:fill="auto"/>
            <w:noWrap/>
            <w:vAlign w:val="bottom"/>
            <w:hideMark/>
          </w:tcPr>
          <w:p w14:paraId="55E4A1C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29.03%</w:t>
            </w:r>
          </w:p>
        </w:tc>
        <w:tc>
          <w:tcPr>
            <w:tcW w:w="242" w:type="pct"/>
            <w:tcBorders>
              <w:top w:val="single" w:sz="4" w:space="0" w:color="auto"/>
              <w:left w:val="nil"/>
              <w:bottom w:val="single" w:sz="4" w:space="0" w:color="808080"/>
              <w:right w:val="single" w:sz="4" w:space="0" w:color="808080"/>
            </w:tcBorders>
            <w:shd w:val="clear" w:color="auto" w:fill="auto"/>
            <w:noWrap/>
            <w:vAlign w:val="bottom"/>
            <w:hideMark/>
          </w:tcPr>
          <w:p w14:paraId="3F1FD41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29.03%</w:t>
            </w:r>
          </w:p>
        </w:tc>
        <w:tc>
          <w:tcPr>
            <w:tcW w:w="212" w:type="pct"/>
            <w:tcBorders>
              <w:top w:val="single" w:sz="4" w:space="0" w:color="auto"/>
              <w:left w:val="nil"/>
              <w:bottom w:val="single" w:sz="4" w:space="0" w:color="808080"/>
              <w:right w:val="single" w:sz="4" w:space="0" w:color="808080"/>
            </w:tcBorders>
            <w:shd w:val="clear" w:color="auto" w:fill="auto"/>
            <w:noWrap/>
            <w:vAlign w:val="bottom"/>
            <w:hideMark/>
          </w:tcPr>
          <w:p w14:paraId="431967E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31.43%</w:t>
            </w:r>
          </w:p>
        </w:tc>
        <w:tc>
          <w:tcPr>
            <w:tcW w:w="241" w:type="pct"/>
            <w:tcBorders>
              <w:top w:val="single" w:sz="4" w:space="0" w:color="auto"/>
              <w:left w:val="nil"/>
              <w:bottom w:val="single" w:sz="4" w:space="0" w:color="808080"/>
              <w:right w:val="single" w:sz="4" w:space="0" w:color="auto"/>
            </w:tcBorders>
            <w:shd w:val="clear" w:color="auto" w:fill="auto"/>
            <w:noWrap/>
            <w:vAlign w:val="bottom"/>
            <w:hideMark/>
          </w:tcPr>
          <w:p w14:paraId="40B3DD1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31.43%</w:t>
            </w:r>
          </w:p>
        </w:tc>
      </w:tr>
      <w:tr w:rsidR="00A022DF" w:rsidRPr="00E87E42" w14:paraId="0FB19AF5" w14:textId="77777777" w:rsidTr="005839EF">
        <w:trPr>
          <w:trHeight w:val="227"/>
        </w:trPr>
        <w:tc>
          <w:tcPr>
            <w:tcW w:w="56" w:type="pct"/>
            <w:tcBorders>
              <w:top w:val="nil"/>
              <w:left w:val="single" w:sz="4" w:space="0" w:color="auto"/>
              <w:bottom w:val="single" w:sz="4" w:space="0" w:color="auto"/>
              <w:right w:val="nil"/>
            </w:tcBorders>
            <w:shd w:val="clear" w:color="auto" w:fill="auto"/>
            <w:noWrap/>
            <w:vAlign w:val="bottom"/>
            <w:hideMark/>
          </w:tcPr>
          <w:p w14:paraId="2D51618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86" w:type="pct"/>
            <w:tcBorders>
              <w:top w:val="nil"/>
              <w:left w:val="single" w:sz="4" w:space="0" w:color="auto"/>
              <w:bottom w:val="single" w:sz="4" w:space="0" w:color="808080"/>
              <w:right w:val="single" w:sz="4" w:space="0" w:color="auto"/>
            </w:tcBorders>
            <w:shd w:val="clear" w:color="auto" w:fill="auto"/>
            <w:noWrap/>
            <w:vAlign w:val="bottom"/>
            <w:hideMark/>
          </w:tcPr>
          <w:p w14:paraId="261669F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w:t>
            </w:r>
          </w:p>
        </w:tc>
        <w:tc>
          <w:tcPr>
            <w:tcW w:w="86" w:type="pct"/>
            <w:tcBorders>
              <w:top w:val="nil"/>
              <w:left w:val="nil"/>
              <w:bottom w:val="single" w:sz="4" w:space="0" w:color="808080"/>
              <w:right w:val="single" w:sz="4" w:space="0" w:color="808080"/>
            </w:tcBorders>
            <w:shd w:val="clear" w:color="auto" w:fill="auto"/>
            <w:noWrap/>
            <w:vAlign w:val="bottom"/>
            <w:hideMark/>
          </w:tcPr>
          <w:p w14:paraId="44EC8D0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w:t>
            </w:r>
          </w:p>
        </w:tc>
        <w:tc>
          <w:tcPr>
            <w:tcW w:w="212" w:type="pct"/>
            <w:tcBorders>
              <w:top w:val="nil"/>
              <w:left w:val="nil"/>
              <w:bottom w:val="single" w:sz="4" w:space="0" w:color="808080"/>
              <w:right w:val="single" w:sz="4" w:space="0" w:color="808080"/>
            </w:tcBorders>
            <w:shd w:val="clear" w:color="auto" w:fill="auto"/>
            <w:noWrap/>
            <w:vAlign w:val="bottom"/>
            <w:hideMark/>
          </w:tcPr>
          <w:p w14:paraId="41EB7DB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84.62%</w:t>
            </w:r>
          </w:p>
        </w:tc>
        <w:tc>
          <w:tcPr>
            <w:tcW w:w="212" w:type="pct"/>
            <w:tcBorders>
              <w:top w:val="nil"/>
              <w:left w:val="nil"/>
              <w:bottom w:val="single" w:sz="4" w:space="0" w:color="808080"/>
              <w:right w:val="single" w:sz="4" w:space="0" w:color="808080"/>
            </w:tcBorders>
            <w:shd w:val="clear" w:color="auto" w:fill="auto"/>
            <w:noWrap/>
            <w:vAlign w:val="bottom"/>
            <w:hideMark/>
          </w:tcPr>
          <w:p w14:paraId="0242C17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44.00%</w:t>
            </w:r>
          </w:p>
        </w:tc>
        <w:tc>
          <w:tcPr>
            <w:tcW w:w="191" w:type="pct"/>
            <w:tcBorders>
              <w:top w:val="nil"/>
              <w:left w:val="nil"/>
              <w:bottom w:val="single" w:sz="4" w:space="0" w:color="808080"/>
              <w:right w:val="single" w:sz="4" w:space="0" w:color="808080"/>
            </w:tcBorders>
            <w:shd w:val="clear" w:color="auto" w:fill="auto"/>
            <w:noWrap/>
            <w:vAlign w:val="bottom"/>
            <w:hideMark/>
          </w:tcPr>
          <w:p w14:paraId="56044F2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58.34</w:t>
            </w:r>
          </w:p>
        </w:tc>
        <w:tc>
          <w:tcPr>
            <w:tcW w:w="191" w:type="pct"/>
            <w:tcBorders>
              <w:top w:val="nil"/>
              <w:left w:val="nil"/>
              <w:bottom w:val="single" w:sz="4" w:space="0" w:color="808080"/>
              <w:right w:val="nil"/>
            </w:tcBorders>
            <w:shd w:val="clear" w:color="auto" w:fill="auto"/>
            <w:noWrap/>
            <w:vAlign w:val="bottom"/>
            <w:hideMark/>
          </w:tcPr>
          <w:p w14:paraId="7E5DD7C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58.34</w:t>
            </w:r>
          </w:p>
        </w:tc>
        <w:tc>
          <w:tcPr>
            <w:tcW w:w="59" w:type="pct"/>
            <w:tcBorders>
              <w:top w:val="nil"/>
              <w:left w:val="single" w:sz="4" w:space="0" w:color="auto"/>
              <w:bottom w:val="single" w:sz="4" w:space="0" w:color="808080"/>
              <w:right w:val="single" w:sz="4" w:space="0" w:color="808080"/>
            </w:tcBorders>
            <w:shd w:val="clear" w:color="auto" w:fill="auto"/>
            <w:noWrap/>
            <w:vAlign w:val="bottom"/>
            <w:hideMark/>
          </w:tcPr>
          <w:p w14:paraId="712CA04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12" w:type="pct"/>
            <w:tcBorders>
              <w:top w:val="nil"/>
              <w:left w:val="nil"/>
              <w:bottom w:val="single" w:sz="4" w:space="0" w:color="808080"/>
              <w:right w:val="single" w:sz="4" w:space="0" w:color="808080"/>
            </w:tcBorders>
            <w:shd w:val="clear" w:color="auto" w:fill="auto"/>
            <w:noWrap/>
            <w:vAlign w:val="bottom"/>
            <w:hideMark/>
          </w:tcPr>
          <w:p w14:paraId="580D7E5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7.69%</w:t>
            </w:r>
          </w:p>
        </w:tc>
        <w:tc>
          <w:tcPr>
            <w:tcW w:w="212" w:type="pct"/>
            <w:tcBorders>
              <w:top w:val="nil"/>
              <w:left w:val="nil"/>
              <w:bottom w:val="single" w:sz="4" w:space="0" w:color="808080"/>
              <w:right w:val="single" w:sz="4" w:space="0" w:color="808080"/>
            </w:tcBorders>
            <w:shd w:val="clear" w:color="auto" w:fill="auto"/>
            <w:noWrap/>
            <w:vAlign w:val="bottom"/>
            <w:hideMark/>
          </w:tcPr>
          <w:p w14:paraId="18B397A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25.00%</w:t>
            </w:r>
          </w:p>
        </w:tc>
        <w:tc>
          <w:tcPr>
            <w:tcW w:w="191" w:type="pct"/>
            <w:tcBorders>
              <w:top w:val="nil"/>
              <w:left w:val="nil"/>
              <w:bottom w:val="single" w:sz="4" w:space="0" w:color="808080"/>
              <w:right w:val="single" w:sz="4" w:space="0" w:color="808080"/>
            </w:tcBorders>
            <w:shd w:val="clear" w:color="auto" w:fill="auto"/>
            <w:noWrap/>
            <w:vAlign w:val="bottom"/>
            <w:hideMark/>
          </w:tcPr>
          <w:p w14:paraId="3CCDE4A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14.06</w:t>
            </w:r>
          </w:p>
        </w:tc>
        <w:tc>
          <w:tcPr>
            <w:tcW w:w="161" w:type="pct"/>
            <w:tcBorders>
              <w:top w:val="nil"/>
              <w:left w:val="nil"/>
              <w:bottom w:val="single" w:sz="4" w:space="0" w:color="808080"/>
              <w:right w:val="single" w:sz="4" w:space="0" w:color="auto"/>
            </w:tcBorders>
            <w:shd w:val="clear" w:color="auto" w:fill="auto"/>
            <w:noWrap/>
            <w:vAlign w:val="bottom"/>
            <w:hideMark/>
          </w:tcPr>
          <w:p w14:paraId="41C954E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4.56</w:t>
            </w:r>
          </w:p>
        </w:tc>
        <w:tc>
          <w:tcPr>
            <w:tcW w:w="86" w:type="pct"/>
            <w:tcBorders>
              <w:top w:val="nil"/>
              <w:left w:val="nil"/>
              <w:bottom w:val="single" w:sz="4" w:space="0" w:color="808080"/>
              <w:right w:val="single" w:sz="4" w:space="0" w:color="808080"/>
            </w:tcBorders>
            <w:shd w:val="clear" w:color="auto" w:fill="auto"/>
            <w:noWrap/>
            <w:vAlign w:val="bottom"/>
            <w:hideMark/>
          </w:tcPr>
          <w:p w14:paraId="63CAD5E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12" w:type="pct"/>
            <w:tcBorders>
              <w:top w:val="nil"/>
              <w:left w:val="nil"/>
              <w:bottom w:val="single" w:sz="4" w:space="0" w:color="808080"/>
              <w:right w:val="single" w:sz="4" w:space="0" w:color="808080"/>
            </w:tcBorders>
            <w:shd w:val="clear" w:color="auto" w:fill="auto"/>
            <w:noWrap/>
            <w:vAlign w:val="bottom"/>
            <w:hideMark/>
          </w:tcPr>
          <w:p w14:paraId="777D747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7.69%</w:t>
            </w:r>
          </w:p>
        </w:tc>
        <w:tc>
          <w:tcPr>
            <w:tcW w:w="242" w:type="pct"/>
            <w:tcBorders>
              <w:top w:val="nil"/>
              <w:left w:val="nil"/>
              <w:bottom w:val="single" w:sz="4" w:space="0" w:color="808080"/>
              <w:right w:val="single" w:sz="4" w:space="0" w:color="808080"/>
            </w:tcBorders>
            <w:shd w:val="clear" w:color="auto" w:fill="auto"/>
            <w:noWrap/>
            <w:vAlign w:val="bottom"/>
            <w:hideMark/>
          </w:tcPr>
          <w:p w14:paraId="22E98F6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191" w:type="pct"/>
            <w:tcBorders>
              <w:top w:val="nil"/>
              <w:left w:val="nil"/>
              <w:bottom w:val="single" w:sz="4" w:space="0" w:color="808080"/>
              <w:right w:val="single" w:sz="4" w:space="0" w:color="808080"/>
            </w:tcBorders>
            <w:shd w:val="clear" w:color="auto" w:fill="auto"/>
            <w:noWrap/>
            <w:vAlign w:val="bottom"/>
            <w:hideMark/>
          </w:tcPr>
          <w:p w14:paraId="752F7FF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123.43</w:t>
            </w:r>
          </w:p>
        </w:tc>
        <w:tc>
          <w:tcPr>
            <w:tcW w:w="161" w:type="pct"/>
            <w:tcBorders>
              <w:top w:val="nil"/>
              <w:left w:val="nil"/>
              <w:bottom w:val="single" w:sz="4" w:space="0" w:color="808080"/>
              <w:right w:val="nil"/>
            </w:tcBorders>
            <w:shd w:val="clear" w:color="auto" w:fill="auto"/>
            <w:noWrap/>
            <w:vAlign w:val="bottom"/>
            <w:hideMark/>
          </w:tcPr>
          <w:p w14:paraId="3A4E0CB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23.89</w:t>
            </w:r>
          </w:p>
        </w:tc>
        <w:tc>
          <w:tcPr>
            <w:tcW w:w="86" w:type="pct"/>
            <w:tcBorders>
              <w:top w:val="nil"/>
              <w:left w:val="single" w:sz="4" w:space="0" w:color="auto"/>
              <w:bottom w:val="single" w:sz="4" w:space="0" w:color="808080"/>
              <w:right w:val="single" w:sz="4" w:space="0" w:color="808080"/>
            </w:tcBorders>
            <w:shd w:val="clear" w:color="auto" w:fill="auto"/>
            <w:noWrap/>
            <w:vAlign w:val="bottom"/>
            <w:hideMark/>
          </w:tcPr>
          <w:p w14:paraId="5F4B840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2" w:type="pct"/>
            <w:tcBorders>
              <w:top w:val="nil"/>
              <w:left w:val="nil"/>
              <w:bottom w:val="single" w:sz="4" w:space="0" w:color="808080"/>
              <w:right w:val="single" w:sz="4" w:space="0" w:color="808080"/>
            </w:tcBorders>
            <w:shd w:val="clear" w:color="auto" w:fill="auto"/>
            <w:noWrap/>
            <w:vAlign w:val="bottom"/>
            <w:hideMark/>
          </w:tcPr>
          <w:p w14:paraId="6F13EFE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2" w:type="pct"/>
            <w:tcBorders>
              <w:top w:val="nil"/>
              <w:left w:val="nil"/>
              <w:bottom w:val="single" w:sz="4" w:space="0" w:color="808080"/>
              <w:right w:val="single" w:sz="4" w:space="0" w:color="808080"/>
            </w:tcBorders>
            <w:shd w:val="clear" w:color="auto" w:fill="auto"/>
            <w:noWrap/>
            <w:vAlign w:val="bottom"/>
            <w:hideMark/>
          </w:tcPr>
          <w:p w14:paraId="6AE867E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22" w:type="pct"/>
            <w:tcBorders>
              <w:top w:val="nil"/>
              <w:left w:val="nil"/>
              <w:bottom w:val="single" w:sz="4" w:space="0" w:color="808080"/>
              <w:right w:val="single" w:sz="4" w:space="0" w:color="808080"/>
            </w:tcBorders>
            <w:shd w:val="clear" w:color="auto" w:fill="auto"/>
            <w:noWrap/>
            <w:vAlign w:val="bottom"/>
            <w:hideMark/>
          </w:tcPr>
          <w:p w14:paraId="70E81A0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1" w:type="pct"/>
            <w:tcBorders>
              <w:top w:val="nil"/>
              <w:left w:val="nil"/>
              <w:bottom w:val="single" w:sz="4" w:space="0" w:color="808080"/>
              <w:right w:val="single" w:sz="4" w:space="0" w:color="auto"/>
            </w:tcBorders>
            <w:shd w:val="clear" w:color="auto" w:fill="auto"/>
            <w:noWrap/>
            <w:vAlign w:val="bottom"/>
            <w:hideMark/>
          </w:tcPr>
          <w:p w14:paraId="133AA50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9" w:type="pct"/>
            <w:tcBorders>
              <w:top w:val="nil"/>
              <w:left w:val="nil"/>
              <w:bottom w:val="single" w:sz="4" w:space="0" w:color="808080"/>
              <w:right w:val="single" w:sz="4" w:space="0" w:color="auto"/>
            </w:tcBorders>
            <w:shd w:val="clear" w:color="auto" w:fill="auto"/>
            <w:noWrap/>
            <w:vAlign w:val="bottom"/>
            <w:hideMark/>
          </w:tcPr>
          <w:p w14:paraId="4BD8EEF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59.94</w:t>
            </w:r>
          </w:p>
        </w:tc>
        <w:tc>
          <w:tcPr>
            <w:tcW w:w="212" w:type="pct"/>
            <w:tcBorders>
              <w:top w:val="nil"/>
              <w:left w:val="nil"/>
              <w:bottom w:val="single" w:sz="4" w:space="0" w:color="808080"/>
              <w:right w:val="single" w:sz="4" w:space="0" w:color="808080"/>
            </w:tcBorders>
            <w:shd w:val="clear" w:color="auto" w:fill="auto"/>
            <w:noWrap/>
            <w:vAlign w:val="bottom"/>
            <w:hideMark/>
          </w:tcPr>
          <w:p w14:paraId="5C53ED7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41.94%</w:t>
            </w:r>
          </w:p>
        </w:tc>
        <w:tc>
          <w:tcPr>
            <w:tcW w:w="242" w:type="pct"/>
            <w:tcBorders>
              <w:top w:val="nil"/>
              <w:left w:val="nil"/>
              <w:bottom w:val="single" w:sz="4" w:space="0" w:color="808080"/>
              <w:right w:val="single" w:sz="4" w:space="0" w:color="808080"/>
            </w:tcBorders>
            <w:shd w:val="clear" w:color="auto" w:fill="auto"/>
            <w:noWrap/>
            <w:vAlign w:val="bottom"/>
            <w:hideMark/>
          </w:tcPr>
          <w:p w14:paraId="1AC8E9F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70.97%</w:t>
            </w:r>
          </w:p>
        </w:tc>
        <w:tc>
          <w:tcPr>
            <w:tcW w:w="212" w:type="pct"/>
            <w:tcBorders>
              <w:top w:val="nil"/>
              <w:left w:val="nil"/>
              <w:bottom w:val="single" w:sz="4" w:space="0" w:color="808080"/>
              <w:right w:val="single" w:sz="4" w:space="0" w:color="808080"/>
            </w:tcBorders>
            <w:shd w:val="clear" w:color="auto" w:fill="auto"/>
            <w:noWrap/>
            <w:vAlign w:val="bottom"/>
            <w:hideMark/>
          </w:tcPr>
          <w:p w14:paraId="28C52B8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57.14%</w:t>
            </w:r>
          </w:p>
        </w:tc>
        <w:tc>
          <w:tcPr>
            <w:tcW w:w="241" w:type="pct"/>
            <w:tcBorders>
              <w:top w:val="nil"/>
              <w:left w:val="nil"/>
              <w:bottom w:val="single" w:sz="4" w:space="0" w:color="808080"/>
              <w:right w:val="single" w:sz="4" w:space="0" w:color="auto"/>
            </w:tcBorders>
            <w:shd w:val="clear" w:color="auto" w:fill="auto"/>
            <w:noWrap/>
            <w:vAlign w:val="bottom"/>
            <w:hideMark/>
          </w:tcPr>
          <w:p w14:paraId="2F23E91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88.57%</w:t>
            </w:r>
          </w:p>
        </w:tc>
      </w:tr>
      <w:tr w:rsidR="00A022DF" w:rsidRPr="00E87E42" w14:paraId="3692E719" w14:textId="77777777" w:rsidTr="005839EF">
        <w:trPr>
          <w:trHeight w:val="227"/>
        </w:trPr>
        <w:tc>
          <w:tcPr>
            <w:tcW w:w="56" w:type="pct"/>
            <w:tcBorders>
              <w:top w:val="nil"/>
              <w:left w:val="single" w:sz="4" w:space="0" w:color="auto"/>
              <w:bottom w:val="single" w:sz="4" w:space="0" w:color="auto"/>
              <w:right w:val="nil"/>
            </w:tcBorders>
            <w:shd w:val="clear" w:color="auto" w:fill="auto"/>
            <w:noWrap/>
            <w:vAlign w:val="bottom"/>
            <w:hideMark/>
          </w:tcPr>
          <w:p w14:paraId="2B9251B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86" w:type="pct"/>
            <w:tcBorders>
              <w:top w:val="nil"/>
              <w:left w:val="single" w:sz="4" w:space="0" w:color="auto"/>
              <w:bottom w:val="single" w:sz="4" w:space="0" w:color="808080"/>
              <w:right w:val="single" w:sz="4" w:space="0" w:color="auto"/>
            </w:tcBorders>
            <w:shd w:val="clear" w:color="auto" w:fill="auto"/>
            <w:noWrap/>
            <w:vAlign w:val="bottom"/>
            <w:hideMark/>
          </w:tcPr>
          <w:p w14:paraId="2754BEF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86" w:type="pct"/>
            <w:tcBorders>
              <w:top w:val="nil"/>
              <w:left w:val="nil"/>
              <w:bottom w:val="single" w:sz="4" w:space="0" w:color="808080"/>
              <w:right w:val="single" w:sz="4" w:space="0" w:color="808080"/>
            </w:tcBorders>
            <w:shd w:val="clear" w:color="auto" w:fill="auto"/>
            <w:noWrap/>
            <w:vAlign w:val="bottom"/>
            <w:hideMark/>
          </w:tcPr>
          <w:p w14:paraId="792F683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12" w:type="pct"/>
            <w:tcBorders>
              <w:top w:val="nil"/>
              <w:left w:val="nil"/>
              <w:bottom w:val="single" w:sz="4" w:space="0" w:color="808080"/>
              <w:right w:val="single" w:sz="4" w:space="0" w:color="808080"/>
            </w:tcBorders>
            <w:shd w:val="clear" w:color="auto" w:fill="auto"/>
            <w:noWrap/>
            <w:vAlign w:val="bottom"/>
            <w:hideMark/>
          </w:tcPr>
          <w:p w14:paraId="2ABD04C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66.67%</w:t>
            </w:r>
          </w:p>
        </w:tc>
        <w:tc>
          <w:tcPr>
            <w:tcW w:w="212" w:type="pct"/>
            <w:tcBorders>
              <w:top w:val="nil"/>
              <w:left w:val="nil"/>
              <w:bottom w:val="single" w:sz="4" w:space="0" w:color="808080"/>
              <w:right w:val="single" w:sz="4" w:space="0" w:color="808080"/>
            </w:tcBorders>
            <w:shd w:val="clear" w:color="auto" w:fill="auto"/>
            <w:noWrap/>
            <w:vAlign w:val="bottom"/>
            <w:hideMark/>
          </w:tcPr>
          <w:p w14:paraId="306E26F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8.00%</w:t>
            </w:r>
          </w:p>
        </w:tc>
        <w:tc>
          <w:tcPr>
            <w:tcW w:w="191" w:type="pct"/>
            <w:tcBorders>
              <w:top w:val="nil"/>
              <w:left w:val="nil"/>
              <w:bottom w:val="single" w:sz="4" w:space="0" w:color="808080"/>
              <w:right w:val="single" w:sz="4" w:space="0" w:color="808080"/>
            </w:tcBorders>
            <w:shd w:val="clear" w:color="auto" w:fill="auto"/>
            <w:noWrap/>
            <w:vAlign w:val="bottom"/>
            <w:hideMark/>
          </w:tcPr>
          <w:p w14:paraId="0CDA445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133.30</w:t>
            </w:r>
          </w:p>
        </w:tc>
        <w:tc>
          <w:tcPr>
            <w:tcW w:w="191" w:type="pct"/>
            <w:tcBorders>
              <w:top w:val="nil"/>
              <w:left w:val="nil"/>
              <w:bottom w:val="single" w:sz="4" w:space="0" w:color="808080"/>
              <w:right w:val="nil"/>
            </w:tcBorders>
            <w:shd w:val="clear" w:color="auto" w:fill="auto"/>
            <w:noWrap/>
            <w:vAlign w:val="bottom"/>
            <w:hideMark/>
          </w:tcPr>
          <w:p w14:paraId="2C7CEA0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133.30</w:t>
            </w:r>
          </w:p>
        </w:tc>
        <w:tc>
          <w:tcPr>
            <w:tcW w:w="59" w:type="pct"/>
            <w:tcBorders>
              <w:top w:val="nil"/>
              <w:left w:val="single" w:sz="4" w:space="0" w:color="auto"/>
              <w:bottom w:val="single" w:sz="4" w:space="0" w:color="808080"/>
              <w:right w:val="single" w:sz="4" w:space="0" w:color="808080"/>
            </w:tcBorders>
            <w:shd w:val="clear" w:color="auto" w:fill="auto"/>
            <w:noWrap/>
            <w:vAlign w:val="bottom"/>
            <w:hideMark/>
          </w:tcPr>
          <w:p w14:paraId="4F2A739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12" w:type="pct"/>
            <w:tcBorders>
              <w:top w:val="nil"/>
              <w:left w:val="nil"/>
              <w:bottom w:val="single" w:sz="4" w:space="0" w:color="808080"/>
              <w:right w:val="single" w:sz="4" w:space="0" w:color="808080"/>
            </w:tcBorders>
            <w:shd w:val="clear" w:color="auto" w:fill="auto"/>
            <w:noWrap/>
            <w:vAlign w:val="bottom"/>
            <w:hideMark/>
          </w:tcPr>
          <w:p w14:paraId="2AA072E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33.33%</w:t>
            </w:r>
          </w:p>
        </w:tc>
        <w:tc>
          <w:tcPr>
            <w:tcW w:w="212" w:type="pct"/>
            <w:tcBorders>
              <w:top w:val="nil"/>
              <w:left w:val="nil"/>
              <w:bottom w:val="single" w:sz="4" w:space="0" w:color="808080"/>
              <w:right w:val="single" w:sz="4" w:space="0" w:color="808080"/>
            </w:tcBorders>
            <w:shd w:val="clear" w:color="auto" w:fill="auto"/>
            <w:noWrap/>
            <w:vAlign w:val="bottom"/>
            <w:hideMark/>
          </w:tcPr>
          <w:p w14:paraId="6864804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25.00%</w:t>
            </w:r>
          </w:p>
        </w:tc>
        <w:tc>
          <w:tcPr>
            <w:tcW w:w="191" w:type="pct"/>
            <w:tcBorders>
              <w:top w:val="nil"/>
              <w:left w:val="nil"/>
              <w:bottom w:val="single" w:sz="4" w:space="0" w:color="808080"/>
              <w:right w:val="single" w:sz="4" w:space="0" w:color="808080"/>
            </w:tcBorders>
            <w:shd w:val="clear" w:color="auto" w:fill="auto"/>
            <w:noWrap/>
            <w:vAlign w:val="bottom"/>
            <w:hideMark/>
          </w:tcPr>
          <w:p w14:paraId="7299E96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188.63</w:t>
            </w:r>
          </w:p>
        </w:tc>
        <w:tc>
          <w:tcPr>
            <w:tcW w:w="161" w:type="pct"/>
            <w:tcBorders>
              <w:top w:val="nil"/>
              <w:left w:val="nil"/>
              <w:bottom w:val="single" w:sz="4" w:space="0" w:color="808080"/>
              <w:right w:val="single" w:sz="4" w:space="0" w:color="auto"/>
            </w:tcBorders>
            <w:shd w:val="clear" w:color="auto" w:fill="auto"/>
            <w:noWrap/>
            <w:vAlign w:val="bottom"/>
            <w:hideMark/>
          </w:tcPr>
          <w:p w14:paraId="159BE47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61.18</w:t>
            </w:r>
          </w:p>
        </w:tc>
        <w:tc>
          <w:tcPr>
            <w:tcW w:w="86" w:type="pct"/>
            <w:tcBorders>
              <w:top w:val="nil"/>
              <w:left w:val="nil"/>
              <w:bottom w:val="single" w:sz="4" w:space="0" w:color="808080"/>
              <w:right w:val="single" w:sz="4" w:space="0" w:color="808080"/>
            </w:tcBorders>
            <w:shd w:val="clear" w:color="auto" w:fill="auto"/>
            <w:noWrap/>
            <w:vAlign w:val="bottom"/>
            <w:hideMark/>
          </w:tcPr>
          <w:p w14:paraId="18979C9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2" w:type="pct"/>
            <w:tcBorders>
              <w:top w:val="nil"/>
              <w:left w:val="nil"/>
              <w:bottom w:val="single" w:sz="4" w:space="0" w:color="808080"/>
              <w:right w:val="single" w:sz="4" w:space="0" w:color="808080"/>
            </w:tcBorders>
            <w:shd w:val="clear" w:color="auto" w:fill="auto"/>
            <w:noWrap/>
            <w:vAlign w:val="bottom"/>
            <w:hideMark/>
          </w:tcPr>
          <w:p w14:paraId="0B5F290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2" w:type="pct"/>
            <w:tcBorders>
              <w:top w:val="nil"/>
              <w:left w:val="nil"/>
              <w:bottom w:val="single" w:sz="4" w:space="0" w:color="808080"/>
              <w:right w:val="single" w:sz="4" w:space="0" w:color="808080"/>
            </w:tcBorders>
            <w:shd w:val="clear" w:color="auto" w:fill="auto"/>
            <w:noWrap/>
            <w:vAlign w:val="bottom"/>
            <w:hideMark/>
          </w:tcPr>
          <w:p w14:paraId="5CB5685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1" w:type="pct"/>
            <w:tcBorders>
              <w:top w:val="nil"/>
              <w:left w:val="nil"/>
              <w:bottom w:val="single" w:sz="4" w:space="0" w:color="808080"/>
              <w:right w:val="single" w:sz="4" w:space="0" w:color="808080"/>
            </w:tcBorders>
            <w:shd w:val="clear" w:color="auto" w:fill="auto"/>
            <w:noWrap/>
            <w:vAlign w:val="bottom"/>
            <w:hideMark/>
          </w:tcPr>
          <w:p w14:paraId="36702B3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1" w:type="pct"/>
            <w:tcBorders>
              <w:top w:val="nil"/>
              <w:left w:val="nil"/>
              <w:bottom w:val="single" w:sz="4" w:space="0" w:color="808080"/>
              <w:right w:val="nil"/>
            </w:tcBorders>
            <w:shd w:val="clear" w:color="auto" w:fill="auto"/>
            <w:noWrap/>
            <w:vAlign w:val="bottom"/>
            <w:hideMark/>
          </w:tcPr>
          <w:p w14:paraId="0837C35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86" w:type="pct"/>
            <w:tcBorders>
              <w:top w:val="nil"/>
              <w:left w:val="single" w:sz="4" w:space="0" w:color="auto"/>
              <w:bottom w:val="single" w:sz="4" w:space="0" w:color="808080"/>
              <w:right w:val="single" w:sz="4" w:space="0" w:color="808080"/>
            </w:tcBorders>
            <w:shd w:val="clear" w:color="auto" w:fill="auto"/>
            <w:noWrap/>
            <w:vAlign w:val="bottom"/>
            <w:hideMark/>
          </w:tcPr>
          <w:p w14:paraId="5E4E987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2" w:type="pct"/>
            <w:tcBorders>
              <w:top w:val="nil"/>
              <w:left w:val="nil"/>
              <w:bottom w:val="single" w:sz="4" w:space="0" w:color="808080"/>
              <w:right w:val="single" w:sz="4" w:space="0" w:color="808080"/>
            </w:tcBorders>
            <w:shd w:val="clear" w:color="auto" w:fill="auto"/>
            <w:noWrap/>
            <w:vAlign w:val="bottom"/>
            <w:hideMark/>
          </w:tcPr>
          <w:p w14:paraId="083B99E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2" w:type="pct"/>
            <w:tcBorders>
              <w:top w:val="nil"/>
              <w:left w:val="nil"/>
              <w:bottom w:val="single" w:sz="4" w:space="0" w:color="808080"/>
              <w:right w:val="single" w:sz="4" w:space="0" w:color="808080"/>
            </w:tcBorders>
            <w:shd w:val="clear" w:color="auto" w:fill="auto"/>
            <w:noWrap/>
            <w:vAlign w:val="bottom"/>
            <w:hideMark/>
          </w:tcPr>
          <w:p w14:paraId="718BB46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22" w:type="pct"/>
            <w:tcBorders>
              <w:top w:val="nil"/>
              <w:left w:val="nil"/>
              <w:bottom w:val="single" w:sz="4" w:space="0" w:color="808080"/>
              <w:right w:val="single" w:sz="4" w:space="0" w:color="808080"/>
            </w:tcBorders>
            <w:shd w:val="clear" w:color="auto" w:fill="auto"/>
            <w:noWrap/>
            <w:vAlign w:val="bottom"/>
            <w:hideMark/>
          </w:tcPr>
          <w:p w14:paraId="179538A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1" w:type="pct"/>
            <w:tcBorders>
              <w:top w:val="nil"/>
              <w:left w:val="nil"/>
              <w:bottom w:val="single" w:sz="4" w:space="0" w:color="808080"/>
              <w:right w:val="single" w:sz="4" w:space="0" w:color="auto"/>
            </w:tcBorders>
            <w:shd w:val="clear" w:color="auto" w:fill="auto"/>
            <w:noWrap/>
            <w:vAlign w:val="bottom"/>
            <w:hideMark/>
          </w:tcPr>
          <w:p w14:paraId="52AA1E2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9" w:type="pct"/>
            <w:tcBorders>
              <w:top w:val="nil"/>
              <w:left w:val="nil"/>
              <w:bottom w:val="single" w:sz="4" w:space="0" w:color="808080"/>
              <w:right w:val="single" w:sz="4" w:space="0" w:color="auto"/>
            </w:tcBorders>
            <w:shd w:val="clear" w:color="auto" w:fill="auto"/>
            <w:noWrap/>
            <w:vAlign w:val="bottom"/>
            <w:hideMark/>
          </w:tcPr>
          <w:p w14:paraId="63548C3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151.74</w:t>
            </w:r>
          </w:p>
        </w:tc>
        <w:tc>
          <w:tcPr>
            <w:tcW w:w="212" w:type="pct"/>
            <w:tcBorders>
              <w:top w:val="nil"/>
              <w:left w:val="nil"/>
              <w:bottom w:val="single" w:sz="4" w:space="0" w:color="808080"/>
              <w:right w:val="single" w:sz="4" w:space="0" w:color="808080"/>
            </w:tcBorders>
            <w:shd w:val="clear" w:color="auto" w:fill="auto"/>
            <w:noWrap/>
            <w:vAlign w:val="bottom"/>
            <w:hideMark/>
          </w:tcPr>
          <w:p w14:paraId="3D9350E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9.68%</w:t>
            </w:r>
          </w:p>
        </w:tc>
        <w:tc>
          <w:tcPr>
            <w:tcW w:w="242" w:type="pct"/>
            <w:tcBorders>
              <w:top w:val="nil"/>
              <w:left w:val="nil"/>
              <w:bottom w:val="single" w:sz="4" w:space="0" w:color="808080"/>
              <w:right w:val="single" w:sz="4" w:space="0" w:color="808080"/>
            </w:tcBorders>
            <w:shd w:val="clear" w:color="auto" w:fill="auto"/>
            <w:noWrap/>
            <w:vAlign w:val="bottom"/>
            <w:hideMark/>
          </w:tcPr>
          <w:p w14:paraId="57946A1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80.65%</w:t>
            </w:r>
          </w:p>
        </w:tc>
        <w:tc>
          <w:tcPr>
            <w:tcW w:w="212" w:type="pct"/>
            <w:tcBorders>
              <w:top w:val="nil"/>
              <w:left w:val="nil"/>
              <w:bottom w:val="single" w:sz="4" w:space="0" w:color="808080"/>
              <w:right w:val="single" w:sz="4" w:space="0" w:color="808080"/>
            </w:tcBorders>
            <w:shd w:val="clear" w:color="auto" w:fill="auto"/>
            <w:noWrap/>
            <w:vAlign w:val="bottom"/>
            <w:hideMark/>
          </w:tcPr>
          <w:p w14:paraId="73B7C87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2.86%</w:t>
            </w:r>
          </w:p>
        </w:tc>
        <w:tc>
          <w:tcPr>
            <w:tcW w:w="241" w:type="pct"/>
            <w:tcBorders>
              <w:top w:val="nil"/>
              <w:left w:val="nil"/>
              <w:bottom w:val="single" w:sz="4" w:space="0" w:color="808080"/>
              <w:right w:val="single" w:sz="4" w:space="0" w:color="auto"/>
            </w:tcBorders>
            <w:shd w:val="clear" w:color="auto" w:fill="auto"/>
            <w:noWrap/>
            <w:vAlign w:val="bottom"/>
            <w:hideMark/>
          </w:tcPr>
          <w:p w14:paraId="6C91F5E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91.43%</w:t>
            </w:r>
          </w:p>
        </w:tc>
      </w:tr>
      <w:tr w:rsidR="00A022DF" w:rsidRPr="00E87E42" w14:paraId="1318529E" w14:textId="77777777" w:rsidTr="005839EF">
        <w:trPr>
          <w:trHeight w:val="227"/>
        </w:trPr>
        <w:tc>
          <w:tcPr>
            <w:tcW w:w="56" w:type="pct"/>
            <w:tcBorders>
              <w:top w:val="nil"/>
              <w:left w:val="single" w:sz="4" w:space="0" w:color="auto"/>
              <w:bottom w:val="single" w:sz="4" w:space="0" w:color="auto"/>
              <w:right w:val="nil"/>
            </w:tcBorders>
            <w:shd w:val="clear" w:color="auto" w:fill="auto"/>
            <w:noWrap/>
            <w:vAlign w:val="bottom"/>
            <w:hideMark/>
          </w:tcPr>
          <w:p w14:paraId="3CB877A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86" w:type="pct"/>
            <w:tcBorders>
              <w:top w:val="nil"/>
              <w:left w:val="single" w:sz="4" w:space="0" w:color="auto"/>
              <w:bottom w:val="single" w:sz="4" w:space="0" w:color="808080"/>
              <w:right w:val="single" w:sz="4" w:space="0" w:color="auto"/>
            </w:tcBorders>
            <w:shd w:val="clear" w:color="auto" w:fill="auto"/>
            <w:noWrap/>
            <w:vAlign w:val="bottom"/>
            <w:hideMark/>
          </w:tcPr>
          <w:p w14:paraId="0BD25B9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86" w:type="pct"/>
            <w:tcBorders>
              <w:top w:val="nil"/>
              <w:left w:val="nil"/>
              <w:bottom w:val="single" w:sz="4" w:space="0" w:color="808080"/>
              <w:right w:val="single" w:sz="4" w:space="0" w:color="808080"/>
            </w:tcBorders>
            <w:shd w:val="clear" w:color="auto" w:fill="auto"/>
            <w:noWrap/>
            <w:vAlign w:val="bottom"/>
            <w:hideMark/>
          </w:tcPr>
          <w:p w14:paraId="2011871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12" w:type="pct"/>
            <w:tcBorders>
              <w:top w:val="nil"/>
              <w:left w:val="nil"/>
              <w:bottom w:val="single" w:sz="4" w:space="0" w:color="808080"/>
              <w:right w:val="single" w:sz="4" w:space="0" w:color="808080"/>
            </w:tcBorders>
            <w:shd w:val="clear" w:color="auto" w:fill="auto"/>
            <w:noWrap/>
            <w:vAlign w:val="bottom"/>
            <w:hideMark/>
          </w:tcPr>
          <w:p w14:paraId="5B78CDF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50.00%</w:t>
            </w:r>
          </w:p>
        </w:tc>
        <w:tc>
          <w:tcPr>
            <w:tcW w:w="212" w:type="pct"/>
            <w:tcBorders>
              <w:top w:val="nil"/>
              <w:left w:val="nil"/>
              <w:bottom w:val="single" w:sz="4" w:space="0" w:color="808080"/>
              <w:right w:val="single" w:sz="4" w:space="0" w:color="808080"/>
            </w:tcBorders>
            <w:shd w:val="clear" w:color="auto" w:fill="auto"/>
            <w:noWrap/>
            <w:vAlign w:val="bottom"/>
            <w:hideMark/>
          </w:tcPr>
          <w:p w14:paraId="4481FDD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4.00%</w:t>
            </w:r>
          </w:p>
        </w:tc>
        <w:tc>
          <w:tcPr>
            <w:tcW w:w="191" w:type="pct"/>
            <w:tcBorders>
              <w:top w:val="nil"/>
              <w:left w:val="nil"/>
              <w:bottom w:val="single" w:sz="4" w:space="0" w:color="808080"/>
              <w:right w:val="single" w:sz="4" w:space="0" w:color="808080"/>
            </w:tcBorders>
            <w:shd w:val="clear" w:color="auto" w:fill="auto"/>
            <w:noWrap/>
            <w:vAlign w:val="bottom"/>
            <w:hideMark/>
          </w:tcPr>
          <w:p w14:paraId="49F489D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36.35</w:t>
            </w:r>
          </w:p>
        </w:tc>
        <w:tc>
          <w:tcPr>
            <w:tcW w:w="191" w:type="pct"/>
            <w:tcBorders>
              <w:top w:val="nil"/>
              <w:left w:val="nil"/>
              <w:bottom w:val="single" w:sz="4" w:space="0" w:color="808080"/>
              <w:right w:val="nil"/>
            </w:tcBorders>
            <w:shd w:val="clear" w:color="auto" w:fill="auto"/>
            <w:noWrap/>
            <w:vAlign w:val="bottom"/>
            <w:hideMark/>
          </w:tcPr>
          <w:p w14:paraId="455890F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36.35</w:t>
            </w:r>
          </w:p>
        </w:tc>
        <w:tc>
          <w:tcPr>
            <w:tcW w:w="59" w:type="pct"/>
            <w:tcBorders>
              <w:top w:val="nil"/>
              <w:left w:val="single" w:sz="4" w:space="0" w:color="auto"/>
              <w:bottom w:val="single" w:sz="4" w:space="0" w:color="808080"/>
              <w:right w:val="single" w:sz="4" w:space="0" w:color="808080"/>
            </w:tcBorders>
            <w:shd w:val="clear" w:color="auto" w:fill="auto"/>
            <w:noWrap/>
            <w:vAlign w:val="bottom"/>
            <w:hideMark/>
          </w:tcPr>
          <w:p w14:paraId="71BE0C6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12" w:type="pct"/>
            <w:tcBorders>
              <w:top w:val="nil"/>
              <w:left w:val="nil"/>
              <w:bottom w:val="single" w:sz="4" w:space="0" w:color="808080"/>
              <w:right w:val="single" w:sz="4" w:space="0" w:color="808080"/>
            </w:tcBorders>
            <w:shd w:val="clear" w:color="auto" w:fill="auto"/>
            <w:noWrap/>
            <w:vAlign w:val="bottom"/>
            <w:hideMark/>
          </w:tcPr>
          <w:p w14:paraId="22EDA50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50.00%</w:t>
            </w:r>
          </w:p>
        </w:tc>
        <w:tc>
          <w:tcPr>
            <w:tcW w:w="212" w:type="pct"/>
            <w:tcBorders>
              <w:top w:val="nil"/>
              <w:left w:val="nil"/>
              <w:bottom w:val="single" w:sz="4" w:space="0" w:color="808080"/>
              <w:right w:val="single" w:sz="4" w:space="0" w:color="808080"/>
            </w:tcBorders>
            <w:shd w:val="clear" w:color="auto" w:fill="auto"/>
            <w:noWrap/>
            <w:vAlign w:val="bottom"/>
            <w:hideMark/>
          </w:tcPr>
          <w:p w14:paraId="11DFE10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25.00%</w:t>
            </w:r>
          </w:p>
        </w:tc>
        <w:tc>
          <w:tcPr>
            <w:tcW w:w="191" w:type="pct"/>
            <w:tcBorders>
              <w:top w:val="nil"/>
              <w:left w:val="nil"/>
              <w:bottom w:val="single" w:sz="4" w:space="0" w:color="808080"/>
              <w:right w:val="single" w:sz="4" w:space="0" w:color="808080"/>
            </w:tcBorders>
            <w:shd w:val="clear" w:color="auto" w:fill="auto"/>
            <w:noWrap/>
            <w:vAlign w:val="bottom"/>
            <w:hideMark/>
          </w:tcPr>
          <w:p w14:paraId="54C8457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46.87</w:t>
            </w:r>
          </w:p>
        </w:tc>
        <w:tc>
          <w:tcPr>
            <w:tcW w:w="161" w:type="pct"/>
            <w:tcBorders>
              <w:top w:val="nil"/>
              <w:left w:val="nil"/>
              <w:bottom w:val="single" w:sz="4" w:space="0" w:color="808080"/>
              <w:right w:val="single" w:sz="4" w:space="0" w:color="auto"/>
            </w:tcBorders>
            <w:shd w:val="clear" w:color="auto" w:fill="auto"/>
            <w:noWrap/>
            <w:vAlign w:val="bottom"/>
            <w:hideMark/>
          </w:tcPr>
          <w:p w14:paraId="221EFA5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15.20</w:t>
            </w:r>
          </w:p>
        </w:tc>
        <w:tc>
          <w:tcPr>
            <w:tcW w:w="86" w:type="pct"/>
            <w:tcBorders>
              <w:top w:val="nil"/>
              <w:left w:val="nil"/>
              <w:bottom w:val="single" w:sz="4" w:space="0" w:color="808080"/>
              <w:right w:val="single" w:sz="4" w:space="0" w:color="808080"/>
            </w:tcBorders>
            <w:shd w:val="clear" w:color="auto" w:fill="auto"/>
            <w:noWrap/>
            <w:vAlign w:val="bottom"/>
            <w:hideMark/>
          </w:tcPr>
          <w:p w14:paraId="1975E5D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2" w:type="pct"/>
            <w:tcBorders>
              <w:top w:val="nil"/>
              <w:left w:val="nil"/>
              <w:bottom w:val="single" w:sz="4" w:space="0" w:color="808080"/>
              <w:right w:val="single" w:sz="4" w:space="0" w:color="808080"/>
            </w:tcBorders>
            <w:shd w:val="clear" w:color="auto" w:fill="auto"/>
            <w:noWrap/>
            <w:vAlign w:val="bottom"/>
            <w:hideMark/>
          </w:tcPr>
          <w:p w14:paraId="5AFE6E7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2" w:type="pct"/>
            <w:tcBorders>
              <w:top w:val="nil"/>
              <w:left w:val="nil"/>
              <w:bottom w:val="single" w:sz="4" w:space="0" w:color="808080"/>
              <w:right w:val="single" w:sz="4" w:space="0" w:color="808080"/>
            </w:tcBorders>
            <w:shd w:val="clear" w:color="auto" w:fill="auto"/>
            <w:noWrap/>
            <w:vAlign w:val="bottom"/>
            <w:hideMark/>
          </w:tcPr>
          <w:p w14:paraId="6DDFFE5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1" w:type="pct"/>
            <w:tcBorders>
              <w:top w:val="nil"/>
              <w:left w:val="nil"/>
              <w:bottom w:val="single" w:sz="4" w:space="0" w:color="808080"/>
              <w:right w:val="single" w:sz="4" w:space="0" w:color="808080"/>
            </w:tcBorders>
            <w:shd w:val="clear" w:color="auto" w:fill="auto"/>
            <w:noWrap/>
            <w:vAlign w:val="bottom"/>
            <w:hideMark/>
          </w:tcPr>
          <w:p w14:paraId="452DB4F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1" w:type="pct"/>
            <w:tcBorders>
              <w:top w:val="nil"/>
              <w:left w:val="nil"/>
              <w:bottom w:val="single" w:sz="4" w:space="0" w:color="808080"/>
              <w:right w:val="nil"/>
            </w:tcBorders>
            <w:shd w:val="clear" w:color="auto" w:fill="auto"/>
            <w:noWrap/>
            <w:vAlign w:val="bottom"/>
            <w:hideMark/>
          </w:tcPr>
          <w:p w14:paraId="05841B5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86" w:type="pct"/>
            <w:tcBorders>
              <w:top w:val="nil"/>
              <w:left w:val="single" w:sz="4" w:space="0" w:color="auto"/>
              <w:bottom w:val="single" w:sz="4" w:space="0" w:color="808080"/>
              <w:right w:val="single" w:sz="4" w:space="0" w:color="808080"/>
            </w:tcBorders>
            <w:shd w:val="clear" w:color="auto" w:fill="auto"/>
            <w:noWrap/>
            <w:vAlign w:val="bottom"/>
            <w:hideMark/>
          </w:tcPr>
          <w:p w14:paraId="381A51A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2" w:type="pct"/>
            <w:tcBorders>
              <w:top w:val="nil"/>
              <w:left w:val="nil"/>
              <w:bottom w:val="single" w:sz="4" w:space="0" w:color="808080"/>
              <w:right w:val="single" w:sz="4" w:space="0" w:color="808080"/>
            </w:tcBorders>
            <w:shd w:val="clear" w:color="auto" w:fill="auto"/>
            <w:noWrap/>
            <w:vAlign w:val="bottom"/>
            <w:hideMark/>
          </w:tcPr>
          <w:p w14:paraId="64BBDE4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2" w:type="pct"/>
            <w:tcBorders>
              <w:top w:val="nil"/>
              <w:left w:val="nil"/>
              <w:bottom w:val="single" w:sz="4" w:space="0" w:color="808080"/>
              <w:right w:val="single" w:sz="4" w:space="0" w:color="808080"/>
            </w:tcBorders>
            <w:shd w:val="clear" w:color="auto" w:fill="auto"/>
            <w:noWrap/>
            <w:vAlign w:val="bottom"/>
            <w:hideMark/>
          </w:tcPr>
          <w:p w14:paraId="164ACC0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22" w:type="pct"/>
            <w:tcBorders>
              <w:top w:val="nil"/>
              <w:left w:val="nil"/>
              <w:bottom w:val="single" w:sz="4" w:space="0" w:color="808080"/>
              <w:right w:val="single" w:sz="4" w:space="0" w:color="808080"/>
            </w:tcBorders>
            <w:shd w:val="clear" w:color="auto" w:fill="auto"/>
            <w:noWrap/>
            <w:vAlign w:val="bottom"/>
            <w:hideMark/>
          </w:tcPr>
          <w:p w14:paraId="4E8286B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1" w:type="pct"/>
            <w:tcBorders>
              <w:top w:val="nil"/>
              <w:left w:val="nil"/>
              <w:bottom w:val="single" w:sz="4" w:space="0" w:color="808080"/>
              <w:right w:val="single" w:sz="4" w:space="0" w:color="auto"/>
            </w:tcBorders>
            <w:shd w:val="clear" w:color="auto" w:fill="auto"/>
            <w:noWrap/>
            <w:vAlign w:val="bottom"/>
            <w:hideMark/>
          </w:tcPr>
          <w:p w14:paraId="007696E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9" w:type="pct"/>
            <w:tcBorders>
              <w:top w:val="nil"/>
              <w:left w:val="nil"/>
              <w:bottom w:val="single" w:sz="4" w:space="0" w:color="808080"/>
              <w:right w:val="single" w:sz="4" w:space="0" w:color="auto"/>
            </w:tcBorders>
            <w:shd w:val="clear" w:color="auto" w:fill="auto"/>
            <w:noWrap/>
            <w:vAlign w:val="bottom"/>
            <w:hideMark/>
          </w:tcPr>
          <w:p w14:paraId="608740B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41.61</w:t>
            </w:r>
          </w:p>
        </w:tc>
        <w:tc>
          <w:tcPr>
            <w:tcW w:w="212" w:type="pct"/>
            <w:tcBorders>
              <w:top w:val="nil"/>
              <w:left w:val="nil"/>
              <w:bottom w:val="single" w:sz="4" w:space="0" w:color="808080"/>
              <w:right w:val="single" w:sz="4" w:space="0" w:color="808080"/>
            </w:tcBorders>
            <w:shd w:val="clear" w:color="auto" w:fill="auto"/>
            <w:noWrap/>
            <w:vAlign w:val="bottom"/>
            <w:hideMark/>
          </w:tcPr>
          <w:p w14:paraId="3FCB1D9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6.45%</w:t>
            </w:r>
          </w:p>
        </w:tc>
        <w:tc>
          <w:tcPr>
            <w:tcW w:w="242" w:type="pct"/>
            <w:tcBorders>
              <w:top w:val="nil"/>
              <w:left w:val="nil"/>
              <w:bottom w:val="single" w:sz="4" w:space="0" w:color="808080"/>
              <w:right w:val="single" w:sz="4" w:space="0" w:color="808080"/>
            </w:tcBorders>
            <w:shd w:val="clear" w:color="auto" w:fill="auto"/>
            <w:noWrap/>
            <w:vAlign w:val="bottom"/>
            <w:hideMark/>
          </w:tcPr>
          <w:p w14:paraId="6E3B6FD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87.10%</w:t>
            </w:r>
          </w:p>
        </w:tc>
        <w:tc>
          <w:tcPr>
            <w:tcW w:w="212" w:type="pct"/>
            <w:tcBorders>
              <w:top w:val="nil"/>
              <w:left w:val="nil"/>
              <w:bottom w:val="single" w:sz="4" w:space="0" w:color="808080"/>
              <w:right w:val="single" w:sz="4" w:space="0" w:color="808080"/>
            </w:tcBorders>
            <w:shd w:val="clear" w:color="auto" w:fill="auto"/>
            <w:noWrap/>
            <w:vAlign w:val="bottom"/>
            <w:hideMark/>
          </w:tcPr>
          <w:p w14:paraId="793D7AB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8.57%</w:t>
            </w:r>
          </w:p>
        </w:tc>
        <w:tc>
          <w:tcPr>
            <w:tcW w:w="241" w:type="pct"/>
            <w:tcBorders>
              <w:top w:val="nil"/>
              <w:left w:val="nil"/>
              <w:bottom w:val="single" w:sz="4" w:space="0" w:color="808080"/>
              <w:right w:val="single" w:sz="4" w:space="0" w:color="auto"/>
            </w:tcBorders>
            <w:shd w:val="clear" w:color="auto" w:fill="auto"/>
            <w:noWrap/>
            <w:vAlign w:val="bottom"/>
            <w:hideMark/>
          </w:tcPr>
          <w:p w14:paraId="4699BDE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r>
      <w:tr w:rsidR="00A022DF" w:rsidRPr="00E87E42" w14:paraId="14325555" w14:textId="77777777" w:rsidTr="005839EF">
        <w:trPr>
          <w:trHeight w:val="227"/>
        </w:trPr>
        <w:tc>
          <w:tcPr>
            <w:tcW w:w="56" w:type="pct"/>
            <w:tcBorders>
              <w:top w:val="nil"/>
              <w:left w:val="single" w:sz="4" w:space="0" w:color="auto"/>
              <w:bottom w:val="single" w:sz="4" w:space="0" w:color="auto"/>
              <w:right w:val="nil"/>
            </w:tcBorders>
            <w:shd w:val="clear" w:color="auto" w:fill="auto"/>
            <w:noWrap/>
            <w:vAlign w:val="bottom"/>
            <w:hideMark/>
          </w:tcPr>
          <w:p w14:paraId="2726343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86" w:type="pct"/>
            <w:tcBorders>
              <w:top w:val="nil"/>
              <w:left w:val="single" w:sz="4" w:space="0" w:color="auto"/>
              <w:bottom w:val="single" w:sz="4" w:space="0" w:color="auto"/>
              <w:right w:val="single" w:sz="4" w:space="0" w:color="auto"/>
            </w:tcBorders>
            <w:shd w:val="clear" w:color="auto" w:fill="auto"/>
            <w:noWrap/>
            <w:vAlign w:val="bottom"/>
            <w:hideMark/>
          </w:tcPr>
          <w:p w14:paraId="7FAEF4E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86" w:type="pct"/>
            <w:tcBorders>
              <w:top w:val="nil"/>
              <w:left w:val="nil"/>
              <w:bottom w:val="single" w:sz="4" w:space="0" w:color="auto"/>
              <w:right w:val="single" w:sz="4" w:space="0" w:color="808080"/>
            </w:tcBorders>
            <w:shd w:val="clear" w:color="auto" w:fill="auto"/>
            <w:noWrap/>
            <w:vAlign w:val="bottom"/>
            <w:hideMark/>
          </w:tcPr>
          <w:p w14:paraId="75F54B1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212" w:type="pct"/>
            <w:tcBorders>
              <w:top w:val="nil"/>
              <w:left w:val="nil"/>
              <w:bottom w:val="single" w:sz="4" w:space="0" w:color="auto"/>
              <w:right w:val="single" w:sz="4" w:space="0" w:color="808080"/>
            </w:tcBorders>
            <w:shd w:val="clear" w:color="auto" w:fill="auto"/>
            <w:noWrap/>
            <w:vAlign w:val="bottom"/>
            <w:hideMark/>
          </w:tcPr>
          <w:p w14:paraId="5E4E3B7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75.00%</w:t>
            </w:r>
          </w:p>
        </w:tc>
        <w:tc>
          <w:tcPr>
            <w:tcW w:w="212" w:type="pct"/>
            <w:tcBorders>
              <w:top w:val="nil"/>
              <w:left w:val="nil"/>
              <w:bottom w:val="single" w:sz="4" w:space="0" w:color="auto"/>
              <w:right w:val="single" w:sz="4" w:space="0" w:color="808080"/>
            </w:tcBorders>
            <w:shd w:val="clear" w:color="auto" w:fill="auto"/>
            <w:noWrap/>
            <w:vAlign w:val="bottom"/>
            <w:hideMark/>
          </w:tcPr>
          <w:p w14:paraId="7A4C588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12.00%</w:t>
            </w:r>
          </w:p>
        </w:tc>
        <w:tc>
          <w:tcPr>
            <w:tcW w:w="191" w:type="pct"/>
            <w:tcBorders>
              <w:top w:val="nil"/>
              <w:left w:val="nil"/>
              <w:bottom w:val="single" w:sz="4" w:space="0" w:color="auto"/>
              <w:right w:val="single" w:sz="4" w:space="0" w:color="808080"/>
            </w:tcBorders>
            <w:shd w:val="clear" w:color="auto" w:fill="auto"/>
            <w:noWrap/>
            <w:vAlign w:val="bottom"/>
            <w:hideMark/>
          </w:tcPr>
          <w:p w14:paraId="5DEC855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22.88</w:t>
            </w:r>
          </w:p>
        </w:tc>
        <w:tc>
          <w:tcPr>
            <w:tcW w:w="191" w:type="pct"/>
            <w:tcBorders>
              <w:top w:val="nil"/>
              <w:left w:val="nil"/>
              <w:bottom w:val="single" w:sz="4" w:space="0" w:color="auto"/>
              <w:right w:val="nil"/>
            </w:tcBorders>
            <w:shd w:val="clear" w:color="auto" w:fill="auto"/>
            <w:noWrap/>
            <w:vAlign w:val="bottom"/>
            <w:hideMark/>
          </w:tcPr>
          <w:p w14:paraId="55C415D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22.88</w:t>
            </w:r>
          </w:p>
        </w:tc>
        <w:tc>
          <w:tcPr>
            <w:tcW w:w="59" w:type="pct"/>
            <w:tcBorders>
              <w:top w:val="nil"/>
              <w:left w:val="single" w:sz="4" w:space="0" w:color="auto"/>
              <w:bottom w:val="single" w:sz="4" w:space="0" w:color="auto"/>
              <w:right w:val="single" w:sz="4" w:space="0" w:color="808080"/>
            </w:tcBorders>
            <w:shd w:val="clear" w:color="auto" w:fill="auto"/>
            <w:noWrap/>
            <w:vAlign w:val="bottom"/>
            <w:hideMark/>
          </w:tcPr>
          <w:p w14:paraId="5E87FFD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12" w:type="pct"/>
            <w:tcBorders>
              <w:top w:val="nil"/>
              <w:left w:val="nil"/>
              <w:bottom w:val="single" w:sz="4" w:space="0" w:color="auto"/>
              <w:right w:val="single" w:sz="4" w:space="0" w:color="808080"/>
            </w:tcBorders>
            <w:shd w:val="clear" w:color="auto" w:fill="auto"/>
            <w:noWrap/>
            <w:vAlign w:val="bottom"/>
            <w:hideMark/>
          </w:tcPr>
          <w:p w14:paraId="226F20F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25.00%</w:t>
            </w:r>
          </w:p>
        </w:tc>
        <w:tc>
          <w:tcPr>
            <w:tcW w:w="212" w:type="pct"/>
            <w:tcBorders>
              <w:top w:val="nil"/>
              <w:left w:val="nil"/>
              <w:bottom w:val="single" w:sz="4" w:space="0" w:color="auto"/>
              <w:right w:val="single" w:sz="4" w:space="0" w:color="808080"/>
            </w:tcBorders>
            <w:shd w:val="clear" w:color="auto" w:fill="auto"/>
            <w:noWrap/>
            <w:vAlign w:val="bottom"/>
            <w:hideMark/>
          </w:tcPr>
          <w:p w14:paraId="1C517F1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25.00%</w:t>
            </w:r>
          </w:p>
        </w:tc>
        <w:tc>
          <w:tcPr>
            <w:tcW w:w="191" w:type="pct"/>
            <w:tcBorders>
              <w:top w:val="nil"/>
              <w:left w:val="nil"/>
              <w:bottom w:val="single" w:sz="4" w:space="0" w:color="auto"/>
              <w:right w:val="single" w:sz="4" w:space="0" w:color="808080"/>
            </w:tcBorders>
            <w:shd w:val="clear" w:color="auto" w:fill="auto"/>
            <w:noWrap/>
            <w:vAlign w:val="bottom"/>
            <w:hideMark/>
          </w:tcPr>
          <w:p w14:paraId="7D85BF3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15.62</w:t>
            </w:r>
          </w:p>
        </w:tc>
        <w:tc>
          <w:tcPr>
            <w:tcW w:w="161" w:type="pct"/>
            <w:tcBorders>
              <w:top w:val="nil"/>
              <w:left w:val="nil"/>
              <w:bottom w:val="single" w:sz="4" w:space="0" w:color="auto"/>
              <w:right w:val="single" w:sz="4" w:space="0" w:color="auto"/>
            </w:tcBorders>
            <w:shd w:val="clear" w:color="auto" w:fill="auto"/>
            <w:noWrap/>
            <w:vAlign w:val="bottom"/>
            <w:hideMark/>
          </w:tcPr>
          <w:p w14:paraId="0F0598B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5.07</w:t>
            </w:r>
          </w:p>
        </w:tc>
        <w:tc>
          <w:tcPr>
            <w:tcW w:w="86" w:type="pct"/>
            <w:tcBorders>
              <w:top w:val="nil"/>
              <w:left w:val="nil"/>
              <w:bottom w:val="single" w:sz="4" w:space="0" w:color="auto"/>
              <w:right w:val="single" w:sz="4" w:space="0" w:color="808080"/>
            </w:tcBorders>
            <w:shd w:val="clear" w:color="auto" w:fill="auto"/>
            <w:noWrap/>
            <w:vAlign w:val="bottom"/>
            <w:hideMark/>
          </w:tcPr>
          <w:p w14:paraId="64C0888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2" w:type="pct"/>
            <w:tcBorders>
              <w:top w:val="nil"/>
              <w:left w:val="nil"/>
              <w:bottom w:val="single" w:sz="4" w:space="0" w:color="auto"/>
              <w:right w:val="single" w:sz="4" w:space="0" w:color="808080"/>
            </w:tcBorders>
            <w:shd w:val="clear" w:color="auto" w:fill="auto"/>
            <w:noWrap/>
            <w:vAlign w:val="bottom"/>
            <w:hideMark/>
          </w:tcPr>
          <w:p w14:paraId="4941CFD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2" w:type="pct"/>
            <w:tcBorders>
              <w:top w:val="nil"/>
              <w:left w:val="nil"/>
              <w:bottom w:val="single" w:sz="4" w:space="0" w:color="auto"/>
              <w:right w:val="single" w:sz="4" w:space="0" w:color="808080"/>
            </w:tcBorders>
            <w:shd w:val="clear" w:color="auto" w:fill="auto"/>
            <w:noWrap/>
            <w:vAlign w:val="bottom"/>
            <w:hideMark/>
          </w:tcPr>
          <w:p w14:paraId="7CD0866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1" w:type="pct"/>
            <w:tcBorders>
              <w:top w:val="nil"/>
              <w:left w:val="nil"/>
              <w:bottom w:val="single" w:sz="4" w:space="0" w:color="auto"/>
              <w:right w:val="single" w:sz="4" w:space="0" w:color="808080"/>
            </w:tcBorders>
            <w:shd w:val="clear" w:color="auto" w:fill="auto"/>
            <w:noWrap/>
            <w:vAlign w:val="bottom"/>
            <w:hideMark/>
          </w:tcPr>
          <w:p w14:paraId="66C05EC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1" w:type="pct"/>
            <w:tcBorders>
              <w:top w:val="nil"/>
              <w:left w:val="nil"/>
              <w:bottom w:val="single" w:sz="4" w:space="0" w:color="auto"/>
              <w:right w:val="nil"/>
            </w:tcBorders>
            <w:shd w:val="clear" w:color="auto" w:fill="auto"/>
            <w:noWrap/>
            <w:vAlign w:val="bottom"/>
            <w:hideMark/>
          </w:tcPr>
          <w:p w14:paraId="7D00D7D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86" w:type="pct"/>
            <w:tcBorders>
              <w:top w:val="nil"/>
              <w:left w:val="single" w:sz="4" w:space="0" w:color="auto"/>
              <w:bottom w:val="single" w:sz="4" w:space="0" w:color="auto"/>
              <w:right w:val="single" w:sz="4" w:space="0" w:color="808080"/>
            </w:tcBorders>
            <w:shd w:val="clear" w:color="auto" w:fill="auto"/>
            <w:noWrap/>
            <w:vAlign w:val="bottom"/>
            <w:hideMark/>
          </w:tcPr>
          <w:p w14:paraId="2464AA3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2" w:type="pct"/>
            <w:tcBorders>
              <w:top w:val="nil"/>
              <w:left w:val="nil"/>
              <w:bottom w:val="single" w:sz="4" w:space="0" w:color="auto"/>
              <w:right w:val="single" w:sz="4" w:space="0" w:color="808080"/>
            </w:tcBorders>
            <w:shd w:val="clear" w:color="auto" w:fill="auto"/>
            <w:noWrap/>
            <w:vAlign w:val="bottom"/>
            <w:hideMark/>
          </w:tcPr>
          <w:p w14:paraId="44E2136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2" w:type="pct"/>
            <w:tcBorders>
              <w:top w:val="nil"/>
              <w:left w:val="nil"/>
              <w:bottom w:val="single" w:sz="4" w:space="0" w:color="auto"/>
              <w:right w:val="single" w:sz="4" w:space="0" w:color="808080"/>
            </w:tcBorders>
            <w:shd w:val="clear" w:color="auto" w:fill="auto"/>
            <w:noWrap/>
            <w:vAlign w:val="bottom"/>
            <w:hideMark/>
          </w:tcPr>
          <w:p w14:paraId="300F756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22" w:type="pct"/>
            <w:tcBorders>
              <w:top w:val="nil"/>
              <w:left w:val="nil"/>
              <w:bottom w:val="single" w:sz="4" w:space="0" w:color="auto"/>
              <w:right w:val="single" w:sz="4" w:space="0" w:color="808080"/>
            </w:tcBorders>
            <w:shd w:val="clear" w:color="auto" w:fill="auto"/>
            <w:noWrap/>
            <w:vAlign w:val="bottom"/>
            <w:hideMark/>
          </w:tcPr>
          <w:p w14:paraId="5C184E4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1" w:type="pct"/>
            <w:tcBorders>
              <w:top w:val="nil"/>
              <w:left w:val="nil"/>
              <w:bottom w:val="single" w:sz="4" w:space="0" w:color="auto"/>
              <w:right w:val="single" w:sz="4" w:space="0" w:color="auto"/>
            </w:tcBorders>
            <w:shd w:val="clear" w:color="auto" w:fill="auto"/>
            <w:noWrap/>
            <w:vAlign w:val="bottom"/>
            <w:hideMark/>
          </w:tcPr>
          <w:p w14:paraId="2B7FF3C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9" w:type="pct"/>
            <w:tcBorders>
              <w:top w:val="nil"/>
              <w:left w:val="nil"/>
              <w:bottom w:val="single" w:sz="4" w:space="0" w:color="auto"/>
              <w:right w:val="single" w:sz="4" w:space="0" w:color="auto"/>
            </w:tcBorders>
            <w:shd w:val="clear" w:color="auto" w:fill="auto"/>
            <w:noWrap/>
            <w:vAlign w:val="bottom"/>
            <w:hideMark/>
          </w:tcPr>
          <w:p w14:paraId="66B7E80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21.07</w:t>
            </w:r>
          </w:p>
        </w:tc>
        <w:tc>
          <w:tcPr>
            <w:tcW w:w="212" w:type="pct"/>
            <w:tcBorders>
              <w:top w:val="nil"/>
              <w:left w:val="nil"/>
              <w:bottom w:val="single" w:sz="4" w:space="0" w:color="auto"/>
              <w:right w:val="single" w:sz="4" w:space="0" w:color="808080"/>
            </w:tcBorders>
            <w:shd w:val="clear" w:color="auto" w:fill="auto"/>
            <w:noWrap/>
            <w:vAlign w:val="bottom"/>
            <w:hideMark/>
          </w:tcPr>
          <w:p w14:paraId="384DC42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12.90%</w:t>
            </w:r>
          </w:p>
        </w:tc>
        <w:tc>
          <w:tcPr>
            <w:tcW w:w="242" w:type="pct"/>
            <w:tcBorders>
              <w:top w:val="nil"/>
              <w:left w:val="nil"/>
              <w:bottom w:val="single" w:sz="4" w:space="0" w:color="auto"/>
              <w:right w:val="single" w:sz="4" w:space="0" w:color="808080"/>
            </w:tcBorders>
            <w:shd w:val="clear" w:color="auto" w:fill="auto"/>
            <w:noWrap/>
            <w:vAlign w:val="bottom"/>
            <w:hideMark/>
          </w:tcPr>
          <w:p w14:paraId="1A6B54C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12" w:type="pct"/>
            <w:tcBorders>
              <w:top w:val="nil"/>
              <w:left w:val="nil"/>
              <w:bottom w:val="single" w:sz="4" w:space="0" w:color="auto"/>
              <w:right w:val="single" w:sz="4" w:space="0" w:color="808080"/>
            </w:tcBorders>
            <w:shd w:val="clear" w:color="auto" w:fill="auto"/>
            <w:noWrap/>
            <w:vAlign w:val="bottom"/>
            <w:hideMark/>
          </w:tcPr>
          <w:p w14:paraId="229F2D4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1" w:type="pct"/>
            <w:tcBorders>
              <w:top w:val="nil"/>
              <w:left w:val="nil"/>
              <w:bottom w:val="single" w:sz="4" w:space="0" w:color="auto"/>
              <w:right w:val="single" w:sz="4" w:space="0" w:color="auto"/>
            </w:tcBorders>
            <w:shd w:val="clear" w:color="auto" w:fill="auto"/>
            <w:noWrap/>
            <w:vAlign w:val="bottom"/>
            <w:hideMark/>
          </w:tcPr>
          <w:p w14:paraId="4F97F8D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r>
      <w:tr w:rsidR="00A022DF" w:rsidRPr="00E87E42" w14:paraId="313005EB" w14:textId="77777777" w:rsidTr="005839EF">
        <w:trPr>
          <w:trHeight w:val="227"/>
        </w:trPr>
        <w:tc>
          <w:tcPr>
            <w:tcW w:w="3714" w:type="pct"/>
            <w:gridSpan w:val="22"/>
            <w:tcBorders>
              <w:top w:val="nil"/>
              <w:left w:val="single" w:sz="4" w:space="0" w:color="auto"/>
              <w:bottom w:val="single" w:sz="4" w:space="0" w:color="auto"/>
              <w:right w:val="single" w:sz="4" w:space="0" w:color="auto"/>
            </w:tcBorders>
            <w:shd w:val="clear" w:color="auto" w:fill="auto"/>
            <w:noWrap/>
            <w:vAlign w:val="bottom"/>
          </w:tcPr>
          <w:p w14:paraId="6A004FB4" w14:textId="77777777" w:rsidR="00A022DF" w:rsidRPr="00E87E42" w:rsidRDefault="00A022DF" w:rsidP="00A022DF">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Total weighted area damage</w:t>
            </w:r>
          </w:p>
        </w:tc>
        <w:tc>
          <w:tcPr>
            <w:tcW w:w="379" w:type="pct"/>
            <w:tcBorders>
              <w:top w:val="nil"/>
              <w:left w:val="nil"/>
              <w:bottom w:val="single" w:sz="4" w:space="0" w:color="auto"/>
              <w:right w:val="single" w:sz="4" w:space="0" w:color="auto"/>
            </w:tcBorders>
            <w:shd w:val="clear" w:color="auto" w:fill="auto"/>
            <w:noWrap/>
            <w:vAlign w:val="bottom"/>
          </w:tcPr>
          <w:p w14:paraId="28FEA49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68.55</w:t>
            </w:r>
          </w:p>
        </w:tc>
        <w:tc>
          <w:tcPr>
            <w:tcW w:w="907" w:type="pct"/>
            <w:gridSpan w:val="4"/>
            <w:tcBorders>
              <w:top w:val="nil"/>
              <w:left w:val="nil"/>
              <w:bottom w:val="single" w:sz="4" w:space="0" w:color="auto"/>
              <w:right w:val="single" w:sz="4" w:space="0" w:color="auto"/>
            </w:tcBorders>
            <w:shd w:val="clear" w:color="auto" w:fill="auto"/>
            <w:noWrap/>
            <w:vAlign w:val="bottom"/>
          </w:tcPr>
          <w:p w14:paraId="4BFC82BA" w14:textId="77777777" w:rsidR="00A022DF" w:rsidRPr="00E87E42" w:rsidRDefault="00A022DF" w:rsidP="00A022DF">
            <w:pPr>
              <w:spacing w:after="0" w:line="240" w:lineRule="auto"/>
              <w:jc w:val="center"/>
              <w:rPr>
                <w:rFonts w:eastAsia="Times New Roman"/>
                <w:color w:val="000000"/>
                <w:sz w:val="16"/>
                <w:szCs w:val="16"/>
                <w:lang w:eastAsia="en-GB"/>
              </w:rPr>
            </w:pPr>
          </w:p>
        </w:tc>
      </w:tr>
      <w:tr w:rsidR="00A022DF" w:rsidRPr="00E87E42" w14:paraId="7C7366BB" w14:textId="77777777" w:rsidTr="005839EF">
        <w:trPr>
          <w:trHeight w:val="227"/>
        </w:trPr>
        <w:tc>
          <w:tcPr>
            <w:tcW w:w="56" w:type="pct"/>
            <w:tcBorders>
              <w:top w:val="nil"/>
              <w:left w:val="nil"/>
              <w:bottom w:val="nil"/>
              <w:right w:val="nil"/>
            </w:tcBorders>
            <w:shd w:val="clear" w:color="auto" w:fill="auto"/>
            <w:noWrap/>
            <w:vAlign w:val="bottom"/>
            <w:hideMark/>
          </w:tcPr>
          <w:p w14:paraId="1A5FD4E0" w14:textId="77777777" w:rsidR="00A022DF" w:rsidRPr="00E87E42" w:rsidRDefault="00A022DF" w:rsidP="00A022DF">
            <w:pPr>
              <w:spacing w:after="0" w:line="240" w:lineRule="auto"/>
              <w:jc w:val="center"/>
              <w:rPr>
                <w:rFonts w:eastAsia="Times New Roman"/>
                <w:color w:val="000000"/>
                <w:sz w:val="16"/>
                <w:szCs w:val="16"/>
                <w:lang w:eastAsia="en-GB"/>
              </w:rPr>
            </w:pPr>
          </w:p>
        </w:tc>
        <w:tc>
          <w:tcPr>
            <w:tcW w:w="4944" w:type="pct"/>
            <w:gridSpan w:val="26"/>
            <w:tcBorders>
              <w:top w:val="nil"/>
              <w:left w:val="single" w:sz="4" w:space="0" w:color="auto"/>
              <w:bottom w:val="single" w:sz="4" w:space="0" w:color="auto"/>
              <w:right w:val="single" w:sz="4" w:space="0" w:color="000000"/>
            </w:tcBorders>
            <w:shd w:val="clear" w:color="auto" w:fill="auto"/>
            <w:noWrap/>
            <w:vAlign w:val="bottom"/>
            <w:hideMark/>
          </w:tcPr>
          <w:p w14:paraId="69765A4F" w14:textId="77777777" w:rsidR="00A022DF" w:rsidRPr="00E87E42" w:rsidRDefault="00A022DF" w:rsidP="00A022DF">
            <w:pPr>
              <w:spacing w:after="0" w:line="240" w:lineRule="auto"/>
              <w:jc w:val="center"/>
              <w:rPr>
                <w:rFonts w:eastAsia="Times New Roman"/>
                <w:b/>
                <w:bCs/>
                <w:color w:val="000000"/>
                <w:sz w:val="16"/>
                <w:szCs w:val="16"/>
                <w:u w:val="single"/>
                <w:lang w:eastAsia="en-GB"/>
              </w:rPr>
            </w:pPr>
            <w:r w:rsidRPr="00E87E42">
              <w:rPr>
                <w:rFonts w:eastAsia="Times New Roman"/>
                <w:b/>
                <w:bCs/>
                <w:color w:val="000000"/>
                <w:sz w:val="16"/>
                <w:szCs w:val="16"/>
                <w:u w:val="single"/>
                <w:lang w:eastAsia="en-GB"/>
              </w:rPr>
              <w:t xml:space="preserve">No Sprinklers - Area damage </w:t>
            </w:r>
            <w:r w:rsidRPr="00E87E42">
              <w:rPr>
                <w:rFonts w:eastAsia="Times New Roman"/>
                <w:b/>
                <w:color w:val="000000"/>
                <w:sz w:val="16"/>
                <w:szCs w:val="16"/>
                <w:u w:val="single"/>
                <w:lang w:eastAsia="en-GB"/>
              </w:rPr>
              <w:t>m</w:t>
            </w:r>
            <w:r w:rsidRPr="00E87E42">
              <w:rPr>
                <w:rFonts w:eastAsia="Times New Roman"/>
                <w:b/>
                <w:color w:val="000000"/>
                <w:sz w:val="16"/>
                <w:szCs w:val="16"/>
                <w:u w:val="single"/>
                <w:vertAlign w:val="superscript"/>
                <w:lang w:eastAsia="en-GB"/>
              </w:rPr>
              <w:t>2</w:t>
            </w:r>
          </w:p>
        </w:tc>
      </w:tr>
      <w:tr w:rsidR="00A022DF" w:rsidRPr="00E87E42" w14:paraId="6E777863" w14:textId="77777777" w:rsidTr="005839EF">
        <w:trPr>
          <w:trHeight w:val="227"/>
        </w:trPr>
        <w:tc>
          <w:tcPr>
            <w:tcW w:w="56" w:type="pct"/>
            <w:tcBorders>
              <w:top w:val="nil"/>
              <w:left w:val="nil"/>
              <w:bottom w:val="nil"/>
              <w:right w:val="nil"/>
            </w:tcBorders>
            <w:shd w:val="clear" w:color="auto" w:fill="auto"/>
            <w:noWrap/>
            <w:vAlign w:val="bottom"/>
            <w:hideMark/>
          </w:tcPr>
          <w:p w14:paraId="7239128F" w14:textId="77777777" w:rsidR="00A022DF" w:rsidRPr="00E87E42" w:rsidRDefault="00A022DF" w:rsidP="00A022DF">
            <w:pPr>
              <w:spacing w:after="0" w:line="240" w:lineRule="auto"/>
              <w:jc w:val="center"/>
              <w:rPr>
                <w:rFonts w:eastAsia="Times New Roman"/>
                <w:b/>
                <w:bCs/>
                <w:color w:val="000000"/>
                <w:sz w:val="16"/>
                <w:szCs w:val="16"/>
                <w:u w:val="single"/>
                <w:lang w:eastAsia="en-GB"/>
              </w:rPr>
            </w:pPr>
          </w:p>
        </w:tc>
        <w:tc>
          <w:tcPr>
            <w:tcW w:w="86" w:type="pct"/>
            <w:vMerge w:val="restart"/>
            <w:tcBorders>
              <w:top w:val="nil"/>
              <w:left w:val="single" w:sz="4" w:space="0" w:color="auto"/>
              <w:bottom w:val="nil"/>
              <w:right w:val="single" w:sz="4" w:space="0" w:color="auto"/>
            </w:tcBorders>
            <w:shd w:val="clear" w:color="auto" w:fill="auto"/>
            <w:noWrap/>
            <w:vAlign w:val="center"/>
            <w:hideMark/>
          </w:tcPr>
          <w:p w14:paraId="1289F74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w:t>
            </w:r>
          </w:p>
        </w:tc>
        <w:tc>
          <w:tcPr>
            <w:tcW w:w="892"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51DF4377" w14:textId="77777777"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Minor</w:t>
            </w:r>
          </w:p>
        </w:tc>
        <w:tc>
          <w:tcPr>
            <w:tcW w:w="835"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7D2C17AD" w14:textId="77777777"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Significantly</w:t>
            </w:r>
          </w:p>
        </w:tc>
        <w:tc>
          <w:tcPr>
            <w:tcW w:w="892"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1F9533D2" w14:textId="77777777"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Heavy</w:t>
            </w:r>
          </w:p>
        </w:tc>
        <w:tc>
          <w:tcPr>
            <w:tcW w:w="953"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39F1CF63" w14:textId="77777777"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Extreme</w:t>
            </w:r>
          </w:p>
        </w:tc>
        <w:tc>
          <w:tcPr>
            <w:tcW w:w="379" w:type="pct"/>
            <w:vMerge w:val="restart"/>
            <w:tcBorders>
              <w:top w:val="nil"/>
              <w:left w:val="single" w:sz="4" w:space="0" w:color="auto"/>
              <w:bottom w:val="nil"/>
              <w:right w:val="single" w:sz="4" w:space="0" w:color="auto"/>
            </w:tcBorders>
            <w:shd w:val="clear" w:color="auto" w:fill="auto"/>
            <w:noWrap/>
            <w:vAlign w:val="center"/>
            <w:hideMark/>
          </w:tcPr>
          <w:p w14:paraId="0CADE97A" w14:textId="77777777" w:rsidR="00A022DF" w:rsidRPr="00E87E42" w:rsidRDefault="00A022DF" w:rsidP="00A022D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Weighted area</w:t>
            </w:r>
          </w:p>
          <w:p w14:paraId="06E29F00" w14:textId="77777777" w:rsidR="00A022DF" w:rsidRPr="00E87E42" w:rsidRDefault="00A022DF" w:rsidP="00A022D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 xml:space="preserve"> damage</w:t>
            </w:r>
          </w:p>
          <w:p w14:paraId="3EFA86E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454"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2C157BA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3"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F363AB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F+U</w:t>
            </w:r>
          </w:p>
        </w:tc>
      </w:tr>
      <w:tr w:rsidR="00A022DF" w:rsidRPr="00E87E42" w14:paraId="105F0354" w14:textId="77777777" w:rsidTr="005839EF">
        <w:trPr>
          <w:trHeight w:val="227"/>
        </w:trPr>
        <w:tc>
          <w:tcPr>
            <w:tcW w:w="56" w:type="pct"/>
            <w:tcBorders>
              <w:top w:val="nil"/>
              <w:left w:val="nil"/>
              <w:bottom w:val="nil"/>
              <w:right w:val="nil"/>
            </w:tcBorders>
            <w:shd w:val="clear" w:color="auto" w:fill="auto"/>
            <w:noWrap/>
            <w:vAlign w:val="bottom"/>
            <w:hideMark/>
          </w:tcPr>
          <w:p w14:paraId="78525C1B" w14:textId="77777777" w:rsidR="00A022DF" w:rsidRPr="00E87E42" w:rsidRDefault="00A022DF" w:rsidP="00A022DF">
            <w:pPr>
              <w:spacing w:after="0" w:line="240" w:lineRule="auto"/>
              <w:jc w:val="center"/>
              <w:rPr>
                <w:rFonts w:eastAsia="Times New Roman"/>
                <w:color w:val="000000"/>
                <w:sz w:val="16"/>
                <w:szCs w:val="16"/>
                <w:lang w:eastAsia="en-GB"/>
              </w:rPr>
            </w:pPr>
          </w:p>
        </w:tc>
        <w:tc>
          <w:tcPr>
            <w:tcW w:w="86" w:type="pct"/>
            <w:vMerge/>
            <w:tcBorders>
              <w:top w:val="nil"/>
              <w:left w:val="single" w:sz="4" w:space="0" w:color="auto"/>
              <w:bottom w:val="nil"/>
              <w:right w:val="single" w:sz="4" w:space="0" w:color="auto"/>
            </w:tcBorders>
            <w:vAlign w:val="center"/>
            <w:hideMark/>
          </w:tcPr>
          <w:p w14:paraId="0AA4789D"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86" w:type="pct"/>
            <w:vMerge w:val="restart"/>
            <w:tcBorders>
              <w:top w:val="nil"/>
              <w:left w:val="single" w:sz="4" w:space="0" w:color="auto"/>
              <w:bottom w:val="nil"/>
              <w:right w:val="nil"/>
            </w:tcBorders>
            <w:shd w:val="clear" w:color="auto" w:fill="auto"/>
            <w:noWrap/>
            <w:vAlign w:val="center"/>
            <w:hideMark/>
          </w:tcPr>
          <w:p w14:paraId="62B3DBC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042D3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91" w:type="pct"/>
            <w:vMerge w:val="restart"/>
            <w:tcBorders>
              <w:top w:val="nil"/>
              <w:left w:val="single" w:sz="4" w:space="0" w:color="auto"/>
              <w:bottom w:val="nil"/>
              <w:right w:val="single" w:sz="4" w:space="0" w:color="auto"/>
            </w:tcBorders>
            <w:shd w:val="clear" w:color="auto" w:fill="auto"/>
            <w:noWrap/>
            <w:vAlign w:val="center"/>
            <w:hideMark/>
          </w:tcPr>
          <w:p w14:paraId="2047D72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7F16894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91" w:type="pct"/>
            <w:vMerge w:val="restart"/>
            <w:tcBorders>
              <w:top w:val="nil"/>
              <w:left w:val="single" w:sz="4" w:space="0" w:color="auto"/>
              <w:bottom w:val="nil"/>
              <w:right w:val="single" w:sz="4" w:space="0" w:color="auto"/>
            </w:tcBorders>
            <w:shd w:val="clear" w:color="auto" w:fill="auto"/>
            <w:noWrap/>
            <w:vAlign w:val="center"/>
            <w:hideMark/>
          </w:tcPr>
          <w:p w14:paraId="1E9E326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360074C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59" w:type="pct"/>
            <w:vMerge w:val="restart"/>
            <w:tcBorders>
              <w:top w:val="nil"/>
              <w:left w:val="single" w:sz="4" w:space="0" w:color="auto"/>
              <w:bottom w:val="nil"/>
              <w:right w:val="single" w:sz="4" w:space="0" w:color="auto"/>
            </w:tcBorders>
            <w:shd w:val="clear" w:color="auto" w:fill="auto"/>
            <w:noWrap/>
            <w:vAlign w:val="center"/>
            <w:hideMark/>
          </w:tcPr>
          <w:p w14:paraId="4A8BFA1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77050B8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91" w:type="pct"/>
            <w:vMerge w:val="restart"/>
            <w:tcBorders>
              <w:top w:val="nil"/>
              <w:left w:val="single" w:sz="4" w:space="0" w:color="auto"/>
              <w:bottom w:val="nil"/>
              <w:right w:val="single" w:sz="4" w:space="0" w:color="auto"/>
            </w:tcBorders>
            <w:shd w:val="clear" w:color="auto" w:fill="auto"/>
            <w:noWrap/>
            <w:vAlign w:val="center"/>
            <w:hideMark/>
          </w:tcPr>
          <w:p w14:paraId="17974FF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22E2C8F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1" w:type="pct"/>
            <w:vMerge w:val="restart"/>
            <w:tcBorders>
              <w:top w:val="nil"/>
              <w:left w:val="single" w:sz="4" w:space="0" w:color="auto"/>
              <w:bottom w:val="nil"/>
              <w:right w:val="single" w:sz="4" w:space="0" w:color="auto"/>
            </w:tcBorders>
            <w:shd w:val="clear" w:color="auto" w:fill="auto"/>
            <w:noWrap/>
            <w:vAlign w:val="center"/>
            <w:hideMark/>
          </w:tcPr>
          <w:p w14:paraId="71445B3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666CECC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86" w:type="pct"/>
            <w:vMerge w:val="restart"/>
            <w:tcBorders>
              <w:top w:val="nil"/>
              <w:left w:val="single" w:sz="4" w:space="0" w:color="auto"/>
              <w:bottom w:val="nil"/>
              <w:right w:val="single" w:sz="4" w:space="0" w:color="auto"/>
            </w:tcBorders>
            <w:shd w:val="clear" w:color="auto" w:fill="auto"/>
            <w:noWrap/>
            <w:vAlign w:val="center"/>
            <w:hideMark/>
          </w:tcPr>
          <w:p w14:paraId="7BC4825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CC9C4C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91" w:type="pct"/>
            <w:vMerge w:val="restart"/>
            <w:tcBorders>
              <w:top w:val="nil"/>
              <w:left w:val="single" w:sz="4" w:space="0" w:color="auto"/>
              <w:bottom w:val="nil"/>
              <w:right w:val="single" w:sz="4" w:space="0" w:color="auto"/>
            </w:tcBorders>
            <w:shd w:val="clear" w:color="auto" w:fill="auto"/>
            <w:noWrap/>
            <w:vAlign w:val="center"/>
            <w:hideMark/>
          </w:tcPr>
          <w:p w14:paraId="238E2F4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20B97B3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1" w:type="pct"/>
            <w:vMerge w:val="restart"/>
            <w:tcBorders>
              <w:top w:val="nil"/>
              <w:left w:val="single" w:sz="4" w:space="0" w:color="auto"/>
              <w:bottom w:val="nil"/>
              <w:right w:val="single" w:sz="4" w:space="0" w:color="auto"/>
            </w:tcBorders>
            <w:shd w:val="clear" w:color="auto" w:fill="auto"/>
            <w:noWrap/>
            <w:vAlign w:val="center"/>
            <w:hideMark/>
          </w:tcPr>
          <w:p w14:paraId="06B9739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1394CDB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86" w:type="pct"/>
            <w:vMerge w:val="restart"/>
            <w:tcBorders>
              <w:top w:val="nil"/>
              <w:left w:val="single" w:sz="4" w:space="0" w:color="auto"/>
              <w:bottom w:val="nil"/>
              <w:right w:val="single" w:sz="4" w:space="0" w:color="auto"/>
            </w:tcBorders>
            <w:shd w:val="clear" w:color="auto" w:fill="auto"/>
            <w:noWrap/>
            <w:vAlign w:val="center"/>
            <w:hideMark/>
          </w:tcPr>
          <w:p w14:paraId="4EA589A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4" w:type="pct"/>
            <w:gridSpan w:val="2"/>
            <w:tcBorders>
              <w:top w:val="single" w:sz="4" w:space="0" w:color="auto"/>
              <w:left w:val="nil"/>
              <w:bottom w:val="nil"/>
              <w:right w:val="single" w:sz="4" w:space="0" w:color="000000"/>
            </w:tcBorders>
            <w:shd w:val="clear" w:color="auto" w:fill="auto"/>
            <w:noWrap/>
            <w:vAlign w:val="bottom"/>
            <w:hideMark/>
          </w:tcPr>
          <w:p w14:paraId="3F9DA14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222" w:type="pct"/>
            <w:vMerge w:val="restart"/>
            <w:tcBorders>
              <w:top w:val="nil"/>
              <w:left w:val="single" w:sz="4" w:space="0" w:color="auto"/>
              <w:bottom w:val="nil"/>
              <w:right w:val="single" w:sz="4" w:space="0" w:color="auto"/>
            </w:tcBorders>
            <w:shd w:val="clear" w:color="auto" w:fill="auto"/>
            <w:noWrap/>
            <w:vAlign w:val="center"/>
            <w:hideMark/>
          </w:tcPr>
          <w:p w14:paraId="1D411F0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6650EBA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91" w:type="pct"/>
            <w:vMerge w:val="restart"/>
            <w:tcBorders>
              <w:top w:val="nil"/>
              <w:left w:val="single" w:sz="4" w:space="0" w:color="auto"/>
              <w:bottom w:val="nil"/>
              <w:right w:val="single" w:sz="4" w:space="0" w:color="auto"/>
            </w:tcBorders>
            <w:shd w:val="clear" w:color="auto" w:fill="auto"/>
            <w:noWrap/>
            <w:vAlign w:val="center"/>
            <w:hideMark/>
          </w:tcPr>
          <w:p w14:paraId="496DF6E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1AA6F35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379" w:type="pct"/>
            <w:vMerge/>
            <w:tcBorders>
              <w:top w:val="nil"/>
              <w:left w:val="single" w:sz="4" w:space="0" w:color="auto"/>
              <w:bottom w:val="nil"/>
              <w:right w:val="single" w:sz="4" w:space="0" w:color="auto"/>
            </w:tcBorders>
            <w:vAlign w:val="center"/>
            <w:hideMark/>
          </w:tcPr>
          <w:p w14:paraId="11D0F84A"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454" w:type="pct"/>
            <w:gridSpan w:val="2"/>
            <w:vMerge/>
            <w:tcBorders>
              <w:top w:val="single" w:sz="4" w:space="0" w:color="auto"/>
              <w:left w:val="single" w:sz="4" w:space="0" w:color="auto"/>
              <w:bottom w:val="single" w:sz="4" w:space="0" w:color="000000"/>
              <w:right w:val="nil"/>
            </w:tcBorders>
            <w:vAlign w:val="center"/>
            <w:hideMark/>
          </w:tcPr>
          <w:p w14:paraId="18D1F984"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453" w:type="pct"/>
            <w:gridSpan w:val="2"/>
            <w:vMerge/>
            <w:tcBorders>
              <w:top w:val="single" w:sz="4" w:space="0" w:color="auto"/>
              <w:left w:val="single" w:sz="4" w:space="0" w:color="auto"/>
              <w:bottom w:val="single" w:sz="4" w:space="0" w:color="000000"/>
              <w:right w:val="single" w:sz="4" w:space="0" w:color="000000"/>
            </w:tcBorders>
            <w:vAlign w:val="center"/>
            <w:hideMark/>
          </w:tcPr>
          <w:p w14:paraId="4A5DED22" w14:textId="77777777" w:rsidR="00A022DF" w:rsidRPr="00E87E42" w:rsidRDefault="00A022DF" w:rsidP="00A022DF">
            <w:pPr>
              <w:spacing w:after="0" w:line="240" w:lineRule="auto"/>
              <w:jc w:val="left"/>
              <w:rPr>
                <w:rFonts w:eastAsia="Times New Roman"/>
                <w:color w:val="000000"/>
                <w:sz w:val="16"/>
                <w:szCs w:val="16"/>
                <w:lang w:eastAsia="en-GB"/>
              </w:rPr>
            </w:pPr>
          </w:p>
        </w:tc>
      </w:tr>
      <w:tr w:rsidR="00AD472B" w:rsidRPr="00E87E42" w14:paraId="29FBD206" w14:textId="77777777" w:rsidTr="00A446AC">
        <w:trPr>
          <w:trHeight w:val="227"/>
        </w:trPr>
        <w:tc>
          <w:tcPr>
            <w:tcW w:w="56" w:type="pct"/>
            <w:tcBorders>
              <w:top w:val="nil"/>
              <w:left w:val="nil"/>
              <w:bottom w:val="single" w:sz="4" w:space="0" w:color="auto"/>
              <w:right w:val="single" w:sz="4" w:space="0" w:color="auto"/>
            </w:tcBorders>
            <w:shd w:val="clear" w:color="auto" w:fill="auto"/>
            <w:noWrap/>
            <w:vAlign w:val="bottom"/>
            <w:hideMark/>
          </w:tcPr>
          <w:p w14:paraId="280F560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w:t>
            </w:r>
          </w:p>
        </w:tc>
        <w:tc>
          <w:tcPr>
            <w:tcW w:w="86" w:type="pct"/>
            <w:vMerge/>
            <w:tcBorders>
              <w:top w:val="nil"/>
              <w:left w:val="single" w:sz="4" w:space="0" w:color="auto"/>
              <w:bottom w:val="nil"/>
              <w:right w:val="single" w:sz="4" w:space="0" w:color="auto"/>
            </w:tcBorders>
            <w:vAlign w:val="center"/>
            <w:hideMark/>
          </w:tcPr>
          <w:p w14:paraId="6F6514D3"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86" w:type="pct"/>
            <w:vMerge/>
            <w:tcBorders>
              <w:top w:val="nil"/>
              <w:left w:val="single" w:sz="4" w:space="0" w:color="auto"/>
              <w:bottom w:val="nil"/>
              <w:right w:val="nil"/>
            </w:tcBorders>
            <w:vAlign w:val="center"/>
            <w:hideMark/>
          </w:tcPr>
          <w:p w14:paraId="13DCD645"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2" w:type="pct"/>
            <w:tcBorders>
              <w:top w:val="nil"/>
              <w:left w:val="single" w:sz="4" w:space="0" w:color="auto"/>
              <w:bottom w:val="nil"/>
              <w:right w:val="single" w:sz="4" w:space="0" w:color="auto"/>
            </w:tcBorders>
            <w:shd w:val="clear" w:color="auto" w:fill="auto"/>
            <w:noWrap/>
            <w:vAlign w:val="bottom"/>
            <w:hideMark/>
          </w:tcPr>
          <w:p w14:paraId="1A14D309" w14:textId="6020830D"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2" w:type="pct"/>
            <w:tcBorders>
              <w:top w:val="nil"/>
              <w:left w:val="nil"/>
              <w:bottom w:val="nil"/>
              <w:right w:val="single" w:sz="4" w:space="0" w:color="auto"/>
            </w:tcBorders>
            <w:shd w:val="clear" w:color="auto" w:fill="auto"/>
            <w:noWrap/>
            <w:vAlign w:val="bottom"/>
            <w:hideMark/>
          </w:tcPr>
          <w:p w14:paraId="2BF0BC10" w14:textId="5A507552"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91" w:type="pct"/>
            <w:vMerge/>
            <w:tcBorders>
              <w:top w:val="nil"/>
              <w:left w:val="single" w:sz="4" w:space="0" w:color="auto"/>
              <w:bottom w:val="nil"/>
              <w:right w:val="single" w:sz="4" w:space="0" w:color="auto"/>
            </w:tcBorders>
            <w:vAlign w:val="center"/>
            <w:hideMark/>
          </w:tcPr>
          <w:p w14:paraId="4D6B89B4"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91" w:type="pct"/>
            <w:vMerge/>
            <w:tcBorders>
              <w:top w:val="nil"/>
              <w:left w:val="single" w:sz="4" w:space="0" w:color="auto"/>
              <w:bottom w:val="nil"/>
              <w:right w:val="single" w:sz="4" w:space="0" w:color="auto"/>
            </w:tcBorders>
            <w:vAlign w:val="center"/>
            <w:hideMark/>
          </w:tcPr>
          <w:p w14:paraId="318E9AB4"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59" w:type="pct"/>
            <w:vMerge/>
            <w:tcBorders>
              <w:top w:val="nil"/>
              <w:left w:val="single" w:sz="4" w:space="0" w:color="auto"/>
              <w:bottom w:val="nil"/>
              <w:right w:val="single" w:sz="4" w:space="0" w:color="auto"/>
            </w:tcBorders>
            <w:vAlign w:val="center"/>
            <w:hideMark/>
          </w:tcPr>
          <w:p w14:paraId="46D1BCD6"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2" w:type="pct"/>
            <w:tcBorders>
              <w:top w:val="nil"/>
              <w:left w:val="nil"/>
              <w:bottom w:val="nil"/>
              <w:right w:val="single" w:sz="4" w:space="0" w:color="auto"/>
            </w:tcBorders>
            <w:shd w:val="clear" w:color="auto" w:fill="auto"/>
            <w:noWrap/>
            <w:vAlign w:val="bottom"/>
            <w:hideMark/>
          </w:tcPr>
          <w:p w14:paraId="77464896" w14:textId="5BB19E55"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2" w:type="pct"/>
            <w:tcBorders>
              <w:top w:val="nil"/>
              <w:left w:val="nil"/>
              <w:bottom w:val="nil"/>
              <w:right w:val="single" w:sz="4" w:space="0" w:color="auto"/>
            </w:tcBorders>
            <w:shd w:val="clear" w:color="auto" w:fill="auto"/>
            <w:noWrap/>
            <w:vAlign w:val="bottom"/>
            <w:hideMark/>
          </w:tcPr>
          <w:p w14:paraId="5E5BA371" w14:textId="48141106"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91" w:type="pct"/>
            <w:vMerge/>
            <w:tcBorders>
              <w:top w:val="nil"/>
              <w:left w:val="single" w:sz="4" w:space="0" w:color="auto"/>
              <w:bottom w:val="nil"/>
              <w:right w:val="single" w:sz="4" w:space="0" w:color="auto"/>
            </w:tcBorders>
            <w:vAlign w:val="center"/>
            <w:hideMark/>
          </w:tcPr>
          <w:p w14:paraId="7C9A171D"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1" w:type="pct"/>
            <w:vMerge/>
            <w:tcBorders>
              <w:top w:val="nil"/>
              <w:left w:val="single" w:sz="4" w:space="0" w:color="auto"/>
              <w:bottom w:val="nil"/>
              <w:right w:val="single" w:sz="4" w:space="0" w:color="auto"/>
            </w:tcBorders>
            <w:vAlign w:val="center"/>
            <w:hideMark/>
          </w:tcPr>
          <w:p w14:paraId="3E75B769"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86" w:type="pct"/>
            <w:vMerge/>
            <w:tcBorders>
              <w:top w:val="nil"/>
              <w:left w:val="single" w:sz="4" w:space="0" w:color="auto"/>
              <w:bottom w:val="nil"/>
              <w:right w:val="single" w:sz="4" w:space="0" w:color="auto"/>
            </w:tcBorders>
            <w:vAlign w:val="center"/>
            <w:hideMark/>
          </w:tcPr>
          <w:p w14:paraId="450A04FF"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2" w:type="pct"/>
            <w:tcBorders>
              <w:top w:val="nil"/>
              <w:left w:val="nil"/>
              <w:bottom w:val="nil"/>
              <w:right w:val="single" w:sz="4" w:space="0" w:color="auto"/>
            </w:tcBorders>
            <w:shd w:val="clear" w:color="auto" w:fill="auto"/>
            <w:noWrap/>
            <w:vAlign w:val="bottom"/>
            <w:hideMark/>
          </w:tcPr>
          <w:p w14:paraId="2C6E79EA" w14:textId="44DDED78"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42" w:type="pct"/>
            <w:tcBorders>
              <w:top w:val="nil"/>
              <w:left w:val="nil"/>
              <w:bottom w:val="nil"/>
              <w:right w:val="single" w:sz="4" w:space="0" w:color="auto"/>
            </w:tcBorders>
            <w:shd w:val="clear" w:color="auto" w:fill="auto"/>
            <w:noWrap/>
            <w:vAlign w:val="bottom"/>
            <w:hideMark/>
          </w:tcPr>
          <w:p w14:paraId="2547C03B" w14:textId="10EBE9B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91" w:type="pct"/>
            <w:vMerge/>
            <w:tcBorders>
              <w:top w:val="nil"/>
              <w:left w:val="single" w:sz="4" w:space="0" w:color="auto"/>
              <w:bottom w:val="nil"/>
              <w:right w:val="single" w:sz="4" w:space="0" w:color="auto"/>
            </w:tcBorders>
            <w:vAlign w:val="center"/>
            <w:hideMark/>
          </w:tcPr>
          <w:p w14:paraId="4CA65014"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1" w:type="pct"/>
            <w:vMerge/>
            <w:tcBorders>
              <w:top w:val="nil"/>
              <w:left w:val="single" w:sz="4" w:space="0" w:color="auto"/>
              <w:bottom w:val="nil"/>
              <w:right w:val="single" w:sz="4" w:space="0" w:color="auto"/>
            </w:tcBorders>
            <w:vAlign w:val="center"/>
            <w:hideMark/>
          </w:tcPr>
          <w:p w14:paraId="235AF565"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86" w:type="pct"/>
            <w:vMerge/>
            <w:tcBorders>
              <w:top w:val="nil"/>
              <w:left w:val="single" w:sz="4" w:space="0" w:color="auto"/>
              <w:bottom w:val="nil"/>
              <w:right w:val="single" w:sz="4" w:space="0" w:color="auto"/>
            </w:tcBorders>
            <w:vAlign w:val="center"/>
            <w:hideMark/>
          </w:tcPr>
          <w:p w14:paraId="7384ED45"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2" w:type="pct"/>
            <w:tcBorders>
              <w:top w:val="single" w:sz="4" w:space="0" w:color="auto"/>
              <w:left w:val="nil"/>
              <w:bottom w:val="nil"/>
              <w:right w:val="single" w:sz="4" w:space="0" w:color="auto"/>
            </w:tcBorders>
            <w:shd w:val="clear" w:color="auto" w:fill="auto"/>
            <w:noWrap/>
            <w:vAlign w:val="bottom"/>
            <w:hideMark/>
          </w:tcPr>
          <w:p w14:paraId="4D8F5824" w14:textId="4571D225"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42" w:type="pct"/>
            <w:tcBorders>
              <w:top w:val="single" w:sz="4" w:space="0" w:color="auto"/>
              <w:left w:val="nil"/>
              <w:bottom w:val="nil"/>
              <w:right w:val="single" w:sz="4" w:space="0" w:color="auto"/>
            </w:tcBorders>
            <w:shd w:val="clear" w:color="auto" w:fill="auto"/>
            <w:noWrap/>
            <w:vAlign w:val="bottom"/>
            <w:hideMark/>
          </w:tcPr>
          <w:p w14:paraId="0F354276" w14:textId="3A97A5EA"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222" w:type="pct"/>
            <w:vMerge/>
            <w:tcBorders>
              <w:top w:val="nil"/>
              <w:left w:val="single" w:sz="4" w:space="0" w:color="auto"/>
              <w:bottom w:val="nil"/>
              <w:right w:val="single" w:sz="4" w:space="0" w:color="auto"/>
            </w:tcBorders>
            <w:vAlign w:val="center"/>
            <w:hideMark/>
          </w:tcPr>
          <w:p w14:paraId="09435321"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91" w:type="pct"/>
            <w:vMerge/>
            <w:tcBorders>
              <w:top w:val="nil"/>
              <w:left w:val="single" w:sz="4" w:space="0" w:color="auto"/>
              <w:bottom w:val="nil"/>
              <w:right w:val="single" w:sz="4" w:space="0" w:color="auto"/>
            </w:tcBorders>
            <w:vAlign w:val="center"/>
            <w:hideMark/>
          </w:tcPr>
          <w:p w14:paraId="76D8DD8B"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379" w:type="pct"/>
            <w:vMerge/>
            <w:tcBorders>
              <w:top w:val="nil"/>
              <w:left w:val="single" w:sz="4" w:space="0" w:color="auto"/>
              <w:bottom w:val="nil"/>
              <w:right w:val="single" w:sz="4" w:space="0" w:color="auto"/>
            </w:tcBorders>
            <w:vAlign w:val="center"/>
            <w:hideMark/>
          </w:tcPr>
          <w:p w14:paraId="78B8256A"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2" w:type="pct"/>
            <w:tcBorders>
              <w:top w:val="nil"/>
              <w:left w:val="nil"/>
              <w:bottom w:val="nil"/>
              <w:right w:val="nil"/>
            </w:tcBorders>
            <w:shd w:val="clear" w:color="auto" w:fill="auto"/>
            <w:noWrap/>
            <w:vAlign w:val="bottom"/>
            <w:hideMark/>
          </w:tcPr>
          <w:p w14:paraId="4B80408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2" w:type="pct"/>
            <w:tcBorders>
              <w:top w:val="nil"/>
              <w:left w:val="single" w:sz="4" w:space="0" w:color="auto"/>
              <w:bottom w:val="nil"/>
              <w:right w:val="single" w:sz="4" w:space="0" w:color="auto"/>
            </w:tcBorders>
            <w:shd w:val="clear" w:color="auto" w:fill="auto"/>
            <w:noWrap/>
            <w:vAlign w:val="bottom"/>
            <w:hideMark/>
          </w:tcPr>
          <w:p w14:paraId="12385FF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c>
          <w:tcPr>
            <w:tcW w:w="212" w:type="pct"/>
            <w:tcBorders>
              <w:top w:val="nil"/>
              <w:left w:val="nil"/>
              <w:bottom w:val="nil"/>
              <w:right w:val="nil"/>
            </w:tcBorders>
            <w:shd w:val="clear" w:color="auto" w:fill="auto"/>
            <w:noWrap/>
            <w:vAlign w:val="bottom"/>
            <w:hideMark/>
          </w:tcPr>
          <w:p w14:paraId="17C6A0A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1" w:type="pct"/>
            <w:tcBorders>
              <w:top w:val="nil"/>
              <w:left w:val="single" w:sz="4" w:space="0" w:color="auto"/>
              <w:bottom w:val="nil"/>
              <w:right w:val="single" w:sz="4" w:space="0" w:color="auto"/>
            </w:tcBorders>
            <w:shd w:val="clear" w:color="auto" w:fill="auto"/>
            <w:noWrap/>
            <w:vAlign w:val="bottom"/>
            <w:hideMark/>
          </w:tcPr>
          <w:p w14:paraId="3A0D442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r>
      <w:tr w:rsidR="00A022DF" w:rsidRPr="00E87E42" w14:paraId="1929EF38" w14:textId="77777777" w:rsidTr="005839EF">
        <w:trPr>
          <w:trHeight w:val="227"/>
        </w:trPr>
        <w:tc>
          <w:tcPr>
            <w:tcW w:w="56" w:type="pct"/>
            <w:tcBorders>
              <w:top w:val="nil"/>
              <w:left w:val="single" w:sz="4" w:space="0" w:color="auto"/>
              <w:bottom w:val="single" w:sz="4" w:space="0" w:color="auto"/>
              <w:right w:val="nil"/>
            </w:tcBorders>
            <w:shd w:val="clear" w:color="auto" w:fill="auto"/>
            <w:noWrap/>
            <w:vAlign w:val="bottom"/>
            <w:hideMark/>
          </w:tcPr>
          <w:p w14:paraId="3CB50BD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86" w:type="pct"/>
            <w:tcBorders>
              <w:top w:val="single" w:sz="4" w:space="0" w:color="auto"/>
              <w:left w:val="single" w:sz="4" w:space="0" w:color="auto"/>
              <w:bottom w:val="single" w:sz="4" w:space="0" w:color="808080"/>
              <w:right w:val="single" w:sz="4" w:space="0" w:color="auto"/>
            </w:tcBorders>
            <w:shd w:val="clear" w:color="auto" w:fill="auto"/>
            <w:noWrap/>
            <w:vAlign w:val="bottom"/>
            <w:hideMark/>
          </w:tcPr>
          <w:p w14:paraId="0893306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w:t>
            </w:r>
          </w:p>
        </w:tc>
        <w:tc>
          <w:tcPr>
            <w:tcW w:w="86" w:type="pct"/>
            <w:tcBorders>
              <w:top w:val="single" w:sz="4" w:space="0" w:color="auto"/>
              <w:left w:val="nil"/>
              <w:bottom w:val="single" w:sz="4" w:space="0" w:color="808080"/>
              <w:right w:val="single" w:sz="4" w:space="0" w:color="808080"/>
            </w:tcBorders>
            <w:shd w:val="clear" w:color="auto" w:fill="auto"/>
            <w:noWrap/>
            <w:vAlign w:val="bottom"/>
            <w:hideMark/>
          </w:tcPr>
          <w:p w14:paraId="11B4092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w:t>
            </w:r>
          </w:p>
        </w:tc>
        <w:tc>
          <w:tcPr>
            <w:tcW w:w="212" w:type="pct"/>
            <w:tcBorders>
              <w:top w:val="single" w:sz="4" w:space="0" w:color="auto"/>
              <w:left w:val="nil"/>
              <w:bottom w:val="single" w:sz="4" w:space="0" w:color="808080"/>
              <w:right w:val="single" w:sz="4" w:space="0" w:color="808080"/>
            </w:tcBorders>
            <w:shd w:val="clear" w:color="auto" w:fill="auto"/>
            <w:noWrap/>
            <w:vAlign w:val="bottom"/>
            <w:hideMark/>
          </w:tcPr>
          <w:p w14:paraId="42D0DA9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71.43%</w:t>
            </w:r>
          </w:p>
        </w:tc>
        <w:tc>
          <w:tcPr>
            <w:tcW w:w="212" w:type="pct"/>
            <w:tcBorders>
              <w:top w:val="single" w:sz="4" w:space="0" w:color="auto"/>
              <w:left w:val="nil"/>
              <w:bottom w:val="single" w:sz="4" w:space="0" w:color="808080"/>
              <w:right w:val="single" w:sz="4" w:space="0" w:color="808080"/>
            </w:tcBorders>
            <w:shd w:val="clear" w:color="auto" w:fill="auto"/>
            <w:noWrap/>
            <w:vAlign w:val="bottom"/>
            <w:hideMark/>
          </w:tcPr>
          <w:p w14:paraId="615DB0A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16.39%</w:t>
            </w:r>
          </w:p>
        </w:tc>
        <w:tc>
          <w:tcPr>
            <w:tcW w:w="191" w:type="pct"/>
            <w:tcBorders>
              <w:top w:val="single" w:sz="4" w:space="0" w:color="auto"/>
              <w:left w:val="nil"/>
              <w:bottom w:val="single" w:sz="4" w:space="0" w:color="808080"/>
              <w:right w:val="single" w:sz="4" w:space="0" w:color="808080"/>
            </w:tcBorders>
            <w:shd w:val="clear" w:color="auto" w:fill="auto"/>
            <w:noWrap/>
            <w:vAlign w:val="bottom"/>
            <w:hideMark/>
          </w:tcPr>
          <w:p w14:paraId="624E2D6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2.97</w:t>
            </w:r>
          </w:p>
        </w:tc>
        <w:tc>
          <w:tcPr>
            <w:tcW w:w="191" w:type="pct"/>
            <w:tcBorders>
              <w:top w:val="single" w:sz="4" w:space="0" w:color="auto"/>
              <w:left w:val="nil"/>
              <w:bottom w:val="single" w:sz="4" w:space="0" w:color="808080"/>
              <w:right w:val="nil"/>
            </w:tcBorders>
            <w:shd w:val="clear" w:color="auto" w:fill="auto"/>
            <w:noWrap/>
            <w:vAlign w:val="bottom"/>
            <w:hideMark/>
          </w:tcPr>
          <w:p w14:paraId="6C30167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2.97</w:t>
            </w:r>
          </w:p>
        </w:tc>
        <w:tc>
          <w:tcPr>
            <w:tcW w:w="59" w:type="pct"/>
            <w:tcBorders>
              <w:top w:val="single" w:sz="4" w:space="0" w:color="auto"/>
              <w:left w:val="single" w:sz="4" w:space="0" w:color="auto"/>
              <w:bottom w:val="single" w:sz="4" w:space="0" w:color="808080"/>
              <w:right w:val="single" w:sz="4" w:space="0" w:color="808080"/>
            </w:tcBorders>
            <w:shd w:val="clear" w:color="auto" w:fill="auto"/>
            <w:noWrap/>
            <w:vAlign w:val="bottom"/>
            <w:hideMark/>
          </w:tcPr>
          <w:p w14:paraId="0BD9C0F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12" w:type="pct"/>
            <w:tcBorders>
              <w:top w:val="single" w:sz="4" w:space="0" w:color="auto"/>
              <w:left w:val="nil"/>
              <w:bottom w:val="single" w:sz="4" w:space="0" w:color="808080"/>
              <w:right w:val="single" w:sz="4" w:space="0" w:color="808080"/>
            </w:tcBorders>
            <w:shd w:val="clear" w:color="auto" w:fill="auto"/>
            <w:noWrap/>
            <w:vAlign w:val="bottom"/>
            <w:hideMark/>
          </w:tcPr>
          <w:p w14:paraId="3BCCD4B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14.29%</w:t>
            </w:r>
          </w:p>
        </w:tc>
        <w:tc>
          <w:tcPr>
            <w:tcW w:w="212" w:type="pct"/>
            <w:tcBorders>
              <w:top w:val="single" w:sz="4" w:space="0" w:color="auto"/>
              <w:left w:val="nil"/>
              <w:bottom w:val="single" w:sz="4" w:space="0" w:color="808080"/>
              <w:right w:val="single" w:sz="4" w:space="0" w:color="808080"/>
            </w:tcBorders>
            <w:shd w:val="clear" w:color="auto" w:fill="auto"/>
            <w:noWrap/>
            <w:vAlign w:val="bottom"/>
            <w:hideMark/>
          </w:tcPr>
          <w:p w14:paraId="3C095C8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12.50%</w:t>
            </w:r>
          </w:p>
        </w:tc>
        <w:tc>
          <w:tcPr>
            <w:tcW w:w="191" w:type="pct"/>
            <w:tcBorders>
              <w:top w:val="single" w:sz="4" w:space="0" w:color="auto"/>
              <w:left w:val="nil"/>
              <w:bottom w:val="single" w:sz="4" w:space="0" w:color="808080"/>
              <w:right w:val="single" w:sz="4" w:space="0" w:color="808080"/>
            </w:tcBorders>
            <w:shd w:val="clear" w:color="auto" w:fill="auto"/>
            <w:noWrap/>
            <w:vAlign w:val="bottom"/>
            <w:hideMark/>
          </w:tcPr>
          <w:p w14:paraId="4E2F7E0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23.50</w:t>
            </w:r>
          </w:p>
        </w:tc>
        <w:tc>
          <w:tcPr>
            <w:tcW w:w="161" w:type="pct"/>
            <w:tcBorders>
              <w:top w:val="single" w:sz="4" w:space="0" w:color="auto"/>
              <w:left w:val="nil"/>
              <w:bottom w:val="single" w:sz="4" w:space="0" w:color="808080"/>
              <w:right w:val="single" w:sz="4" w:space="0" w:color="auto"/>
            </w:tcBorders>
            <w:shd w:val="clear" w:color="auto" w:fill="auto"/>
            <w:noWrap/>
            <w:vAlign w:val="bottom"/>
            <w:hideMark/>
          </w:tcPr>
          <w:p w14:paraId="0F02F4B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7.62</w:t>
            </w:r>
          </w:p>
        </w:tc>
        <w:tc>
          <w:tcPr>
            <w:tcW w:w="86" w:type="pct"/>
            <w:tcBorders>
              <w:top w:val="single" w:sz="4" w:space="0" w:color="auto"/>
              <w:left w:val="nil"/>
              <w:bottom w:val="single" w:sz="4" w:space="0" w:color="808080"/>
              <w:right w:val="single" w:sz="4" w:space="0" w:color="808080"/>
            </w:tcBorders>
            <w:shd w:val="clear" w:color="auto" w:fill="auto"/>
            <w:noWrap/>
            <w:vAlign w:val="bottom"/>
            <w:hideMark/>
          </w:tcPr>
          <w:p w14:paraId="7F71E07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2" w:type="pct"/>
            <w:tcBorders>
              <w:top w:val="single" w:sz="4" w:space="0" w:color="auto"/>
              <w:left w:val="nil"/>
              <w:bottom w:val="single" w:sz="4" w:space="0" w:color="808080"/>
              <w:right w:val="single" w:sz="4" w:space="0" w:color="808080"/>
            </w:tcBorders>
            <w:shd w:val="clear" w:color="auto" w:fill="auto"/>
            <w:noWrap/>
            <w:vAlign w:val="bottom"/>
            <w:hideMark/>
          </w:tcPr>
          <w:p w14:paraId="4EBD684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2" w:type="pct"/>
            <w:tcBorders>
              <w:top w:val="single" w:sz="4" w:space="0" w:color="auto"/>
              <w:left w:val="nil"/>
              <w:bottom w:val="single" w:sz="4" w:space="0" w:color="808080"/>
              <w:right w:val="single" w:sz="4" w:space="0" w:color="808080"/>
            </w:tcBorders>
            <w:shd w:val="clear" w:color="auto" w:fill="auto"/>
            <w:noWrap/>
            <w:vAlign w:val="bottom"/>
            <w:hideMark/>
          </w:tcPr>
          <w:p w14:paraId="53577D5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1" w:type="pct"/>
            <w:tcBorders>
              <w:top w:val="single" w:sz="4" w:space="0" w:color="auto"/>
              <w:left w:val="nil"/>
              <w:bottom w:val="single" w:sz="4" w:space="0" w:color="808080"/>
              <w:right w:val="single" w:sz="4" w:space="0" w:color="808080"/>
            </w:tcBorders>
            <w:shd w:val="clear" w:color="auto" w:fill="auto"/>
            <w:noWrap/>
            <w:vAlign w:val="bottom"/>
            <w:hideMark/>
          </w:tcPr>
          <w:p w14:paraId="5E700F8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1" w:type="pct"/>
            <w:tcBorders>
              <w:top w:val="single" w:sz="4" w:space="0" w:color="auto"/>
              <w:left w:val="nil"/>
              <w:bottom w:val="single" w:sz="4" w:space="0" w:color="808080"/>
              <w:right w:val="nil"/>
            </w:tcBorders>
            <w:shd w:val="clear" w:color="auto" w:fill="auto"/>
            <w:noWrap/>
            <w:vAlign w:val="bottom"/>
            <w:hideMark/>
          </w:tcPr>
          <w:p w14:paraId="0C108C3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86" w:type="pct"/>
            <w:tcBorders>
              <w:top w:val="single" w:sz="4" w:space="0" w:color="auto"/>
              <w:left w:val="single" w:sz="4" w:space="0" w:color="auto"/>
              <w:bottom w:val="single" w:sz="4" w:space="0" w:color="808080"/>
              <w:right w:val="single" w:sz="4" w:space="0" w:color="808080"/>
            </w:tcBorders>
            <w:shd w:val="clear" w:color="auto" w:fill="auto"/>
            <w:noWrap/>
            <w:vAlign w:val="bottom"/>
            <w:hideMark/>
          </w:tcPr>
          <w:p w14:paraId="71E0734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12" w:type="pct"/>
            <w:tcBorders>
              <w:top w:val="single" w:sz="4" w:space="0" w:color="auto"/>
              <w:left w:val="nil"/>
              <w:bottom w:val="single" w:sz="4" w:space="0" w:color="808080"/>
              <w:right w:val="single" w:sz="4" w:space="0" w:color="808080"/>
            </w:tcBorders>
            <w:shd w:val="clear" w:color="auto" w:fill="auto"/>
            <w:noWrap/>
            <w:vAlign w:val="bottom"/>
            <w:hideMark/>
          </w:tcPr>
          <w:p w14:paraId="4AB314F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14.29%</w:t>
            </w:r>
          </w:p>
        </w:tc>
        <w:tc>
          <w:tcPr>
            <w:tcW w:w="242" w:type="pct"/>
            <w:tcBorders>
              <w:top w:val="single" w:sz="4" w:space="0" w:color="auto"/>
              <w:left w:val="nil"/>
              <w:bottom w:val="single" w:sz="4" w:space="0" w:color="808080"/>
              <w:right w:val="single" w:sz="4" w:space="0" w:color="808080"/>
            </w:tcBorders>
            <w:shd w:val="clear" w:color="auto" w:fill="auto"/>
            <w:noWrap/>
            <w:vAlign w:val="bottom"/>
            <w:hideMark/>
          </w:tcPr>
          <w:p w14:paraId="53389ED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1.90%</w:t>
            </w:r>
          </w:p>
        </w:tc>
        <w:tc>
          <w:tcPr>
            <w:tcW w:w="222" w:type="pct"/>
            <w:tcBorders>
              <w:top w:val="single" w:sz="4" w:space="0" w:color="auto"/>
              <w:left w:val="nil"/>
              <w:bottom w:val="single" w:sz="4" w:space="0" w:color="808080"/>
              <w:right w:val="single" w:sz="4" w:space="0" w:color="808080"/>
            </w:tcBorders>
            <w:shd w:val="clear" w:color="auto" w:fill="auto"/>
            <w:noWrap/>
            <w:vAlign w:val="bottom"/>
            <w:hideMark/>
          </w:tcPr>
          <w:p w14:paraId="3E32D77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1.55</w:t>
            </w:r>
          </w:p>
        </w:tc>
        <w:tc>
          <w:tcPr>
            <w:tcW w:w="191" w:type="pct"/>
            <w:tcBorders>
              <w:top w:val="single" w:sz="4" w:space="0" w:color="auto"/>
              <w:left w:val="nil"/>
              <w:bottom w:val="single" w:sz="4" w:space="0" w:color="808080"/>
              <w:right w:val="single" w:sz="4" w:space="0" w:color="auto"/>
            </w:tcBorders>
            <w:shd w:val="clear" w:color="auto" w:fill="auto"/>
            <w:noWrap/>
            <w:vAlign w:val="bottom"/>
            <w:hideMark/>
          </w:tcPr>
          <w:p w14:paraId="3F814BB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0.21</w:t>
            </w:r>
          </w:p>
        </w:tc>
        <w:tc>
          <w:tcPr>
            <w:tcW w:w="379" w:type="pct"/>
            <w:tcBorders>
              <w:top w:val="single" w:sz="4" w:space="0" w:color="auto"/>
              <w:left w:val="nil"/>
              <w:bottom w:val="single" w:sz="4" w:space="0" w:color="808080"/>
              <w:right w:val="single" w:sz="4" w:space="0" w:color="auto"/>
            </w:tcBorders>
            <w:shd w:val="clear" w:color="auto" w:fill="auto"/>
            <w:noWrap/>
            <w:vAlign w:val="bottom"/>
            <w:hideMark/>
          </w:tcPr>
          <w:p w14:paraId="5E41C67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5.70</w:t>
            </w:r>
          </w:p>
        </w:tc>
        <w:tc>
          <w:tcPr>
            <w:tcW w:w="212" w:type="pct"/>
            <w:tcBorders>
              <w:top w:val="single" w:sz="4" w:space="0" w:color="auto"/>
              <w:left w:val="nil"/>
              <w:bottom w:val="single" w:sz="4" w:space="0" w:color="808080"/>
              <w:right w:val="single" w:sz="4" w:space="0" w:color="808080"/>
            </w:tcBorders>
            <w:shd w:val="clear" w:color="auto" w:fill="auto"/>
            <w:noWrap/>
            <w:vAlign w:val="bottom"/>
            <w:hideMark/>
          </w:tcPr>
          <w:p w14:paraId="1C6815D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6.97%</w:t>
            </w:r>
          </w:p>
        </w:tc>
        <w:tc>
          <w:tcPr>
            <w:tcW w:w="242" w:type="pct"/>
            <w:tcBorders>
              <w:top w:val="single" w:sz="4" w:space="0" w:color="auto"/>
              <w:left w:val="nil"/>
              <w:bottom w:val="single" w:sz="4" w:space="0" w:color="808080"/>
              <w:right w:val="single" w:sz="4" w:space="0" w:color="808080"/>
            </w:tcBorders>
            <w:shd w:val="clear" w:color="auto" w:fill="auto"/>
            <w:noWrap/>
            <w:vAlign w:val="bottom"/>
            <w:hideMark/>
          </w:tcPr>
          <w:p w14:paraId="601B3CB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6.97%</w:t>
            </w:r>
          </w:p>
        </w:tc>
        <w:tc>
          <w:tcPr>
            <w:tcW w:w="212" w:type="pct"/>
            <w:tcBorders>
              <w:top w:val="single" w:sz="4" w:space="0" w:color="auto"/>
              <w:left w:val="nil"/>
              <w:bottom w:val="single" w:sz="4" w:space="0" w:color="808080"/>
              <w:right w:val="single" w:sz="4" w:space="0" w:color="808080"/>
            </w:tcBorders>
            <w:shd w:val="clear" w:color="auto" w:fill="auto"/>
            <w:noWrap/>
            <w:vAlign w:val="bottom"/>
            <w:hideMark/>
          </w:tcPr>
          <w:p w14:paraId="0FF5F1C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24.82%</w:t>
            </w:r>
          </w:p>
        </w:tc>
        <w:tc>
          <w:tcPr>
            <w:tcW w:w="241" w:type="pct"/>
            <w:tcBorders>
              <w:top w:val="single" w:sz="4" w:space="0" w:color="auto"/>
              <w:left w:val="nil"/>
              <w:bottom w:val="single" w:sz="4" w:space="0" w:color="808080"/>
              <w:right w:val="single" w:sz="4" w:space="0" w:color="auto"/>
            </w:tcBorders>
            <w:shd w:val="clear" w:color="auto" w:fill="auto"/>
            <w:noWrap/>
            <w:vAlign w:val="bottom"/>
            <w:hideMark/>
          </w:tcPr>
          <w:p w14:paraId="694863C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24.82%</w:t>
            </w:r>
          </w:p>
        </w:tc>
      </w:tr>
      <w:tr w:rsidR="00A022DF" w:rsidRPr="00E87E42" w14:paraId="1A379187" w14:textId="77777777" w:rsidTr="005839EF">
        <w:trPr>
          <w:trHeight w:val="227"/>
        </w:trPr>
        <w:tc>
          <w:tcPr>
            <w:tcW w:w="56" w:type="pct"/>
            <w:tcBorders>
              <w:top w:val="nil"/>
              <w:left w:val="single" w:sz="4" w:space="0" w:color="auto"/>
              <w:bottom w:val="single" w:sz="4" w:space="0" w:color="auto"/>
              <w:right w:val="nil"/>
            </w:tcBorders>
            <w:shd w:val="clear" w:color="auto" w:fill="auto"/>
            <w:noWrap/>
            <w:vAlign w:val="bottom"/>
            <w:hideMark/>
          </w:tcPr>
          <w:p w14:paraId="78CAE3D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86" w:type="pct"/>
            <w:tcBorders>
              <w:top w:val="nil"/>
              <w:left w:val="single" w:sz="4" w:space="0" w:color="auto"/>
              <w:bottom w:val="single" w:sz="4" w:space="0" w:color="808080"/>
              <w:right w:val="single" w:sz="4" w:space="0" w:color="auto"/>
            </w:tcBorders>
            <w:shd w:val="clear" w:color="auto" w:fill="auto"/>
            <w:noWrap/>
            <w:vAlign w:val="bottom"/>
            <w:hideMark/>
          </w:tcPr>
          <w:p w14:paraId="1A93F7F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w:t>
            </w:r>
          </w:p>
        </w:tc>
        <w:tc>
          <w:tcPr>
            <w:tcW w:w="86" w:type="pct"/>
            <w:tcBorders>
              <w:top w:val="nil"/>
              <w:left w:val="nil"/>
              <w:bottom w:val="single" w:sz="4" w:space="0" w:color="808080"/>
              <w:right w:val="single" w:sz="4" w:space="0" w:color="808080"/>
            </w:tcBorders>
            <w:shd w:val="clear" w:color="auto" w:fill="auto"/>
            <w:noWrap/>
            <w:vAlign w:val="bottom"/>
            <w:hideMark/>
          </w:tcPr>
          <w:p w14:paraId="399D7E0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w:t>
            </w:r>
          </w:p>
        </w:tc>
        <w:tc>
          <w:tcPr>
            <w:tcW w:w="212" w:type="pct"/>
            <w:tcBorders>
              <w:top w:val="nil"/>
              <w:left w:val="nil"/>
              <w:bottom w:val="single" w:sz="4" w:space="0" w:color="808080"/>
              <w:right w:val="single" w:sz="4" w:space="0" w:color="808080"/>
            </w:tcBorders>
            <w:shd w:val="clear" w:color="auto" w:fill="auto"/>
            <w:noWrap/>
            <w:vAlign w:val="bottom"/>
            <w:hideMark/>
          </w:tcPr>
          <w:p w14:paraId="69F79EB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83.33%</w:t>
            </w:r>
          </w:p>
        </w:tc>
        <w:tc>
          <w:tcPr>
            <w:tcW w:w="212" w:type="pct"/>
            <w:tcBorders>
              <w:top w:val="nil"/>
              <w:left w:val="nil"/>
              <w:bottom w:val="single" w:sz="4" w:space="0" w:color="808080"/>
              <w:right w:val="single" w:sz="4" w:space="0" w:color="808080"/>
            </w:tcBorders>
            <w:shd w:val="clear" w:color="auto" w:fill="auto"/>
            <w:noWrap/>
            <w:vAlign w:val="bottom"/>
            <w:hideMark/>
          </w:tcPr>
          <w:p w14:paraId="5B90AEB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32.79%</w:t>
            </w:r>
          </w:p>
        </w:tc>
        <w:tc>
          <w:tcPr>
            <w:tcW w:w="191" w:type="pct"/>
            <w:tcBorders>
              <w:top w:val="nil"/>
              <w:left w:val="nil"/>
              <w:bottom w:val="single" w:sz="4" w:space="0" w:color="808080"/>
              <w:right w:val="single" w:sz="4" w:space="0" w:color="808080"/>
            </w:tcBorders>
            <w:shd w:val="clear" w:color="auto" w:fill="auto"/>
            <w:noWrap/>
            <w:vAlign w:val="bottom"/>
            <w:hideMark/>
          </w:tcPr>
          <w:p w14:paraId="588B935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31.38</w:t>
            </w:r>
          </w:p>
        </w:tc>
        <w:tc>
          <w:tcPr>
            <w:tcW w:w="191" w:type="pct"/>
            <w:tcBorders>
              <w:top w:val="nil"/>
              <w:left w:val="nil"/>
              <w:bottom w:val="single" w:sz="4" w:space="0" w:color="808080"/>
              <w:right w:val="nil"/>
            </w:tcBorders>
            <w:shd w:val="clear" w:color="auto" w:fill="auto"/>
            <w:noWrap/>
            <w:vAlign w:val="bottom"/>
            <w:hideMark/>
          </w:tcPr>
          <w:p w14:paraId="7D9F9FC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31.38</w:t>
            </w:r>
          </w:p>
        </w:tc>
        <w:tc>
          <w:tcPr>
            <w:tcW w:w="59" w:type="pct"/>
            <w:tcBorders>
              <w:top w:val="nil"/>
              <w:left w:val="single" w:sz="4" w:space="0" w:color="auto"/>
              <w:bottom w:val="single" w:sz="4" w:space="0" w:color="808080"/>
              <w:right w:val="single" w:sz="4" w:space="0" w:color="808080"/>
            </w:tcBorders>
            <w:shd w:val="clear" w:color="auto" w:fill="auto"/>
            <w:noWrap/>
            <w:vAlign w:val="bottom"/>
            <w:hideMark/>
          </w:tcPr>
          <w:p w14:paraId="6FC0AFB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212" w:type="pct"/>
            <w:tcBorders>
              <w:top w:val="nil"/>
              <w:left w:val="nil"/>
              <w:bottom w:val="single" w:sz="4" w:space="0" w:color="808080"/>
              <w:right w:val="single" w:sz="4" w:space="0" w:color="808080"/>
            </w:tcBorders>
            <w:shd w:val="clear" w:color="auto" w:fill="auto"/>
            <w:noWrap/>
            <w:vAlign w:val="bottom"/>
            <w:hideMark/>
          </w:tcPr>
          <w:p w14:paraId="4E20E77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12.50%</w:t>
            </w:r>
          </w:p>
        </w:tc>
        <w:tc>
          <w:tcPr>
            <w:tcW w:w="212" w:type="pct"/>
            <w:tcBorders>
              <w:top w:val="nil"/>
              <w:left w:val="nil"/>
              <w:bottom w:val="single" w:sz="4" w:space="0" w:color="808080"/>
              <w:right w:val="single" w:sz="4" w:space="0" w:color="808080"/>
            </w:tcBorders>
            <w:shd w:val="clear" w:color="auto" w:fill="auto"/>
            <w:noWrap/>
            <w:vAlign w:val="bottom"/>
            <w:hideMark/>
          </w:tcPr>
          <w:p w14:paraId="5F5C120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18.75%</w:t>
            </w:r>
          </w:p>
        </w:tc>
        <w:tc>
          <w:tcPr>
            <w:tcW w:w="191" w:type="pct"/>
            <w:tcBorders>
              <w:top w:val="nil"/>
              <w:left w:val="nil"/>
              <w:bottom w:val="single" w:sz="4" w:space="0" w:color="808080"/>
              <w:right w:val="single" w:sz="4" w:space="0" w:color="808080"/>
            </w:tcBorders>
            <w:shd w:val="clear" w:color="auto" w:fill="auto"/>
            <w:noWrap/>
            <w:vAlign w:val="bottom"/>
            <w:hideMark/>
          </w:tcPr>
          <w:p w14:paraId="6A2B611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87.50</w:t>
            </w:r>
          </w:p>
        </w:tc>
        <w:tc>
          <w:tcPr>
            <w:tcW w:w="161" w:type="pct"/>
            <w:tcBorders>
              <w:top w:val="nil"/>
              <w:left w:val="nil"/>
              <w:bottom w:val="single" w:sz="4" w:space="0" w:color="808080"/>
              <w:right w:val="single" w:sz="4" w:space="0" w:color="auto"/>
            </w:tcBorders>
            <w:shd w:val="clear" w:color="auto" w:fill="auto"/>
            <w:noWrap/>
            <w:vAlign w:val="bottom"/>
            <w:hideMark/>
          </w:tcPr>
          <w:p w14:paraId="1D37A59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28.38</w:t>
            </w:r>
          </w:p>
        </w:tc>
        <w:tc>
          <w:tcPr>
            <w:tcW w:w="86" w:type="pct"/>
            <w:tcBorders>
              <w:top w:val="nil"/>
              <w:left w:val="nil"/>
              <w:bottom w:val="single" w:sz="4" w:space="0" w:color="808080"/>
              <w:right w:val="single" w:sz="4" w:space="0" w:color="808080"/>
            </w:tcBorders>
            <w:shd w:val="clear" w:color="auto" w:fill="auto"/>
            <w:noWrap/>
            <w:vAlign w:val="bottom"/>
            <w:hideMark/>
          </w:tcPr>
          <w:p w14:paraId="7AD75DB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12" w:type="pct"/>
            <w:tcBorders>
              <w:top w:val="nil"/>
              <w:left w:val="nil"/>
              <w:bottom w:val="single" w:sz="4" w:space="0" w:color="808080"/>
              <w:right w:val="single" w:sz="4" w:space="0" w:color="808080"/>
            </w:tcBorders>
            <w:shd w:val="clear" w:color="auto" w:fill="auto"/>
            <w:noWrap/>
            <w:vAlign w:val="bottom"/>
            <w:hideMark/>
          </w:tcPr>
          <w:p w14:paraId="33338F4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4.17%</w:t>
            </w:r>
          </w:p>
        </w:tc>
        <w:tc>
          <w:tcPr>
            <w:tcW w:w="242" w:type="pct"/>
            <w:tcBorders>
              <w:top w:val="nil"/>
              <w:left w:val="nil"/>
              <w:bottom w:val="single" w:sz="4" w:space="0" w:color="808080"/>
              <w:right w:val="single" w:sz="4" w:space="0" w:color="808080"/>
            </w:tcBorders>
            <w:shd w:val="clear" w:color="auto" w:fill="auto"/>
            <w:noWrap/>
            <w:vAlign w:val="bottom"/>
            <w:hideMark/>
          </w:tcPr>
          <w:p w14:paraId="5C0D31A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5.26%</w:t>
            </w:r>
          </w:p>
        </w:tc>
        <w:tc>
          <w:tcPr>
            <w:tcW w:w="191" w:type="pct"/>
            <w:tcBorders>
              <w:top w:val="nil"/>
              <w:left w:val="nil"/>
              <w:bottom w:val="single" w:sz="4" w:space="0" w:color="808080"/>
              <w:right w:val="single" w:sz="4" w:space="0" w:color="808080"/>
            </w:tcBorders>
            <w:shd w:val="clear" w:color="auto" w:fill="auto"/>
            <w:noWrap/>
            <w:vAlign w:val="bottom"/>
            <w:hideMark/>
          </w:tcPr>
          <w:p w14:paraId="01367B6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4.11</w:t>
            </w:r>
          </w:p>
        </w:tc>
        <w:tc>
          <w:tcPr>
            <w:tcW w:w="161" w:type="pct"/>
            <w:tcBorders>
              <w:top w:val="nil"/>
              <w:left w:val="nil"/>
              <w:bottom w:val="single" w:sz="4" w:space="0" w:color="808080"/>
              <w:right w:val="nil"/>
            </w:tcBorders>
            <w:shd w:val="clear" w:color="auto" w:fill="auto"/>
            <w:noWrap/>
            <w:vAlign w:val="bottom"/>
            <w:hideMark/>
          </w:tcPr>
          <w:p w14:paraId="22281C6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0.80</w:t>
            </w:r>
          </w:p>
        </w:tc>
        <w:tc>
          <w:tcPr>
            <w:tcW w:w="86" w:type="pct"/>
            <w:tcBorders>
              <w:top w:val="nil"/>
              <w:left w:val="single" w:sz="4" w:space="0" w:color="auto"/>
              <w:bottom w:val="single" w:sz="4" w:space="0" w:color="808080"/>
              <w:right w:val="single" w:sz="4" w:space="0" w:color="808080"/>
            </w:tcBorders>
            <w:shd w:val="clear" w:color="auto" w:fill="auto"/>
            <w:noWrap/>
            <w:vAlign w:val="bottom"/>
            <w:hideMark/>
          </w:tcPr>
          <w:p w14:paraId="77D7091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2" w:type="pct"/>
            <w:tcBorders>
              <w:top w:val="nil"/>
              <w:left w:val="nil"/>
              <w:bottom w:val="single" w:sz="4" w:space="0" w:color="808080"/>
              <w:right w:val="single" w:sz="4" w:space="0" w:color="808080"/>
            </w:tcBorders>
            <w:shd w:val="clear" w:color="auto" w:fill="auto"/>
            <w:noWrap/>
            <w:vAlign w:val="bottom"/>
            <w:hideMark/>
          </w:tcPr>
          <w:p w14:paraId="0F84A2F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2" w:type="pct"/>
            <w:tcBorders>
              <w:top w:val="nil"/>
              <w:left w:val="nil"/>
              <w:bottom w:val="single" w:sz="4" w:space="0" w:color="808080"/>
              <w:right w:val="single" w:sz="4" w:space="0" w:color="808080"/>
            </w:tcBorders>
            <w:shd w:val="clear" w:color="auto" w:fill="auto"/>
            <w:noWrap/>
            <w:vAlign w:val="bottom"/>
            <w:hideMark/>
          </w:tcPr>
          <w:p w14:paraId="6E6DAE3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22" w:type="pct"/>
            <w:tcBorders>
              <w:top w:val="nil"/>
              <w:left w:val="nil"/>
              <w:bottom w:val="single" w:sz="4" w:space="0" w:color="808080"/>
              <w:right w:val="single" w:sz="4" w:space="0" w:color="808080"/>
            </w:tcBorders>
            <w:shd w:val="clear" w:color="auto" w:fill="auto"/>
            <w:noWrap/>
            <w:vAlign w:val="bottom"/>
            <w:hideMark/>
          </w:tcPr>
          <w:p w14:paraId="00C203F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1" w:type="pct"/>
            <w:tcBorders>
              <w:top w:val="nil"/>
              <w:left w:val="nil"/>
              <w:bottom w:val="single" w:sz="4" w:space="0" w:color="808080"/>
              <w:right w:val="single" w:sz="4" w:space="0" w:color="auto"/>
            </w:tcBorders>
            <w:shd w:val="clear" w:color="auto" w:fill="auto"/>
            <w:noWrap/>
            <w:vAlign w:val="bottom"/>
            <w:hideMark/>
          </w:tcPr>
          <w:p w14:paraId="2E1F28B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9" w:type="pct"/>
            <w:tcBorders>
              <w:top w:val="nil"/>
              <w:left w:val="nil"/>
              <w:bottom w:val="single" w:sz="4" w:space="0" w:color="808080"/>
              <w:right w:val="single" w:sz="4" w:space="0" w:color="auto"/>
            </w:tcBorders>
            <w:shd w:val="clear" w:color="auto" w:fill="auto"/>
            <w:noWrap/>
            <w:vAlign w:val="bottom"/>
            <w:hideMark/>
          </w:tcPr>
          <w:p w14:paraId="7C69FCB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37.26</w:t>
            </w:r>
          </w:p>
        </w:tc>
        <w:tc>
          <w:tcPr>
            <w:tcW w:w="212" w:type="pct"/>
            <w:tcBorders>
              <w:top w:val="nil"/>
              <w:left w:val="nil"/>
              <w:bottom w:val="single" w:sz="4" w:space="0" w:color="808080"/>
              <w:right w:val="single" w:sz="4" w:space="0" w:color="808080"/>
            </w:tcBorders>
            <w:shd w:val="clear" w:color="auto" w:fill="auto"/>
            <w:noWrap/>
            <w:vAlign w:val="bottom"/>
            <w:hideMark/>
          </w:tcPr>
          <w:p w14:paraId="09104CE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11.94%</w:t>
            </w:r>
          </w:p>
        </w:tc>
        <w:tc>
          <w:tcPr>
            <w:tcW w:w="242" w:type="pct"/>
            <w:tcBorders>
              <w:top w:val="nil"/>
              <w:left w:val="nil"/>
              <w:bottom w:val="single" w:sz="4" w:space="0" w:color="808080"/>
              <w:right w:val="single" w:sz="4" w:space="0" w:color="808080"/>
            </w:tcBorders>
            <w:shd w:val="clear" w:color="auto" w:fill="auto"/>
            <w:noWrap/>
            <w:vAlign w:val="bottom"/>
            <w:hideMark/>
          </w:tcPr>
          <w:p w14:paraId="51635BD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18.91%</w:t>
            </w:r>
          </w:p>
        </w:tc>
        <w:tc>
          <w:tcPr>
            <w:tcW w:w="212" w:type="pct"/>
            <w:tcBorders>
              <w:top w:val="nil"/>
              <w:left w:val="nil"/>
              <w:bottom w:val="single" w:sz="4" w:space="0" w:color="808080"/>
              <w:right w:val="single" w:sz="4" w:space="0" w:color="808080"/>
            </w:tcBorders>
            <w:shd w:val="clear" w:color="auto" w:fill="auto"/>
            <w:noWrap/>
            <w:vAlign w:val="bottom"/>
            <w:hideMark/>
          </w:tcPr>
          <w:p w14:paraId="6BC70EB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20.44%</w:t>
            </w:r>
          </w:p>
        </w:tc>
        <w:tc>
          <w:tcPr>
            <w:tcW w:w="241" w:type="pct"/>
            <w:tcBorders>
              <w:top w:val="nil"/>
              <w:left w:val="nil"/>
              <w:bottom w:val="single" w:sz="4" w:space="0" w:color="808080"/>
              <w:right w:val="single" w:sz="4" w:space="0" w:color="auto"/>
            </w:tcBorders>
            <w:shd w:val="clear" w:color="auto" w:fill="auto"/>
            <w:noWrap/>
            <w:vAlign w:val="bottom"/>
            <w:hideMark/>
          </w:tcPr>
          <w:p w14:paraId="4E8D350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45.26%</w:t>
            </w:r>
          </w:p>
        </w:tc>
      </w:tr>
      <w:tr w:rsidR="00A022DF" w:rsidRPr="00E87E42" w14:paraId="7A9706E8" w14:textId="77777777" w:rsidTr="005839EF">
        <w:trPr>
          <w:trHeight w:val="227"/>
        </w:trPr>
        <w:tc>
          <w:tcPr>
            <w:tcW w:w="56" w:type="pct"/>
            <w:tcBorders>
              <w:top w:val="nil"/>
              <w:left w:val="single" w:sz="4" w:space="0" w:color="auto"/>
              <w:bottom w:val="single" w:sz="4" w:space="0" w:color="auto"/>
              <w:right w:val="nil"/>
            </w:tcBorders>
            <w:shd w:val="clear" w:color="auto" w:fill="auto"/>
            <w:noWrap/>
            <w:vAlign w:val="bottom"/>
            <w:hideMark/>
          </w:tcPr>
          <w:p w14:paraId="60D6AEE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86" w:type="pct"/>
            <w:tcBorders>
              <w:top w:val="nil"/>
              <w:left w:val="single" w:sz="4" w:space="0" w:color="auto"/>
              <w:bottom w:val="single" w:sz="4" w:space="0" w:color="808080"/>
              <w:right w:val="single" w:sz="4" w:space="0" w:color="auto"/>
            </w:tcBorders>
            <w:shd w:val="clear" w:color="auto" w:fill="auto"/>
            <w:noWrap/>
            <w:vAlign w:val="bottom"/>
            <w:hideMark/>
          </w:tcPr>
          <w:p w14:paraId="27018D7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w:t>
            </w:r>
          </w:p>
        </w:tc>
        <w:tc>
          <w:tcPr>
            <w:tcW w:w="86" w:type="pct"/>
            <w:tcBorders>
              <w:top w:val="nil"/>
              <w:left w:val="nil"/>
              <w:bottom w:val="single" w:sz="4" w:space="0" w:color="808080"/>
              <w:right w:val="single" w:sz="4" w:space="0" w:color="808080"/>
            </w:tcBorders>
            <w:shd w:val="clear" w:color="auto" w:fill="auto"/>
            <w:noWrap/>
            <w:vAlign w:val="bottom"/>
            <w:hideMark/>
          </w:tcPr>
          <w:p w14:paraId="019DFAF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w:t>
            </w:r>
          </w:p>
        </w:tc>
        <w:tc>
          <w:tcPr>
            <w:tcW w:w="212" w:type="pct"/>
            <w:tcBorders>
              <w:top w:val="nil"/>
              <w:left w:val="nil"/>
              <w:bottom w:val="single" w:sz="4" w:space="0" w:color="808080"/>
              <w:right w:val="single" w:sz="4" w:space="0" w:color="808080"/>
            </w:tcBorders>
            <w:shd w:val="clear" w:color="auto" w:fill="auto"/>
            <w:noWrap/>
            <w:vAlign w:val="bottom"/>
            <w:hideMark/>
          </w:tcPr>
          <w:p w14:paraId="24B251B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53.33%</w:t>
            </w:r>
          </w:p>
        </w:tc>
        <w:tc>
          <w:tcPr>
            <w:tcW w:w="212" w:type="pct"/>
            <w:tcBorders>
              <w:top w:val="nil"/>
              <w:left w:val="nil"/>
              <w:bottom w:val="single" w:sz="4" w:space="0" w:color="808080"/>
              <w:right w:val="single" w:sz="4" w:space="0" w:color="808080"/>
            </w:tcBorders>
            <w:shd w:val="clear" w:color="auto" w:fill="auto"/>
            <w:noWrap/>
            <w:vAlign w:val="bottom"/>
            <w:hideMark/>
          </w:tcPr>
          <w:p w14:paraId="67F5ADD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13.11%</w:t>
            </w:r>
          </w:p>
        </w:tc>
        <w:tc>
          <w:tcPr>
            <w:tcW w:w="191" w:type="pct"/>
            <w:tcBorders>
              <w:top w:val="nil"/>
              <w:left w:val="nil"/>
              <w:bottom w:val="single" w:sz="4" w:space="0" w:color="808080"/>
              <w:right w:val="single" w:sz="4" w:space="0" w:color="808080"/>
            </w:tcBorders>
            <w:shd w:val="clear" w:color="auto" w:fill="auto"/>
            <w:noWrap/>
            <w:vAlign w:val="bottom"/>
            <w:hideMark/>
          </w:tcPr>
          <w:p w14:paraId="571B576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6.46</w:t>
            </w:r>
          </w:p>
        </w:tc>
        <w:tc>
          <w:tcPr>
            <w:tcW w:w="191" w:type="pct"/>
            <w:tcBorders>
              <w:top w:val="nil"/>
              <w:left w:val="nil"/>
              <w:bottom w:val="single" w:sz="4" w:space="0" w:color="808080"/>
              <w:right w:val="nil"/>
            </w:tcBorders>
            <w:shd w:val="clear" w:color="auto" w:fill="auto"/>
            <w:noWrap/>
            <w:vAlign w:val="bottom"/>
            <w:hideMark/>
          </w:tcPr>
          <w:p w14:paraId="4EF4EC6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6.46</w:t>
            </w:r>
          </w:p>
        </w:tc>
        <w:tc>
          <w:tcPr>
            <w:tcW w:w="59" w:type="pct"/>
            <w:tcBorders>
              <w:top w:val="nil"/>
              <w:left w:val="single" w:sz="4" w:space="0" w:color="auto"/>
              <w:bottom w:val="single" w:sz="4" w:space="0" w:color="808080"/>
              <w:right w:val="single" w:sz="4" w:space="0" w:color="808080"/>
            </w:tcBorders>
            <w:shd w:val="clear" w:color="auto" w:fill="auto"/>
            <w:noWrap/>
            <w:vAlign w:val="bottom"/>
            <w:hideMark/>
          </w:tcPr>
          <w:p w14:paraId="251EDB8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12" w:type="pct"/>
            <w:tcBorders>
              <w:top w:val="nil"/>
              <w:left w:val="nil"/>
              <w:bottom w:val="single" w:sz="4" w:space="0" w:color="808080"/>
              <w:right w:val="single" w:sz="4" w:space="0" w:color="808080"/>
            </w:tcBorders>
            <w:shd w:val="clear" w:color="auto" w:fill="auto"/>
            <w:noWrap/>
            <w:vAlign w:val="bottom"/>
            <w:hideMark/>
          </w:tcPr>
          <w:p w14:paraId="2BD994C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13.33%</w:t>
            </w:r>
          </w:p>
        </w:tc>
        <w:tc>
          <w:tcPr>
            <w:tcW w:w="212" w:type="pct"/>
            <w:tcBorders>
              <w:top w:val="nil"/>
              <w:left w:val="nil"/>
              <w:bottom w:val="single" w:sz="4" w:space="0" w:color="808080"/>
              <w:right w:val="single" w:sz="4" w:space="0" w:color="808080"/>
            </w:tcBorders>
            <w:shd w:val="clear" w:color="auto" w:fill="auto"/>
            <w:noWrap/>
            <w:vAlign w:val="bottom"/>
            <w:hideMark/>
          </w:tcPr>
          <w:p w14:paraId="552D66F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12.50%</w:t>
            </w:r>
          </w:p>
        </w:tc>
        <w:tc>
          <w:tcPr>
            <w:tcW w:w="191" w:type="pct"/>
            <w:tcBorders>
              <w:top w:val="nil"/>
              <w:left w:val="nil"/>
              <w:bottom w:val="single" w:sz="4" w:space="0" w:color="808080"/>
              <w:right w:val="single" w:sz="4" w:space="0" w:color="808080"/>
            </w:tcBorders>
            <w:shd w:val="clear" w:color="auto" w:fill="auto"/>
            <w:noWrap/>
            <w:vAlign w:val="bottom"/>
            <w:hideMark/>
          </w:tcPr>
          <w:p w14:paraId="49D4E9C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25.00</w:t>
            </w:r>
          </w:p>
        </w:tc>
        <w:tc>
          <w:tcPr>
            <w:tcW w:w="161" w:type="pct"/>
            <w:tcBorders>
              <w:top w:val="nil"/>
              <w:left w:val="nil"/>
              <w:bottom w:val="single" w:sz="4" w:space="0" w:color="808080"/>
              <w:right w:val="single" w:sz="4" w:space="0" w:color="auto"/>
            </w:tcBorders>
            <w:shd w:val="clear" w:color="auto" w:fill="auto"/>
            <w:noWrap/>
            <w:vAlign w:val="bottom"/>
            <w:hideMark/>
          </w:tcPr>
          <w:p w14:paraId="081A3AE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8.11</w:t>
            </w:r>
          </w:p>
        </w:tc>
        <w:tc>
          <w:tcPr>
            <w:tcW w:w="86" w:type="pct"/>
            <w:tcBorders>
              <w:top w:val="nil"/>
              <w:left w:val="nil"/>
              <w:bottom w:val="single" w:sz="4" w:space="0" w:color="808080"/>
              <w:right w:val="single" w:sz="4" w:space="0" w:color="808080"/>
            </w:tcBorders>
            <w:shd w:val="clear" w:color="auto" w:fill="auto"/>
            <w:noWrap/>
            <w:vAlign w:val="bottom"/>
            <w:hideMark/>
          </w:tcPr>
          <w:p w14:paraId="7152C38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12" w:type="pct"/>
            <w:tcBorders>
              <w:top w:val="nil"/>
              <w:left w:val="nil"/>
              <w:bottom w:val="single" w:sz="4" w:space="0" w:color="808080"/>
              <w:right w:val="single" w:sz="4" w:space="0" w:color="808080"/>
            </w:tcBorders>
            <w:shd w:val="clear" w:color="auto" w:fill="auto"/>
            <w:noWrap/>
            <w:vAlign w:val="bottom"/>
            <w:hideMark/>
          </w:tcPr>
          <w:p w14:paraId="0F23E57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13.33%</w:t>
            </w:r>
          </w:p>
        </w:tc>
        <w:tc>
          <w:tcPr>
            <w:tcW w:w="242" w:type="pct"/>
            <w:tcBorders>
              <w:top w:val="nil"/>
              <w:left w:val="nil"/>
              <w:bottom w:val="single" w:sz="4" w:space="0" w:color="808080"/>
              <w:right w:val="single" w:sz="4" w:space="0" w:color="808080"/>
            </w:tcBorders>
            <w:shd w:val="clear" w:color="auto" w:fill="auto"/>
            <w:noWrap/>
            <w:vAlign w:val="bottom"/>
            <w:hideMark/>
          </w:tcPr>
          <w:p w14:paraId="6F25D9F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10.53%</w:t>
            </w:r>
          </w:p>
        </w:tc>
        <w:tc>
          <w:tcPr>
            <w:tcW w:w="191" w:type="pct"/>
            <w:tcBorders>
              <w:top w:val="nil"/>
              <w:left w:val="nil"/>
              <w:bottom w:val="single" w:sz="4" w:space="0" w:color="808080"/>
              <w:right w:val="single" w:sz="4" w:space="0" w:color="808080"/>
            </w:tcBorders>
            <w:shd w:val="clear" w:color="auto" w:fill="auto"/>
            <w:noWrap/>
            <w:vAlign w:val="bottom"/>
            <w:hideMark/>
          </w:tcPr>
          <w:p w14:paraId="1A27E89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12.62</w:t>
            </w:r>
          </w:p>
        </w:tc>
        <w:tc>
          <w:tcPr>
            <w:tcW w:w="161" w:type="pct"/>
            <w:tcBorders>
              <w:top w:val="nil"/>
              <w:left w:val="nil"/>
              <w:bottom w:val="single" w:sz="4" w:space="0" w:color="808080"/>
              <w:right w:val="nil"/>
            </w:tcBorders>
            <w:shd w:val="clear" w:color="auto" w:fill="auto"/>
            <w:noWrap/>
            <w:vAlign w:val="bottom"/>
            <w:hideMark/>
          </w:tcPr>
          <w:p w14:paraId="0812DF7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2.44</w:t>
            </w:r>
          </w:p>
        </w:tc>
        <w:tc>
          <w:tcPr>
            <w:tcW w:w="86" w:type="pct"/>
            <w:tcBorders>
              <w:top w:val="nil"/>
              <w:left w:val="single" w:sz="4" w:space="0" w:color="auto"/>
              <w:bottom w:val="single" w:sz="4" w:space="0" w:color="808080"/>
              <w:right w:val="single" w:sz="4" w:space="0" w:color="808080"/>
            </w:tcBorders>
            <w:shd w:val="clear" w:color="auto" w:fill="auto"/>
            <w:noWrap/>
            <w:vAlign w:val="bottom"/>
            <w:hideMark/>
          </w:tcPr>
          <w:p w14:paraId="5713C6A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212" w:type="pct"/>
            <w:tcBorders>
              <w:top w:val="nil"/>
              <w:left w:val="nil"/>
              <w:bottom w:val="single" w:sz="4" w:space="0" w:color="808080"/>
              <w:right w:val="single" w:sz="4" w:space="0" w:color="808080"/>
            </w:tcBorders>
            <w:shd w:val="clear" w:color="auto" w:fill="auto"/>
            <w:noWrap/>
            <w:vAlign w:val="bottom"/>
            <w:hideMark/>
          </w:tcPr>
          <w:p w14:paraId="2CB9AAA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20.00%</w:t>
            </w:r>
          </w:p>
        </w:tc>
        <w:tc>
          <w:tcPr>
            <w:tcW w:w="242" w:type="pct"/>
            <w:tcBorders>
              <w:top w:val="nil"/>
              <w:left w:val="nil"/>
              <w:bottom w:val="single" w:sz="4" w:space="0" w:color="808080"/>
              <w:right w:val="single" w:sz="4" w:space="0" w:color="808080"/>
            </w:tcBorders>
            <w:shd w:val="clear" w:color="auto" w:fill="auto"/>
            <w:noWrap/>
            <w:vAlign w:val="bottom"/>
            <w:hideMark/>
          </w:tcPr>
          <w:p w14:paraId="69D466F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2.86%</w:t>
            </w:r>
          </w:p>
        </w:tc>
        <w:tc>
          <w:tcPr>
            <w:tcW w:w="222" w:type="pct"/>
            <w:tcBorders>
              <w:top w:val="nil"/>
              <w:left w:val="nil"/>
              <w:bottom w:val="single" w:sz="4" w:space="0" w:color="808080"/>
              <w:right w:val="single" w:sz="4" w:space="0" w:color="808080"/>
            </w:tcBorders>
            <w:shd w:val="clear" w:color="auto" w:fill="auto"/>
            <w:noWrap/>
            <w:vAlign w:val="bottom"/>
            <w:hideMark/>
          </w:tcPr>
          <w:p w14:paraId="147DEDB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75.62</w:t>
            </w:r>
          </w:p>
        </w:tc>
        <w:tc>
          <w:tcPr>
            <w:tcW w:w="191" w:type="pct"/>
            <w:tcBorders>
              <w:top w:val="nil"/>
              <w:left w:val="nil"/>
              <w:bottom w:val="single" w:sz="4" w:space="0" w:color="808080"/>
              <w:right w:val="single" w:sz="4" w:space="0" w:color="auto"/>
            </w:tcBorders>
            <w:shd w:val="clear" w:color="auto" w:fill="auto"/>
            <w:noWrap/>
            <w:vAlign w:val="bottom"/>
            <w:hideMark/>
          </w:tcPr>
          <w:p w14:paraId="3E1547D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10.31</w:t>
            </w:r>
          </w:p>
        </w:tc>
        <w:tc>
          <w:tcPr>
            <w:tcW w:w="379" w:type="pct"/>
            <w:tcBorders>
              <w:top w:val="nil"/>
              <w:left w:val="nil"/>
              <w:bottom w:val="single" w:sz="4" w:space="0" w:color="808080"/>
              <w:right w:val="single" w:sz="4" w:space="0" w:color="auto"/>
            </w:tcBorders>
            <w:shd w:val="clear" w:color="auto" w:fill="auto"/>
            <w:noWrap/>
            <w:vAlign w:val="bottom"/>
            <w:hideMark/>
          </w:tcPr>
          <w:p w14:paraId="5172E6F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23.58</w:t>
            </w:r>
          </w:p>
        </w:tc>
        <w:tc>
          <w:tcPr>
            <w:tcW w:w="212" w:type="pct"/>
            <w:tcBorders>
              <w:top w:val="nil"/>
              <w:left w:val="nil"/>
              <w:bottom w:val="single" w:sz="4" w:space="0" w:color="808080"/>
              <w:right w:val="single" w:sz="4" w:space="0" w:color="808080"/>
            </w:tcBorders>
            <w:shd w:val="clear" w:color="auto" w:fill="auto"/>
            <w:noWrap/>
            <w:vAlign w:val="bottom"/>
            <w:hideMark/>
          </w:tcPr>
          <w:p w14:paraId="4012767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7.46%</w:t>
            </w:r>
          </w:p>
        </w:tc>
        <w:tc>
          <w:tcPr>
            <w:tcW w:w="242" w:type="pct"/>
            <w:tcBorders>
              <w:top w:val="nil"/>
              <w:left w:val="nil"/>
              <w:bottom w:val="single" w:sz="4" w:space="0" w:color="808080"/>
              <w:right w:val="single" w:sz="4" w:space="0" w:color="808080"/>
            </w:tcBorders>
            <w:shd w:val="clear" w:color="auto" w:fill="auto"/>
            <w:noWrap/>
            <w:vAlign w:val="bottom"/>
            <w:hideMark/>
          </w:tcPr>
          <w:p w14:paraId="1F5818B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26.37%</w:t>
            </w:r>
          </w:p>
        </w:tc>
        <w:tc>
          <w:tcPr>
            <w:tcW w:w="212" w:type="pct"/>
            <w:tcBorders>
              <w:top w:val="nil"/>
              <w:left w:val="nil"/>
              <w:bottom w:val="single" w:sz="4" w:space="0" w:color="808080"/>
              <w:right w:val="single" w:sz="4" w:space="0" w:color="808080"/>
            </w:tcBorders>
            <w:shd w:val="clear" w:color="auto" w:fill="auto"/>
            <w:noWrap/>
            <w:vAlign w:val="bottom"/>
            <w:hideMark/>
          </w:tcPr>
          <w:p w14:paraId="11B9CC2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5.84%</w:t>
            </w:r>
          </w:p>
        </w:tc>
        <w:tc>
          <w:tcPr>
            <w:tcW w:w="241" w:type="pct"/>
            <w:tcBorders>
              <w:top w:val="nil"/>
              <w:left w:val="nil"/>
              <w:bottom w:val="single" w:sz="4" w:space="0" w:color="808080"/>
              <w:right w:val="single" w:sz="4" w:space="0" w:color="auto"/>
            </w:tcBorders>
            <w:shd w:val="clear" w:color="auto" w:fill="auto"/>
            <w:noWrap/>
            <w:vAlign w:val="bottom"/>
            <w:hideMark/>
          </w:tcPr>
          <w:p w14:paraId="1FD99E3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51.09%</w:t>
            </w:r>
          </w:p>
        </w:tc>
      </w:tr>
      <w:tr w:rsidR="00A022DF" w:rsidRPr="00E87E42" w14:paraId="265230B3" w14:textId="77777777" w:rsidTr="005839EF">
        <w:trPr>
          <w:trHeight w:val="227"/>
        </w:trPr>
        <w:tc>
          <w:tcPr>
            <w:tcW w:w="56" w:type="pct"/>
            <w:tcBorders>
              <w:top w:val="nil"/>
              <w:left w:val="single" w:sz="4" w:space="0" w:color="auto"/>
              <w:bottom w:val="single" w:sz="4" w:space="0" w:color="auto"/>
              <w:right w:val="nil"/>
            </w:tcBorders>
            <w:shd w:val="clear" w:color="auto" w:fill="auto"/>
            <w:noWrap/>
            <w:vAlign w:val="bottom"/>
            <w:hideMark/>
          </w:tcPr>
          <w:p w14:paraId="0EF0E03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86" w:type="pct"/>
            <w:tcBorders>
              <w:top w:val="nil"/>
              <w:left w:val="single" w:sz="4" w:space="0" w:color="auto"/>
              <w:bottom w:val="single" w:sz="4" w:space="0" w:color="808080"/>
              <w:right w:val="single" w:sz="4" w:space="0" w:color="auto"/>
            </w:tcBorders>
            <w:shd w:val="clear" w:color="auto" w:fill="auto"/>
            <w:noWrap/>
            <w:vAlign w:val="bottom"/>
            <w:hideMark/>
          </w:tcPr>
          <w:p w14:paraId="49D5F05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54</w:t>
            </w:r>
          </w:p>
        </w:tc>
        <w:tc>
          <w:tcPr>
            <w:tcW w:w="86" w:type="pct"/>
            <w:tcBorders>
              <w:top w:val="nil"/>
              <w:left w:val="nil"/>
              <w:bottom w:val="single" w:sz="4" w:space="0" w:color="808080"/>
              <w:right w:val="single" w:sz="4" w:space="0" w:color="808080"/>
            </w:tcBorders>
            <w:shd w:val="clear" w:color="auto" w:fill="auto"/>
            <w:noWrap/>
            <w:vAlign w:val="bottom"/>
            <w:hideMark/>
          </w:tcPr>
          <w:p w14:paraId="2F726EC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w:t>
            </w:r>
          </w:p>
        </w:tc>
        <w:tc>
          <w:tcPr>
            <w:tcW w:w="212" w:type="pct"/>
            <w:tcBorders>
              <w:top w:val="nil"/>
              <w:left w:val="nil"/>
              <w:bottom w:val="single" w:sz="4" w:space="0" w:color="808080"/>
              <w:right w:val="single" w:sz="4" w:space="0" w:color="808080"/>
            </w:tcBorders>
            <w:shd w:val="clear" w:color="auto" w:fill="auto"/>
            <w:noWrap/>
            <w:vAlign w:val="bottom"/>
            <w:hideMark/>
          </w:tcPr>
          <w:p w14:paraId="5410D07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19.09%</w:t>
            </w:r>
          </w:p>
        </w:tc>
        <w:tc>
          <w:tcPr>
            <w:tcW w:w="212" w:type="pct"/>
            <w:tcBorders>
              <w:top w:val="nil"/>
              <w:left w:val="nil"/>
              <w:bottom w:val="single" w:sz="4" w:space="0" w:color="808080"/>
              <w:right w:val="single" w:sz="4" w:space="0" w:color="808080"/>
            </w:tcBorders>
            <w:shd w:val="clear" w:color="auto" w:fill="auto"/>
            <w:noWrap/>
            <w:vAlign w:val="bottom"/>
            <w:hideMark/>
          </w:tcPr>
          <w:p w14:paraId="2419341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34.43%</w:t>
            </w:r>
          </w:p>
        </w:tc>
        <w:tc>
          <w:tcPr>
            <w:tcW w:w="191" w:type="pct"/>
            <w:tcBorders>
              <w:top w:val="nil"/>
              <w:left w:val="nil"/>
              <w:bottom w:val="single" w:sz="4" w:space="0" w:color="808080"/>
              <w:right w:val="single" w:sz="4" w:space="0" w:color="808080"/>
            </w:tcBorders>
            <w:shd w:val="clear" w:color="auto" w:fill="auto"/>
            <w:noWrap/>
            <w:vAlign w:val="bottom"/>
            <w:hideMark/>
          </w:tcPr>
          <w:p w14:paraId="75F093F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32.46</w:t>
            </w:r>
          </w:p>
        </w:tc>
        <w:tc>
          <w:tcPr>
            <w:tcW w:w="191" w:type="pct"/>
            <w:tcBorders>
              <w:top w:val="nil"/>
              <w:left w:val="nil"/>
              <w:bottom w:val="single" w:sz="4" w:space="0" w:color="808080"/>
              <w:right w:val="nil"/>
            </w:tcBorders>
            <w:shd w:val="clear" w:color="auto" w:fill="auto"/>
            <w:noWrap/>
            <w:vAlign w:val="bottom"/>
            <w:hideMark/>
          </w:tcPr>
          <w:p w14:paraId="296A939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32.46</w:t>
            </w:r>
          </w:p>
        </w:tc>
        <w:tc>
          <w:tcPr>
            <w:tcW w:w="59" w:type="pct"/>
            <w:tcBorders>
              <w:top w:val="nil"/>
              <w:left w:val="single" w:sz="4" w:space="0" w:color="auto"/>
              <w:bottom w:val="single" w:sz="4" w:space="0" w:color="808080"/>
              <w:right w:val="single" w:sz="4" w:space="0" w:color="808080"/>
            </w:tcBorders>
            <w:shd w:val="clear" w:color="auto" w:fill="auto"/>
            <w:noWrap/>
            <w:vAlign w:val="bottom"/>
            <w:hideMark/>
          </w:tcPr>
          <w:p w14:paraId="78AC44A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w:t>
            </w:r>
          </w:p>
        </w:tc>
        <w:tc>
          <w:tcPr>
            <w:tcW w:w="212" w:type="pct"/>
            <w:tcBorders>
              <w:top w:val="nil"/>
              <w:left w:val="nil"/>
              <w:bottom w:val="single" w:sz="4" w:space="0" w:color="808080"/>
              <w:right w:val="single" w:sz="4" w:space="0" w:color="808080"/>
            </w:tcBorders>
            <w:shd w:val="clear" w:color="auto" w:fill="auto"/>
            <w:noWrap/>
            <w:vAlign w:val="bottom"/>
            <w:hideMark/>
          </w:tcPr>
          <w:p w14:paraId="03D24A6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8.18%</w:t>
            </w:r>
          </w:p>
        </w:tc>
        <w:tc>
          <w:tcPr>
            <w:tcW w:w="212" w:type="pct"/>
            <w:tcBorders>
              <w:top w:val="nil"/>
              <w:left w:val="nil"/>
              <w:bottom w:val="single" w:sz="4" w:space="0" w:color="808080"/>
              <w:right w:val="single" w:sz="4" w:space="0" w:color="808080"/>
            </w:tcBorders>
            <w:shd w:val="clear" w:color="auto" w:fill="auto"/>
            <w:noWrap/>
            <w:vAlign w:val="bottom"/>
            <w:hideMark/>
          </w:tcPr>
          <w:p w14:paraId="357D30F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56.25%</w:t>
            </w:r>
          </w:p>
        </w:tc>
        <w:tc>
          <w:tcPr>
            <w:tcW w:w="191" w:type="pct"/>
            <w:tcBorders>
              <w:top w:val="nil"/>
              <w:left w:val="nil"/>
              <w:bottom w:val="single" w:sz="4" w:space="0" w:color="808080"/>
              <w:right w:val="single" w:sz="4" w:space="0" w:color="808080"/>
            </w:tcBorders>
            <w:shd w:val="clear" w:color="auto" w:fill="auto"/>
            <w:noWrap/>
            <w:vAlign w:val="bottom"/>
            <w:hideMark/>
          </w:tcPr>
          <w:p w14:paraId="1ECBCAD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279.68</w:t>
            </w:r>
          </w:p>
        </w:tc>
        <w:tc>
          <w:tcPr>
            <w:tcW w:w="161" w:type="pct"/>
            <w:tcBorders>
              <w:top w:val="nil"/>
              <w:left w:val="nil"/>
              <w:bottom w:val="single" w:sz="4" w:space="0" w:color="808080"/>
              <w:right w:val="single" w:sz="4" w:space="0" w:color="auto"/>
            </w:tcBorders>
            <w:shd w:val="clear" w:color="auto" w:fill="auto"/>
            <w:noWrap/>
            <w:vAlign w:val="bottom"/>
            <w:hideMark/>
          </w:tcPr>
          <w:p w14:paraId="0B30AD6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90.71</w:t>
            </w:r>
          </w:p>
        </w:tc>
        <w:tc>
          <w:tcPr>
            <w:tcW w:w="86" w:type="pct"/>
            <w:tcBorders>
              <w:top w:val="nil"/>
              <w:left w:val="nil"/>
              <w:bottom w:val="single" w:sz="4" w:space="0" w:color="808080"/>
              <w:right w:val="single" w:sz="4" w:space="0" w:color="808080"/>
            </w:tcBorders>
            <w:shd w:val="clear" w:color="auto" w:fill="auto"/>
            <w:noWrap/>
            <w:vAlign w:val="bottom"/>
            <w:hideMark/>
          </w:tcPr>
          <w:p w14:paraId="6578734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w:t>
            </w:r>
          </w:p>
        </w:tc>
        <w:tc>
          <w:tcPr>
            <w:tcW w:w="212" w:type="pct"/>
            <w:tcBorders>
              <w:top w:val="nil"/>
              <w:left w:val="nil"/>
              <w:bottom w:val="single" w:sz="4" w:space="0" w:color="808080"/>
              <w:right w:val="single" w:sz="4" w:space="0" w:color="808080"/>
            </w:tcBorders>
            <w:shd w:val="clear" w:color="auto" w:fill="auto"/>
            <w:noWrap/>
            <w:vAlign w:val="bottom"/>
            <w:hideMark/>
          </w:tcPr>
          <w:p w14:paraId="58EC1DA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11.82%</w:t>
            </w:r>
          </w:p>
        </w:tc>
        <w:tc>
          <w:tcPr>
            <w:tcW w:w="242" w:type="pct"/>
            <w:tcBorders>
              <w:top w:val="nil"/>
              <w:left w:val="nil"/>
              <w:bottom w:val="single" w:sz="4" w:space="0" w:color="808080"/>
              <w:right w:val="single" w:sz="4" w:space="0" w:color="808080"/>
            </w:tcBorders>
            <w:shd w:val="clear" w:color="auto" w:fill="auto"/>
            <w:noWrap/>
            <w:vAlign w:val="bottom"/>
            <w:hideMark/>
          </w:tcPr>
          <w:p w14:paraId="753955F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68.42%</w:t>
            </w:r>
          </w:p>
        </w:tc>
        <w:tc>
          <w:tcPr>
            <w:tcW w:w="191" w:type="pct"/>
            <w:tcBorders>
              <w:top w:val="nil"/>
              <w:left w:val="nil"/>
              <w:bottom w:val="single" w:sz="4" w:space="0" w:color="808080"/>
              <w:right w:val="single" w:sz="4" w:space="0" w:color="808080"/>
            </w:tcBorders>
            <w:shd w:val="clear" w:color="auto" w:fill="auto"/>
            <w:noWrap/>
            <w:vAlign w:val="bottom"/>
            <w:hideMark/>
          </w:tcPr>
          <w:p w14:paraId="33A4ED6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180.64</w:t>
            </w:r>
          </w:p>
        </w:tc>
        <w:tc>
          <w:tcPr>
            <w:tcW w:w="161" w:type="pct"/>
            <w:tcBorders>
              <w:top w:val="nil"/>
              <w:left w:val="nil"/>
              <w:bottom w:val="single" w:sz="4" w:space="0" w:color="808080"/>
              <w:right w:val="nil"/>
            </w:tcBorders>
            <w:shd w:val="clear" w:color="auto" w:fill="auto"/>
            <w:noWrap/>
            <w:vAlign w:val="bottom"/>
            <w:hideMark/>
          </w:tcPr>
          <w:p w14:paraId="59356E0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34.96</w:t>
            </w:r>
          </w:p>
        </w:tc>
        <w:tc>
          <w:tcPr>
            <w:tcW w:w="86" w:type="pct"/>
            <w:tcBorders>
              <w:top w:val="nil"/>
              <w:left w:val="single" w:sz="4" w:space="0" w:color="auto"/>
              <w:bottom w:val="single" w:sz="4" w:space="0" w:color="808080"/>
              <w:right w:val="single" w:sz="4" w:space="0" w:color="808080"/>
            </w:tcBorders>
            <w:shd w:val="clear" w:color="auto" w:fill="auto"/>
            <w:noWrap/>
            <w:vAlign w:val="bottom"/>
            <w:hideMark/>
          </w:tcPr>
          <w:p w14:paraId="71CBC16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67</w:t>
            </w:r>
          </w:p>
        </w:tc>
        <w:tc>
          <w:tcPr>
            <w:tcW w:w="212" w:type="pct"/>
            <w:tcBorders>
              <w:top w:val="nil"/>
              <w:left w:val="nil"/>
              <w:bottom w:val="single" w:sz="4" w:space="0" w:color="808080"/>
              <w:right w:val="single" w:sz="4" w:space="0" w:color="808080"/>
            </w:tcBorders>
            <w:shd w:val="clear" w:color="auto" w:fill="auto"/>
            <w:noWrap/>
            <w:vAlign w:val="bottom"/>
            <w:hideMark/>
          </w:tcPr>
          <w:p w14:paraId="30C8C1E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60.91%</w:t>
            </w:r>
          </w:p>
        </w:tc>
        <w:tc>
          <w:tcPr>
            <w:tcW w:w="242" w:type="pct"/>
            <w:tcBorders>
              <w:top w:val="nil"/>
              <w:left w:val="nil"/>
              <w:bottom w:val="single" w:sz="4" w:space="0" w:color="808080"/>
              <w:right w:val="single" w:sz="4" w:space="0" w:color="808080"/>
            </w:tcBorders>
            <w:shd w:val="clear" w:color="auto" w:fill="auto"/>
            <w:noWrap/>
            <w:vAlign w:val="bottom"/>
            <w:hideMark/>
          </w:tcPr>
          <w:p w14:paraId="20C46BA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63.81%</w:t>
            </w:r>
          </w:p>
        </w:tc>
        <w:tc>
          <w:tcPr>
            <w:tcW w:w="222" w:type="pct"/>
            <w:tcBorders>
              <w:top w:val="nil"/>
              <w:left w:val="nil"/>
              <w:bottom w:val="single" w:sz="4" w:space="0" w:color="808080"/>
              <w:right w:val="single" w:sz="4" w:space="0" w:color="808080"/>
            </w:tcBorders>
            <w:shd w:val="clear" w:color="auto" w:fill="auto"/>
            <w:noWrap/>
            <w:vAlign w:val="bottom"/>
            <w:hideMark/>
          </w:tcPr>
          <w:p w14:paraId="2A62B53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1122.31</w:t>
            </w:r>
          </w:p>
        </w:tc>
        <w:tc>
          <w:tcPr>
            <w:tcW w:w="191" w:type="pct"/>
            <w:tcBorders>
              <w:top w:val="nil"/>
              <w:left w:val="nil"/>
              <w:bottom w:val="single" w:sz="4" w:space="0" w:color="808080"/>
              <w:right w:val="single" w:sz="4" w:space="0" w:color="auto"/>
            </w:tcBorders>
            <w:shd w:val="clear" w:color="auto" w:fill="auto"/>
            <w:noWrap/>
            <w:vAlign w:val="bottom"/>
            <w:hideMark/>
          </w:tcPr>
          <w:p w14:paraId="27CFE19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153.04</w:t>
            </w:r>
          </w:p>
        </w:tc>
        <w:tc>
          <w:tcPr>
            <w:tcW w:w="379" w:type="pct"/>
            <w:tcBorders>
              <w:top w:val="nil"/>
              <w:left w:val="nil"/>
              <w:bottom w:val="single" w:sz="4" w:space="0" w:color="808080"/>
              <w:right w:val="single" w:sz="4" w:space="0" w:color="auto"/>
            </w:tcBorders>
            <w:shd w:val="clear" w:color="auto" w:fill="auto"/>
            <w:noWrap/>
            <w:vAlign w:val="bottom"/>
            <w:hideMark/>
          </w:tcPr>
          <w:p w14:paraId="6D0F38E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734.02</w:t>
            </w:r>
          </w:p>
        </w:tc>
        <w:tc>
          <w:tcPr>
            <w:tcW w:w="212" w:type="pct"/>
            <w:tcBorders>
              <w:top w:val="nil"/>
              <w:left w:val="nil"/>
              <w:bottom w:val="single" w:sz="4" w:space="0" w:color="808080"/>
              <w:right w:val="single" w:sz="4" w:space="0" w:color="808080"/>
            </w:tcBorders>
            <w:shd w:val="clear" w:color="auto" w:fill="auto"/>
            <w:noWrap/>
            <w:vAlign w:val="bottom"/>
            <w:hideMark/>
          </w:tcPr>
          <w:p w14:paraId="7C079D5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54.73%</w:t>
            </w:r>
          </w:p>
        </w:tc>
        <w:tc>
          <w:tcPr>
            <w:tcW w:w="242" w:type="pct"/>
            <w:tcBorders>
              <w:top w:val="nil"/>
              <w:left w:val="nil"/>
              <w:bottom w:val="single" w:sz="4" w:space="0" w:color="808080"/>
              <w:right w:val="single" w:sz="4" w:space="0" w:color="808080"/>
            </w:tcBorders>
            <w:shd w:val="clear" w:color="auto" w:fill="auto"/>
            <w:noWrap/>
            <w:vAlign w:val="bottom"/>
            <w:hideMark/>
          </w:tcPr>
          <w:p w14:paraId="4B2CB45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81.09%</w:t>
            </w:r>
          </w:p>
        </w:tc>
        <w:tc>
          <w:tcPr>
            <w:tcW w:w="212" w:type="pct"/>
            <w:tcBorders>
              <w:top w:val="nil"/>
              <w:left w:val="nil"/>
              <w:bottom w:val="single" w:sz="4" w:space="0" w:color="808080"/>
              <w:right w:val="single" w:sz="4" w:space="0" w:color="808080"/>
            </w:tcBorders>
            <w:shd w:val="clear" w:color="auto" w:fill="auto"/>
            <w:noWrap/>
            <w:vAlign w:val="bottom"/>
            <w:hideMark/>
          </w:tcPr>
          <w:p w14:paraId="0D0FCA1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39.42%</w:t>
            </w:r>
          </w:p>
        </w:tc>
        <w:tc>
          <w:tcPr>
            <w:tcW w:w="241" w:type="pct"/>
            <w:tcBorders>
              <w:top w:val="nil"/>
              <w:left w:val="nil"/>
              <w:bottom w:val="single" w:sz="4" w:space="0" w:color="808080"/>
              <w:right w:val="single" w:sz="4" w:space="0" w:color="auto"/>
            </w:tcBorders>
            <w:shd w:val="clear" w:color="auto" w:fill="auto"/>
            <w:noWrap/>
            <w:vAlign w:val="bottom"/>
            <w:hideMark/>
          </w:tcPr>
          <w:p w14:paraId="31C9D08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90.51%</w:t>
            </w:r>
          </w:p>
        </w:tc>
      </w:tr>
      <w:tr w:rsidR="00A022DF" w:rsidRPr="00E87E42" w14:paraId="0F505FB3" w14:textId="77777777" w:rsidTr="005839EF">
        <w:trPr>
          <w:trHeight w:val="227"/>
        </w:trPr>
        <w:tc>
          <w:tcPr>
            <w:tcW w:w="56" w:type="pct"/>
            <w:tcBorders>
              <w:top w:val="nil"/>
              <w:left w:val="single" w:sz="4" w:space="0" w:color="auto"/>
              <w:bottom w:val="single" w:sz="4" w:space="0" w:color="auto"/>
              <w:right w:val="nil"/>
            </w:tcBorders>
            <w:shd w:val="clear" w:color="auto" w:fill="auto"/>
            <w:noWrap/>
            <w:vAlign w:val="bottom"/>
            <w:hideMark/>
          </w:tcPr>
          <w:p w14:paraId="3A23127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86" w:type="pct"/>
            <w:tcBorders>
              <w:top w:val="nil"/>
              <w:left w:val="single" w:sz="4" w:space="0" w:color="auto"/>
              <w:bottom w:val="single" w:sz="4" w:space="0" w:color="auto"/>
              <w:right w:val="single" w:sz="4" w:space="0" w:color="auto"/>
            </w:tcBorders>
            <w:shd w:val="clear" w:color="auto" w:fill="auto"/>
            <w:noWrap/>
            <w:vAlign w:val="bottom"/>
            <w:hideMark/>
          </w:tcPr>
          <w:p w14:paraId="6E87B44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w:t>
            </w:r>
          </w:p>
        </w:tc>
        <w:tc>
          <w:tcPr>
            <w:tcW w:w="86" w:type="pct"/>
            <w:tcBorders>
              <w:top w:val="nil"/>
              <w:left w:val="nil"/>
              <w:bottom w:val="single" w:sz="4" w:space="0" w:color="auto"/>
              <w:right w:val="single" w:sz="4" w:space="0" w:color="808080"/>
            </w:tcBorders>
            <w:shd w:val="clear" w:color="auto" w:fill="auto"/>
            <w:noWrap/>
            <w:vAlign w:val="bottom"/>
            <w:hideMark/>
          </w:tcPr>
          <w:p w14:paraId="671C9E6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12" w:type="pct"/>
            <w:tcBorders>
              <w:top w:val="nil"/>
              <w:left w:val="nil"/>
              <w:bottom w:val="single" w:sz="4" w:space="0" w:color="auto"/>
              <w:right w:val="single" w:sz="4" w:space="0" w:color="808080"/>
            </w:tcBorders>
            <w:shd w:val="clear" w:color="auto" w:fill="auto"/>
            <w:noWrap/>
            <w:vAlign w:val="bottom"/>
            <w:hideMark/>
          </w:tcPr>
          <w:p w14:paraId="4FF4AFE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5.26%</w:t>
            </w:r>
          </w:p>
        </w:tc>
        <w:tc>
          <w:tcPr>
            <w:tcW w:w="212" w:type="pct"/>
            <w:tcBorders>
              <w:top w:val="nil"/>
              <w:left w:val="nil"/>
              <w:bottom w:val="single" w:sz="4" w:space="0" w:color="auto"/>
              <w:right w:val="single" w:sz="4" w:space="0" w:color="808080"/>
            </w:tcBorders>
            <w:shd w:val="clear" w:color="auto" w:fill="auto"/>
            <w:noWrap/>
            <w:vAlign w:val="bottom"/>
            <w:hideMark/>
          </w:tcPr>
          <w:p w14:paraId="790D016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3.28%</w:t>
            </w:r>
          </w:p>
        </w:tc>
        <w:tc>
          <w:tcPr>
            <w:tcW w:w="191" w:type="pct"/>
            <w:tcBorders>
              <w:top w:val="nil"/>
              <w:left w:val="nil"/>
              <w:bottom w:val="single" w:sz="4" w:space="0" w:color="auto"/>
              <w:right w:val="single" w:sz="4" w:space="0" w:color="808080"/>
            </w:tcBorders>
            <w:shd w:val="clear" w:color="auto" w:fill="auto"/>
            <w:noWrap/>
            <w:vAlign w:val="bottom"/>
            <w:hideMark/>
          </w:tcPr>
          <w:p w14:paraId="02FB365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0.32</w:t>
            </w:r>
          </w:p>
        </w:tc>
        <w:tc>
          <w:tcPr>
            <w:tcW w:w="191" w:type="pct"/>
            <w:tcBorders>
              <w:top w:val="nil"/>
              <w:left w:val="nil"/>
              <w:bottom w:val="single" w:sz="4" w:space="0" w:color="auto"/>
              <w:right w:val="nil"/>
            </w:tcBorders>
            <w:shd w:val="clear" w:color="auto" w:fill="auto"/>
            <w:noWrap/>
            <w:vAlign w:val="bottom"/>
            <w:hideMark/>
          </w:tcPr>
          <w:p w14:paraId="7A5F84E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0.32</w:t>
            </w:r>
          </w:p>
        </w:tc>
        <w:tc>
          <w:tcPr>
            <w:tcW w:w="59" w:type="pct"/>
            <w:tcBorders>
              <w:top w:val="nil"/>
              <w:left w:val="single" w:sz="4" w:space="0" w:color="auto"/>
              <w:bottom w:val="single" w:sz="4" w:space="0" w:color="auto"/>
              <w:right w:val="single" w:sz="4" w:space="0" w:color="808080"/>
            </w:tcBorders>
            <w:shd w:val="clear" w:color="auto" w:fill="auto"/>
            <w:noWrap/>
            <w:vAlign w:val="bottom"/>
            <w:hideMark/>
          </w:tcPr>
          <w:p w14:paraId="3D7BB7E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2" w:type="pct"/>
            <w:tcBorders>
              <w:top w:val="nil"/>
              <w:left w:val="nil"/>
              <w:bottom w:val="single" w:sz="4" w:space="0" w:color="auto"/>
              <w:right w:val="single" w:sz="4" w:space="0" w:color="808080"/>
            </w:tcBorders>
            <w:shd w:val="clear" w:color="auto" w:fill="auto"/>
            <w:noWrap/>
            <w:vAlign w:val="bottom"/>
            <w:hideMark/>
          </w:tcPr>
          <w:p w14:paraId="4E4B7CE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2" w:type="pct"/>
            <w:tcBorders>
              <w:top w:val="nil"/>
              <w:left w:val="nil"/>
              <w:bottom w:val="single" w:sz="4" w:space="0" w:color="auto"/>
              <w:right w:val="single" w:sz="4" w:space="0" w:color="808080"/>
            </w:tcBorders>
            <w:shd w:val="clear" w:color="auto" w:fill="auto"/>
            <w:noWrap/>
            <w:vAlign w:val="bottom"/>
            <w:hideMark/>
          </w:tcPr>
          <w:p w14:paraId="41045FA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1" w:type="pct"/>
            <w:tcBorders>
              <w:top w:val="nil"/>
              <w:left w:val="nil"/>
              <w:bottom w:val="single" w:sz="4" w:space="0" w:color="auto"/>
              <w:right w:val="single" w:sz="4" w:space="0" w:color="808080"/>
            </w:tcBorders>
            <w:shd w:val="clear" w:color="auto" w:fill="auto"/>
            <w:noWrap/>
            <w:vAlign w:val="bottom"/>
            <w:hideMark/>
          </w:tcPr>
          <w:p w14:paraId="5FD71F9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1" w:type="pct"/>
            <w:tcBorders>
              <w:top w:val="nil"/>
              <w:left w:val="nil"/>
              <w:bottom w:val="single" w:sz="4" w:space="0" w:color="auto"/>
              <w:right w:val="single" w:sz="4" w:space="0" w:color="auto"/>
            </w:tcBorders>
            <w:shd w:val="clear" w:color="auto" w:fill="auto"/>
            <w:noWrap/>
            <w:vAlign w:val="bottom"/>
            <w:hideMark/>
          </w:tcPr>
          <w:p w14:paraId="5AE33F4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86" w:type="pct"/>
            <w:tcBorders>
              <w:top w:val="nil"/>
              <w:left w:val="nil"/>
              <w:bottom w:val="single" w:sz="4" w:space="0" w:color="auto"/>
              <w:right w:val="single" w:sz="4" w:space="0" w:color="808080"/>
            </w:tcBorders>
            <w:shd w:val="clear" w:color="auto" w:fill="auto"/>
            <w:noWrap/>
            <w:vAlign w:val="bottom"/>
            <w:hideMark/>
          </w:tcPr>
          <w:p w14:paraId="5AFFE18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212" w:type="pct"/>
            <w:tcBorders>
              <w:top w:val="nil"/>
              <w:left w:val="nil"/>
              <w:bottom w:val="single" w:sz="4" w:space="0" w:color="auto"/>
              <w:right w:val="single" w:sz="4" w:space="0" w:color="808080"/>
            </w:tcBorders>
            <w:shd w:val="clear" w:color="auto" w:fill="auto"/>
            <w:noWrap/>
            <w:vAlign w:val="bottom"/>
            <w:hideMark/>
          </w:tcPr>
          <w:p w14:paraId="257B1A1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7.89%</w:t>
            </w:r>
          </w:p>
        </w:tc>
        <w:tc>
          <w:tcPr>
            <w:tcW w:w="242" w:type="pct"/>
            <w:tcBorders>
              <w:top w:val="nil"/>
              <w:left w:val="nil"/>
              <w:bottom w:val="single" w:sz="4" w:space="0" w:color="auto"/>
              <w:right w:val="single" w:sz="4" w:space="0" w:color="808080"/>
            </w:tcBorders>
            <w:shd w:val="clear" w:color="auto" w:fill="auto"/>
            <w:noWrap/>
            <w:vAlign w:val="bottom"/>
            <w:hideMark/>
          </w:tcPr>
          <w:p w14:paraId="7EA47A0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15.79%</w:t>
            </w:r>
          </w:p>
        </w:tc>
        <w:tc>
          <w:tcPr>
            <w:tcW w:w="191" w:type="pct"/>
            <w:tcBorders>
              <w:top w:val="nil"/>
              <w:left w:val="nil"/>
              <w:bottom w:val="single" w:sz="4" w:space="0" w:color="auto"/>
              <w:right w:val="single" w:sz="4" w:space="0" w:color="808080"/>
            </w:tcBorders>
            <w:shd w:val="clear" w:color="auto" w:fill="auto"/>
            <w:noWrap/>
            <w:vAlign w:val="bottom"/>
            <w:hideMark/>
          </w:tcPr>
          <w:p w14:paraId="06E98B8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34.81</w:t>
            </w:r>
          </w:p>
        </w:tc>
        <w:tc>
          <w:tcPr>
            <w:tcW w:w="161" w:type="pct"/>
            <w:tcBorders>
              <w:top w:val="nil"/>
              <w:left w:val="nil"/>
              <w:bottom w:val="single" w:sz="4" w:space="0" w:color="auto"/>
              <w:right w:val="nil"/>
            </w:tcBorders>
            <w:shd w:val="clear" w:color="auto" w:fill="auto"/>
            <w:noWrap/>
            <w:vAlign w:val="bottom"/>
            <w:hideMark/>
          </w:tcPr>
          <w:p w14:paraId="489A63A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6.74</w:t>
            </w:r>
          </w:p>
        </w:tc>
        <w:tc>
          <w:tcPr>
            <w:tcW w:w="86" w:type="pct"/>
            <w:tcBorders>
              <w:top w:val="nil"/>
              <w:left w:val="single" w:sz="4" w:space="0" w:color="auto"/>
              <w:bottom w:val="single" w:sz="4" w:space="0" w:color="auto"/>
              <w:right w:val="single" w:sz="4" w:space="0" w:color="808080"/>
            </w:tcBorders>
            <w:shd w:val="clear" w:color="auto" w:fill="auto"/>
            <w:noWrap/>
            <w:vAlign w:val="bottom"/>
            <w:hideMark/>
          </w:tcPr>
          <w:p w14:paraId="65ECEA0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w:t>
            </w:r>
          </w:p>
        </w:tc>
        <w:tc>
          <w:tcPr>
            <w:tcW w:w="212" w:type="pct"/>
            <w:tcBorders>
              <w:top w:val="nil"/>
              <w:left w:val="nil"/>
              <w:bottom w:val="single" w:sz="4" w:space="0" w:color="auto"/>
              <w:right w:val="single" w:sz="4" w:space="0" w:color="808080"/>
            </w:tcBorders>
            <w:shd w:val="clear" w:color="auto" w:fill="auto"/>
            <w:noWrap/>
            <w:vAlign w:val="bottom"/>
            <w:hideMark/>
          </w:tcPr>
          <w:p w14:paraId="4CDC21B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86.84%</w:t>
            </w:r>
          </w:p>
        </w:tc>
        <w:tc>
          <w:tcPr>
            <w:tcW w:w="242" w:type="pct"/>
            <w:tcBorders>
              <w:top w:val="nil"/>
              <w:left w:val="nil"/>
              <w:bottom w:val="single" w:sz="4" w:space="0" w:color="auto"/>
              <w:right w:val="single" w:sz="4" w:space="0" w:color="808080"/>
            </w:tcBorders>
            <w:shd w:val="clear" w:color="auto" w:fill="auto"/>
            <w:noWrap/>
            <w:vAlign w:val="bottom"/>
            <w:hideMark/>
          </w:tcPr>
          <w:p w14:paraId="3406EC6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31.43%</w:t>
            </w:r>
          </w:p>
        </w:tc>
        <w:tc>
          <w:tcPr>
            <w:tcW w:w="222" w:type="pct"/>
            <w:tcBorders>
              <w:top w:val="nil"/>
              <w:left w:val="nil"/>
              <w:bottom w:val="single" w:sz="4" w:space="0" w:color="auto"/>
              <w:right w:val="single" w:sz="4" w:space="0" w:color="808080"/>
            </w:tcBorders>
            <w:shd w:val="clear" w:color="auto" w:fill="auto"/>
            <w:noWrap/>
            <w:vAlign w:val="bottom"/>
            <w:hideMark/>
          </w:tcPr>
          <w:p w14:paraId="08A92E9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220.97</w:t>
            </w:r>
          </w:p>
        </w:tc>
        <w:tc>
          <w:tcPr>
            <w:tcW w:w="191" w:type="pct"/>
            <w:tcBorders>
              <w:top w:val="nil"/>
              <w:left w:val="nil"/>
              <w:bottom w:val="single" w:sz="4" w:space="0" w:color="auto"/>
              <w:right w:val="single" w:sz="4" w:space="0" w:color="auto"/>
            </w:tcBorders>
            <w:shd w:val="clear" w:color="auto" w:fill="auto"/>
            <w:noWrap/>
            <w:vAlign w:val="bottom"/>
            <w:hideMark/>
          </w:tcPr>
          <w:p w14:paraId="5D6C857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30.13</w:t>
            </w:r>
          </w:p>
        </w:tc>
        <w:tc>
          <w:tcPr>
            <w:tcW w:w="379" w:type="pct"/>
            <w:tcBorders>
              <w:top w:val="nil"/>
              <w:left w:val="nil"/>
              <w:bottom w:val="single" w:sz="4" w:space="0" w:color="auto"/>
              <w:right w:val="single" w:sz="4" w:space="0" w:color="auto"/>
            </w:tcBorders>
            <w:shd w:val="clear" w:color="auto" w:fill="auto"/>
            <w:noWrap/>
            <w:vAlign w:val="bottom"/>
            <w:hideMark/>
          </w:tcPr>
          <w:p w14:paraId="2749B5D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194.66</w:t>
            </w:r>
          </w:p>
        </w:tc>
        <w:tc>
          <w:tcPr>
            <w:tcW w:w="212" w:type="pct"/>
            <w:tcBorders>
              <w:top w:val="nil"/>
              <w:left w:val="nil"/>
              <w:bottom w:val="single" w:sz="4" w:space="0" w:color="auto"/>
              <w:right w:val="single" w:sz="4" w:space="0" w:color="808080"/>
            </w:tcBorders>
            <w:shd w:val="clear" w:color="auto" w:fill="auto"/>
            <w:noWrap/>
            <w:vAlign w:val="bottom"/>
            <w:hideMark/>
          </w:tcPr>
          <w:p w14:paraId="51D20A7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18.91%</w:t>
            </w:r>
          </w:p>
        </w:tc>
        <w:tc>
          <w:tcPr>
            <w:tcW w:w="242" w:type="pct"/>
            <w:tcBorders>
              <w:top w:val="nil"/>
              <w:left w:val="nil"/>
              <w:bottom w:val="single" w:sz="4" w:space="0" w:color="auto"/>
              <w:right w:val="single" w:sz="4" w:space="0" w:color="808080"/>
            </w:tcBorders>
            <w:shd w:val="clear" w:color="auto" w:fill="auto"/>
            <w:noWrap/>
            <w:vAlign w:val="bottom"/>
            <w:hideMark/>
          </w:tcPr>
          <w:p w14:paraId="01E85FC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12" w:type="pct"/>
            <w:tcBorders>
              <w:top w:val="nil"/>
              <w:left w:val="nil"/>
              <w:bottom w:val="single" w:sz="4" w:space="0" w:color="auto"/>
              <w:right w:val="single" w:sz="4" w:space="0" w:color="808080"/>
            </w:tcBorders>
            <w:shd w:val="clear" w:color="auto" w:fill="auto"/>
            <w:noWrap/>
            <w:vAlign w:val="bottom"/>
            <w:hideMark/>
          </w:tcPr>
          <w:p w14:paraId="4AAE57D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9.49%</w:t>
            </w:r>
          </w:p>
        </w:tc>
        <w:tc>
          <w:tcPr>
            <w:tcW w:w="241" w:type="pct"/>
            <w:tcBorders>
              <w:top w:val="nil"/>
              <w:left w:val="nil"/>
              <w:bottom w:val="single" w:sz="4" w:space="0" w:color="auto"/>
              <w:right w:val="single" w:sz="4" w:space="0" w:color="auto"/>
            </w:tcBorders>
            <w:shd w:val="clear" w:color="auto" w:fill="auto"/>
            <w:noWrap/>
            <w:vAlign w:val="bottom"/>
            <w:hideMark/>
          </w:tcPr>
          <w:p w14:paraId="1D6D909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r>
      <w:tr w:rsidR="00A022DF" w:rsidRPr="00E87E42" w14:paraId="08E60D19" w14:textId="77777777" w:rsidTr="005839EF">
        <w:trPr>
          <w:trHeight w:val="227"/>
        </w:trPr>
        <w:tc>
          <w:tcPr>
            <w:tcW w:w="3714" w:type="pct"/>
            <w:gridSpan w:val="22"/>
            <w:tcBorders>
              <w:top w:val="single" w:sz="4" w:space="0" w:color="auto"/>
              <w:left w:val="single" w:sz="4" w:space="0" w:color="auto"/>
              <w:bottom w:val="single" w:sz="4" w:space="0" w:color="auto"/>
              <w:right w:val="single" w:sz="4" w:space="0" w:color="auto"/>
            </w:tcBorders>
            <w:shd w:val="clear" w:color="auto" w:fill="auto"/>
            <w:noWrap/>
            <w:vAlign w:val="bottom"/>
          </w:tcPr>
          <w:p w14:paraId="19741904" w14:textId="77777777" w:rsidR="00A022DF" w:rsidRPr="00E87E42" w:rsidRDefault="00A022DF" w:rsidP="00A022DF">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Total weighted area damage</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F070C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445.11</w:t>
            </w:r>
          </w:p>
        </w:tc>
        <w:tc>
          <w:tcPr>
            <w:tcW w:w="9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422DF87" w14:textId="77777777" w:rsidR="00A022DF" w:rsidRPr="00E87E42" w:rsidRDefault="00A022DF" w:rsidP="00A022DF">
            <w:pPr>
              <w:spacing w:after="0" w:line="240" w:lineRule="auto"/>
              <w:jc w:val="center"/>
              <w:rPr>
                <w:rFonts w:eastAsia="Times New Roman"/>
                <w:color w:val="000000"/>
                <w:sz w:val="16"/>
                <w:szCs w:val="16"/>
                <w:lang w:eastAsia="en-GB"/>
              </w:rPr>
            </w:pPr>
          </w:p>
        </w:tc>
      </w:tr>
    </w:tbl>
    <w:p w14:paraId="7C911D65" w14:textId="77777777" w:rsidR="00B61F61" w:rsidRPr="00E87E42" w:rsidRDefault="00B61F61" w:rsidP="00B61F61">
      <w:pPr>
        <w:spacing w:line="240" w:lineRule="auto"/>
      </w:pPr>
    </w:p>
    <w:p w14:paraId="1EA614E8" w14:textId="37178B5B" w:rsidR="00B61F61" w:rsidRPr="00E87E42" w:rsidRDefault="00B61F61" w:rsidP="008A55B5">
      <w:pPr>
        <w:spacing w:after="0" w:line="240" w:lineRule="auto"/>
        <w:jc w:val="left"/>
      </w:pPr>
    </w:p>
    <w:p w14:paraId="1D49EB7E" w14:textId="0E44D355" w:rsidR="00B61F61" w:rsidRPr="00E87E42" w:rsidRDefault="00B61F61" w:rsidP="008A55B5">
      <w:pPr>
        <w:spacing w:after="0" w:line="240" w:lineRule="auto"/>
        <w:jc w:val="left"/>
      </w:pPr>
    </w:p>
    <w:p w14:paraId="016C17E2" w14:textId="5459E062" w:rsidR="00B61F61" w:rsidRPr="00E87E42" w:rsidRDefault="00B61F61" w:rsidP="008A55B5">
      <w:pPr>
        <w:spacing w:after="0" w:line="240" w:lineRule="auto"/>
        <w:jc w:val="left"/>
      </w:pPr>
    </w:p>
    <w:p w14:paraId="1701F50F" w14:textId="70100E6B" w:rsidR="00B61F61" w:rsidRPr="00E87E42" w:rsidRDefault="00B61F61" w:rsidP="008A55B5">
      <w:pPr>
        <w:spacing w:after="0" w:line="240" w:lineRule="auto"/>
        <w:jc w:val="left"/>
      </w:pPr>
    </w:p>
    <w:p w14:paraId="330621EC" w14:textId="1F8915C6" w:rsidR="00B61F61" w:rsidRPr="00E87E42" w:rsidRDefault="00B61F61" w:rsidP="008A55B5">
      <w:pPr>
        <w:spacing w:after="0" w:line="240" w:lineRule="auto"/>
        <w:jc w:val="left"/>
      </w:pPr>
    </w:p>
    <w:p w14:paraId="69151F0D" w14:textId="3FDF2D50" w:rsidR="00B61F61" w:rsidRPr="00E87E42" w:rsidRDefault="00B61F61" w:rsidP="008A55B5">
      <w:pPr>
        <w:spacing w:after="0" w:line="240" w:lineRule="auto"/>
        <w:jc w:val="left"/>
      </w:pPr>
    </w:p>
    <w:p w14:paraId="6FDA34B2" w14:textId="13C057C6" w:rsidR="00B61F61" w:rsidRPr="00E87E42" w:rsidRDefault="00B61F61" w:rsidP="008A55B5">
      <w:pPr>
        <w:spacing w:after="0" w:line="240" w:lineRule="auto"/>
        <w:jc w:val="left"/>
      </w:pPr>
    </w:p>
    <w:p w14:paraId="54F3F42F" w14:textId="0DF45EEB" w:rsidR="00B61F61" w:rsidRPr="00E87E42" w:rsidRDefault="00B61F61" w:rsidP="008A55B5">
      <w:pPr>
        <w:spacing w:after="0" w:line="240" w:lineRule="auto"/>
        <w:jc w:val="left"/>
      </w:pPr>
    </w:p>
    <w:p w14:paraId="72EA1318" w14:textId="75B4AA35" w:rsidR="00B61F61" w:rsidRPr="00E87E42" w:rsidRDefault="00B61F61" w:rsidP="008A55B5">
      <w:pPr>
        <w:spacing w:after="0" w:line="240" w:lineRule="auto"/>
        <w:jc w:val="left"/>
      </w:pPr>
    </w:p>
    <w:p w14:paraId="2EF2B5C8" w14:textId="5CD4FE60" w:rsidR="00B61F61" w:rsidRPr="00E87E42" w:rsidRDefault="00B61F61" w:rsidP="008A55B5">
      <w:pPr>
        <w:spacing w:after="0" w:line="240" w:lineRule="auto"/>
        <w:jc w:val="left"/>
      </w:pPr>
    </w:p>
    <w:p w14:paraId="722F9239" w14:textId="36258E2E" w:rsidR="00B61F61" w:rsidRPr="00E87E42" w:rsidRDefault="00B61F61" w:rsidP="008A55B5">
      <w:pPr>
        <w:spacing w:after="0" w:line="240" w:lineRule="auto"/>
        <w:jc w:val="left"/>
      </w:pPr>
    </w:p>
    <w:p w14:paraId="3492B069" w14:textId="7567422C" w:rsidR="00B61F61" w:rsidRPr="00E87E42" w:rsidRDefault="00B61F61" w:rsidP="00B61F61">
      <w:pPr>
        <w:pStyle w:val="Caption"/>
        <w:spacing w:line="240" w:lineRule="auto"/>
      </w:pPr>
      <w:bookmarkStart w:id="62" w:name="_Ref518120566"/>
      <w:r w:rsidRPr="00E87E42">
        <w:t xml:space="preserve">Table </w:t>
      </w:r>
      <w:r w:rsidR="00BC5ED7" w:rsidRPr="00E87E42">
        <w:rPr>
          <w:noProof/>
        </w:rPr>
        <w:fldChar w:fldCharType="begin"/>
      </w:r>
      <w:r w:rsidR="00BC5ED7" w:rsidRPr="00E87E42">
        <w:rPr>
          <w:noProof/>
        </w:rPr>
        <w:instrText xml:space="preserve"> SEQ Table \* ROMAN\n </w:instrText>
      </w:r>
      <w:r w:rsidR="00BC5ED7" w:rsidRPr="00E87E42">
        <w:rPr>
          <w:noProof/>
        </w:rPr>
        <w:fldChar w:fldCharType="separate"/>
      </w:r>
      <w:r w:rsidR="009F6872">
        <w:rPr>
          <w:noProof/>
        </w:rPr>
        <w:t>III</w:t>
      </w:r>
      <w:r w:rsidR="00BC5ED7" w:rsidRPr="00E87E42">
        <w:rPr>
          <w:noProof/>
        </w:rPr>
        <w:fldChar w:fldCharType="end"/>
      </w:r>
      <w:bookmarkEnd w:id="62"/>
      <w:r w:rsidRPr="00E87E42">
        <w:t>: Storage: area damage and fire spread according to damage class; and fire frequency with respect to fire spread in presence and absence of automatic extinguishing systems in USA fire statistics, with weighted are damage, and frequency for fires and unclassified damage fires in the USA fire statistics.</w:t>
      </w:r>
    </w:p>
    <w:tbl>
      <w:tblPr>
        <w:tblW w:w="5000" w:type="pct"/>
        <w:tblCellMar>
          <w:top w:w="28" w:type="dxa"/>
          <w:left w:w="34" w:type="dxa"/>
          <w:bottom w:w="28" w:type="dxa"/>
          <w:right w:w="34" w:type="dxa"/>
        </w:tblCellMar>
        <w:tblLook w:val="04A0" w:firstRow="1" w:lastRow="0" w:firstColumn="1" w:lastColumn="0" w:noHBand="0" w:noVBand="1"/>
      </w:tblPr>
      <w:tblGrid>
        <w:gridCol w:w="162"/>
        <w:gridCol w:w="339"/>
        <w:gridCol w:w="338"/>
        <w:gridCol w:w="703"/>
        <w:gridCol w:w="614"/>
        <w:gridCol w:w="467"/>
        <w:gridCol w:w="470"/>
        <w:gridCol w:w="338"/>
        <w:gridCol w:w="614"/>
        <w:gridCol w:w="617"/>
        <w:gridCol w:w="467"/>
        <w:gridCol w:w="467"/>
        <w:gridCol w:w="338"/>
        <w:gridCol w:w="614"/>
        <w:gridCol w:w="617"/>
        <w:gridCol w:w="467"/>
        <w:gridCol w:w="467"/>
        <w:gridCol w:w="338"/>
        <w:gridCol w:w="614"/>
        <w:gridCol w:w="703"/>
        <w:gridCol w:w="467"/>
        <w:gridCol w:w="381"/>
        <w:gridCol w:w="1101"/>
        <w:gridCol w:w="614"/>
        <w:gridCol w:w="703"/>
        <w:gridCol w:w="614"/>
        <w:gridCol w:w="706"/>
      </w:tblGrid>
      <w:tr w:rsidR="00B61F61" w:rsidRPr="00E87E42" w14:paraId="0C529E29" w14:textId="77777777" w:rsidTr="005839EF">
        <w:trPr>
          <w:trHeight w:val="227"/>
        </w:trPr>
        <w:tc>
          <w:tcPr>
            <w:tcW w:w="56" w:type="pct"/>
            <w:tcBorders>
              <w:top w:val="nil"/>
              <w:left w:val="nil"/>
              <w:bottom w:val="nil"/>
              <w:right w:val="nil"/>
            </w:tcBorders>
            <w:shd w:val="clear" w:color="auto" w:fill="auto"/>
            <w:noWrap/>
            <w:vAlign w:val="bottom"/>
            <w:hideMark/>
          </w:tcPr>
          <w:p w14:paraId="7A86756C" w14:textId="77777777" w:rsidR="00B61F61" w:rsidRPr="00E87E42" w:rsidRDefault="00B61F61" w:rsidP="005839EF">
            <w:pPr>
              <w:spacing w:after="0" w:line="240" w:lineRule="auto"/>
              <w:jc w:val="left"/>
              <w:rPr>
                <w:rFonts w:eastAsia="Times New Roman"/>
                <w:sz w:val="16"/>
                <w:szCs w:val="16"/>
                <w:lang w:eastAsia="en-GB"/>
              </w:rPr>
            </w:pPr>
          </w:p>
        </w:tc>
        <w:tc>
          <w:tcPr>
            <w:tcW w:w="4944" w:type="pct"/>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53AE4E" w14:textId="77777777" w:rsidR="00B61F61" w:rsidRPr="00E87E42" w:rsidRDefault="00B61F61" w:rsidP="005839EF">
            <w:pPr>
              <w:spacing w:after="0" w:line="240" w:lineRule="auto"/>
              <w:jc w:val="center"/>
              <w:rPr>
                <w:rFonts w:eastAsia="Times New Roman"/>
                <w:b/>
                <w:bCs/>
                <w:color w:val="000000"/>
                <w:sz w:val="16"/>
                <w:szCs w:val="16"/>
                <w:u w:val="single"/>
                <w:lang w:eastAsia="en-GB"/>
              </w:rPr>
            </w:pPr>
            <w:r w:rsidRPr="00E87E42">
              <w:rPr>
                <w:rFonts w:eastAsia="Times New Roman"/>
                <w:b/>
                <w:bCs/>
                <w:color w:val="000000"/>
                <w:sz w:val="16"/>
                <w:szCs w:val="16"/>
                <w:u w:val="single"/>
                <w:lang w:eastAsia="en-GB"/>
              </w:rPr>
              <w:t xml:space="preserve">Sprinklers - Area damage </w:t>
            </w:r>
            <w:r w:rsidRPr="00E87E42">
              <w:rPr>
                <w:rFonts w:eastAsia="Times New Roman"/>
                <w:b/>
                <w:color w:val="000000"/>
                <w:sz w:val="16"/>
                <w:szCs w:val="16"/>
                <w:u w:val="single"/>
                <w:lang w:eastAsia="en-GB"/>
              </w:rPr>
              <w:t>m</w:t>
            </w:r>
            <w:r w:rsidRPr="00E87E42">
              <w:rPr>
                <w:rFonts w:eastAsia="Times New Roman"/>
                <w:b/>
                <w:color w:val="000000"/>
                <w:sz w:val="16"/>
                <w:szCs w:val="16"/>
                <w:u w:val="single"/>
                <w:vertAlign w:val="superscript"/>
                <w:lang w:eastAsia="en-GB"/>
              </w:rPr>
              <w:t>2</w:t>
            </w:r>
          </w:p>
        </w:tc>
      </w:tr>
      <w:tr w:rsidR="00B61F61" w:rsidRPr="00E87E42" w14:paraId="7D0D9D6D" w14:textId="77777777" w:rsidTr="005839EF">
        <w:trPr>
          <w:trHeight w:val="227"/>
        </w:trPr>
        <w:tc>
          <w:tcPr>
            <w:tcW w:w="56" w:type="pct"/>
            <w:tcBorders>
              <w:top w:val="nil"/>
              <w:left w:val="nil"/>
              <w:bottom w:val="nil"/>
              <w:right w:val="nil"/>
            </w:tcBorders>
            <w:shd w:val="clear" w:color="auto" w:fill="auto"/>
            <w:noWrap/>
            <w:vAlign w:val="bottom"/>
            <w:hideMark/>
          </w:tcPr>
          <w:p w14:paraId="588A4ABB" w14:textId="77777777" w:rsidR="00B61F61" w:rsidRPr="00E87E42" w:rsidRDefault="00B61F61" w:rsidP="005839EF">
            <w:pPr>
              <w:spacing w:after="0" w:line="240" w:lineRule="auto"/>
              <w:jc w:val="center"/>
              <w:rPr>
                <w:rFonts w:eastAsia="Times New Roman"/>
                <w:b/>
                <w:bCs/>
                <w:color w:val="000000"/>
                <w:sz w:val="16"/>
                <w:szCs w:val="16"/>
                <w:u w:val="single"/>
                <w:lang w:eastAsia="en-GB"/>
              </w:rPr>
            </w:pPr>
          </w:p>
        </w:tc>
        <w:tc>
          <w:tcPr>
            <w:tcW w:w="118" w:type="pct"/>
            <w:vMerge w:val="restart"/>
            <w:tcBorders>
              <w:top w:val="nil"/>
              <w:left w:val="single" w:sz="4" w:space="0" w:color="auto"/>
              <w:bottom w:val="nil"/>
              <w:right w:val="single" w:sz="4" w:space="0" w:color="auto"/>
            </w:tcBorders>
            <w:shd w:val="clear" w:color="auto" w:fill="auto"/>
            <w:noWrap/>
            <w:vAlign w:val="center"/>
            <w:hideMark/>
          </w:tcPr>
          <w:p w14:paraId="4C61DED8"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w:t>
            </w:r>
          </w:p>
        </w:tc>
        <w:tc>
          <w:tcPr>
            <w:tcW w:w="904"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61AEE86C" w14:textId="77777777" w:rsidR="00B61F61" w:rsidRPr="00E87E42" w:rsidRDefault="00B61F61" w:rsidP="005839E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Minor</w:t>
            </w:r>
          </w:p>
        </w:tc>
        <w:tc>
          <w:tcPr>
            <w:tcW w:w="873"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0E175CEA" w14:textId="77777777" w:rsidR="00B61F61" w:rsidRPr="00E87E42" w:rsidRDefault="00B61F61" w:rsidP="005839E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Significantly</w:t>
            </w:r>
          </w:p>
        </w:tc>
        <w:tc>
          <w:tcPr>
            <w:tcW w:w="873"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31544324" w14:textId="77777777" w:rsidR="00B61F61" w:rsidRPr="00E87E42" w:rsidRDefault="00B61F61" w:rsidP="005839E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Heavy</w:t>
            </w:r>
          </w:p>
        </w:tc>
        <w:tc>
          <w:tcPr>
            <w:tcW w:w="873"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08A09685" w14:textId="77777777" w:rsidR="00B61F61" w:rsidRPr="00E87E42" w:rsidRDefault="00B61F61" w:rsidP="005839E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Extreme</w:t>
            </w:r>
          </w:p>
        </w:tc>
        <w:tc>
          <w:tcPr>
            <w:tcW w:w="384" w:type="pct"/>
            <w:vMerge w:val="restart"/>
            <w:tcBorders>
              <w:top w:val="nil"/>
              <w:left w:val="single" w:sz="4" w:space="0" w:color="auto"/>
              <w:bottom w:val="nil"/>
              <w:right w:val="single" w:sz="4" w:space="0" w:color="auto"/>
            </w:tcBorders>
            <w:shd w:val="clear" w:color="auto" w:fill="auto"/>
            <w:noWrap/>
            <w:vAlign w:val="center"/>
            <w:hideMark/>
          </w:tcPr>
          <w:p w14:paraId="13BB2903" w14:textId="77777777" w:rsidR="00B61F61" w:rsidRPr="00E87E42" w:rsidRDefault="00B61F61" w:rsidP="005839E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Weighted area</w:t>
            </w:r>
          </w:p>
          <w:p w14:paraId="0E211084" w14:textId="77777777" w:rsidR="00B61F61" w:rsidRPr="00E87E42" w:rsidRDefault="00B61F61" w:rsidP="005839E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 xml:space="preserve"> damage</w:t>
            </w:r>
          </w:p>
          <w:p w14:paraId="258342D0"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459"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37A6FB82"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60"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C0B6AD1"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F+U</w:t>
            </w:r>
          </w:p>
        </w:tc>
      </w:tr>
      <w:tr w:rsidR="00B61F61" w:rsidRPr="00E87E42" w14:paraId="3DD3890B" w14:textId="77777777" w:rsidTr="005839EF">
        <w:trPr>
          <w:trHeight w:val="227"/>
        </w:trPr>
        <w:tc>
          <w:tcPr>
            <w:tcW w:w="56" w:type="pct"/>
            <w:tcBorders>
              <w:top w:val="nil"/>
              <w:left w:val="nil"/>
              <w:bottom w:val="nil"/>
              <w:right w:val="nil"/>
            </w:tcBorders>
            <w:shd w:val="clear" w:color="auto" w:fill="auto"/>
            <w:noWrap/>
            <w:vAlign w:val="bottom"/>
            <w:hideMark/>
          </w:tcPr>
          <w:p w14:paraId="0E5D6612" w14:textId="77777777" w:rsidR="00B61F61" w:rsidRPr="00E87E42" w:rsidRDefault="00B61F61" w:rsidP="005839EF">
            <w:pPr>
              <w:spacing w:after="0" w:line="240" w:lineRule="auto"/>
              <w:jc w:val="center"/>
              <w:rPr>
                <w:rFonts w:eastAsia="Times New Roman"/>
                <w:color w:val="000000"/>
                <w:sz w:val="16"/>
                <w:szCs w:val="16"/>
                <w:lang w:eastAsia="en-GB"/>
              </w:rPr>
            </w:pPr>
          </w:p>
        </w:tc>
        <w:tc>
          <w:tcPr>
            <w:tcW w:w="118" w:type="pct"/>
            <w:vMerge/>
            <w:tcBorders>
              <w:top w:val="nil"/>
              <w:left w:val="single" w:sz="4" w:space="0" w:color="auto"/>
              <w:bottom w:val="nil"/>
              <w:right w:val="single" w:sz="4" w:space="0" w:color="auto"/>
            </w:tcBorders>
            <w:vAlign w:val="center"/>
            <w:hideMark/>
          </w:tcPr>
          <w:p w14:paraId="3021839A" w14:textId="77777777" w:rsidR="00B61F61" w:rsidRPr="00E87E42" w:rsidRDefault="00B61F61" w:rsidP="005839EF">
            <w:pPr>
              <w:spacing w:after="0" w:line="240" w:lineRule="auto"/>
              <w:jc w:val="left"/>
              <w:rPr>
                <w:rFonts w:eastAsia="Times New Roman"/>
                <w:color w:val="000000"/>
                <w:sz w:val="16"/>
                <w:szCs w:val="16"/>
                <w:lang w:eastAsia="en-GB"/>
              </w:rPr>
            </w:pPr>
          </w:p>
        </w:tc>
        <w:tc>
          <w:tcPr>
            <w:tcW w:w="118" w:type="pct"/>
            <w:vMerge w:val="restart"/>
            <w:tcBorders>
              <w:top w:val="nil"/>
              <w:left w:val="single" w:sz="4" w:space="0" w:color="auto"/>
              <w:bottom w:val="nil"/>
              <w:right w:val="nil"/>
            </w:tcBorders>
            <w:shd w:val="clear" w:color="auto" w:fill="auto"/>
            <w:noWrap/>
            <w:vAlign w:val="center"/>
            <w:hideMark/>
          </w:tcPr>
          <w:p w14:paraId="10C2743A"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F1A147"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63" w:type="pct"/>
            <w:vMerge w:val="restart"/>
            <w:tcBorders>
              <w:top w:val="nil"/>
              <w:left w:val="single" w:sz="4" w:space="0" w:color="auto"/>
              <w:bottom w:val="nil"/>
              <w:right w:val="single" w:sz="4" w:space="0" w:color="auto"/>
            </w:tcBorders>
            <w:shd w:val="clear" w:color="auto" w:fill="auto"/>
            <w:noWrap/>
            <w:vAlign w:val="center"/>
            <w:hideMark/>
          </w:tcPr>
          <w:p w14:paraId="66C4C9DA"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26809EB7"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4" w:type="pct"/>
            <w:vMerge w:val="restart"/>
            <w:tcBorders>
              <w:top w:val="nil"/>
              <w:left w:val="single" w:sz="4" w:space="0" w:color="auto"/>
              <w:bottom w:val="nil"/>
              <w:right w:val="single" w:sz="4" w:space="0" w:color="auto"/>
            </w:tcBorders>
            <w:shd w:val="clear" w:color="auto" w:fill="auto"/>
            <w:noWrap/>
            <w:vAlign w:val="center"/>
            <w:hideMark/>
          </w:tcPr>
          <w:p w14:paraId="2F55A940"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044ABCC4"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18" w:type="pct"/>
            <w:vMerge w:val="restart"/>
            <w:tcBorders>
              <w:top w:val="nil"/>
              <w:left w:val="single" w:sz="4" w:space="0" w:color="auto"/>
              <w:bottom w:val="nil"/>
              <w:right w:val="single" w:sz="4" w:space="0" w:color="auto"/>
            </w:tcBorders>
            <w:shd w:val="clear" w:color="auto" w:fill="auto"/>
            <w:noWrap/>
            <w:vAlign w:val="center"/>
            <w:hideMark/>
          </w:tcPr>
          <w:p w14:paraId="42386DBD"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9D6D0E4"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63" w:type="pct"/>
            <w:vMerge w:val="restart"/>
            <w:tcBorders>
              <w:top w:val="nil"/>
              <w:left w:val="single" w:sz="4" w:space="0" w:color="auto"/>
              <w:bottom w:val="nil"/>
              <w:right w:val="single" w:sz="4" w:space="0" w:color="auto"/>
            </w:tcBorders>
            <w:shd w:val="clear" w:color="auto" w:fill="auto"/>
            <w:noWrap/>
            <w:vAlign w:val="center"/>
            <w:hideMark/>
          </w:tcPr>
          <w:p w14:paraId="11187D84"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7393FDC0"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3" w:type="pct"/>
            <w:vMerge w:val="restart"/>
            <w:tcBorders>
              <w:top w:val="nil"/>
              <w:left w:val="single" w:sz="4" w:space="0" w:color="auto"/>
              <w:bottom w:val="nil"/>
              <w:right w:val="single" w:sz="4" w:space="0" w:color="auto"/>
            </w:tcBorders>
            <w:shd w:val="clear" w:color="auto" w:fill="auto"/>
            <w:noWrap/>
            <w:vAlign w:val="center"/>
            <w:hideMark/>
          </w:tcPr>
          <w:p w14:paraId="0F7AB5ED"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71A1EC48"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18" w:type="pct"/>
            <w:vMerge w:val="restart"/>
            <w:tcBorders>
              <w:top w:val="nil"/>
              <w:left w:val="single" w:sz="4" w:space="0" w:color="auto"/>
              <w:bottom w:val="nil"/>
              <w:right w:val="single" w:sz="4" w:space="0" w:color="auto"/>
            </w:tcBorders>
            <w:shd w:val="clear" w:color="auto" w:fill="auto"/>
            <w:noWrap/>
            <w:vAlign w:val="center"/>
            <w:hideMark/>
          </w:tcPr>
          <w:p w14:paraId="6BF28648"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5216695F"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63" w:type="pct"/>
            <w:vMerge w:val="restart"/>
            <w:tcBorders>
              <w:top w:val="nil"/>
              <w:left w:val="single" w:sz="4" w:space="0" w:color="auto"/>
              <w:bottom w:val="nil"/>
              <w:right w:val="single" w:sz="4" w:space="0" w:color="auto"/>
            </w:tcBorders>
            <w:shd w:val="clear" w:color="auto" w:fill="auto"/>
            <w:noWrap/>
            <w:vAlign w:val="center"/>
            <w:hideMark/>
          </w:tcPr>
          <w:p w14:paraId="40D54D09"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51F91ED8"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3" w:type="pct"/>
            <w:vMerge w:val="restart"/>
            <w:tcBorders>
              <w:top w:val="nil"/>
              <w:left w:val="single" w:sz="4" w:space="0" w:color="auto"/>
              <w:bottom w:val="nil"/>
              <w:right w:val="single" w:sz="4" w:space="0" w:color="auto"/>
            </w:tcBorders>
            <w:shd w:val="clear" w:color="auto" w:fill="auto"/>
            <w:noWrap/>
            <w:vAlign w:val="center"/>
            <w:hideMark/>
          </w:tcPr>
          <w:p w14:paraId="5D2136BC"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5E3DA436"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18" w:type="pct"/>
            <w:vMerge w:val="restart"/>
            <w:tcBorders>
              <w:top w:val="nil"/>
              <w:left w:val="single" w:sz="4" w:space="0" w:color="auto"/>
              <w:bottom w:val="nil"/>
              <w:right w:val="single" w:sz="4" w:space="0" w:color="auto"/>
            </w:tcBorders>
            <w:shd w:val="clear" w:color="auto" w:fill="auto"/>
            <w:noWrap/>
            <w:vAlign w:val="center"/>
            <w:hideMark/>
          </w:tcPr>
          <w:p w14:paraId="7DD18441"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9" w:type="pct"/>
            <w:gridSpan w:val="2"/>
            <w:tcBorders>
              <w:top w:val="single" w:sz="4" w:space="0" w:color="auto"/>
              <w:left w:val="nil"/>
              <w:bottom w:val="nil"/>
              <w:right w:val="single" w:sz="4" w:space="0" w:color="000000"/>
            </w:tcBorders>
            <w:shd w:val="clear" w:color="auto" w:fill="auto"/>
            <w:noWrap/>
            <w:vAlign w:val="bottom"/>
            <w:hideMark/>
          </w:tcPr>
          <w:p w14:paraId="69CBAD3E"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63" w:type="pct"/>
            <w:vMerge w:val="restart"/>
            <w:tcBorders>
              <w:top w:val="nil"/>
              <w:left w:val="single" w:sz="4" w:space="0" w:color="auto"/>
              <w:bottom w:val="nil"/>
              <w:right w:val="single" w:sz="4" w:space="0" w:color="auto"/>
            </w:tcBorders>
            <w:shd w:val="clear" w:color="auto" w:fill="auto"/>
            <w:noWrap/>
            <w:vAlign w:val="center"/>
            <w:hideMark/>
          </w:tcPr>
          <w:p w14:paraId="45C218A3"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4237FB62"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33" w:type="pct"/>
            <w:vMerge w:val="restart"/>
            <w:tcBorders>
              <w:top w:val="nil"/>
              <w:left w:val="single" w:sz="4" w:space="0" w:color="auto"/>
              <w:bottom w:val="nil"/>
              <w:right w:val="single" w:sz="4" w:space="0" w:color="auto"/>
            </w:tcBorders>
            <w:shd w:val="clear" w:color="auto" w:fill="auto"/>
            <w:noWrap/>
            <w:vAlign w:val="center"/>
            <w:hideMark/>
          </w:tcPr>
          <w:p w14:paraId="78B3B417"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2110E03A"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384" w:type="pct"/>
            <w:vMerge/>
            <w:tcBorders>
              <w:top w:val="nil"/>
              <w:left w:val="single" w:sz="4" w:space="0" w:color="auto"/>
              <w:bottom w:val="nil"/>
              <w:right w:val="single" w:sz="4" w:space="0" w:color="auto"/>
            </w:tcBorders>
            <w:vAlign w:val="center"/>
            <w:hideMark/>
          </w:tcPr>
          <w:p w14:paraId="1F76CCF1" w14:textId="77777777" w:rsidR="00B61F61" w:rsidRPr="00E87E42" w:rsidRDefault="00B61F61" w:rsidP="005839EF">
            <w:pPr>
              <w:spacing w:after="0" w:line="240" w:lineRule="auto"/>
              <w:jc w:val="left"/>
              <w:rPr>
                <w:rFonts w:eastAsia="Times New Roman"/>
                <w:color w:val="000000"/>
                <w:sz w:val="16"/>
                <w:szCs w:val="16"/>
                <w:lang w:eastAsia="en-GB"/>
              </w:rPr>
            </w:pPr>
          </w:p>
        </w:tc>
        <w:tc>
          <w:tcPr>
            <w:tcW w:w="459" w:type="pct"/>
            <w:gridSpan w:val="2"/>
            <w:vMerge/>
            <w:tcBorders>
              <w:top w:val="single" w:sz="4" w:space="0" w:color="auto"/>
              <w:left w:val="single" w:sz="4" w:space="0" w:color="auto"/>
              <w:bottom w:val="single" w:sz="4" w:space="0" w:color="000000"/>
              <w:right w:val="nil"/>
            </w:tcBorders>
            <w:vAlign w:val="center"/>
            <w:hideMark/>
          </w:tcPr>
          <w:p w14:paraId="2BA0F20C" w14:textId="77777777" w:rsidR="00B61F61" w:rsidRPr="00E87E42" w:rsidRDefault="00B61F61" w:rsidP="005839EF">
            <w:pPr>
              <w:spacing w:after="0" w:line="240" w:lineRule="auto"/>
              <w:jc w:val="left"/>
              <w:rPr>
                <w:rFonts w:eastAsia="Times New Roman"/>
                <w:color w:val="000000"/>
                <w:sz w:val="16"/>
                <w:szCs w:val="16"/>
                <w:lang w:eastAsia="en-GB"/>
              </w:rPr>
            </w:pPr>
          </w:p>
        </w:tc>
        <w:tc>
          <w:tcPr>
            <w:tcW w:w="460" w:type="pct"/>
            <w:gridSpan w:val="2"/>
            <w:vMerge/>
            <w:tcBorders>
              <w:top w:val="single" w:sz="4" w:space="0" w:color="auto"/>
              <w:left w:val="single" w:sz="4" w:space="0" w:color="auto"/>
              <w:bottom w:val="single" w:sz="4" w:space="0" w:color="000000"/>
              <w:right w:val="single" w:sz="4" w:space="0" w:color="000000"/>
            </w:tcBorders>
            <w:vAlign w:val="center"/>
            <w:hideMark/>
          </w:tcPr>
          <w:p w14:paraId="58728E8C" w14:textId="77777777" w:rsidR="00B61F61" w:rsidRPr="00E87E42" w:rsidRDefault="00B61F61" w:rsidP="005839EF">
            <w:pPr>
              <w:spacing w:after="0" w:line="240" w:lineRule="auto"/>
              <w:jc w:val="left"/>
              <w:rPr>
                <w:rFonts w:eastAsia="Times New Roman"/>
                <w:color w:val="000000"/>
                <w:sz w:val="16"/>
                <w:szCs w:val="16"/>
                <w:lang w:eastAsia="en-GB"/>
              </w:rPr>
            </w:pPr>
          </w:p>
        </w:tc>
      </w:tr>
      <w:tr w:rsidR="00AD472B" w:rsidRPr="00E87E42" w14:paraId="31A5A3D0" w14:textId="77777777" w:rsidTr="00A446AC">
        <w:trPr>
          <w:trHeight w:val="227"/>
        </w:trPr>
        <w:tc>
          <w:tcPr>
            <w:tcW w:w="56" w:type="pct"/>
            <w:tcBorders>
              <w:top w:val="nil"/>
              <w:left w:val="nil"/>
              <w:bottom w:val="single" w:sz="4" w:space="0" w:color="auto"/>
              <w:right w:val="nil"/>
            </w:tcBorders>
            <w:shd w:val="clear" w:color="auto" w:fill="auto"/>
            <w:noWrap/>
            <w:vAlign w:val="bottom"/>
            <w:hideMark/>
          </w:tcPr>
          <w:p w14:paraId="773D525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w:t>
            </w:r>
          </w:p>
        </w:tc>
        <w:tc>
          <w:tcPr>
            <w:tcW w:w="118" w:type="pct"/>
            <w:vMerge/>
            <w:tcBorders>
              <w:top w:val="nil"/>
              <w:left w:val="single" w:sz="4" w:space="0" w:color="auto"/>
              <w:bottom w:val="nil"/>
              <w:right w:val="single" w:sz="4" w:space="0" w:color="auto"/>
            </w:tcBorders>
            <w:vAlign w:val="center"/>
            <w:hideMark/>
          </w:tcPr>
          <w:p w14:paraId="068C0024"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18" w:type="pct"/>
            <w:vMerge/>
            <w:tcBorders>
              <w:top w:val="nil"/>
              <w:left w:val="single" w:sz="4" w:space="0" w:color="auto"/>
              <w:bottom w:val="nil"/>
              <w:right w:val="nil"/>
            </w:tcBorders>
            <w:vAlign w:val="center"/>
            <w:hideMark/>
          </w:tcPr>
          <w:p w14:paraId="43EE0B5E"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45" w:type="pct"/>
            <w:tcBorders>
              <w:top w:val="nil"/>
              <w:left w:val="single" w:sz="4" w:space="0" w:color="auto"/>
              <w:bottom w:val="nil"/>
              <w:right w:val="single" w:sz="4" w:space="0" w:color="auto"/>
            </w:tcBorders>
            <w:shd w:val="clear" w:color="auto" w:fill="auto"/>
            <w:noWrap/>
            <w:vAlign w:val="bottom"/>
            <w:hideMark/>
          </w:tcPr>
          <w:p w14:paraId="1E36E806" w14:textId="06008C0E"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4" w:type="pct"/>
            <w:tcBorders>
              <w:top w:val="nil"/>
              <w:left w:val="nil"/>
              <w:bottom w:val="nil"/>
              <w:right w:val="single" w:sz="4" w:space="0" w:color="auto"/>
            </w:tcBorders>
            <w:shd w:val="clear" w:color="auto" w:fill="auto"/>
            <w:noWrap/>
            <w:vAlign w:val="bottom"/>
            <w:hideMark/>
          </w:tcPr>
          <w:p w14:paraId="3B6FDD9C" w14:textId="5E09B35A"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63" w:type="pct"/>
            <w:vMerge/>
            <w:tcBorders>
              <w:top w:val="nil"/>
              <w:left w:val="single" w:sz="4" w:space="0" w:color="auto"/>
              <w:bottom w:val="nil"/>
              <w:right w:val="single" w:sz="4" w:space="0" w:color="auto"/>
            </w:tcBorders>
            <w:vAlign w:val="center"/>
            <w:hideMark/>
          </w:tcPr>
          <w:p w14:paraId="4D9582B0"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4" w:type="pct"/>
            <w:vMerge/>
            <w:tcBorders>
              <w:top w:val="nil"/>
              <w:left w:val="single" w:sz="4" w:space="0" w:color="auto"/>
              <w:bottom w:val="nil"/>
              <w:right w:val="single" w:sz="4" w:space="0" w:color="auto"/>
            </w:tcBorders>
            <w:vAlign w:val="center"/>
            <w:hideMark/>
          </w:tcPr>
          <w:p w14:paraId="7BC36BAE"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18" w:type="pct"/>
            <w:vMerge/>
            <w:tcBorders>
              <w:top w:val="nil"/>
              <w:left w:val="single" w:sz="4" w:space="0" w:color="auto"/>
              <w:bottom w:val="nil"/>
              <w:right w:val="single" w:sz="4" w:space="0" w:color="auto"/>
            </w:tcBorders>
            <w:vAlign w:val="center"/>
            <w:hideMark/>
          </w:tcPr>
          <w:p w14:paraId="1306F8EF"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4" w:type="pct"/>
            <w:tcBorders>
              <w:top w:val="nil"/>
              <w:left w:val="nil"/>
              <w:bottom w:val="nil"/>
              <w:right w:val="single" w:sz="4" w:space="0" w:color="auto"/>
            </w:tcBorders>
            <w:shd w:val="clear" w:color="auto" w:fill="auto"/>
            <w:noWrap/>
            <w:vAlign w:val="bottom"/>
            <w:hideMark/>
          </w:tcPr>
          <w:p w14:paraId="0D88B315" w14:textId="35325B5D"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5" w:type="pct"/>
            <w:tcBorders>
              <w:top w:val="nil"/>
              <w:left w:val="nil"/>
              <w:bottom w:val="nil"/>
              <w:right w:val="single" w:sz="4" w:space="0" w:color="auto"/>
            </w:tcBorders>
            <w:shd w:val="clear" w:color="auto" w:fill="auto"/>
            <w:noWrap/>
            <w:vAlign w:val="bottom"/>
            <w:hideMark/>
          </w:tcPr>
          <w:p w14:paraId="504AE054" w14:textId="67E7C631"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63" w:type="pct"/>
            <w:vMerge/>
            <w:tcBorders>
              <w:top w:val="nil"/>
              <w:left w:val="single" w:sz="4" w:space="0" w:color="auto"/>
              <w:bottom w:val="nil"/>
              <w:right w:val="single" w:sz="4" w:space="0" w:color="auto"/>
            </w:tcBorders>
            <w:vAlign w:val="center"/>
            <w:hideMark/>
          </w:tcPr>
          <w:p w14:paraId="638CDD17"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3" w:type="pct"/>
            <w:vMerge/>
            <w:tcBorders>
              <w:top w:val="nil"/>
              <w:left w:val="single" w:sz="4" w:space="0" w:color="auto"/>
              <w:bottom w:val="nil"/>
              <w:right w:val="single" w:sz="4" w:space="0" w:color="auto"/>
            </w:tcBorders>
            <w:vAlign w:val="center"/>
            <w:hideMark/>
          </w:tcPr>
          <w:p w14:paraId="2E0AAEBF"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18" w:type="pct"/>
            <w:vMerge/>
            <w:tcBorders>
              <w:top w:val="nil"/>
              <w:left w:val="single" w:sz="4" w:space="0" w:color="auto"/>
              <w:bottom w:val="nil"/>
              <w:right w:val="single" w:sz="4" w:space="0" w:color="auto"/>
            </w:tcBorders>
            <w:vAlign w:val="center"/>
            <w:hideMark/>
          </w:tcPr>
          <w:p w14:paraId="6ADEA4BC"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4" w:type="pct"/>
            <w:tcBorders>
              <w:top w:val="nil"/>
              <w:left w:val="nil"/>
              <w:bottom w:val="nil"/>
              <w:right w:val="single" w:sz="4" w:space="0" w:color="auto"/>
            </w:tcBorders>
            <w:shd w:val="clear" w:color="auto" w:fill="auto"/>
            <w:noWrap/>
            <w:vAlign w:val="bottom"/>
            <w:hideMark/>
          </w:tcPr>
          <w:p w14:paraId="7A62A7D8" w14:textId="41AB239C"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5" w:type="pct"/>
            <w:tcBorders>
              <w:top w:val="nil"/>
              <w:left w:val="nil"/>
              <w:bottom w:val="nil"/>
              <w:right w:val="single" w:sz="4" w:space="0" w:color="auto"/>
            </w:tcBorders>
            <w:shd w:val="clear" w:color="auto" w:fill="auto"/>
            <w:noWrap/>
            <w:vAlign w:val="bottom"/>
            <w:hideMark/>
          </w:tcPr>
          <w:p w14:paraId="35CE0ADF" w14:textId="5D820165"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63" w:type="pct"/>
            <w:vMerge/>
            <w:tcBorders>
              <w:top w:val="nil"/>
              <w:left w:val="single" w:sz="4" w:space="0" w:color="auto"/>
              <w:bottom w:val="nil"/>
              <w:right w:val="single" w:sz="4" w:space="0" w:color="auto"/>
            </w:tcBorders>
            <w:vAlign w:val="center"/>
            <w:hideMark/>
          </w:tcPr>
          <w:p w14:paraId="3C83DB2A"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3" w:type="pct"/>
            <w:vMerge/>
            <w:tcBorders>
              <w:top w:val="nil"/>
              <w:left w:val="single" w:sz="4" w:space="0" w:color="auto"/>
              <w:bottom w:val="nil"/>
              <w:right w:val="single" w:sz="4" w:space="0" w:color="auto"/>
            </w:tcBorders>
            <w:vAlign w:val="center"/>
            <w:hideMark/>
          </w:tcPr>
          <w:p w14:paraId="297B9F0B"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18" w:type="pct"/>
            <w:vMerge/>
            <w:tcBorders>
              <w:top w:val="nil"/>
              <w:left w:val="single" w:sz="4" w:space="0" w:color="auto"/>
              <w:bottom w:val="nil"/>
              <w:right w:val="single" w:sz="4" w:space="0" w:color="auto"/>
            </w:tcBorders>
            <w:vAlign w:val="center"/>
            <w:hideMark/>
          </w:tcPr>
          <w:p w14:paraId="06913919"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4" w:type="pct"/>
            <w:tcBorders>
              <w:top w:val="single" w:sz="4" w:space="0" w:color="auto"/>
              <w:left w:val="nil"/>
              <w:bottom w:val="nil"/>
              <w:right w:val="single" w:sz="4" w:space="0" w:color="auto"/>
            </w:tcBorders>
            <w:shd w:val="clear" w:color="auto" w:fill="auto"/>
            <w:noWrap/>
            <w:vAlign w:val="bottom"/>
            <w:hideMark/>
          </w:tcPr>
          <w:p w14:paraId="0C482E3B" w14:textId="5F7C64D8"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45" w:type="pct"/>
            <w:tcBorders>
              <w:top w:val="single" w:sz="4" w:space="0" w:color="auto"/>
              <w:left w:val="nil"/>
              <w:bottom w:val="nil"/>
              <w:right w:val="single" w:sz="4" w:space="0" w:color="auto"/>
            </w:tcBorders>
            <w:shd w:val="clear" w:color="auto" w:fill="auto"/>
            <w:noWrap/>
            <w:vAlign w:val="bottom"/>
            <w:hideMark/>
          </w:tcPr>
          <w:p w14:paraId="48223F1C" w14:textId="4235948D"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63" w:type="pct"/>
            <w:vMerge/>
            <w:tcBorders>
              <w:top w:val="nil"/>
              <w:left w:val="single" w:sz="4" w:space="0" w:color="auto"/>
              <w:bottom w:val="nil"/>
              <w:right w:val="single" w:sz="4" w:space="0" w:color="auto"/>
            </w:tcBorders>
            <w:vAlign w:val="center"/>
            <w:hideMark/>
          </w:tcPr>
          <w:p w14:paraId="64DBFF6B"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33" w:type="pct"/>
            <w:vMerge/>
            <w:tcBorders>
              <w:top w:val="nil"/>
              <w:left w:val="single" w:sz="4" w:space="0" w:color="auto"/>
              <w:bottom w:val="nil"/>
              <w:right w:val="single" w:sz="4" w:space="0" w:color="auto"/>
            </w:tcBorders>
            <w:vAlign w:val="center"/>
            <w:hideMark/>
          </w:tcPr>
          <w:p w14:paraId="66E29B70"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384" w:type="pct"/>
            <w:vMerge/>
            <w:tcBorders>
              <w:top w:val="nil"/>
              <w:left w:val="single" w:sz="4" w:space="0" w:color="auto"/>
              <w:bottom w:val="nil"/>
              <w:right w:val="single" w:sz="4" w:space="0" w:color="auto"/>
            </w:tcBorders>
            <w:vAlign w:val="center"/>
            <w:hideMark/>
          </w:tcPr>
          <w:p w14:paraId="1E720349"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4" w:type="pct"/>
            <w:tcBorders>
              <w:top w:val="nil"/>
              <w:left w:val="nil"/>
              <w:bottom w:val="nil"/>
              <w:right w:val="nil"/>
            </w:tcBorders>
            <w:shd w:val="clear" w:color="auto" w:fill="auto"/>
            <w:noWrap/>
            <w:vAlign w:val="bottom"/>
            <w:hideMark/>
          </w:tcPr>
          <w:p w14:paraId="16F4DB1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5" w:type="pct"/>
            <w:tcBorders>
              <w:top w:val="nil"/>
              <w:left w:val="single" w:sz="4" w:space="0" w:color="auto"/>
              <w:bottom w:val="nil"/>
              <w:right w:val="single" w:sz="4" w:space="0" w:color="auto"/>
            </w:tcBorders>
            <w:shd w:val="clear" w:color="auto" w:fill="auto"/>
            <w:noWrap/>
            <w:vAlign w:val="bottom"/>
            <w:hideMark/>
          </w:tcPr>
          <w:p w14:paraId="4A84E2F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c>
          <w:tcPr>
            <w:tcW w:w="214" w:type="pct"/>
            <w:tcBorders>
              <w:top w:val="nil"/>
              <w:left w:val="nil"/>
              <w:bottom w:val="nil"/>
              <w:right w:val="nil"/>
            </w:tcBorders>
            <w:shd w:val="clear" w:color="auto" w:fill="auto"/>
            <w:noWrap/>
            <w:vAlign w:val="bottom"/>
            <w:hideMark/>
          </w:tcPr>
          <w:p w14:paraId="6703AB4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6" w:type="pct"/>
            <w:tcBorders>
              <w:top w:val="nil"/>
              <w:left w:val="single" w:sz="4" w:space="0" w:color="auto"/>
              <w:bottom w:val="nil"/>
              <w:right w:val="single" w:sz="4" w:space="0" w:color="auto"/>
            </w:tcBorders>
            <w:shd w:val="clear" w:color="auto" w:fill="auto"/>
            <w:noWrap/>
            <w:vAlign w:val="bottom"/>
            <w:hideMark/>
          </w:tcPr>
          <w:p w14:paraId="12CF315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r>
      <w:tr w:rsidR="00A022DF" w:rsidRPr="00E87E42" w14:paraId="22813C9B" w14:textId="77777777" w:rsidTr="005839EF">
        <w:trPr>
          <w:trHeight w:val="227"/>
        </w:trPr>
        <w:tc>
          <w:tcPr>
            <w:tcW w:w="56" w:type="pct"/>
            <w:tcBorders>
              <w:top w:val="nil"/>
              <w:left w:val="single" w:sz="4" w:space="0" w:color="auto"/>
              <w:bottom w:val="single" w:sz="4" w:space="0" w:color="auto"/>
              <w:right w:val="nil"/>
            </w:tcBorders>
            <w:shd w:val="clear" w:color="auto" w:fill="auto"/>
            <w:noWrap/>
            <w:vAlign w:val="bottom"/>
            <w:hideMark/>
          </w:tcPr>
          <w:p w14:paraId="3A8A330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118" w:type="pct"/>
            <w:tcBorders>
              <w:top w:val="single" w:sz="4" w:space="0" w:color="auto"/>
              <w:left w:val="single" w:sz="4" w:space="0" w:color="auto"/>
              <w:bottom w:val="single" w:sz="4" w:space="0" w:color="808080"/>
              <w:right w:val="single" w:sz="4" w:space="0" w:color="auto"/>
            </w:tcBorders>
            <w:shd w:val="clear" w:color="auto" w:fill="auto"/>
            <w:noWrap/>
            <w:vAlign w:val="bottom"/>
            <w:hideMark/>
          </w:tcPr>
          <w:p w14:paraId="62D4BD4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w:t>
            </w:r>
          </w:p>
        </w:tc>
        <w:tc>
          <w:tcPr>
            <w:tcW w:w="118" w:type="pct"/>
            <w:tcBorders>
              <w:top w:val="single" w:sz="4" w:space="0" w:color="auto"/>
              <w:left w:val="nil"/>
              <w:bottom w:val="single" w:sz="4" w:space="0" w:color="808080"/>
              <w:right w:val="single" w:sz="4" w:space="0" w:color="808080"/>
            </w:tcBorders>
            <w:shd w:val="clear" w:color="auto" w:fill="auto"/>
            <w:noWrap/>
            <w:vAlign w:val="bottom"/>
            <w:hideMark/>
          </w:tcPr>
          <w:p w14:paraId="166D506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w:t>
            </w:r>
          </w:p>
        </w:tc>
        <w:tc>
          <w:tcPr>
            <w:tcW w:w="245" w:type="pct"/>
            <w:tcBorders>
              <w:top w:val="single" w:sz="4" w:space="0" w:color="auto"/>
              <w:left w:val="nil"/>
              <w:bottom w:val="single" w:sz="4" w:space="0" w:color="808080"/>
              <w:right w:val="single" w:sz="4" w:space="0" w:color="808080"/>
            </w:tcBorders>
            <w:shd w:val="clear" w:color="auto" w:fill="auto"/>
            <w:noWrap/>
            <w:vAlign w:val="bottom"/>
            <w:hideMark/>
          </w:tcPr>
          <w:p w14:paraId="7AB2B84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3553E6A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32.50%</w:t>
            </w:r>
          </w:p>
        </w:tc>
        <w:tc>
          <w:tcPr>
            <w:tcW w:w="163" w:type="pct"/>
            <w:tcBorders>
              <w:top w:val="single" w:sz="4" w:space="0" w:color="auto"/>
              <w:left w:val="nil"/>
              <w:bottom w:val="single" w:sz="4" w:space="0" w:color="808080"/>
              <w:right w:val="single" w:sz="4" w:space="0" w:color="808080"/>
            </w:tcBorders>
            <w:shd w:val="clear" w:color="auto" w:fill="auto"/>
            <w:noWrap/>
            <w:vAlign w:val="bottom"/>
            <w:hideMark/>
          </w:tcPr>
          <w:p w14:paraId="6EC4D93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8.01</w:t>
            </w:r>
          </w:p>
        </w:tc>
        <w:tc>
          <w:tcPr>
            <w:tcW w:w="164" w:type="pct"/>
            <w:tcBorders>
              <w:top w:val="single" w:sz="4" w:space="0" w:color="auto"/>
              <w:left w:val="nil"/>
              <w:bottom w:val="single" w:sz="4" w:space="0" w:color="808080"/>
              <w:right w:val="nil"/>
            </w:tcBorders>
            <w:shd w:val="clear" w:color="auto" w:fill="auto"/>
            <w:noWrap/>
            <w:vAlign w:val="bottom"/>
            <w:hideMark/>
          </w:tcPr>
          <w:p w14:paraId="10CD8AB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8.01</w:t>
            </w:r>
          </w:p>
        </w:tc>
        <w:tc>
          <w:tcPr>
            <w:tcW w:w="118" w:type="pct"/>
            <w:tcBorders>
              <w:top w:val="single" w:sz="4" w:space="0" w:color="auto"/>
              <w:left w:val="single" w:sz="4" w:space="0" w:color="auto"/>
              <w:bottom w:val="single" w:sz="4" w:space="0" w:color="808080"/>
              <w:right w:val="single" w:sz="4" w:space="0" w:color="808080"/>
            </w:tcBorders>
            <w:shd w:val="clear" w:color="auto" w:fill="auto"/>
            <w:noWrap/>
            <w:vAlign w:val="bottom"/>
            <w:hideMark/>
          </w:tcPr>
          <w:p w14:paraId="38504F6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7C02D49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5" w:type="pct"/>
            <w:tcBorders>
              <w:top w:val="single" w:sz="4" w:space="0" w:color="auto"/>
              <w:left w:val="nil"/>
              <w:bottom w:val="single" w:sz="4" w:space="0" w:color="808080"/>
              <w:right w:val="single" w:sz="4" w:space="0" w:color="808080"/>
            </w:tcBorders>
            <w:shd w:val="clear" w:color="auto" w:fill="auto"/>
            <w:noWrap/>
            <w:vAlign w:val="bottom"/>
            <w:hideMark/>
          </w:tcPr>
          <w:p w14:paraId="13A3A61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3" w:type="pct"/>
            <w:tcBorders>
              <w:top w:val="single" w:sz="4" w:space="0" w:color="auto"/>
              <w:left w:val="nil"/>
              <w:bottom w:val="single" w:sz="4" w:space="0" w:color="808080"/>
              <w:right w:val="single" w:sz="4" w:space="0" w:color="808080"/>
            </w:tcBorders>
            <w:shd w:val="clear" w:color="auto" w:fill="auto"/>
            <w:noWrap/>
            <w:vAlign w:val="bottom"/>
            <w:hideMark/>
          </w:tcPr>
          <w:p w14:paraId="0826869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3" w:type="pct"/>
            <w:tcBorders>
              <w:top w:val="single" w:sz="4" w:space="0" w:color="auto"/>
              <w:left w:val="nil"/>
              <w:bottom w:val="single" w:sz="4" w:space="0" w:color="808080"/>
              <w:right w:val="single" w:sz="4" w:space="0" w:color="auto"/>
            </w:tcBorders>
            <w:shd w:val="clear" w:color="auto" w:fill="auto"/>
            <w:noWrap/>
            <w:vAlign w:val="bottom"/>
            <w:hideMark/>
          </w:tcPr>
          <w:p w14:paraId="4906DD7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18" w:type="pct"/>
            <w:tcBorders>
              <w:top w:val="single" w:sz="4" w:space="0" w:color="auto"/>
              <w:left w:val="nil"/>
              <w:bottom w:val="single" w:sz="4" w:space="0" w:color="808080"/>
              <w:right w:val="single" w:sz="4" w:space="0" w:color="808080"/>
            </w:tcBorders>
            <w:shd w:val="clear" w:color="auto" w:fill="auto"/>
            <w:noWrap/>
            <w:vAlign w:val="bottom"/>
            <w:hideMark/>
          </w:tcPr>
          <w:p w14:paraId="276C2E4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7C3804C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5" w:type="pct"/>
            <w:tcBorders>
              <w:top w:val="single" w:sz="4" w:space="0" w:color="auto"/>
              <w:left w:val="nil"/>
              <w:bottom w:val="single" w:sz="4" w:space="0" w:color="808080"/>
              <w:right w:val="single" w:sz="4" w:space="0" w:color="808080"/>
            </w:tcBorders>
            <w:shd w:val="clear" w:color="auto" w:fill="auto"/>
            <w:noWrap/>
            <w:vAlign w:val="bottom"/>
            <w:hideMark/>
          </w:tcPr>
          <w:p w14:paraId="0C1D105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3" w:type="pct"/>
            <w:tcBorders>
              <w:top w:val="single" w:sz="4" w:space="0" w:color="auto"/>
              <w:left w:val="nil"/>
              <w:bottom w:val="single" w:sz="4" w:space="0" w:color="808080"/>
              <w:right w:val="single" w:sz="4" w:space="0" w:color="808080"/>
            </w:tcBorders>
            <w:shd w:val="clear" w:color="auto" w:fill="auto"/>
            <w:noWrap/>
            <w:vAlign w:val="bottom"/>
            <w:hideMark/>
          </w:tcPr>
          <w:p w14:paraId="52092B7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3" w:type="pct"/>
            <w:tcBorders>
              <w:top w:val="single" w:sz="4" w:space="0" w:color="auto"/>
              <w:left w:val="nil"/>
              <w:bottom w:val="single" w:sz="4" w:space="0" w:color="808080"/>
              <w:right w:val="nil"/>
            </w:tcBorders>
            <w:shd w:val="clear" w:color="auto" w:fill="auto"/>
            <w:noWrap/>
            <w:vAlign w:val="bottom"/>
            <w:hideMark/>
          </w:tcPr>
          <w:p w14:paraId="44D5DEE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18" w:type="pct"/>
            <w:tcBorders>
              <w:top w:val="single" w:sz="4" w:space="0" w:color="auto"/>
              <w:left w:val="single" w:sz="4" w:space="0" w:color="auto"/>
              <w:bottom w:val="single" w:sz="4" w:space="0" w:color="808080"/>
              <w:right w:val="single" w:sz="4" w:space="0" w:color="808080"/>
            </w:tcBorders>
            <w:shd w:val="clear" w:color="auto" w:fill="auto"/>
            <w:noWrap/>
            <w:vAlign w:val="bottom"/>
            <w:hideMark/>
          </w:tcPr>
          <w:p w14:paraId="5BD5403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1F0DB1A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5" w:type="pct"/>
            <w:tcBorders>
              <w:top w:val="single" w:sz="4" w:space="0" w:color="auto"/>
              <w:left w:val="nil"/>
              <w:bottom w:val="single" w:sz="4" w:space="0" w:color="808080"/>
              <w:right w:val="single" w:sz="4" w:space="0" w:color="808080"/>
            </w:tcBorders>
            <w:shd w:val="clear" w:color="auto" w:fill="auto"/>
            <w:noWrap/>
            <w:vAlign w:val="bottom"/>
            <w:hideMark/>
          </w:tcPr>
          <w:p w14:paraId="6B6569E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3" w:type="pct"/>
            <w:tcBorders>
              <w:top w:val="single" w:sz="4" w:space="0" w:color="auto"/>
              <w:left w:val="nil"/>
              <w:bottom w:val="single" w:sz="4" w:space="0" w:color="808080"/>
              <w:right w:val="single" w:sz="4" w:space="0" w:color="808080"/>
            </w:tcBorders>
            <w:shd w:val="clear" w:color="auto" w:fill="auto"/>
            <w:noWrap/>
            <w:vAlign w:val="bottom"/>
            <w:hideMark/>
          </w:tcPr>
          <w:p w14:paraId="2C9C7DA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33" w:type="pct"/>
            <w:tcBorders>
              <w:top w:val="single" w:sz="4" w:space="0" w:color="auto"/>
              <w:left w:val="nil"/>
              <w:bottom w:val="single" w:sz="4" w:space="0" w:color="808080"/>
              <w:right w:val="single" w:sz="4" w:space="0" w:color="auto"/>
            </w:tcBorders>
            <w:shd w:val="clear" w:color="auto" w:fill="auto"/>
            <w:noWrap/>
            <w:vAlign w:val="bottom"/>
            <w:hideMark/>
          </w:tcPr>
          <w:p w14:paraId="0A8DA5D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84" w:type="pct"/>
            <w:tcBorders>
              <w:top w:val="single" w:sz="4" w:space="0" w:color="auto"/>
              <w:left w:val="nil"/>
              <w:bottom w:val="single" w:sz="4" w:space="0" w:color="808080"/>
              <w:right w:val="single" w:sz="4" w:space="0" w:color="auto"/>
            </w:tcBorders>
            <w:shd w:val="clear" w:color="auto" w:fill="auto"/>
            <w:noWrap/>
            <w:vAlign w:val="bottom"/>
            <w:hideMark/>
          </w:tcPr>
          <w:p w14:paraId="771F329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8.01</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02E3D73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27.08%</w:t>
            </w:r>
          </w:p>
        </w:tc>
        <w:tc>
          <w:tcPr>
            <w:tcW w:w="245" w:type="pct"/>
            <w:tcBorders>
              <w:top w:val="single" w:sz="4" w:space="0" w:color="auto"/>
              <w:left w:val="nil"/>
              <w:bottom w:val="single" w:sz="4" w:space="0" w:color="808080"/>
              <w:right w:val="single" w:sz="4" w:space="0" w:color="808080"/>
            </w:tcBorders>
            <w:shd w:val="clear" w:color="auto" w:fill="auto"/>
            <w:noWrap/>
            <w:vAlign w:val="bottom"/>
            <w:hideMark/>
          </w:tcPr>
          <w:p w14:paraId="79C5350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27.08%</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1D8FF64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28.57%</w:t>
            </w:r>
          </w:p>
        </w:tc>
        <w:tc>
          <w:tcPr>
            <w:tcW w:w="246" w:type="pct"/>
            <w:tcBorders>
              <w:top w:val="single" w:sz="4" w:space="0" w:color="auto"/>
              <w:left w:val="nil"/>
              <w:bottom w:val="single" w:sz="4" w:space="0" w:color="808080"/>
              <w:right w:val="single" w:sz="4" w:space="0" w:color="auto"/>
            </w:tcBorders>
            <w:shd w:val="clear" w:color="auto" w:fill="auto"/>
            <w:noWrap/>
            <w:vAlign w:val="bottom"/>
            <w:hideMark/>
          </w:tcPr>
          <w:p w14:paraId="36E8F81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28.57%</w:t>
            </w:r>
          </w:p>
        </w:tc>
      </w:tr>
      <w:tr w:rsidR="00A022DF" w:rsidRPr="00E87E42" w14:paraId="6ED4021E" w14:textId="77777777" w:rsidTr="005839EF">
        <w:trPr>
          <w:trHeight w:val="227"/>
        </w:trPr>
        <w:tc>
          <w:tcPr>
            <w:tcW w:w="56" w:type="pct"/>
            <w:tcBorders>
              <w:top w:val="nil"/>
              <w:left w:val="single" w:sz="4" w:space="0" w:color="auto"/>
              <w:bottom w:val="single" w:sz="4" w:space="0" w:color="auto"/>
              <w:right w:val="nil"/>
            </w:tcBorders>
            <w:shd w:val="clear" w:color="auto" w:fill="auto"/>
            <w:noWrap/>
            <w:vAlign w:val="bottom"/>
            <w:hideMark/>
          </w:tcPr>
          <w:p w14:paraId="52FEC20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118" w:type="pct"/>
            <w:tcBorders>
              <w:top w:val="nil"/>
              <w:left w:val="single" w:sz="4" w:space="0" w:color="auto"/>
              <w:bottom w:val="single" w:sz="4" w:space="0" w:color="808080"/>
              <w:right w:val="single" w:sz="4" w:space="0" w:color="auto"/>
            </w:tcBorders>
            <w:shd w:val="clear" w:color="auto" w:fill="auto"/>
            <w:noWrap/>
            <w:vAlign w:val="bottom"/>
            <w:hideMark/>
          </w:tcPr>
          <w:p w14:paraId="1266577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45</w:t>
            </w:r>
          </w:p>
        </w:tc>
        <w:tc>
          <w:tcPr>
            <w:tcW w:w="118" w:type="pct"/>
            <w:tcBorders>
              <w:top w:val="nil"/>
              <w:left w:val="nil"/>
              <w:bottom w:val="single" w:sz="4" w:space="0" w:color="808080"/>
              <w:right w:val="single" w:sz="4" w:space="0" w:color="808080"/>
            </w:tcBorders>
            <w:shd w:val="clear" w:color="auto" w:fill="auto"/>
            <w:noWrap/>
            <w:vAlign w:val="bottom"/>
            <w:hideMark/>
          </w:tcPr>
          <w:p w14:paraId="7B3650A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w:t>
            </w:r>
          </w:p>
        </w:tc>
        <w:tc>
          <w:tcPr>
            <w:tcW w:w="245" w:type="pct"/>
            <w:tcBorders>
              <w:top w:val="nil"/>
              <w:left w:val="nil"/>
              <w:bottom w:val="single" w:sz="4" w:space="0" w:color="808080"/>
              <w:right w:val="single" w:sz="4" w:space="0" w:color="808080"/>
            </w:tcBorders>
            <w:shd w:val="clear" w:color="auto" w:fill="auto"/>
            <w:noWrap/>
            <w:vAlign w:val="bottom"/>
            <w:hideMark/>
          </w:tcPr>
          <w:p w14:paraId="6DC15AD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90.00%</w:t>
            </w:r>
          </w:p>
        </w:tc>
        <w:tc>
          <w:tcPr>
            <w:tcW w:w="214" w:type="pct"/>
            <w:tcBorders>
              <w:top w:val="nil"/>
              <w:left w:val="nil"/>
              <w:bottom w:val="single" w:sz="4" w:space="0" w:color="808080"/>
              <w:right w:val="single" w:sz="4" w:space="0" w:color="808080"/>
            </w:tcBorders>
            <w:shd w:val="clear" w:color="auto" w:fill="auto"/>
            <w:noWrap/>
            <w:vAlign w:val="bottom"/>
            <w:hideMark/>
          </w:tcPr>
          <w:p w14:paraId="2DC6658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45.00%</w:t>
            </w:r>
          </w:p>
        </w:tc>
        <w:tc>
          <w:tcPr>
            <w:tcW w:w="163" w:type="pct"/>
            <w:tcBorders>
              <w:top w:val="nil"/>
              <w:left w:val="nil"/>
              <w:bottom w:val="single" w:sz="4" w:space="0" w:color="808080"/>
              <w:right w:val="single" w:sz="4" w:space="0" w:color="808080"/>
            </w:tcBorders>
            <w:shd w:val="clear" w:color="auto" w:fill="auto"/>
            <w:noWrap/>
            <w:vAlign w:val="bottom"/>
            <w:hideMark/>
          </w:tcPr>
          <w:p w14:paraId="2F320F9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37.65</w:t>
            </w:r>
          </w:p>
        </w:tc>
        <w:tc>
          <w:tcPr>
            <w:tcW w:w="164" w:type="pct"/>
            <w:tcBorders>
              <w:top w:val="nil"/>
              <w:left w:val="nil"/>
              <w:bottom w:val="single" w:sz="4" w:space="0" w:color="808080"/>
              <w:right w:val="nil"/>
            </w:tcBorders>
            <w:shd w:val="clear" w:color="auto" w:fill="auto"/>
            <w:noWrap/>
            <w:vAlign w:val="bottom"/>
            <w:hideMark/>
          </w:tcPr>
          <w:p w14:paraId="2E8DC18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37.65</w:t>
            </w:r>
          </w:p>
        </w:tc>
        <w:tc>
          <w:tcPr>
            <w:tcW w:w="118" w:type="pct"/>
            <w:tcBorders>
              <w:top w:val="nil"/>
              <w:left w:val="single" w:sz="4" w:space="0" w:color="auto"/>
              <w:bottom w:val="single" w:sz="4" w:space="0" w:color="808080"/>
              <w:right w:val="single" w:sz="4" w:space="0" w:color="808080"/>
            </w:tcBorders>
            <w:shd w:val="clear" w:color="auto" w:fill="auto"/>
            <w:noWrap/>
            <w:vAlign w:val="bottom"/>
            <w:hideMark/>
          </w:tcPr>
          <w:p w14:paraId="0F45C9B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14" w:type="pct"/>
            <w:tcBorders>
              <w:top w:val="nil"/>
              <w:left w:val="nil"/>
              <w:bottom w:val="single" w:sz="4" w:space="0" w:color="808080"/>
              <w:right w:val="single" w:sz="4" w:space="0" w:color="808080"/>
            </w:tcBorders>
            <w:shd w:val="clear" w:color="auto" w:fill="auto"/>
            <w:noWrap/>
            <w:vAlign w:val="bottom"/>
            <w:hideMark/>
          </w:tcPr>
          <w:p w14:paraId="0358F08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w:t>
            </w:r>
          </w:p>
        </w:tc>
        <w:tc>
          <w:tcPr>
            <w:tcW w:w="215" w:type="pct"/>
            <w:tcBorders>
              <w:top w:val="nil"/>
              <w:left w:val="nil"/>
              <w:bottom w:val="single" w:sz="4" w:space="0" w:color="808080"/>
              <w:right w:val="single" w:sz="4" w:space="0" w:color="808080"/>
            </w:tcBorders>
            <w:shd w:val="clear" w:color="auto" w:fill="auto"/>
            <w:noWrap/>
            <w:vAlign w:val="bottom"/>
            <w:hideMark/>
          </w:tcPr>
          <w:p w14:paraId="06109D4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40.00%</w:t>
            </w:r>
          </w:p>
        </w:tc>
        <w:tc>
          <w:tcPr>
            <w:tcW w:w="163" w:type="pct"/>
            <w:tcBorders>
              <w:top w:val="nil"/>
              <w:left w:val="nil"/>
              <w:bottom w:val="single" w:sz="4" w:space="0" w:color="808080"/>
              <w:right w:val="single" w:sz="4" w:space="0" w:color="808080"/>
            </w:tcBorders>
            <w:shd w:val="clear" w:color="auto" w:fill="auto"/>
            <w:noWrap/>
            <w:vAlign w:val="bottom"/>
            <w:hideMark/>
          </w:tcPr>
          <w:p w14:paraId="466F4B2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30.37</w:t>
            </w:r>
          </w:p>
        </w:tc>
        <w:tc>
          <w:tcPr>
            <w:tcW w:w="163" w:type="pct"/>
            <w:tcBorders>
              <w:top w:val="nil"/>
              <w:left w:val="nil"/>
              <w:bottom w:val="single" w:sz="4" w:space="0" w:color="808080"/>
              <w:right w:val="single" w:sz="4" w:space="0" w:color="auto"/>
            </w:tcBorders>
            <w:shd w:val="clear" w:color="auto" w:fill="auto"/>
            <w:noWrap/>
            <w:vAlign w:val="bottom"/>
            <w:hideMark/>
          </w:tcPr>
          <w:p w14:paraId="36A3934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9.85</w:t>
            </w:r>
          </w:p>
        </w:tc>
        <w:tc>
          <w:tcPr>
            <w:tcW w:w="118" w:type="pct"/>
            <w:tcBorders>
              <w:top w:val="nil"/>
              <w:left w:val="nil"/>
              <w:bottom w:val="single" w:sz="4" w:space="0" w:color="808080"/>
              <w:right w:val="single" w:sz="4" w:space="0" w:color="808080"/>
            </w:tcBorders>
            <w:shd w:val="clear" w:color="auto" w:fill="auto"/>
            <w:noWrap/>
            <w:vAlign w:val="bottom"/>
            <w:hideMark/>
          </w:tcPr>
          <w:p w14:paraId="3C56D34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nil"/>
              <w:left w:val="nil"/>
              <w:bottom w:val="single" w:sz="4" w:space="0" w:color="808080"/>
              <w:right w:val="single" w:sz="4" w:space="0" w:color="808080"/>
            </w:tcBorders>
            <w:shd w:val="clear" w:color="auto" w:fill="auto"/>
            <w:noWrap/>
            <w:vAlign w:val="bottom"/>
            <w:hideMark/>
          </w:tcPr>
          <w:p w14:paraId="69F4309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5" w:type="pct"/>
            <w:tcBorders>
              <w:top w:val="nil"/>
              <w:left w:val="nil"/>
              <w:bottom w:val="single" w:sz="4" w:space="0" w:color="808080"/>
              <w:right w:val="single" w:sz="4" w:space="0" w:color="808080"/>
            </w:tcBorders>
            <w:shd w:val="clear" w:color="auto" w:fill="auto"/>
            <w:noWrap/>
            <w:vAlign w:val="bottom"/>
            <w:hideMark/>
          </w:tcPr>
          <w:p w14:paraId="57FA17D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3" w:type="pct"/>
            <w:tcBorders>
              <w:top w:val="nil"/>
              <w:left w:val="nil"/>
              <w:bottom w:val="single" w:sz="4" w:space="0" w:color="808080"/>
              <w:right w:val="single" w:sz="4" w:space="0" w:color="808080"/>
            </w:tcBorders>
            <w:shd w:val="clear" w:color="auto" w:fill="auto"/>
            <w:noWrap/>
            <w:vAlign w:val="bottom"/>
            <w:hideMark/>
          </w:tcPr>
          <w:p w14:paraId="3071189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3" w:type="pct"/>
            <w:tcBorders>
              <w:top w:val="nil"/>
              <w:left w:val="nil"/>
              <w:bottom w:val="single" w:sz="4" w:space="0" w:color="808080"/>
              <w:right w:val="nil"/>
            </w:tcBorders>
            <w:shd w:val="clear" w:color="auto" w:fill="auto"/>
            <w:noWrap/>
            <w:vAlign w:val="bottom"/>
            <w:hideMark/>
          </w:tcPr>
          <w:p w14:paraId="7DC8A33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18" w:type="pct"/>
            <w:tcBorders>
              <w:top w:val="nil"/>
              <w:left w:val="single" w:sz="4" w:space="0" w:color="auto"/>
              <w:bottom w:val="single" w:sz="4" w:space="0" w:color="808080"/>
              <w:right w:val="single" w:sz="4" w:space="0" w:color="808080"/>
            </w:tcBorders>
            <w:shd w:val="clear" w:color="auto" w:fill="auto"/>
            <w:noWrap/>
            <w:vAlign w:val="bottom"/>
            <w:hideMark/>
          </w:tcPr>
          <w:p w14:paraId="1529FFF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nil"/>
              <w:left w:val="nil"/>
              <w:bottom w:val="single" w:sz="4" w:space="0" w:color="808080"/>
              <w:right w:val="single" w:sz="4" w:space="0" w:color="808080"/>
            </w:tcBorders>
            <w:shd w:val="clear" w:color="auto" w:fill="auto"/>
            <w:noWrap/>
            <w:vAlign w:val="bottom"/>
            <w:hideMark/>
          </w:tcPr>
          <w:p w14:paraId="074EA81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5" w:type="pct"/>
            <w:tcBorders>
              <w:top w:val="nil"/>
              <w:left w:val="nil"/>
              <w:bottom w:val="single" w:sz="4" w:space="0" w:color="808080"/>
              <w:right w:val="single" w:sz="4" w:space="0" w:color="808080"/>
            </w:tcBorders>
            <w:shd w:val="clear" w:color="auto" w:fill="auto"/>
            <w:noWrap/>
            <w:vAlign w:val="bottom"/>
            <w:hideMark/>
          </w:tcPr>
          <w:p w14:paraId="6F9334A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3" w:type="pct"/>
            <w:tcBorders>
              <w:top w:val="nil"/>
              <w:left w:val="nil"/>
              <w:bottom w:val="single" w:sz="4" w:space="0" w:color="808080"/>
              <w:right w:val="single" w:sz="4" w:space="0" w:color="808080"/>
            </w:tcBorders>
            <w:shd w:val="clear" w:color="auto" w:fill="auto"/>
            <w:noWrap/>
            <w:vAlign w:val="bottom"/>
            <w:hideMark/>
          </w:tcPr>
          <w:p w14:paraId="7D57AA4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33" w:type="pct"/>
            <w:tcBorders>
              <w:top w:val="nil"/>
              <w:left w:val="nil"/>
              <w:bottom w:val="single" w:sz="4" w:space="0" w:color="808080"/>
              <w:right w:val="single" w:sz="4" w:space="0" w:color="auto"/>
            </w:tcBorders>
            <w:shd w:val="clear" w:color="auto" w:fill="auto"/>
            <w:noWrap/>
            <w:vAlign w:val="bottom"/>
            <w:hideMark/>
          </w:tcPr>
          <w:p w14:paraId="272C6E3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84" w:type="pct"/>
            <w:tcBorders>
              <w:top w:val="nil"/>
              <w:left w:val="nil"/>
              <w:bottom w:val="single" w:sz="4" w:space="0" w:color="808080"/>
              <w:right w:val="single" w:sz="4" w:space="0" w:color="auto"/>
            </w:tcBorders>
            <w:shd w:val="clear" w:color="auto" w:fill="auto"/>
            <w:noWrap/>
            <w:vAlign w:val="bottom"/>
            <w:hideMark/>
          </w:tcPr>
          <w:p w14:paraId="6E8DEB2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36.92</w:t>
            </w:r>
          </w:p>
        </w:tc>
        <w:tc>
          <w:tcPr>
            <w:tcW w:w="214" w:type="pct"/>
            <w:tcBorders>
              <w:top w:val="nil"/>
              <w:left w:val="nil"/>
              <w:bottom w:val="single" w:sz="4" w:space="0" w:color="808080"/>
              <w:right w:val="single" w:sz="4" w:space="0" w:color="808080"/>
            </w:tcBorders>
            <w:shd w:val="clear" w:color="auto" w:fill="auto"/>
            <w:noWrap/>
            <w:vAlign w:val="bottom"/>
            <w:hideMark/>
          </w:tcPr>
          <w:p w14:paraId="558344E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41.67%</w:t>
            </w:r>
          </w:p>
        </w:tc>
        <w:tc>
          <w:tcPr>
            <w:tcW w:w="245" w:type="pct"/>
            <w:tcBorders>
              <w:top w:val="nil"/>
              <w:left w:val="nil"/>
              <w:bottom w:val="single" w:sz="4" w:space="0" w:color="808080"/>
              <w:right w:val="single" w:sz="4" w:space="0" w:color="808080"/>
            </w:tcBorders>
            <w:shd w:val="clear" w:color="auto" w:fill="auto"/>
            <w:noWrap/>
            <w:vAlign w:val="bottom"/>
            <w:hideMark/>
          </w:tcPr>
          <w:p w14:paraId="27F851C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68.75%</w:t>
            </w:r>
          </w:p>
        </w:tc>
        <w:tc>
          <w:tcPr>
            <w:tcW w:w="214" w:type="pct"/>
            <w:tcBorders>
              <w:top w:val="nil"/>
              <w:left w:val="nil"/>
              <w:bottom w:val="single" w:sz="4" w:space="0" w:color="808080"/>
              <w:right w:val="single" w:sz="4" w:space="0" w:color="808080"/>
            </w:tcBorders>
            <w:shd w:val="clear" w:color="auto" w:fill="auto"/>
            <w:noWrap/>
            <w:vAlign w:val="bottom"/>
            <w:hideMark/>
          </w:tcPr>
          <w:p w14:paraId="7C6607A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53.57%</w:t>
            </w:r>
          </w:p>
        </w:tc>
        <w:tc>
          <w:tcPr>
            <w:tcW w:w="246" w:type="pct"/>
            <w:tcBorders>
              <w:top w:val="nil"/>
              <w:left w:val="nil"/>
              <w:bottom w:val="single" w:sz="4" w:space="0" w:color="808080"/>
              <w:right w:val="single" w:sz="4" w:space="0" w:color="auto"/>
            </w:tcBorders>
            <w:shd w:val="clear" w:color="auto" w:fill="auto"/>
            <w:noWrap/>
            <w:vAlign w:val="bottom"/>
            <w:hideMark/>
          </w:tcPr>
          <w:p w14:paraId="71413D2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82.14%</w:t>
            </w:r>
          </w:p>
        </w:tc>
      </w:tr>
      <w:tr w:rsidR="00A022DF" w:rsidRPr="00E87E42" w14:paraId="69A6C315" w14:textId="77777777" w:rsidTr="005839EF">
        <w:trPr>
          <w:trHeight w:val="227"/>
        </w:trPr>
        <w:tc>
          <w:tcPr>
            <w:tcW w:w="56" w:type="pct"/>
            <w:tcBorders>
              <w:top w:val="nil"/>
              <w:left w:val="single" w:sz="4" w:space="0" w:color="auto"/>
              <w:bottom w:val="single" w:sz="4" w:space="0" w:color="auto"/>
              <w:right w:val="nil"/>
            </w:tcBorders>
            <w:shd w:val="clear" w:color="auto" w:fill="auto"/>
            <w:noWrap/>
            <w:vAlign w:val="bottom"/>
            <w:hideMark/>
          </w:tcPr>
          <w:p w14:paraId="566229F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118" w:type="pct"/>
            <w:tcBorders>
              <w:top w:val="nil"/>
              <w:left w:val="single" w:sz="4" w:space="0" w:color="auto"/>
              <w:bottom w:val="single" w:sz="4" w:space="0" w:color="808080"/>
              <w:right w:val="single" w:sz="4" w:space="0" w:color="auto"/>
            </w:tcBorders>
            <w:shd w:val="clear" w:color="auto" w:fill="auto"/>
            <w:noWrap/>
            <w:vAlign w:val="bottom"/>
            <w:hideMark/>
          </w:tcPr>
          <w:p w14:paraId="0EF0C65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118" w:type="pct"/>
            <w:tcBorders>
              <w:top w:val="nil"/>
              <w:left w:val="nil"/>
              <w:bottom w:val="single" w:sz="4" w:space="0" w:color="808080"/>
              <w:right w:val="single" w:sz="4" w:space="0" w:color="808080"/>
            </w:tcBorders>
            <w:shd w:val="clear" w:color="auto" w:fill="auto"/>
            <w:noWrap/>
            <w:vAlign w:val="bottom"/>
            <w:hideMark/>
          </w:tcPr>
          <w:p w14:paraId="45F4E63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45" w:type="pct"/>
            <w:tcBorders>
              <w:top w:val="nil"/>
              <w:left w:val="nil"/>
              <w:bottom w:val="single" w:sz="4" w:space="0" w:color="808080"/>
              <w:right w:val="single" w:sz="4" w:space="0" w:color="808080"/>
            </w:tcBorders>
            <w:shd w:val="clear" w:color="auto" w:fill="auto"/>
            <w:noWrap/>
            <w:vAlign w:val="bottom"/>
            <w:hideMark/>
          </w:tcPr>
          <w:p w14:paraId="5F31CA0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50.00%</w:t>
            </w:r>
          </w:p>
        </w:tc>
        <w:tc>
          <w:tcPr>
            <w:tcW w:w="214" w:type="pct"/>
            <w:tcBorders>
              <w:top w:val="nil"/>
              <w:left w:val="nil"/>
              <w:bottom w:val="single" w:sz="4" w:space="0" w:color="808080"/>
              <w:right w:val="single" w:sz="4" w:space="0" w:color="808080"/>
            </w:tcBorders>
            <w:shd w:val="clear" w:color="auto" w:fill="auto"/>
            <w:noWrap/>
            <w:vAlign w:val="bottom"/>
            <w:hideMark/>
          </w:tcPr>
          <w:p w14:paraId="1420C29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w:t>
            </w:r>
          </w:p>
        </w:tc>
        <w:tc>
          <w:tcPr>
            <w:tcW w:w="163" w:type="pct"/>
            <w:tcBorders>
              <w:top w:val="nil"/>
              <w:left w:val="nil"/>
              <w:bottom w:val="single" w:sz="4" w:space="0" w:color="808080"/>
              <w:right w:val="single" w:sz="4" w:space="0" w:color="808080"/>
            </w:tcBorders>
            <w:shd w:val="clear" w:color="auto" w:fill="auto"/>
            <w:noWrap/>
            <w:vAlign w:val="bottom"/>
            <w:hideMark/>
          </w:tcPr>
          <w:p w14:paraId="47D5F65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0.54</w:t>
            </w:r>
          </w:p>
        </w:tc>
        <w:tc>
          <w:tcPr>
            <w:tcW w:w="164" w:type="pct"/>
            <w:tcBorders>
              <w:top w:val="nil"/>
              <w:left w:val="nil"/>
              <w:bottom w:val="single" w:sz="4" w:space="0" w:color="808080"/>
              <w:right w:val="nil"/>
            </w:tcBorders>
            <w:shd w:val="clear" w:color="auto" w:fill="auto"/>
            <w:noWrap/>
            <w:vAlign w:val="bottom"/>
            <w:hideMark/>
          </w:tcPr>
          <w:p w14:paraId="76585F7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0.54</w:t>
            </w:r>
          </w:p>
        </w:tc>
        <w:tc>
          <w:tcPr>
            <w:tcW w:w="118" w:type="pct"/>
            <w:tcBorders>
              <w:top w:val="nil"/>
              <w:left w:val="single" w:sz="4" w:space="0" w:color="auto"/>
              <w:bottom w:val="single" w:sz="4" w:space="0" w:color="808080"/>
              <w:right w:val="single" w:sz="4" w:space="0" w:color="808080"/>
            </w:tcBorders>
            <w:shd w:val="clear" w:color="auto" w:fill="auto"/>
            <w:noWrap/>
            <w:vAlign w:val="bottom"/>
            <w:hideMark/>
          </w:tcPr>
          <w:p w14:paraId="3754303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14" w:type="pct"/>
            <w:tcBorders>
              <w:top w:val="nil"/>
              <w:left w:val="nil"/>
              <w:bottom w:val="single" w:sz="4" w:space="0" w:color="808080"/>
              <w:right w:val="single" w:sz="4" w:space="0" w:color="808080"/>
            </w:tcBorders>
            <w:shd w:val="clear" w:color="auto" w:fill="auto"/>
            <w:noWrap/>
            <w:vAlign w:val="bottom"/>
            <w:hideMark/>
          </w:tcPr>
          <w:p w14:paraId="33CAF79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50.00%</w:t>
            </w:r>
          </w:p>
        </w:tc>
        <w:tc>
          <w:tcPr>
            <w:tcW w:w="215" w:type="pct"/>
            <w:tcBorders>
              <w:top w:val="nil"/>
              <w:left w:val="nil"/>
              <w:bottom w:val="single" w:sz="4" w:space="0" w:color="808080"/>
              <w:right w:val="single" w:sz="4" w:space="0" w:color="808080"/>
            </w:tcBorders>
            <w:shd w:val="clear" w:color="auto" w:fill="auto"/>
            <w:noWrap/>
            <w:vAlign w:val="bottom"/>
            <w:hideMark/>
          </w:tcPr>
          <w:p w14:paraId="0C8A140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40.00%</w:t>
            </w:r>
          </w:p>
        </w:tc>
        <w:tc>
          <w:tcPr>
            <w:tcW w:w="163" w:type="pct"/>
            <w:tcBorders>
              <w:top w:val="nil"/>
              <w:left w:val="nil"/>
              <w:bottom w:val="single" w:sz="4" w:space="0" w:color="808080"/>
              <w:right w:val="single" w:sz="4" w:space="0" w:color="808080"/>
            </w:tcBorders>
            <w:shd w:val="clear" w:color="auto" w:fill="auto"/>
            <w:noWrap/>
            <w:vAlign w:val="bottom"/>
            <w:hideMark/>
          </w:tcPr>
          <w:p w14:paraId="282E5FA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59.86</w:t>
            </w:r>
          </w:p>
        </w:tc>
        <w:tc>
          <w:tcPr>
            <w:tcW w:w="163" w:type="pct"/>
            <w:tcBorders>
              <w:top w:val="nil"/>
              <w:left w:val="nil"/>
              <w:bottom w:val="single" w:sz="4" w:space="0" w:color="808080"/>
              <w:right w:val="single" w:sz="4" w:space="0" w:color="auto"/>
            </w:tcBorders>
            <w:shd w:val="clear" w:color="auto" w:fill="auto"/>
            <w:noWrap/>
            <w:vAlign w:val="bottom"/>
            <w:hideMark/>
          </w:tcPr>
          <w:p w14:paraId="1617613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19.41</w:t>
            </w:r>
          </w:p>
        </w:tc>
        <w:tc>
          <w:tcPr>
            <w:tcW w:w="118" w:type="pct"/>
            <w:tcBorders>
              <w:top w:val="nil"/>
              <w:left w:val="nil"/>
              <w:bottom w:val="single" w:sz="4" w:space="0" w:color="808080"/>
              <w:right w:val="single" w:sz="4" w:space="0" w:color="808080"/>
            </w:tcBorders>
            <w:shd w:val="clear" w:color="auto" w:fill="auto"/>
            <w:noWrap/>
            <w:vAlign w:val="bottom"/>
            <w:hideMark/>
          </w:tcPr>
          <w:p w14:paraId="19F9E1B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nil"/>
              <w:left w:val="nil"/>
              <w:bottom w:val="single" w:sz="4" w:space="0" w:color="808080"/>
              <w:right w:val="single" w:sz="4" w:space="0" w:color="808080"/>
            </w:tcBorders>
            <w:shd w:val="clear" w:color="auto" w:fill="auto"/>
            <w:noWrap/>
            <w:vAlign w:val="bottom"/>
            <w:hideMark/>
          </w:tcPr>
          <w:p w14:paraId="2253DAD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5" w:type="pct"/>
            <w:tcBorders>
              <w:top w:val="nil"/>
              <w:left w:val="nil"/>
              <w:bottom w:val="single" w:sz="4" w:space="0" w:color="808080"/>
              <w:right w:val="single" w:sz="4" w:space="0" w:color="808080"/>
            </w:tcBorders>
            <w:shd w:val="clear" w:color="auto" w:fill="auto"/>
            <w:noWrap/>
            <w:vAlign w:val="bottom"/>
            <w:hideMark/>
          </w:tcPr>
          <w:p w14:paraId="05FED23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3" w:type="pct"/>
            <w:tcBorders>
              <w:top w:val="nil"/>
              <w:left w:val="nil"/>
              <w:bottom w:val="single" w:sz="4" w:space="0" w:color="808080"/>
              <w:right w:val="single" w:sz="4" w:space="0" w:color="808080"/>
            </w:tcBorders>
            <w:shd w:val="clear" w:color="auto" w:fill="auto"/>
            <w:noWrap/>
            <w:vAlign w:val="bottom"/>
            <w:hideMark/>
          </w:tcPr>
          <w:p w14:paraId="1BD2F0E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3" w:type="pct"/>
            <w:tcBorders>
              <w:top w:val="nil"/>
              <w:left w:val="nil"/>
              <w:bottom w:val="single" w:sz="4" w:space="0" w:color="808080"/>
              <w:right w:val="nil"/>
            </w:tcBorders>
            <w:shd w:val="clear" w:color="auto" w:fill="auto"/>
            <w:noWrap/>
            <w:vAlign w:val="bottom"/>
            <w:hideMark/>
          </w:tcPr>
          <w:p w14:paraId="0670A9D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18" w:type="pct"/>
            <w:tcBorders>
              <w:top w:val="nil"/>
              <w:left w:val="single" w:sz="4" w:space="0" w:color="auto"/>
              <w:bottom w:val="single" w:sz="4" w:space="0" w:color="808080"/>
              <w:right w:val="single" w:sz="4" w:space="0" w:color="808080"/>
            </w:tcBorders>
            <w:shd w:val="clear" w:color="auto" w:fill="auto"/>
            <w:noWrap/>
            <w:vAlign w:val="bottom"/>
            <w:hideMark/>
          </w:tcPr>
          <w:p w14:paraId="2B310B8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nil"/>
              <w:left w:val="nil"/>
              <w:bottom w:val="single" w:sz="4" w:space="0" w:color="808080"/>
              <w:right w:val="single" w:sz="4" w:space="0" w:color="808080"/>
            </w:tcBorders>
            <w:shd w:val="clear" w:color="auto" w:fill="auto"/>
            <w:noWrap/>
            <w:vAlign w:val="bottom"/>
            <w:hideMark/>
          </w:tcPr>
          <w:p w14:paraId="1394132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5" w:type="pct"/>
            <w:tcBorders>
              <w:top w:val="nil"/>
              <w:left w:val="nil"/>
              <w:bottom w:val="single" w:sz="4" w:space="0" w:color="808080"/>
              <w:right w:val="single" w:sz="4" w:space="0" w:color="808080"/>
            </w:tcBorders>
            <w:shd w:val="clear" w:color="auto" w:fill="auto"/>
            <w:noWrap/>
            <w:vAlign w:val="bottom"/>
            <w:hideMark/>
          </w:tcPr>
          <w:p w14:paraId="32AED81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3" w:type="pct"/>
            <w:tcBorders>
              <w:top w:val="nil"/>
              <w:left w:val="nil"/>
              <w:bottom w:val="single" w:sz="4" w:space="0" w:color="808080"/>
              <w:right w:val="single" w:sz="4" w:space="0" w:color="808080"/>
            </w:tcBorders>
            <w:shd w:val="clear" w:color="auto" w:fill="auto"/>
            <w:noWrap/>
            <w:vAlign w:val="bottom"/>
            <w:hideMark/>
          </w:tcPr>
          <w:p w14:paraId="78A3E06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33" w:type="pct"/>
            <w:tcBorders>
              <w:top w:val="nil"/>
              <w:left w:val="nil"/>
              <w:bottom w:val="single" w:sz="4" w:space="0" w:color="808080"/>
              <w:right w:val="single" w:sz="4" w:space="0" w:color="auto"/>
            </w:tcBorders>
            <w:shd w:val="clear" w:color="auto" w:fill="auto"/>
            <w:noWrap/>
            <w:vAlign w:val="bottom"/>
            <w:hideMark/>
          </w:tcPr>
          <w:p w14:paraId="41E50CF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84" w:type="pct"/>
            <w:tcBorders>
              <w:top w:val="nil"/>
              <w:left w:val="nil"/>
              <w:bottom w:val="single" w:sz="4" w:space="0" w:color="808080"/>
              <w:right w:val="single" w:sz="4" w:space="0" w:color="auto"/>
            </w:tcBorders>
            <w:shd w:val="clear" w:color="auto" w:fill="auto"/>
            <w:noWrap/>
            <w:vAlign w:val="bottom"/>
            <w:hideMark/>
          </w:tcPr>
          <w:p w14:paraId="0B300EA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30.20</w:t>
            </w:r>
          </w:p>
        </w:tc>
        <w:tc>
          <w:tcPr>
            <w:tcW w:w="214" w:type="pct"/>
            <w:tcBorders>
              <w:top w:val="nil"/>
              <w:left w:val="nil"/>
              <w:bottom w:val="single" w:sz="4" w:space="0" w:color="808080"/>
              <w:right w:val="single" w:sz="4" w:space="0" w:color="808080"/>
            </w:tcBorders>
            <w:shd w:val="clear" w:color="auto" w:fill="auto"/>
            <w:noWrap/>
            <w:vAlign w:val="bottom"/>
            <w:hideMark/>
          </w:tcPr>
          <w:p w14:paraId="4DAF77E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8.33%</w:t>
            </w:r>
          </w:p>
        </w:tc>
        <w:tc>
          <w:tcPr>
            <w:tcW w:w="245" w:type="pct"/>
            <w:tcBorders>
              <w:top w:val="nil"/>
              <w:left w:val="nil"/>
              <w:bottom w:val="single" w:sz="4" w:space="0" w:color="808080"/>
              <w:right w:val="single" w:sz="4" w:space="0" w:color="808080"/>
            </w:tcBorders>
            <w:shd w:val="clear" w:color="auto" w:fill="auto"/>
            <w:noWrap/>
            <w:vAlign w:val="bottom"/>
            <w:hideMark/>
          </w:tcPr>
          <w:p w14:paraId="5F97EB8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77.08%</w:t>
            </w:r>
          </w:p>
        </w:tc>
        <w:tc>
          <w:tcPr>
            <w:tcW w:w="214" w:type="pct"/>
            <w:tcBorders>
              <w:top w:val="nil"/>
              <w:left w:val="nil"/>
              <w:bottom w:val="single" w:sz="4" w:space="0" w:color="808080"/>
              <w:right w:val="single" w:sz="4" w:space="0" w:color="808080"/>
            </w:tcBorders>
            <w:shd w:val="clear" w:color="auto" w:fill="auto"/>
            <w:noWrap/>
            <w:vAlign w:val="bottom"/>
            <w:hideMark/>
          </w:tcPr>
          <w:p w14:paraId="62346C1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3.57%</w:t>
            </w:r>
          </w:p>
        </w:tc>
        <w:tc>
          <w:tcPr>
            <w:tcW w:w="246" w:type="pct"/>
            <w:tcBorders>
              <w:top w:val="nil"/>
              <w:left w:val="nil"/>
              <w:bottom w:val="single" w:sz="4" w:space="0" w:color="808080"/>
              <w:right w:val="single" w:sz="4" w:space="0" w:color="auto"/>
            </w:tcBorders>
            <w:shd w:val="clear" w:color="auto" w:fill="auto"/>
            <w:noWrap/>
            <w:vAlign w:val="bottom"/>
            <w:hideMark/>
          </w:tcPr>
          <w:p w14:paraId="1024AA5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85.71%</w:t>
            </w:r>
          </w:p>
        </w:tc>
      </w:tr>
      <w:tr w:rsidR="00A022DF" w:rsidRPr="00E87E42" w14:paraId="696A7D93" w14:textId="77777777" w:rsidTr="005839EF">
        <w:trPr>
          <w:trHeight w:val="227"/>
        </w:trPr>
        <w:tc>
          <w:tcPr>
            <w:tcW w:w="56" w:type="pct"/>
            <w:tcBorders>
              <w:top w:val="nil"/>
              <w:left w:val="single" w:sz="4" w:space="0" w:color="auto"/>
              <w:bottom w:val="single" w:sz="4" w:space="0" w:color="auto"/>
              <w:right w:val="nil"/>
            </w:tcBorders>
            <w:shd w:val="clear" w:color="auto" w:fill="auto"/>
            <w:noWrap/>
            <w:vAlign w:val="bottom"/>
            <w:hideMark/>
          </w:tcPr>
          <w:p w14:paraId="3D96FEC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118" w:type="pct"/>
            <w:tcBorders>
              <w:top w:val="nil"/>
              <w:left w:val="single" w:sz="4" w:space="0" w:color="auto"/>
              <w:bottom w:val="single" w:sz="4" w:space="0" w:color="808080"/>
              <w:right w:val="single" w:sz="4" w:space="0" w:color="auto"/>
            </w:tcBorders>
            <w:shd w:val="clear" w:color="auto" w:fill="auto"/>
            <w:noWrap/>
            <w:vAlign w:val="bottom"/>
            <w:hideMark/>
          </w:tcPr>
          <w:p w14:paraId="64B905B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w:t>
            </w:r>
          </w:p>
        </w:tc>
        <w:tc>
          <w:tcPr>
            <w:tcW w:w="118" w:type="pct"/>
            <w:tcBorders>
              <w:top w:val="nil"/>
              <w:left w:val="nil"/>
              <w:bottom w:val="single" w:sz="4" w:space="0" w:color="808080"/>
              <w:right w:val="single" w:sz="4" w:space="0" w:color="808080"/>
            </w:tcBorders>
            <w:shd w:val="clear" w:color="auto" w:fill="auto"/>
            <w:noWrap/>
            <w:vAlign w:val="bottom"/>
            <w:hideMark/>
          </w:tcPr>
          <w:p w14:paraId="291C124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w:t>
            </w:r>
          </w:p>
        </w:tc>
        <w:tc>
          <w:tcPr>
            <w:tcW w:w="245" w:type="pct"/>
            <w:tcBorders>
              <w:top w:val="nil"/>
              <w:left w:val="nil"/>
              <w:bottom w:val="single" w:sz="4" w:space="0" w:color="808080"/>
              <w:right w:val="single" w:sz="4" w:space="0" w:color="808080"/>
            </w:tcBorders>
            <w:shd w:val="clear" w:color="auto" w:fill="auto"/>
            <w:noWrap/>
            <w:vAlign w:val="bottom"/>
            <w:hideMark/>
          </w:tcPr>
          <w:p w14:paraId="34F5B90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60.00%</w:t>
            </w:r>
          </w:p>
        </w:tc>
        <w:tc>
          <w:tcPr>
            <w:tcW w:w="214" w:type="pct"/>
            <w:tcBorders>
              <w:top w:val="nil"/>
              <w:left w:val="nil"/>
              <w:bottom w:val="single" w:sz="4" w:space="0" w:color="808080"/>
              <w:right w:val="single" w:sz="4" w:space="0" w:color="808080"/>
            </w:tcBorders>
            <w:shd w:val="clear" w:color="auto" w:fill="auto"/>
            <w:noWrap/>
            <w:vAlign w:val="bottom"/>
            <w:hideMark/>
          </w:tcPr>
          <w:p w14:paraId="51C84B2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15.00%</w:t>
            </w:r>
          </w:p>
        </w:tc>
        <w:tc>
          <w:tcPr>
            <w:tcW w:w="163" w:type="pct"/>
            <w:tcBorders>
              <w:top w:val="nil"/>
              <w:left w:val="nil"/>
              <w:bottom w:val="single" w:sz="4" w:space="0" w:color="808080"/>
              <w:right w:val="single" w:sz="4" w:space="0" w:color="808080"/>
            </w:tcBorders>
            <w:shd w:val="clear" w:color="auto" w:fill="auto"/>
            <w:noWrap/>
            <w:vAlign w:val="bottom"/>
            <w:hideMark/>
          </w:tcPr>
          <w:p w14:paraId="0BF93DC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18.15</w:t>
            </w:r>
          </w:p>
        </w:tc>
        <w:tc>
          <w:tcPr>
            <w:tcW w:w="164" w:type="pct"/>
            <w:tcBorders>
              <w:top w:val="nil"/>
              <w:left w:val="nil"/>
              <w:bottom w:val="single" w:sz="4" w:space="0" w:color="808080"/>
              <w:right w:val="nil"/>
            </w:tcBorders>
            <w:shd w:val="clear" w:color="auto" w:fill="auto"/>
            <w:noWrap/>
            <w:vAlign w:val="bottom"/>
            <w:hideMark/>
          </w:tcPr>
          <w:p w14:paraId="73C34D0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18.15</w:t>
            </w:r>
          </w:p>
        </w:tc>
        <w:tc>
          <w:tcPr>
            <w:tcW w:w="118" w:type="pct"/>
            <w:tcBorders>
              <w:top w:val="nil"/>
              <w:left w:val="single" w:sz="4" w:space="0" w:color="auto"/>
              <w:bottom w:val="single" w:sz="4" w:space="0" w:color="808080"/>
              <w:right w:val="single" w:sz="4" w:space="0" w:color="808080"/>
            </w:tcBorders>
            <w:shd w:val="clear" w:color="auto" w:fill="auto"/>
            <w:noWrap/>
            <w:vAlign w:val="bottom"/>
            <w:hideMark/>
          </w:tcPr>
          <w:p w14:paraId="267035E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14" w:type="pct"/>
            <w:tcBorders>
              <w:top w:val="nil"/>
              <w:left w:val="nil"/>
              <w:bottom w:val="single" w:sz="4" w:space="0" w:color="808080"/>
              <w:right w:val="single" w:sz="4" w:space="0" w:color="808080"/>
            </w:tcBorders>
            <w:shd w:val="clear" w:color="auto" w:fill="auto"/>
            <w:noWrap/>
            <w:vAlign w:val="bottom"/>
            <w:hideMark/>
          </w:tcPr>
          <w:p w14:paraId="39CFD54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w:t>
            </w:r>
          </w:p>
        </w:tc>
        <w:tc>
          <w:tcPr>
            <w:tcW w:w="215" w:type="pct"/>
            <w:tcBorders>
              <w:top w:val="nil"/>
              <w:left w:val="nil"/>
              <w:bottom w:val="single" w:sz="4" w:space="0" w:color="808080"/>
              <w:right w:val="single" w:sz="4" w:space="0" w:color="808080"/>
            </w:tcBorders>
            <w:shd w:val="clear" w:color="auto" w:fill="auto"/>
            <w:noWrap/>
            <w:vAlign w:val="bottom"/>
            <w:hideMark/>
          </w:tcPr>
          <w:p w14:paraId="7535C4C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20.00%</w:t>
            </w:r>
          </w:p>
        </w:tc>
        <w:tc>
          <w:tcPr>
            <w:tcW w:w="163" w:type="pct"/>
            <w:tcBorders>
              <w:top w:val="nil"/>
              <w:left w:val="nil"/>
              <w:bottom w:val="single" w:sz="4" w:space="0" w:color="808080"/>
              <w:right w:val="single" w:sz="4" w:space="0" w:color="808080"/>
            </w:tcBorders>
            <w:shd w:val="clear" w:color="auto" w:fill="auto"/>
            <w:noWrap/>
            <w:vAlign w:val="bottom"/>
            <w:hideMark/>
          </w:tcPr>
          <w:p w14:paraId="2ACB0B2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1.82</w:t>
            </w:r>
          </w:p>
        </w:tc>
        <w:tc>
          <w:tcPr>
            <w:tcW w:w="163" w:type="pct"/>
            <w:tcBorders>
              <w:top w:val="nil"/>
              <w:left w:val="nil"/>
              <w:bottom w:val="single" w:sz="4" w:space="0" w:color="808080"/>
              <w:right w:val="single" w:sz="4" w:space="0" w:color="auto"/>
            </w:tcBorders>
            <w:shd w:val="clear" w:color="auto" w:fill="auto"/>
            <w:noWrap/>
            <w:vAlign w:val="bottom"/>
            <w:hideMark/>
          </w:tcPr>
          <w:p w14:paraId="4A773FD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0.59</w:t>
            </w:r>
          </w:p>
        </w:tc>
        <w:tc>
          <w:tcPr>
            <w:tcW w:w="118" w:type="pct"/>
            <w:tcBorders>
              <w:top w:val="nil"/>
              <w:left w:val="nil"/>
              <w:bottom w:val="single" w:sz="4" w:space="0" w:color="808080"/>
              <w:right w:val="single" w:sz="4" w:space="0" w:color="808080"/>
            </w:tcBorders>
            <w:shd w:val="clear" w:color="auto" w:fill="auto"/>
            <w:noWrap/>
            <w:vAlign w:val="bottom"/>
            <w:hideMark/>
          </w:tcPr>
          <w:p w14:paraId="5BD9EEA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nil"/>
              <w:left w:val="nil"/>
              <w:bottom w:val="single" w:sz="4" w:space="0" w:color="808080"/>
              <w:right w:val="single" w:sz="4" w:space="0" w:color="808080"/>
            </w:tcBorders>
            <w:shd w:val="clear" w:color="auto" w:fill="auto"/>
            <w:noWrap/>
            <w:vAlign w:val="bottom"/>
            <w:hideMark/>
          </w:tcPr>
          <w:p w14:paraId="52A66A8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5" w:type="pct"/>
            <w:tcBorders>
              <w:top w:val="nil"/>
              <w:left w:val="nil"/>
              <w:bottom w:val="single" w:sz="4" w:space="0" w:color="808080"/>
              <w:right w:val="single" w:sz="4" w:space="0" w:color="808080"/>
            </w:tcBorders>
            <w:shd w:val="clear" w:color="auto" w:fill="auto"/>
            <w:noWrap/>
            <w:vAlign w:val="bottom"/>
            <w:hideMark/>
          </w:tcPr>
          <w:p w14:paraId="55522E7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3" w:type="pct"/>
            <w:tcBorders>
              <w:top w:val="nil"/>
              <w:left w:val="nil"/>
              <w:bottom w:val="single" w:sz="4" w:space="0" w:color="808080"/>
              <w:right w:val="single" w:sz="4" w:space="0" w:color="808080"/>
            </w:tcBorders>
            <w:shd w:val="clear" w:color="auto" w:fill="auto"/>
            <w:noWrap/>
            <w:vAlign w:val="bottom"/>
            <w:hideMark/>
          </w:tcPr>
          <w:p w14:paraId="4CCD482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3" w:type="pct"/>
            <w:tcBorders>
              <w:top w:val="nil"/>
              <w:left w:val="nil"/>
              <w:bottom w:val="single" w:sz="4" w:space="0" w:color="808080"/>
              <w:right w:val="nil"/>
            </w:tcBorders>
            <w:shd w:val="clear" w:color="auto" w:fill="auto"/>
            <w:noWrap/>
            <w:vAlign w:val="bottom"/>
            <w:hideMark/>
          </w:tcPr>
          <w:p w14:paraId="7A55A72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18" w:type="pct"/>
            <w:tcBorders>
              <w:top w:val="nil"/>
              <w:left w:val="single" w:sz="4" w:space="0" w:color="auto"/>
              <w:bottom w:val="single" w:sz="4" w:space="0" w:color="808080"/>
              <w:right w:val="single" w:sz="4" w:space="0" w:color="808080"/>
            </w:tcBorders>
            <w:shd w:val="clear" w:color="auto" w:fill="auto"/>
            <w:noWrap/>
            <w:vAlign w:val="bottom"/>
            <w:hideMark/>
          </w:tcPr>
          <w:p w14:paraId="42F9883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214" w:type="pct"/>
            <w:tcBorders>
              <w:top w:val="nil"/>
              <w:left w:val="nil"/>
              <w:bottom w:val="single" w:sz="4" w:space="0" w:color="808080"/>
              <w:right w:val="single" w:sz="4" w:space="0" w:color="808080"/>
            </w:tcBorders>
            <w:shd w:val="clear" w:color="auto" w:fill="auto"/>
            <w:noWrap/>
            <w:vAlign w:val="bottom"/>
            <w:hideMark/>
          </w:tcPr>
          <w:p w14:paraId="79EB56C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30.00%</w:t>
            </w:r>
          </w:p>
        </w:tc>
        <w:tc>
          <w:tcPr>
            <w:tcW w:w="245" w:type="pct"/>
            <w:tcBorders>
              <w:top w:val="nil"/>
              <w:left w:val="nil"/>
              <w:bottom w:val="single" w:sz="4" w:space="0" w:color="808080"/>
              <w:right w:val="single" w:sz="4" w:space="0" w:color="808080"/>
            </w:tcBorders>
            <w:shd w:val="clear" w:color="auto" w:fill="auto"/>
            <w:noWrap/>
            <w:vAlign w:val="bottom"/>
            <w:hideMark/>
          </w:tcPr>
          <w:p w14:paraId="546C33D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163" w:type="pct"/>
            <w:tcBorders>
              <w:top w:val="nil"/>
              <w:left w:val="nil"/>
              <w:bottom w:val="single" w:sz="4" w:space="0" w:color="808080"/>
              <w:right w:val="single" w:sz="4" w:space="0" w:color="808080"/>
            </w:tcBorders>
            <w:shd w:val="clear" w:color="auto" w:fill="auto"/>
            <w:noWrap/>
            <w:vAlign w:val="bottom"/>
            <w:hideMark/>
          </w:tcPr>
          <w:p w14:paraId="560D46D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3.23</w:t>
            </w:r>
          </w:p>
        </w:tc>
        <w:tc>
          <w:tcPr>
            <w:tcW w:w="133" w:type="pct"/>
            <w:tcBorders>
              <w:top w:val="nil"/>
              <w:left w:val="nil"/>
              <w:bottom w:val="single" w:sz="4" w:space="0" w:color="808080"/>
              <w:right w:val="single" w:sz="4" w:space="0" w:color="auto"/>
            </w:tcBorders>
            <w:shd w:val="clear" w:color="auto" w:fill="auto"/>
            <w:noWrap/>
            <w:vAlign w:val="bottom"/>
            <w:hideMark/>
          </w:tcPr>
          <w:p w14:paraId="5662DB5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0.44</w:t>
            </w:r>
          </w:p>
        </w:tc>
        <w:tc>
          <w:tcPr>
            <w:tcW w:w="384" w:type="pct"/>
            <w:tcBorders>
              <w:top w:val="nil"/>
              <w:left w:val="nil"/>
              <w:bottom w:val="single" w:sz="4" w:space="0" w:color="808080"/>
              <w:right w:val="single" w:sz="4" w:space="0" w:color="auto"/>
            </w:tcBorders>
            <w:shd w:val="clear" w:color="auto" w:fill="auto"/>
            <w:noWrap/>
            <w:vAlign w:val="bottom"/>
            <w:hideMark/>
          </w:tcPr>
          <w:p w14:paraId="2984F4B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12.04</w:t>
            </w:r>
          </w:p>
        </w:tc>
        <w:tc>
          <w:tcPr>
            <w:tcW w:w="214" w:type="pct"/>
            <w:tcBorders>
              <w:top w:val="nil"/>
              <w:left w:val="nil"/>
              <w:bottom w:val="single" w:sz="4" w:space="0" w:color="808080"/>
              <w:right w:val="single" w:sz="4" w:space="0" w:color="808080"/>
            </w:tcBorders>
            <w:shd w:val="clear" w:color="auto" w:fill="auto"/>
            <w:noWrap/>
            <w:vAlign w:val="bottom"/>
            <w:hideMark/>
          </w:tcPr>
          <w:p w14:paraId="6CACEA1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20.83%</w:t>
            </w:r>
          </w:p>
        </w:tc>
        <w:tc>
          <w:tcPr>
            <w:tcW w:w="245" w:type="pct"/>
            <w:tcBorders>
              <w:top w:val="nil"/>
              <w:left w:val="nil"/>
              <w:bottom w:val="single" w:sz="4" w:space="0" w:color="808080"/>
              <w:right w:val="single" w:sz="4" w:space="0" w:color="808080"/>
            </w:tcBorders>
            <w:shd w:val="clear" w:color="auto" w:fill="auto"/>
            <w:noWrap/>
            <w:vAlign w:val="bottom"/>
            <w:hideMark/>
          </w:tcPr>
          <w:p w14:paraId="409D7DD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97.92%</w:t>
            </w:r>
          </w:p>
        </w:tc>
        <w:tc>
          <w:tcPr>
            <w:tcW w:w="214" w:type="pct"/>
            <w:tcBorders>
              <w:top w:val="nil"/>
              <w:left w:val="nil"/>
              <w:bottom w:val="single" w:sz="4" w:space="0" w:color="808080"/>
              <w:right w:val="single" w:sz="4" w:space="0" w:color="808080"/>
            </w:tcBorders>
            <w:shd w:val="clear" w:color="auto" w:fill="auto"/>
            <w:noWrap/>
            <w:vAlign w:val="bottom"/>
            <w:hideMark/>
          </w:tcPr>
          <w:p w14:paraId="74F1D3A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13.10%</w:t>
            </w:r>
          </w:p>
        </w:tc>
        <w:tc>
          <w:tcPr>
            <w:tcW w:w="246" w:type="pct"/>
            <w:tcBorders>
              <w:top w:val="nil"/>
              <w:left w:val="nil"/>
              <w:bottom w:val="single" w:sz="4" w:space="0" w:color="808080"/>
              <w:right w:val="single" w:sz="4" w:space="0" w:color="auto"/>
            </w:tcBorders>
            <w:shd w:val="clear" w:color="auto" w:fill="auto"/>
            <w:noWrap/>
            <w:vAlign w:val="bottom"/>
            <w:hideMark/>
          </w:tcPr>
          <w:p w14:paraId="7C51CE7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98.81%</w:t>
            </w:r>
          </w:p>
        </w:tc>
      </w:tr>
      <w:tr w:rsidR="00A022DF" w:rsidRPr="00E87E42" w14:paraId="3CFA18F0" w14:textId="77777777" w:rsidTr="005839EF">
        <w:trPr>
          <w:trHeight w:val="227"/>
        </w:trPr>
        <w:tc>
          <w:tcPr>
            <w:tcW w:w="56" w:type="pct"/>
            <w:tcBorders>
              <w:top w:val="nil"/>
              <w:left w:val="single" w:sz="4" w:space="0" w:color="auto"/>
              <w:bottom w:val="single" w:sz="4" w:space="0" w:color="auto"/>
              <w:right w:val="nil"/>
            </w:tcBorders>
            <w:shd w:val="clear" w:color="auto" w:fill="auto"/>
            <w:noWrap/>
            <w:vAlign w:val="bottom"/>
            <w:hideMark/>
          </w:tcPr>
          <w:p w14:paraId="3560623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118" w:type="pct"/>
            <w:tcBorders>
              <w:top w:val="nil"/>
              <w:left w:val="single" w:sz="4" w:space="0" w:color="auto"/>
              <w:bottom w:val="single" w:sz="4" w:space="0" w:color="auto"/>
              <w:right w:val="single" w:sz="4" w:space="0" w:color="auto"/>
            </w:tcBorders>
            <w:shd w:val="clear" w:color="auto" w:fill="auto"/>
            <w:noWrap/>
            <w:vAlign w:val="bottom"/>
            <w:hideMark/>
          </w:tcPr>
          <w:p w14:paraId="4DA4D4C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118" w:type="pct"/>
            <w:tcBorders>
              <w:top w:val="nil"/>
              <w:left w:val="nil"/>
              <w:bottom w:val="single" w:sz="4" w:space="0" w:color="auto"/>
              <w:right w:val="single" w:sz="4" w:space="0" w:color="808080"/>
            </w:tcBorders>
            <w:shd w:val="clear" w:color="auto" w:fill="auto"/>
            <w:noWrap/>
            <w:vAlign w:val="bottom"/>
            <w:hideMark/>
          </w:tcPr>
          <w:p w14:paraId="4784FA9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45" w:type="pct"/>
            <w:tcBorders>
              <w:top w:val="nil"/>
              <w:left w:val="nil"/>
              <w:bottom w:val="single" w:sz="4" w:space="0" w:color="auto"/>
              <w:right w:val="single" w:sz="4" w:space="0" w:color="808080"/>
            </w:tcBorders>
            <w:shd w:val="clear" w:color="auto" w:fill="auto"/>
            <w:noWrap/>
            <w:vAlign w:val="bottom"/>
            <w:hideMark/>
          </w:tcPr>
          <w:p w14:paraId="538D5FB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14" w:type="pct"/>
            <w:tcBorders>
              <w:top w:val="nil"/>
              <w:left w:val="nil"/>
              <w:bottom w:val="single" w:sz="4" w:space="0" w:color="auto"/>
              <w:right w:val="single" w:sz="4" w:space="0" w:color="808080"/>
            </w:tcBorders>
            <w:shd w:val="clear" w:color="auto" w:fill="auto"/>
            <w:noWrap/>
            <w:vAlign w:val="bottom"/>
            <w:hideMark/>
          </w:tcPr>
          <w:p w14:paraId="719D136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2.50%</w:t>
            </w:r>
          </w:p>
        </w:tc>
        <w:tc>
          <w:tcPr>
            <w:tcW w:w="163" w:type="pct"/>
            <w:tcBorders>
              <w:top w:val="nil"/>
              <w:left w:val="nil"/>
              <w:bottom w:val="single" w:sz="4" w:space="0" w:color="auto"/>
              <w:right w:val="single" w:sz="4" w:space="0" w:color="808080"/>
            </w:tcBorders>
            <w:shd w:val="clear" w:color="auto" w:fill="auto"/>
            <w:noWrap/>
            <w:vAlign w:val="bottom"/>
            <w:hideMark/>
          </w:tcPr>
          <w:p w14:paraId="31FDDA7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0.50</w:t>
            </w:r>
          </w:p>
        </w:tc>
        <w:tc>
          <w:tcPr>
            <w:tcW w:w="164" w:type="pct"/>
            <w:tcBorders>
              <w:top w:val="nil"/>
              <w:left w:val="nil"/>
              <w:bottom w:val="single" w:sz="4" w:space="0" w:color="auto"/>
              <w:right w:val="nil"/>
            </w:tcBorders>
            <w:shd w:val="clear" w:color="auto" w:fill="auto"/>
            <w:noWrap/>
            <w:vAlign w:val="bottom"/>
            <w:hideMark/>
          </w:tcPr>
          <w:p w14:paraId="72B2D9E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0.50</w:t>
            </w:r>
          </w:p>
        </w:tc>
        <w:tc>
          <w:tcPr>
            <w:tcW w:w="118" w:type="pct"/>
            <w:tcBorders>
              <w:top w:val="nil"/>
              <w:left w:val="single" w:sz="4" w:space="0" w:color="auto"/>
              <w:bottom w:val="single" w:sz="4" w:space="0" w:color="auto"/>
              <w:right w:val="single" w:sz="4" w:space="0" w:color="808080"/>
            </w:tcBorders>
            <w:shd w:val="clear" w:color="auto" w:fill="auto"/>
            <w:noWrap/>
            <w:vAlign w:val="bottom"/>
            <w:hideMark/>
          </w:tcPr>
          <w:p w14:paraId="525D4DA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nil"/>
              <w:left w:val="nil"/>
              <w:bottom w:val="single" w:sz="4" w:space="0" w:color="auto"/>
              <w:right w:val="single" w:sz="4" w:space="0" w:color="808080"/>
            </w:tcBorders>
            <w:shd w:val="clear" w:color="auto" w:fill="auto"/>
            <w:noWrap/>
            <w:vAlign w:val="bottom"/>
            <w:hideMark/>
          </w:tcPr>
          <w:p w14:paraId="6077D8A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5" w:type="pct"/>
            <w:tcBorders>
              <w:top w:val="nil"/>
              <w:left w:val="nil"/>
              <w:bottom w:val="single" w:sz="4" w:space="0" w:color="auto"/>
              <w:right w:val="single" w:sz="4" w:space="0" w:color="808080"/>
            </w:tcBorders>
            <w:shd w:val="clear" w:color="auto" w:fill="auto"/>
            <w:noWrap/>
            <w:vAlign w:val="bottom"/>
            <w:hideMark/>
          </w:tcPr>
          <w:p w14:paraId="70BF5D3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3" w:type="pct"/>
            <w:tcBorders>
              <w:top w:val="nil"/>
              <w:left w:val="nil"/>
              <w:bottom w:val="single" w:sz="4" w:space="0" w:color="auto"/>
              <w:right w:val="single" w:sz="4" w:space="0" w:color="808080"/>
            </w:tcBorders>
            <w:shd w:val="clear" w:color="auto" w:fill="auto"/>
            <w:noWrap/>
            <w:vAlign w:val="bottom"/>
            <w:hideMark/>
          </w:tcPr>
          <w:p w14:paraId="78685CB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3" w:type="pct"/>
            <w:tcBorders>
              <w:top w:val="nil"/>
              <w:left w:val="nil"/>
              <w:bottom w:val="single" w:sz="4" w:space="0" w:color="auto"/>
              <w:right w:val="single" w:sz="4" w:space="0" w:color="auto"/>
            </w:tcBorders>
            <w:shd w:val="clear" w:color="auto" w:fill="auto"/>
            <w:noWrap/>
            <w:vAlign w:val="bottom"/>
            <w:hideMark/>
          </w:tcPr>
          <w:p w14:paraId="56BB142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18" w:type="pct"/>
            <w:tcBorders>
              <w:top w:val="nil"/>
              <w:left w:val="nil"/>
              <w:bottom w:val="single" w:sz="4" w:space="0" w:color="auto"/>
              <w:right w:val="single" w:sz="4" w:space="0" w:color="808080"/>
            </w:tcBorders>
            <w:shd w:val="clear" w:color="auto" w:fill="auto"/>
            <w:noWrap/>
            <w:vAlign w:val="bottom"/>
            <w:hideMark/>
          </w:tcPr>
          <w:p w14:paraId="620022D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nil"/>
              <w:left w:val="nil"/>
              <w:bottom w:val="single" w:sz="4" w:space="0" w:color="auto"/>
              <w:right w:val="single" w:sz="4" w:space="0" w:color="808080"/>
            </w:tcBorders>
            <w:shd w:val="clear" w:color="auto" w:fill="auto"/>
            <w:noWrap/>
            <w:vAlign w:val="bottom"/>
            <w:hideMark/>
          </w:tcPr>
          <w:p w14:paraId="3A4628D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5" w:type="pct"/>
            <w:tcBorders>
              <w:top w:val="nil"/>
              <w:left w:val="nil"/>
              <w:bottom w:val="single" w:sz="4" w:space="0" w:color="auto"/>
              <w:right w:val="single" w:sz="4" w:space="0" w:color="808080"/>
            </w:tcBorders>
            <w:shd w:val="clear" w:color="auto" w:fill="auto"/>
            <w:noWrap/>
            <w:vAlign w:val="bottom"/>
            <w:hideMark/>
          </w:tcPr>
          <w:p w14:paraId="30998E8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3" w:type="pct"/>
            <w:tcBorders>
              <w:top w:val="nil"/>
              <w:left w:val="nil"/>
              <w:bottom w:val="single" w:sz="4" w:space="0" w:color="auto"/>
              <w:right w:val="single" w:sz="4" w:space="0" w:color="808080"/>
            </w:tcBorders>
            <w:shd w:val="clear" w:color="auto" w:fill="auto"/>
            <w:noWrap/>
            <w:vAlign w:val="bottom"/>
            <w:hideMark/>
          </w:tcPr>
          <w:p w14:paraId="0DFEBE3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3" w:type="pct"/>
            <w:tcBorders>
              <w:top w:val="nil"/>
              <w:left w:val="nil"/>
              <w:bottom w:val="single" w:sz="4" w:space="0" w:color="auto"/>
              <w:right w:val="nil"/>
            </w:tcBorders>
            <w:shd w:val="clear" w:color="auto" w:fill="auto"/>
            <w:noWrap/>
            <w:vAlign w:val="bottom"/>
            <w:hideMark/>
          </w:tcPr>
          <w:p w14:paraId="00D5368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18" w:type="pct"/>
            <w:tcBorders>
              <w:top w:val="nil"/>
              <w:left w:val="single" w:sz="4" w:space="0" w:color="auto"/>
              <w:bottom w:val="single" w:sz="4" w:space="0" w:color="auto"/>
              <w:right w:val="single" w:sz="4" w:space="0" w:color="808080"/>
            </w:tcBorders>
            <w:shd w:val="clear" w:color="auto" w:fill="auto"/>
            <w:noWrap/>
            <w:vAlign w:val="bottom"/>
            <w:hideMark/>
          </w:tcPr>
          <w:p w14:paraId="0E98AE8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4" w:type="pct"/>
            <w:tcBorders>
              <w:top w:val="nil"/>
              <w:left w:val="nil"/>
              <w:bottom w:val="single" w:sz="4" w:space="0" w:color="auto"/>
              <w:right w:val="single" w:sz="4" w:space="0" w:color="808080"/>
            </w:tcBorders>
            <w:shd w:val="clear" w:color="auto" w:fill="auto"/>
            <w:noWrap/>
            <w:vAlign w:val="bottom"/>
            <w:hideMark/>
          </w:tcPr>
          <w:p w14:paraId="126B7B2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45" w:type="pct"/>
            <w:tcBorders>
              <w:top w:val="nil"/>
              <w:left w:val="nil"/>
              <w:bottom w:val="single" w:sz="4" w:space="0" w:color="auto"/>
              <w:right w:val="single" w:sz="4" w:space="0" w:color="808080"/>
            </w:tcBorders>
            <w:shd w:val="clear" w:color="auto" w:fill="auto"/>
            <w:noWrap/>
            <w:vAlign w:val="bottom"/>
            <w:hideMark/>
          </w:tcPr>
          <w:p w14:paraId="406183C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3" w:type="pct"/>
            <w:tcBorders>
              <w:top w:val="nil"/>
              <w:left w:val="nil"/>
              <w:bottom w:val="single" w:sz="4" w:space="0" w:color="auto"/>
              <w:right w:val="single" w:sz="4" w:space="0" w:color="808080"/>
            </w:tcBorders>
            <w:shd w:val="clear" w:color="auto" w:fill="auto"/>
            <w:noWrap/>
            <w:vAlign w:val="bottom"/>
            <w:hideMark/>
          </w:tcPr>
          <w:p w14:paraId="7808D58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33" w:type="pct"/>
            <w:tcBorders>
              <w:top w:val="nil"/>
              <w:left w:val="nil"/>
              <w:bottom w:val="single" w:sz="4" w:space="0" w:color="auto"/>
              <w:right w:val="single" w:sz="4" w:space="0" w:color="auto"/>
            </w:tcBorders>
            <w:shd w:val="clear" w:color="auto" w:fill="auto"/>
            <w:noWrap/>
            <w:vAlign w:val="bottom"/>
            <w:hideMark/>
          </w:tcPr>
          <w:p w14:paraId="05F54E3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84" w:type="pct"/>
            <w:tcBorders>
              <w:top w:val="nil"/>
              <w:left w:val="nil"/>
              <w:bottom w:val="single" w:sz="4" w:space="0" w:color="auto"/>
              <w:right w:val="single" w:sz="4" w:space="0" w:color="auto"/>
            </w:tcBorders>
            <w:shd w:val="clear" w:color="auto" w:fill="auto"/>
            <w:noWrap/>
            <w:vAlign w:val="bottom"/>
            <w:hideMark/>
          </w:tcPr>
          <w:p w14:paraId="2EC5DB9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0.50</w:t>
            </w:r>
          </w:p>
        </w:tc>
        <w:tc>
          <w:tcPr>
            <w:tcW w:w="214" w:type="pct"/>
            <w:tcBorders>
              <w:top w:val="nil"/>
              <w:left w:val="nil"/>
              <w:bottom w:val="single" w:sz="4" w:space="0" w:color="auto"/>
              <w:right w:val="single" w:sz="4" w:space="0" w:color="808080"/>
            </w:tcBorders>
            <w:shd w:val="clear" w:color="auto" w:fill="auto"/>
            <w:noWrap/>
            <w:vAlign w:val="bottom"/>
            <w:hideMark/>
          </w:tcPr>
          <w:p w14:paraId="7784DF6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2.08%</w:t>
            </w:r>
          </w:p>
        </w:tc>
        <w:tc>
          <w:tcPr>
            <w:tcW w:w="245" w:type="pct"/>
            <w:tcBorders>
              <w:top w:val="nil"/>
              <w:left w:val="nil"/>
              <w:bottom w:val="single" w:sz="4" w:space="0" w:color="auto"/>
              <w:right w:val="single" w:sz="4" w:space="0" w:color="808080"/>
            </w:tcBorders>
            <w:shd w:val="clear" w:color="auto" w:fill="auto"/>
            <w:noWrap/>
            <w:vAlign w:val="bottom"/>
            <w:hideMark/>
          </w:tcPr>
          <w:p w14:paraId="3F7B662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14" w:type="pct"/>
            <w:tcBorders>
              <w:top w:val="nil"/>
              <w:left w:val="nil"/>
              <w:bottom w:val="single" w:sz="4" w:space="0" w:color="auto"/>
              <w:right w:val="single" w:sz="4" w:space="0" w:color="808080"/>
            </w:tcBorders>
            <w:shd w:val="clear" w:color="auto" w:fill="auto"/>
            <w:noWrap/>
            <w:vAlign w:val="bottom"/>
            <w:hideMark/>
          </w:tcPr>
          <w:p w14:paraId="7C0BE4F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1.19%</w:t>
            </w:r>
          </w:p>
        </w:tc>
        <w:tc>
          <w:tcPr>
            <w:tcW w:w="246" w:type="pct"/>
            <w:tcBorders>
              <w:top w:val="nil"/>
              <w:left w:val="nil"/>
              <w:bottom w:val="single" w:sz="4" w:space="0" w:color="auto"/>
              <w:right w:val="single" w:sz="4" w:space="0" w:color="auto"/>
            </w:tcBorders>
            <w:shd w:val="clear" w:color="auto" w:fill="auto"/>
            <w:noWrap/>
            <w:vAlign w:val="bottom"/>
            <w:hideMark/>
          </w:tcPr>
          <w:p w14:paraId="6F5C24B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r>
      <w:tr w:rsidR="00A022DF" w:rsidRPr="00E87E42" w14:paraId="40269492" w14:textId="77777777" w:rsidTr="005839EF">
        <w:trPr>
          <w:trHeight w:val="227"/>
        </w:trPr>
        <w:tc>
          <w:tcPr>
            <w:tcW w:w="3697" w:type="pct"/>
            <w:gridSpan w:val="22"/>
            <w:tcBorders>
              <w:top w:val="nil"/>
              <w:left w:val="single" w:sz="4" w:space="0" w:color="auto"/>
              <w:bottom w:val="single" w:sz="4" w:space="0" w:color="auto"/>
              <w:right w:val="single" w:sz="4" w:space="0" w:color="auto"/>
            </w:tcBorders>
            <w:shd w:val="clear" w:color="auto" w:fill="auto"/>
            <w:noWrap/>
            <w:vAlign w:val="bottom"/>
          </w:tcPr>
          <w:p w14:paraId="619B8487" w14:textId="77777777" w:rsidR="00A022DF" w:rsidRPr="00E87E42" w:rsidRDefault="00A022DF" w:rsidP="00A022DF">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Total weighted area damage</w:t>
            </w:r>
          </w:p>
        </w:tc>
        <w:tc>
          <w:tcPr>
            <w:tcW w:w="384" w:type="pct"/>
            <w:tcBorders>
              <w:top w:val="nil"/>
              <w:left w:val="nil"/>
              <w:bottom w:val="single" w:sz="4" w:space="0" w:color="auto"/>
              <w:right w:val="single" w:sz="4" w:space="0" w:color="auto"/>
            </w:tcBorders>
            <w:shd w:val="clear" w:color="auto" w:fill="auto"/>
            <w:noWrap/>
            <w:vAlign w:val="bottom"/>
          </w:tcPr>
          <w:p w14:paraId="26382AF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22.59</w:t>
            </w:r>
          </w:p>
        </w:tc>
        <w:tc>
          <w:tcPr>
            <w:tcW w:w="919" w:type="pct"/>
            <w:gridSpan w:val="4"/>
            <w:tcBorders>
              <w:top w:val="nil"/>
              <w:left w:val="nil"/>
              <w:bottom w:val="single" w:sz="4" w:space="0" w:color="auto"/>
              <w:right w:val="single" w:sz="4" w:space="0" w:color="auto"/>
            </w:tcBorders>
            <w:shd w:val="clear" w:color="auto" w:fill="auto"/>
            <w:noWrap/>
            <w:vAlign w:val="bottom"/>
          </w:tcPr>
          <w:p w14:paraId="53D57CEE" w14:textId="77777777" w:rsidR="00A022DF" w:rsidRPr="00E87E42" w:rsidRDefault="00A022DF" w:rsidP="00A022DF">
            <w:pPr>
              <w:spacing w:after="0" w:line="240" w:lineRule="auto"/>
              <w:jc w:val="center"/>
              <w:rPr>
                <w:rFonts w:eastAsia="Times New Roman"/>
                <w:color w:val="000000"/>
                <w:sz w:val="16"/>
                <w:szCs w:val="16"/>
                <w:lang w:eastAsia="en-GB"/>
              </w:rPr>
            </w:pPr>
          </w:p>
        </w:tc>
      </w:tr>
      <w:tr w:rsidR="00A022DF" w:rsidRPr="00E87E42" w14:paraId="7F1F10A9" w14:textId="77777777" w:rsidTr="005839EF">
        <w:trPr>
          <w:trHeight w:val="227"/>
        </w:trPr>
        <w:tc>
          <w:tcPr>
            <w:tcW w:w="56" w:type="pct"/>
            <w:tcBorders>
              <w:top w:val="nil"/>
              <w:left w:val="nil"/>
              <w:bottom w:val="nil"/>
              <w:right w:val="nil"/>
            </w:tcBorders>
            <w:shd w:val="clear" w:color="auto" w:fill="auto"/>
            <w:noWrap/>
            <w:vAlign w:val="bottom"/>
            <w:hideMark/>
          </w:tcPr>
          <w:p w14:paraId="231E8446" w14:textId="77777777" w:rsidR="00A022DF" w:rsidRPr="00E87E42" w:rsidRDefault="00A022DF" w:rsidP="00A022DF">
            <w:pPr>
              <w:spacing w:after="0" w:line="240" w:lineRule="auto"/>
              <w:jc w:val="center"/>
              <w:rPr>
                <w:rFonts w:eastAsia="Times New Roman"/>
                <w:color w:val="000000"/>
                <w:sz w:val="16"/>
                <w:szCs w:val="16"/>
                <w:lang w:eastAsia="en-GB"/>
              </w:rPr>
            </w:pPr>
          </w:p>
        </w:tc>
        <w:tc>
          <w:tcPr>
            <w:tcW w:w="4944" w:type="pct"/>
            <w:gridSpan w:val="26"/>
            <w:tcBorders>
              <w:top w:val="nil"/>
              <w:left w:val="single" w:sz="4" w:space="0" w:color="auto"/>
              <w:bottom w:val="single" w:sz="4" w:space="0" w:color="auto"/>
              <w:right w:val="single" w:sz="4" w:space="0" w:color="000000"/>
            </w:tcBorders>
            <w:shd w:val="clear" w:color="auto" w:fill="auto"/>
            <w:noWrap/>
            <w:vAlign w:val="bottom"/>
            <w:hideMark/>
          </w:tcPr>
          <w:p w14:paraId="64C54619" w14:textId="77777777" w:rsidR="00A022DF" w:rsidRPr="00E87E42" w:rsidRDefault="00A022DF" w:rsidP="00A022DF">
            <w:pPr>
              <w:spacing w:after="0" w:line="240" w:lineRule="auto"/>
              <w:jc w:val="center"/>
              <w:rPr>
                <w:rFonts w:eastAsia="Times New Roman"/>
                <w:b/>
                <w:bCs/>
                <w:color w:val="000000"/>
                <w:sz w:val="16"/>
                <w:szCs w:val="16"/>
                <w:u w:val="single"/>
                <w:lang w:eastAsia="en-GB"/>
              </w:rPr>
            </w:pPr>
            <w:r w:rsidRPr="00E87E42">
              <w:rPr>
                <w:rFonts w:eastAsia="Times New Roman"/>
                <w:b/>
                <w:bCs/>
                <w:color w:val="000000"/>
                <w:sz w:val="16"/>
                <w:szCs w:val="16"/>
                <w:u w:val="single"/>
                <w:lang w:eastAsia="en-GB"/>
              </w:rPr>
              <w:t xml:space="preserve">No Sprinklers - Area damage </w:t>
            </w:r>
            <w:r w:rsidRPr="00E87E42">
              <w:rPr>
                <w:rFonts w:eastAsia="Times New Roman"/>
                <w:b/>
                <w:color w:val="000000"/>
                <w:sz w:val="16"/>
                <w:szCs w:val="16"/>
                <w:u w:val="single"/>
                <w:lang w:eastAsia="en-GB"/>
              </w:rPr>
              <w:t>m</w:t>
            </w:r>
            <w:r w:rsidRPr="00E87E42">
              <w:rPr>
                <w:rFonts w:eastAsia="Times New Roman"/>
                <w:b/>
                <w:color w:val="000000"/>
                <w:sz w:val="16"/>
                <w:szCs w:val="16"/>
                <w:u w:val="single"/>
                <w:vertAlign w:val="superscript"/>
                <w:lang w:eastAsia="en-GB"/>
              </w:rPr>
              <w:t>2</w:t>
            </w:r>
          </w:p>
        </w:tc>
      </w:tr>
      <w:tr w:rsidR="00A022DF" w:rsidRPr="00E87E42" w14:paraId="128A2E11" w14:textId="77777777" w:rsidTr="005839EF">
        <w:trPr>
          <w:trHeight w:val="227"/>
        </w:trPr>
        <w:tc>
          <w:tcPr>
            <w:tcW w:w="56" w:type="pct"/>
            <w:tcBorders>
              <w:top w:val="nil"/>
              <w:left w:val="nil"/>
              <w:bottom w:val="nil"/>
              <w:right w:val="nil"/>
            </w:tcBorders>
            <w:shd w:val="clear" w:color="auto" w:fill="auto"/>
            <w:noWrap/>
            <w:vAlign w:val="bottom"/>
            <w:hideMark/>
          </w:tcPr>
          <w:p w14:paraId="65CF0C98" w14:textId="77777777" w:rsidR="00A022DF" w:rsidRPr="00E87E42" w:rsidRDefault="00A022DF" w:rsidP="00A022DF">
            <w:pPr>
              <w:spacing w:after="0" w:line="240" w:lineRule="auto"/>
              <w:jc w:val="center"/>
              <w:rPr>
                <w:rFonts w:eastAsia="Times New Roman"/>
                <w:b/>
                <w:bCs/>
                <w:color w:val="000000"/>
                <w:sz w:val="16"/>
                <w:szCs w:val="16"/>
                <w:u w:val="single"/>
                <w:lang w:eastAsia="en-GB"/>
              </w:rPr>
            </w:pPr>
          </w:p>
        </w:tc>
        <w:tc>
          <w:tcPr>
            <w:tcW w:w="118" w:type="pct"/>
            <w:vMerge w:val="restart"/>
            <w:tcBorders>
              <w:top w:val="nil"/>
              <w:left w:val="single" w:sz="4" w:space="0" w:color="auto"/>
              <w:bottom w:val="nil"/>
              <w:right w:val="single" w:sz="4" w:space="0" w:color="auto"/>
            </w:tcBorders>
            <w:shd w:val="clear" w:color="auto" w:fill="auto"/>
            <w:noWrap/>
            <w:vAlign w:val="center"/>
            <w:hideMark/>
          </w:tcPr>
          <w:p w14:paraId="5322FDF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w:t>
            </w:r>
          </w:p>
        </w:tc>
        <w:tc>
          <w:tcPr>
            <w:tcW w:w="904"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00757893" w14:textId="77777777"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Minor</w:t>
            </w:r>
          </w:p>
        </w:tc>
        <w:tc>
          <w:tcPr>
            <w:tcW w:w="873"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359F4757" w14:textId="77777777"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Significantly</w:t>
            </w:r>
          </w:p>
        </w:tc>
        <w:tc>
          <w:tcPr>
            <w:tcW w:w="873"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3A80A754" w14:textId="77777777"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Heavy</w:t>
            </w:r>
          </w:p>
        </w:tc>
        <w:tc>
          <w:tcPr>
            <w:tcW w:w="873"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74A014D5" w14:textId="77777777"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Extreme</w:t>
            </w:r>
          </w:p>
        </w:tc>
        <w:tc>
          <w:tcPr>
            <w:tcW w:w="384" w:type="pct"/>
            <w:vMerge w:val="restart"/>
            <w:tcBorders>
              <w:top w:val="nil"/>
              <w:left w:val="single" w:sz="4" w:space="0" w:color="auto"/>
              <w:bottom w:val="nil"/>
              <w:right w:val="single" w:sz="4" w:space="0" w:color="auto"/>
            </w:tcBorders>
            <w:shd w:val="clear" w:color="auto" w:fill="auto"/>
            <w:noWrap/>
            <w:vAlign w:val="center"/>
            <w:hideMark/>
          </w:tcPr>
          <w:p w14:paraId="3C4C2EFB" w14:textId="77777777" w:rsidR="00A022DF" w:rsidRPr="00E87E42" w:rsidRDefault="00A022DF" w:rsidP="00A022D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 xml:space="preserve">Weighted area </w:t>
            </w:r>
          </w:p>
          <w:p w14:paraId="51B339E9" w14:textId="77777777" w:rsidR="00A022DF" w:rsidRPr="00E87E42" w:rsidRDefault="00A022DF" w:rsidP="00A022D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damage</w:t>
            </w:r>
          </w:p>
          <w:p w14:paraId="63C17A9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459"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108979C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60"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511AF9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F+U</w:t>
            </w:r>
          </w:p>
        </w:tc>
      </w:tr>
      <w:tr w:rsidR="00A022DF" w:rsidRPr="00E87E42" w14:paraId="039CA237" w14:textId="77777777" w:rsidTr="005839EF">
        <w:trPr>
          <w:trHeight w:val="227"/>
        </w:trPr>
        <w:tc>
          <w:tcPr>
            <w:tcW w:w="56" w:type="pct"/>
            <w:tcBorders>
              <w:top w:val="nil"/>
              <w:left w:val="nil"/>
              <w:bottom w:val="nil"/>
              <w:right w:val="nil"/>
            </w:tcBorders>
            <w:shd w:val="clear" w:color="auto" w:fill="auto"/>
            <w:noWrap/>
            <w:vAlign w:val="bottom"/>
            <w:hideMark/>
          </w:tcPr>
          <w:p w14:paraId="5A15FF77" w14:textId="77777777" w:rsidR="00A022DF" w:rsidRPr="00E87E42" w:rsidRDefault="00A022DF" w:rsidP="00A022DF">
            <w:pPr>
              <w:spacing w:after="0" w:line="240" w:lineRule="auto"/>
              <w:jc w:val="center"/>
              <w:rPr>
                <w:rFonts w:eastAsia="Times New Roman"/>
                <w:color w:val="000000"/>
                <w:sz w:val="16"/>
                <w:szCs w:val="16"/>
                <w:lang w:eastAsia="en-GB"/>
              </w:rPr>
            </w:pPr>
          </w:p>
        </w:tc>
        <w:tc>
          <w:tcPr>
            <w:tcW w:w="118" w:type="pct"/>
            <w:vMerge/>
            <w:tcBorders>
              <w:top w:val="nil"/>
              <w:left w:val="single" w:sz="4" w:space="0" w:color="auto"/>
              <w:bottom w:val="nil"/>
              <w:right w:val="single" w:sz="4" w:space="0" w:color="auto"/>
            </w:tcBorders>
            <w:vAlign w:val="center"/>
            <w:hideMark/>
          </w:tcPr>
          <w:p w14:paraId="18F66867"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18" w:type="pct"/>
            <w:vMerge w:val="restart"/>
            <w:tcBorders>
              <w:top w:val="nil"/>
              <w:left w:val="single" w:sz="4" w:space="0" w:color="auto"/>
              <w:bottom w:val="nil"/>
              <w:right w:val="nil"/>
            </w:tcBorders>
            <w:shd w:val="clear" w:color="auto" w:fill="auto"/>
            <w:noWrap/>
            <w:vAlign w:val="center"/>
            <w:hideMark/>
          </w:tcPr>
          <w:p w14:paraId="400FE7A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378A6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63" w:type="pct"/>
            <w:vMerge w:val="restart"/>
            <w:tcBorders>
              <w:top w:val="nil"/>
              <w:left w:val="single" w:sz="4" w:space="0" w:color="auto"/>
              <w:bottom w:val="nil"/>
              <w:right w:val="single" w:sz="4" w:space="0" w:color="auto"/>
            </w:tcBorders>
            <w:shd w:val="clear" w:color="auto" w:fill="auto"/>
            <w:noWrap/>
            <w:vAlign w:val="center"/>
            <w:hideMark/>
          </w:tcPr>
          <w:p w14:paraId="16C6426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4EED415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4" w:type="pct"/>
            <w:vMerge w:val="restart"/>
            <w:tcBorders>
              <w:top w:val="nil"/>
              <w:left w:val="single" w:sz="4" w:space="0" w:color="auto"/>
              <w:bottom w:val="nil"/>
              <w:right w:val="single" w:sz="4" w:space="0" w:color="auto"/>
            </w:tcBorders>
            <w:shd w:val="clear" w:color="auto" w:fill="auto"/>
            <w:noWrap/>
            <w:vAlign w:val="center"/>
            <w:hideMark/>
          </w:tcPr>
          <w:p w14:paraId="7EF109C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00115A0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18" w:type="pct"/>
            <w:vMerge w:val="restart"/>
            <w:tcBorders>
              <w:top w:val="nil"/>
              <w:left w:val="single" w:sz="4" w:space="0" w:color="auto"/>
              <w:bottom w:val="nil"/>
              <w:right w:val="single" w:sz="4" w:space="0" w:color="auto"/>
            </w:tcBorders>
            <w:shd w:val="clear" w:color="auto" w:fill="auto"/>
            <w:noWrap/>
            <w:vAlign w:val="center"/>
            <w:hideMark/>
          </w:tcPr>
          <w:p w14:paraId="34B7C20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89BF16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63" w:type="pct"/>
            <w:vMerge w:val="restart"/>
            <w:tcBorders>
              <w:top w:val="nil"/>
              <w:left w:val="single" w:sz="4" w:space="0" w:color="auto"/>
              <w:bottom w:val="nil"/>
              <w:right w:val="single" w:sz="4" w:space="0" w:color="auto"/>
            </w:tcBorders>
            <w:shd w:val="clear" w:color="auto" w:fill="auto"/>
            <w:noWrap/>
            <w:vAlign w:val="center"/>
            <w:hideMark/>
          </w:tcPr>
          <w:p w14:paraId="618794A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295F1EB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3" w:type="pct"/>
            <w:vMerge w:val="restart"/>
            <w:tcBorders>
              <w:top w:val="nil"/>
              <w:left w:val="single" w:sz="4" w:space="0" w:color="auto"/>
              <w:bottom w:val="nil"/>
              <w:right w:val="single" w:sz="4" w:space="0" w:color="auto"/>
            </w:tcBorders>
            <w:shd w:val="clear" w:color="auto" w:fill="auto"/>
            <w:noWrap/>
            <w:vAlign w:val="center"/>
            <w:hideMark/>
          </w:tcPr>
          <w:p w14:paraId="412A2DF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0A32549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18" w:type="pct"/>
            <w:vMerge w:val="restart"/>
            <w:tcBorders>
              <w:top w:val="nil"/>
              <w:left w:val="single" w:sz="4" w:space="0" w:color="auto"/>
              <w:bottom w:val="nil"/>
              <w:right w:val="single" w:sz="4" w:space="0" w:color="auto"/>
            </w:tcBorders>
            <w:shd w:val="clear" w:color="auto" w:fill="auto"/>
            <w:noWrap/>
            <w:vAlign w:val="center"/>
            <w:hideMark/>
          </w:tcPr>
          <w:p w14:paraId="47E4FCD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6C50DA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63" w:type="pct"/>
            <w:vMerge w:val="restart"/>
            <w:tcBorders>
              <w:top w:val="nil"/>
              <w:left w:val="single" w:sz="4" w:space="0" w:color="auto"/>
              <w:bottom w:val="nil"/>
              <w:right w:val="single" w:sz="4" w:space="0" w:color="auto"/>
            </w:tcBorders>
            <w:shd w:val="clear" w:color="auto" w:fill="auto"/>
            <w:noWrap/>
            <w:vAlign w:val="center"/>
            <w:hideMark/>
          </w:tcPr>
          <w:p w14:paraId="40A9FDC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5478F4D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3" w:type="pct"/>
            <w:vMerge w:val="restart"/>
            <w:tcBorders>
              <w:top w:val="nil"/>
              <w:left w:val="single" w:sz="4" w:space="0" w:color="auto"/>
              <w:bottom w:val="nil"/>
              <w:right w:val="single" w:sz="4" w:space="0" w:color="auto"/>
            </w:tcBorders>
            <w:shd w:val="clear" w:color="auto" w:fill="auto"/>
            <w:noWrap/>
            <w:vAlign w:val="center"/>
            <w:hideMark/>
          </w:tcPr>
          <w:p w14:paraId="3F567FA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746BFA7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18" w:type="pct"/>
            <w:vMerge w:val="restart"/>
            <w:tcBorders>
              <w:top w:val="nil"/>
              <w:left w:val="single" w:sz="4" w:space="0" w:color="auto"/>
              <w:bottom w:val="nil"/>
              <w:right w:val="single" w:sz="4" w:space="0" w:color="auto"/>
            </w:tcBorders>
            <w:shd w:val="clear" w:color="auto" w:fill="auto"/>
            <w:noWrap/>
            <w:vAlign w:val="center"/>
            <w:hideMark/>
          </w:tcPr>
          <w:p w14:paraId="6D73938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9" w:type="pct"/>
            <w:gridSpan w:val="2"/>
            <w:tcBorders>
              <w:top w:val="single" w:sz="4" w:space="0" w:color="auto"/>
              <w:left w:val="nil"/>
              <w:bottom w:val="nil"/>
              <w:right w:val="single" w:sz="4" w:space="0" w:color="000000"/>
            </w:tcBorders>
            <w:shd w:val="clear" w:color="auto" w:fill="auto"/>
            <w:noWrap/>
            <w:vAlign w:val="bottom"/>
            <w:hideMark/>
          </w:tcPr>
          <w:p w14:paraId="05F03B4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63" w:type="pct"/>
            <w:vMerge w:val="restart"/>
            <w:tcBorders>
              <w:top w:val="nil"/>
              <w:left w:val="single" w:sz="4" w:space="0" w:color="auto"/>
              <w:bottom w:val="nil"/>
              <w:right w:val="single" w:sz="4" w:space="0" w:color="auto"/>
            </w:tcBorders>
            <w:shd w:val="clear" w:color="auto" w:fill="auto"/>
            <w:noWrap/>
            <w:vAlign w:val="center"/>
            <w:hideMark/>
          </w:tcPr>
          <w:p w14:paraId="6C1DD48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4F6FF7F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33" w:type="pct"/>
            <w:vMerge w:val="restart"/>
            <w:tcBorders>
              <w:top w:val="nil"/>
              <w:left w:val="single" w:sz="4" w:space="0" w:color="auto"/>
              <w:bottom w:val="nil"/>
              <w:right w:val="single" w:sz="4" w:space="0" w:color="auto"/>
            </w:tcBorders>
            <w:shd w:val="clear" w:color="auto" w:fill="auto"/>
            <w:noWrap/>
            <w:vAlign w:val="center"/>
            <w:hideMark/>
          </w:tcPr>
          <w:p w14:paraId="1587C6C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14E154D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384" w:type="pct"/>
            <w:vMerge/>
            <w:tcBorders>
              <w:top w:val="nil"/>
              <w:left w:val="single" w:sz="4" w:space="0" w:color="auto"/>
              <w:bottom w:val="nil"/>
              <w:right w:val="single" w:sz="4" w:space="0" w:color="auto"/>
            </w:tcBorders>
            <w:vAlign w:val="center"/>
            <w:hideMark/>
          </w:tcPr>
          <w:p w14:paraId="237FF3A7"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459" w:type="pct"/>
            <w:gridSpan w:val="2"/>
            <w:vMerge/>
            <w:tcBorders>
              <w:top w:val="single" w:sz="4" w:space="0" w:color="auto"/>
              <w:left w:val="single" w:sz="4" w:space="0" w:color="auto"/>
              <w:bottom w:val="single" w:sz="4" w:space="0" w:color="000000"/>
              <w:right w:val="nil"/>
            </w:tcBorders>
            <w:vAlign w:val="center"/>
            <w:hideMark/>
          </w:tcPr>
          <w:p w14:paraId="7EB30EB4"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460" w:type="pct"/>
            <w:gridSpan w:val="2"/>
            <w:vMerge/>
            <w:tcBorders>
              <w:top w:val="single" w:sz="4" w:space="0" w:color="auto"/>
              <w:left w:val="single" w:sz="4" w:space="0" w:color="auto"/>
              <w:bottom w:val="single" w:sz="4" w:space="0" w:color="000000"/>
              <w:right w:val="single" w:sz="4" w:space="0" w:color="000000"/>
            </w:tcBorders>
            <w:vAlign w:val="center"/>
            <w:hideMark/>
          </w:tcPr>
          <w:p w14:paraId="364802B5" w14:textId="77777777" w:rsidR="00A022DF" w:rsidRPr="00E87E42" w:rsidRDefault="00A022DF" w:rsidP="00A022DF">
            <w:pPr>
              <w:spacing w:after="0" w:line="240" w:lineRule="auto"/>
              <w:jc w:val="left"/>
              <w:rPr>
                <w:rFonts w:eastAsia="Times New Roman"/>
                <w:color w:val="000000"/>
                <w:sz w:val="16"/>
                <w:szCs w:val="16"/>
                <w:lang w:eastAsia="en-GB"/>
              </w:rPr>
            </w:pPr>
          </w:p>
        </w:tc>
      </w:tr>
      <w:tr w:rsidR="00AD472B" w:rsidRPr="00E87E42" w14:paraId="4BFC7E12" w14:textId="77777777" w:rsidTr="00A446AC">
        <w:trPr>
          <w:trHeight w:val="227"/>
        </w:trPr>
        <w:tc>
          <w:tcPr>
            <w:tcW w:w="56" w:type="pct"/>
            <w:tcBorders>
              <w:top w:val="nil"/>
              <w:left w:val="nil"/>
              <w:bottom w:val="single" w:sz="4" w:space="0" w:color="auto"/>
              <w:right w:val="single" w:sz="4" w:space="0" w:color="auto"/>
            </w:tcBorders>
            <w:shd w:val="clear" w:color="auto" w:fill="auto"/>
            <w:noWrap/>
            <w:vAlign w:val="bottom"/>
            <w:hideMark/>
          </w:tcPr>
          <w:p w14:paraId="2B07BDE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w:t>
            </w:r>
          </w:p>
        </w:tc>
        <w:tc>
          <w:tcPr>
            <w:tcW w:w="118" w:type="pct"/>
            <w:vMerge/>
            <w:tcBorders>
              <w:top w:val="nil"/>
              <w:left w:val="single" w:sz="4" w:space="0" w:color="auto"/>
              <w:bottom w:val="nil"/>
              <w:right w:val="single" w:sz="4" w:space="0" w:color="auto"/>
            </w:tcBorders>
            <w:vAlign w:val="center"/>
            <w:hideMark/>
          </w:tcPr>
          <w:p w14:paraId="630CD095"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18" w:type="pct"/>
            <w:vMerge/>
            <w:tcBorders>
              <w:top w:val="nil"/>
              <w:left w:val="single" w:sz="4" w:space="0" w:color="auto"/>
              <w:bottom w:val="nil"/>
              <w:right w:val="nil"/>
            </w:tcBorders>
            <w:vAlign w:val="center"/>
            <w:hideMark/>
          </w:tcPr>
          <w:p w14:paraId="7DAACE86"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45" w:type="pct"/>
            <w:tcBorders>
              <w:top w:val="nil"/>
              <w:left w:val="single" w:sz="4" w:space="0" w:color="auto"/>
              <w:bottom w:val="nil"/>
              <w:right w:val="single" w:sz="4" w:space="0" w:color="auto"/>
            </w:tcBorders>
            <w:shd w:val="clear" w:color="auto" w:fill="auto"/>
            <w:noWrap/>
            <w:vAlign w:val="bottom"/>
            <w:hideMark/>
          </w:tcPr>
          <w:p w14:paraId="1CC1E830" w14:textId="1C90B626"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4" w:type="pct"/>
            <w:tcBorders>
              <w:top w:val="nil"/>
              <w:left w:val="nil"/>
              <w:bottom w:val="nil"/>
              <w:right w:val="single" w:sz="4" w:space="0" w:color="auto"/>
            </w:tcBorders>
            <w:shd w:val="clear" w:color="auto" w:fill="auto"/>
            <w:noWrap/>
            <w:vAlign w:val="bottom"/>
            <w:hideMark/>
          </w:tcPr>
          <w:p w14:paraId="55F53681" w14:textId="76A889DF"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63" w:type="pct"/>
            <w:vMerge/>
            <w:tcBorders>
              <w:top w:val="nil"/>
              <w:left w:val="single" w:sz="4" w:space="0" w:color="auto"/>
              <w:bottom w:val="nil"/>
              <w:right w:val="single" w:sz="4" w:space="0" w:color="auto"/>
            </w:tcBorders>
            <w:vAlign w:val="center"/>
            <w:hideMark/>
          </w:tcPr>
          <w:p w14:paraId="3B38CE20"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4" w:type="pct"/>
            <w:vMerge/>
            <w:tcBorders>
              <w:top w:val="nil"/>
              <w:left w:val="single" w:sz="4" w:space="0" w:color="auto"/>
              <w:bottom w:val="nil"/>
              <w:right w:val="single" w:sz="4" w:space="0" w:color="auto"/>
            </w:tcBorders>
            <w:vAlign w:val="center"/>
            <w:hideMark/>
          </w:tcPr>
          <w:p w14:paraId="0D48849C"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18" w:type="pct"/>
            <w:vMerge/>
            <w:tcBorders>
              <w:top w:val="nil"/>
              <w:left w:val="single" w:sz="4" w:space="0" w:color="auto"/>
              <w:bottom w:val="nil"/>
              <w:right w:val="single" w:sz="4" w:space="0" w:color="auto"/>
            </w:tcBorders>
            <w:vAlign w:val="center"/>
            <w:hideMark/>
          </w:tcPr>
          <w:p w14:paraId="32140620"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4" w:type="pct"/>
            <w:tcBorders>
              <w:top w:val="nil"/>
              <w:left w:val="nil"/>
              <w:bottom w:val="nil"/>
              <w:right w:val="single" w:sz="4" w:space="0" w:color="auto"/>
            </w:tcBorders>
            <w:shd w:val="clear" w:color="auto" w:fill="auto"/>
            <w:noWrap/>
            <w:vAlign w:val="bottom"/>
            <w:hideMark/>
          </w:tcPr>
          <w:p w14:paraId="453BCEF8" w14:textId="3ABE2773"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5" w:type="pct"/>
            <w:tcBorders>
              <w:top w:val="nil"/>
              <w:left w:val="nil"/>
              <w:bottom w:val="nil"/>
              <w:right w:val="single" w:sz="4" w:space="0" w:color="auto"/>
            </w:tcBorders>
            <w:shd w:val="clear" w:color="auto" w:fill="auto"/>
            <w:noWrap/>
            <w:vAlign w:val="bottom"/>
            <w:hideMark/>
          </w:tcPr>
          <w:p w14:paraId="227FD5AA" w14:textId="2BFC2EEF"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63" w:type="pct"/>
            <w:vMerge/>
            <w:tcBorders>
              <w:top w:val="nil"/>
              <w:left w:val="single" w:sz="4" w:space="0" w:color="auto"/>
              <w:bottom w:val="nil"/>
              <w:right w:val="single" w:sz="4" w:space="0" w:color="auto"/>
            </w:tcBorders>
            <w:vAlign w:val="center"/>
            <w:hideMark/>
          </w:tcPr>
          <w:p w14:paraId="1D349EDF"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3" w:type="pct"/>
            <w:vMerge/>
            <w:tcBorders>
              <w:top w:val="nil"/>
              <w:left w:val="single" w:sz="4" w:space="0" w:color="auto"/>
              <w:bottom w:val="nil"/>
              <w:right w:val="single" w:sz="4" w:space="0" w:color="auto"/>
            </w:tcBorders>
            <w:vAlign w:val="center"/>
            <w:hideMark/>
          </w:tcPr>
          <w:p w14:paraId="06BF88C3"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18" w:type="pct"/>
            <w:vMerge/>
            <w:tcBorders>
              <w:top w:val="nil"/>
              <w:left w:val="single" w:sz="4" w:space="0" w:color="auto"/>
              <w:bottom w:val="nil"/>
              <w:right w:val="single" w:sz="4" w:space="0" w:color="auto"/>
            </w:tcBorders>
            <w:vAlign w:val="center"/>
            <w:hideMark/>
          </w:tcPr>
          <w:p w14:paraId="7CEE59B5"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4" w:type="pct"/>
            <w:tcBorders>
              <w:top w:val="nil"/>
              <w:left w:val="nil"/>
              <w:bottom w:val="nil"/>
              <w:right w:val="single" w:sz="4" w:space="0" w:color="auto"/>
            </w:tcBorders>
            <w:shd w:val="clear" w:color="auto" w:fill="auto"/>
            <w:noWrap/>
            <w:vAlign w:val="bottom"/>
            <w:hideMark/>
          </w:tcPr>
          <w:p w14:paraId="5EF46FC9" w14:textId="04A15D98"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5" w:type="pct"/>
            <w:tcBorders>
              <w:top w:val="nil"/>
              <w:left w:val="nil"/>
              <w:bottom w:val="nil"/>
              <w:right w:val="single" w:sz="4" w:space="0" w:color="auto"/>
            </w:tcBorders>
            <w:shd w:val="clear" w:color="auto" w:fill="auto"/>
            <w:noWrap/>
            <w:vAlign w:val="bottom"/>
            <w:hideMark/>
          </w:tcPr>
          <w:p w14:paraId="627155BF" w14:textId="3D9050BC"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63" w:type="pct"/>
            <w:vMerge/>
            <w:tcBorders>
              <w:top w:val="nil"/>
              <w:left w:val="single" w:sz="4" w:space="0" w:color="auto"/>
              <w:bottom w:val="nil"/>
              <w:right w:val="single" w:sz="4" w:space="0" w:color="auto"/>
            </w:tcBorders>
            <w:vAlign w:val="center"/>
            <w:hideMark/>
          </w:tcPr>
          <w:p w14:paraId="30F37786"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3" w:type="pct"/>
            <w:vMerge/>
            <w:tcBorders>
              <w:top w:val="nil"/>
              <w:left w:val="single" w:sz="4" w:space="0" w:color="auto"/>
              <w:bottom w:val="nil"/>
              <w:right w:val="single" w:sz="4" w:space="0" w:color="auto"/>
            </w:tcBorders>
            <w:vAlign w:val="center"/>
            <w:hideMark/>
          </w:tcPr>
          <w:p w14:paraId="073D222E"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18" w:type="pct"/>
            <w:vMerge/>
            <w:tcBorders>
              <w:top w:val="nil"/>
              <w:left w:val="single" w:sz="4" w:space="0" w:color="auto"/>
              <w:bottom w:val="nil"/>
              <w:right w:val="single" w:sz="4" w:space="0" w:color="auto"/>
            </w:tcBorders>
            <w:vAlign w:val="center"/>
            <w:hideMark/>
          </w:tcPr>
          <w:p w14:paraId="4F54F1A9"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4" w:type="pct"/>
            <w:tcBorders>
              <w:top w:val="single" w:sz="4" w:space="0" w:color="auto"/>
              <w:left w:val="nil"/>
              <w:bottom w:val="nil"/>
              <w:right w:val="single" w:sz="4" w:space="0" w:color="auto"/>
            </w:tcBorders>
            <w:shd w:val="clear" w:color="auto" w:fill="auto"/>
            <w:noWrap/>
            <w:vAlign w:val="bottom"/>
            <w:hideMark/>
          </w:tcPr>
          <w:p w14:paraId="08C7CE05" w14:textId="6475FED5"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45" w:type="pct"/>
            <w:tcBorders>
              <w:top w:val="single" w:sz="4" w:space="0" w:color="auto"/>
              <w:left w:val="nil"/>
              <w:bottom w:val="nil"/>
              <w:right w:val="single" w:sz="4" w:space="0" w:color="auto"/>
            </w:tcBorders>
            <w:shd w:val="clear" w:color="auto" w:fill="auto"/>
            <w:noWrap/>
            <w:vAlign w:val="bottom"/>
            <w:hideMark/>
          </w:tcPr>
          <w:p w14:paraId="74373F53" w14:textId="1DBE169C"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63" w:type="pct"/>
            <w:vMerge/>
            <w:tcBorders>
              <w:top w:val="nil"/>
              <w:left w:val="single" w:sz="4" w:space="0" w:color="auto"/>
              <w:bottom w:val="nil"/>
              <w:right w:val="single" w:sz="4" w:space="0" w:color="auto"/>
            </w:tcBorders>
            <w:vAlign w:val="center"/>
            <w:hideMark/>
          </w:tcPr>
          <w:p w14:paraId="0685451F"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33" w:type="pct"/>
            <w:vMerge/>
            <w:tcBorders>
              <w:top w:val="nil"/>
              <w:left w:val="single" w:sz="4" w:space="0" w:color="auto"/>
              <w:bottom w:val="nil"/>
              <w:right w:val="single" w:sz="4" w:space="0" w:color="auto"/>
            </w:tcBorders>
            <w:vAlign w:val="center"/>
            <w:hideMark/>
          </w:tcPr>
          <w:p w14:paraId="41B97461"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384" w:type="pct"/>
            <w:vMerge/>
            <w:tcBorders>
              <w:top w:val="nil"/>
              <w:left w:val="single" w:sz="4" w:space="0" w:color="auto"/>
              <w:bottom w:val="nil"/>
              <w:right w:val="single" w:sz="4" w:space="0" w:color="auto"/>
            </w:tcBorders>
            <w:vAlign w:val="center"/>
            <w:hideMark/>
          </w:tcPr>
          <w:p w14:paraId="02B276F9"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4" w:type="pct"/>
            <w:tcBorders>
              <w:top w:val="nil"/>
              <w:left w:val="nil"/>
              <w:bottom w:val="nil"/>
              <w:right w:val="nil"/>
            </w:tcBorders>
            <w:shd w:val="clear" w:color="auto" w:fill="auto"/>
            <w:noWrap/>
            <w:vAlign w:val="bottom"/>
            <w:hideMark/>
          </w:tcPr>
          <w:p w14:paraId="138AD7B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5" w:type="pct"/>
            <w:tcBorders>
              <w:top w:val="nil"/>
              <w:left w:val="single" w:sz="4" w:space="0" w:color="auto"/>
              <w:bottom w:val="nil"/>
              <w:right w:val="single" w:sz="4" w:space="0" w:color="auto"/>
            </w:tcBorders>
            <w:shd w:val="clear" w:color="auto" w:fill="auto"/>
            <w:noWrap/>
            <w:vAlign w:val="bottom"/>
            <w:hideMark/>
          </w:tcPr>
          <w:p w14:paraId="5083711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c>
          <w:tcPr>
            <w:tcW w:w="214" w:type="pct"/>
            <w:tcBorders>
              <w:top w:val="nil"/>
              <w:left w:val="nil"/>
              <w:bottom w:val="nil"/>
              <w:right w:val="nil"/>
            </w:tcBorders>
            <w:shd w:val="clear" w:color="auto" w:fill="auto"/>
            <w:noWrap/>
            <w:vAlign w:val="bottom"/>
            <w:hideMark/>
          </w:tcPr>
          <w:p w14:paraId="5D963A6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6" w:type="pct"/>
            <w:tcBorders>
              <w:top w:val="nil"/>
              <w:left w:val="single" w:sz="4" w:space="0" w:color="auto"/>
              <w:bottom w:val="nil"/>
              <w:right w:val="single" w:sz="4" w:space="0" w:color="auto"/>
            </w:tcBorders>
            <w:shd w:val="clear" w:color="auto" w:fill="auto"/>
            <w:noWrap/>
            <w:vAlign w:val="bottom"/>
            <w:hideMark/>
          </w:tcPr>
          <w:p w14:paraId="674B39F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r>
      <w:tr w:rsidR="00A022DF" w:rsidRPr="00E87E42" w14:paraId="2B1E1814" w14:textId="77777777" w:rsidTr="005839EF">
        <w:trPr>
          <w:trHeight w:val="227"/>
        </w:trPr>
        <w:tc>
          <w:tcPr>
            <w:tcW w:w="56" w:type="pct"/>
            <w:tcBorders>
              <w:top w:val="nil"/>
              <w:left w:val="single" w:sz="4" w:space="0" w:color="auto"/>
              <w:bottom w:val="single" w:sz="4" w:space="0" w:color="auto"/>
              <w:right w:val="nil"/>
            </w:tcBorders>
            <w:shd w:val="clear" w:color="auto" w:fill="auto"/>
            <w:noWrap/>
            <w:vAlign w:val="bottom"/>
            <w:hideMark/>
          </w:tcPr>
          <w:p w14:paraId="307D463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118" w:type="pct"/>
            <w:tcBorders>
              <w:top w:val="single" w:sz="4" w:space="0" w:color="auto"/>
              <w:left w:val="single" w:sz="4" w:space="0" w:color="auto"/>
              <w:bottom w:val="single" w:sz="4" w:space="0" w:color="808080"/>
              <w:right w:val="single" w:sz="4" w:space="0" w:color="auto"/>
            </w:tcBorders>
            <w:shd w:val="clear" w:color="auto" w:fill="auto"/>
            <w:noWrap/>
            <w:vAlign w:val="bottom"/>
            <w:hideMark/>
          </w:tcPr>
          <w:p w14:paraId="50FC79D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171</w:t>
            </w:r>
          </w:p>
        </w:tc>
        <w:tc>
          <w:tcPr>
            <w:tcW w:w="118" w:type="pct"/>
            <w:tcBorders>
              <w:top w:val="single" w:sz="4" w:space="0" w:color="auto"/>
              <w:left w:val="nil"/>
              <w:bottom w:val="single" w:sz="4" w:space="0" w:color="808080"/>
              <w:right w:val="single" w:sz="4" w:space="0" w:color="808080"/>
            </w:tcBorders>
            <w:shd w:val="clear" w:color="auto" w:fill="auto"/>
            <w:noWrap/>
            <w:vAlign w:val="bottom"/>
            <w:hideMark/>
          </w:tcPr>
          <w:p w14:paraId="00DBD5C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106</w:t>
            </w:r>
          </w:p>
        </w:tc>
        <w:tc>
          <w:tcPr>
            <w:tcW w:w="245" w:type="pct"/>
            <w:tcBorders>
              <w:top w:val="single" w:sz="4" w:space="0" w:color="auto"/>
              <w:left w:val="nil"/>
              <w:bottom w:val="single" w:sz="4" w:space="0" w:color="808080"/>
              <w:right w:val="single" w:sz="4" w:space="0" w:color="808080"/>
            </w:tcBorders>
            <w:shd w:val="clear" w:color="auto" w:fill="auto"/>
            <w:noWrap/>
            <w:vAlign w:val="bottom"/>
            <w:hideMark/>
          </w:tcPr>
          <w:p w14:paraId="0CA3DEA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46.49%</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05A14D1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15.06%</w:t>
            </w:r>
          </w:p>
        </w:tc>
        <w:tc>
          <w:tcPr>
            <w:tcW w:w="163" w:type="pct"/>
            <w:tcBorders>
              <w:top w:val="single" w:sz="4" w:space="0" w:color="auto"/>
              <w:left w:val="nil"/>
              <w:bottom w:val="single" w:sz="4" w:space="0" w:color="808080"/>
              <w:right w:val="single" w:sz="4" w:space="0" w:color="808080"/>
            </w:tcBorders>
            <w:shd w:val="clear" w:color="auto" w:fill="auto"/>
            <w:noWrap/>
            <w:vAlign w:val="bottom"/>
            <w:hideMark/>
          </w:tcPr>
          <w:p w14:paraId="1818297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7.69</w:t>
            </w:r>
          </w:p>
        </w:tc>
        <w:tc>
          <w:tcPr>
            <w:tcW w:w="164" w:type="pct"/>
            <w:tcBorders>
              <w:top w:val="single" w:sz="4" w:space="0" w:color="auto"/>
              <w:left w:val="nil"/>
              <w:bottom w:val="single" w:sz="4" w:space="0" w:color="808080"/>
              <w:right w:val="nil"/>
            </w:tcBorders>
            <w:shd w:val="clear" w:color="auto" w:fill="auto"/>
            <w:noWrap/>
            <w:vAlign w:val="bottom"/>
            <w:hideMark/>
          </w:tcPr>
          <w:p w14:paraId="71FB86D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7.69</w:t>
            </w:r>
          </w:p>
        </w:tc>
        <w:tc>
          <w:tcPr>
            <w:tcW w:w="118" w:type="pct"/>
            <w:tcBorders>
              <w:top w:val="single" w:sz="4" w:space="0" w:color="auto"/>
              <w:left w:val="single" w:sz="4" w:space="0" w:color="auto"/>
              <w:bottom w:val="single" w:sz="4" w:space="0" w:color="808080"/>
              <w:right w:val="single" w:sz="4" w:space="0" w:color="808080"/>
            </w:tcBorders>
            <w:shd w:val="clear" w:color="auto" w:fill="auto"/>
            <w:noWrap/>
            <w:vAlign w:val="bottom"/>
            <w:hideMark/>
          </w:tcPr>
          <w:p w14:paraId="5970EF0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5C8F175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6.14%</w:t>
            </w:r>
          </w:p>
        </w:tc>
        <w:tc>
          <w:tcPr>
            <w:tcW w:w="215" w:type="pct"/>
            <w:tcBorders>
              <w:top w:val="single" w:sz="4" w:space="0" w:color="auto"/>
              <w:left w:val="nil"/>
              <w:bottom w:val="single" w:sz="4" w:space="0" w:color="808080"/>
              <w:right w:val="single" w:sz="4" w:space="0" w:color="808080"/>
            </w:tcBorders>
            <w:shd w:val="clear" w:color="auto" w:fill="auto"/>
            <w:noWrap/>
            <w:vAlign w:val="bottom"/>
            <w:hideMark/>
          </w:tcPr>
          <w:p w14:paraId="787F541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5.26%</w:t>
            </w:r>
          </w:p>
        </w:tc>
        <w:tc>
          <w:tcPr>
            <w:tcW w:w="163" w:type="pct"/>
            <w:tcBorders>
              <w:top w:val="single" w:sz="4" w:space="0" w:color="auto"/>
              <w:left w:val="nil"/>
              <w:bottom w:val="single" w:sz="4" w:space="0" w:color="808080"/>
              <w:right w:val="single" w:sz="4" w:space="0" w:color="808080"/>
            </w:tcBorders>
            <w:shd w:val="clear" w:color="auto" w:fill="auto"/>
            <w:noWrap/>
            <w:vAlign w:val="bottom"/>
            <w:hideMark/>
          </w:tcPr>
          <w:p w14:paraId="47CA27B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1.39</w:t>
            </w:r>
          </w:p>
        </w:tc>
        <w:tc>
          <w:tcPr>
            <w:tcW w:w="163" w:type="pct"/>
            <w:tcBorders>
              <w:top w:val="single" w:sz="4" w:space="0" w:color="auto"/>
              <w:left w:val="nil"/>
              <w:bottom w:val="single" w:sz="4" w:space="0" w:color="808080"/>
              <w:right w:val="single" w:sz="4" w:space="0" w:color="auto"/>
            </w:tcBorders>
            <w:shd w:val="clear" w:color="auto" w:fill="auto"/>
            <w:noWrap/>
            <w:vAlign w:val="bottom"/>
            <w:hideMark/>
          </w:tcPr>
          <w:p w14:paraId="316248D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0.45</w:t>
            </w:r>
          </w:p>
        </w:tc>
        <w:tc>
          <w:tcPr>
            <w:tcW w:w="118" w:type="pct"/>
            <w:tcBorders>
              <w:top w:val="single" w:sz="4" w:space="0" w:color="auto"/>
              <w:left w:val="nil"/>
              <w:bottom w:val="single" w:sz="4" w:space="0" w:color="808080"/>
              <w:right w:val="single" w:sz="4" w:space="0" w:color="808080"/>
            </w:tcBorders>
            <w:shd w:val="clear" w:color="auto" w:fill="auto"/>
            <w:noWrap/>
            <w:vAlign w:val="bottom"/>
            <w:hideMark/>
          </w:tcPr>
          <w:p w14:paraId="2291EE4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536FB34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6.14%</w:t>
            </w:r>
          </w:p>
        </w:tc>
        <w:tc>
          <w:tcPr>
            <w:tcW w:w="215" w:type="pct"/>
            <w:tcBorders>
              <w:top w:val="single" w:sz="4" w:space="0" w:color="auto"/>
              <w:left w:val="nil"/>
              <w:bottom w:val="single" w:sz="4" w:space="0" w:color="808080"/>
              <w:right w:val="single" w:sz="4" w:space="0" w:color="808080"/>
            </w:tcBorders>
            <w:shd w:val="clear" w:color="auto" w:fill="auto"/>
            <w:noWrap/>
            <w:vAlign w:val="bottom"/>
            <w:hideMark/>
          </w:tcPr>
          <w:p w14:paraId="7F3E54B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5.91%</w:t>
            </w:r>
          </w:p>
        </w:tc>
        <w:tc>
          <w:tcPr>
            <w:tcW w:w="163" w:type="pct"/>
            <w:tcBorders>
              <w:top w:val="single" w:sz="4" w:space="0" w:color="auto"/>
              <w:left w:val="nil"/>
              <w:bottom w:val="single" w:sz="4" w:space="0" w:color="808080"/>
              <w:right w:val="single" w:sz="4" w:space="0" w:color="808080"/>
            </w:tcBorders>
            <w:shd w:val="clear" w:color="auto" w:fill="auto"/>
            <w:noWrap/>
            <w:vAlign w:val="bottom"/>
            <w:hideMark/>
          </w:tcPr>
          <w:p w14:paraId="1544856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3.60</w:t>
            </w:r>
          </w:p>
        </w:tc>
        <w:tc>
          <w:tcPr>
            <w:tcW w:w="163" w:type="pct"/>
            <w:tcBorders>
              <w:top w:val="single" w:sz="4" w:space="0" w:color="auto"/>
              <w:left w:val="nil"/>
              <w:bottom w:val="single" w:sz="4" w:space="0" w:color="808080"/>
              <w:right w:val="nil"/>
            </w:tcBorders>
            <w:shd w:val="clear" w:color="auto" w:fill="auto"/>
            <w:noWrap/>
            <w:vAlign w:val="bottom"/>
            <w:hideMark/>
          </w:tcPr>
          <w:p w14:paraId="00BDF48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0.70</w:t>
            </w:r>
          </w:p>
        </w:tc>
        <w:tc>
          <w:tcPr>
            <w:tcW w:w="118" w:type="pct"/>
            <w:tcBorders>
              <w:top w:val="single" w:sz="4" w:space="0" w:color="auto"/>
              <w:left w:val="single" w:sz="4" w:space="0" w:color="auto"/>
              <w:bottom w:val="single" w:sz="4" w:space="0" w:color="808080"/>
              <w:right w:val="single" w:sz="4" w:space="0" w:color="808080"/>
            </w:tcBorders>
            <w:shd w:val="clear" w:color="auto" w:fill="auto"/>
            <w:noWrap/>
            <w:vAlign w:val="bottom"/>
            <w:hideMark/>
          </w:tcPr>
          <w:p w14:paraId="125A45B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94</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2C316E8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41.23%</w:t>
            </w:r>
          </w:p>
        </w:tc>
        <w:tc>
          <w:tcPr>
            <w:tcW w:w="245" w:type="pct"/>
            <w:tcBorders>
              <w:top w:val="single" w:sz="4" w:space="0" w:color="auto"/>
              <w:left w:val="nil"/>
              <w:bottom w:val="single" w:sz="4" w:space="0" w:color="808080"/>
              <w:right w:val="single" w:sz="4" w:space="0" w:color="808080"/>
            </w:tcBorders>
            <w:shd w:val="clear" w:color="auto" w:fill="auto"/>
            <w:noWrap/>
            <w:vAlign w:val="bottom"/>
            <w:hideMark/>
          </w:tcPr>
          <w:p w14:paraId="7F6AD9D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6.59%</w:t>
            </w:r>
          </w:p>
        </w:tc>
        <w:tc>
          <w:tcPr>
            <w:tcW w:w="163" w:type="pct"/>
            <w:tcBorders>
              <w:top w:val="single" w:sz="4" w:space="0" w:color="auto"/>
              <w:left w:val="nil"/>
              <w:bottom w:val="single" w:sz="4" w:space="0" w:color="808080"/>
              <w:right w:val="single" w:sz="4" w:space="0" w:color="808080"/>
            </w:tcBorders>
            <w:shd w:val="clear" w:color="auto" w:fill="auto"/>
            <w:noWrap/>
            <w:vAlign w:val="bottom"/>
            <w:hideMark/>
          </w:tcPr>
          <w:p w14:paraId="41351C8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5.64</w:t>
            </w:r>
          </w:p>
        </w:tc>
        <w:tc>
          <w:tcPr>
            <w:tcW w:w="133" w:type="pct"/>
            <w:tcBorders>
              <w:top w:val="single" w:sz="4" w:space="0" w:color="auto"/>
              <w:left w:val="nil"/>
              <w:bottom w:val="single" w:sz="4" w:space="0" w:color="808080"/>
              <w:right w:val="single" w:sz="4" w:space="0" w:color="auto"/>
            </w:tcBorders>
            <w:shd w:val="clear" w:color="auto" w:fill="auto"/>
            <w:noWrap/>
            <w:vAlign w:val="bottom"/>
            <w:hideMark/>
          </w:tcPr>
          <w:p w14:paraId="2D939D6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0.77</w:t>
            </w:r>
          </w:p>
        </w:tc>
        <w:tc>
          <w:tcPr>
            <w:tcW w:w="384" w:type="pct"/>
            <w:tcBorders>
              <w:top w:val="single" w:sz="4" w:space="0" w:color="auto"/>
              <w:left w:val="nil"/>
              <w:bottom w:val="single" w:sz="4" w:space="0" w:color="808080"/>
              <w:right w:val="single" w:sz="4" w:space="0" w:color="auto"/>
            </w:tcBorders>
            <w:shd w:val="clear" w:color="auto" w:fill="auto"/>
            <w:noWrap/>
            <w:vAlign w:val="bottom"/>
            <w:hideMark/>
          </w:tcPr>
          <w:p w14:paraId="1309C9F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6.21</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7995CAE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8.66%</w:t>
            </w:r>
          </w:p>
        </w:tc>
        <w:tc>
          <w:tcPr>
            <w:tcW w:w="245" w:type="pct"/>
            <w:tcBorders>
              <w:top w:val="single" w:sz="4" w:space="0" w:color="auto"/>
              <w:left w:val="nil"/>
              <w:bottom w:val="single" w:sz="4" w:space="0" w:color="808080"/>
              <w:right w:val="single" w:sz="4" w:space="0" w:color="808080"/>
            </w:tcBorders>
            <w:shd w:val="clear" w:color="auto" w:fill="auto"/>
            <w:noWrap/>
            <w:vAlign w:val="bottom"/>
            <w:hideMark/>
          </w:tcPr>
          <w:p w14:paraId="0295759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8.66%</w:t>
            </w:r>
          </w:p>
        </w:tc>
        <w:tc>
          <w:tcPr>
            <w:tcW w:w="214" w:type="pct"/>
            <w:tcBorders>
              <w:top w:val="single" w:sz="4" w:space="0" w:color="auto"/>
              <w:left w:val="nil"/>
              <w:bottom w:val="single" w:sz="4" w:space="0" w:color="808080"/>
              <w:right w:val="single" w:sz="4" w:space="0" w:color="808080"/>
            </w:tcBorders>
            <w:shd w:val="clear" w:color="auto" w:fill="auto"/>
            <w:noWrap/>
            <w:vAlign w:val="bottom"/>
            <w:hideMark/>
          </w:tcPr>
          <w:p w14:paraId="3ACC863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9.53%</w:t>
            </w:r>
          </w:p>
        </w:tc>
        <w:tc>
          <w:tcPr>
            <w:tcW w:w="246" w:type="pct"/>
            <w:tcBorders>
              <w:top w:val="single" w:sz="4" w:space="0" w:color="auto"/>
              <w:left w:val="nil"/>
              <w:bottom w:val="single" w:sz="4" w:space="0" w:color="808080"/>
              <w:right w:val="single" w:sz="4" w:space="0" w:color="auto"/>
            </w:tcBorders>
            <w:shd w:val="clear" w:color="auto" w:fill="auto"/>
            <w:noWrap/>
            <w:vAlign w:val="bottom"/>
            <w:hideMark/>
          </w:tcPr>
          <w:p w14:paraId="5345781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9.53%</w:t>
            </w:r>
          </w:p>
        </w:tc>
      </w:tr>
      <w:tr w:rsidR="00A022DF" w:rsidRPr="00E87E42" w14:paraId="5B38ACC7" w14:textId="77777777" w:rsidTr="005839EF">
        <w:trPr>
          <w:trHeight w:val="227"/>
        </w:trPr>
        <w:tc>
          <w:tcPr>
            <w:tcW w:w="56" w:type="pct"/>
            <w:tcBorders>
              <w:top w:val="nil"/>
              <w:left w:val="single" w:sz="4" w:space="0" w:color="auto"/>
              <w:bottom w:val="single" w:sz="4" w:space="0" w:color="auto"/>
              <w:right w:val="nil"/>
            </w:tcBorders>
            <w:shd w:val="clear" w:color="auto" w:fill="auto"/>
            <w:noWrap/>
            <w:vAlign w:val="bottom"/>
            <w:hideMark/>
          </w:tcPr>
          <w:p w14:paraId="3C8E707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118" w:type="pct"/>
            <w:tcBorders>
              <w:top w:val="nil"/>
              <w:left w:val="single" w:sz="4" w:space="0" w:color="auto"/>
              <w:bottom w:val="single" w:sz="4" w:space="0" w:color="808080"/>
              <w:right w:val="single" w:sz="4" w:space="0" w:color="auto"/>
            </w:tcBorders>
            <w:shd w:val="clear" w:color="auto" w:fill="auto"/>
            <w:noWrap/>
            <w:vAlign w:val="bottom"/>
            <w:hideMark/>
          </w:tcPr>
          <w:p w14:paraId="3F7C42D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234</w:t>
            </w:r>
          </w:p>
        </w:tc>
        <w:tc>
          <w:tcPr>
            <w:tcW w:w="118" w:type="pct"/>
            <w:tcBorders>
              <w:top w:val="nil"/>
              <w:left w:val="nil"/>
              <w:bottom w:val="single" w:sz="4" w:space="0" w:color="808080"/>
              <w:right w:val="single" w:sz="4" w:space="0" w:color="808080"/>
            </w:tcBorders>
            <w:shd w:val="clear" w:color="auto" w:fill="auto"/>
            <w:noWrap/>
            <w:vAlign w:val="bottom"/>
            <w:hideMark/>
          </w:tcPr>
          <w:p w14:paraId="1D1E11B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196</w:t>
            </w:r>
          </w:p>
        </w:tc>
        <w:tc>
          <w:tcPr>
            <w:tcW w:w="245" w:type="pct"/>
            <w:tcBorders>
              <w:top w:val="nil"/>
              <w:left w:val="nil"/>
              <w:bottom w:val="single" w:sz="4" w:space="0" w:color="808080"/>
              <w:right w:val="single" w:sz="4" w:space="0" w:color="808080"/>
            </w:tcBorders>
            <w:shd w:val="clear" w:color="auto" w:fill="auto"/>
            <w:noWrap/>
            <w:vAlign w:val="bottom"/>
            <w:hideMark/>
          </w:tcPr>
          <w:p w14:paraId="259B90B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73.13%</w:t>
            </w:r>
          </w:p>
        </w:tc>
        <w:tc>
          <w:tcPr>
            <w:tcW w:w="214" w:type="pct"/>
            <w:tcBorders>
              <w:top w:val="nil"/>
              <w:left w:val="nil"/>
              <w:bottom w:val="single" w:sz="4" w:space="0" w:color="808080"/>
              <w:right w:val="single" w:sz="4" w:space="0" w:color="808080"/>
            </w:tcBorders>
            <w:shd w:val="clear" w:color="auto" w:fill="auto"/>
            <w:noWrap/>
            <w:vAlign w:val="bottom"/>
            <w:hideMark/>
          </w:tcPr>
          <w:p w14:paraId="5C0BD5D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27.84%</w:t>
            </w:r>
          </w:p>
        </w:tc>
        <w:tc>
          <w:tcPr>
            <w:tcW w:w="163" w:type="pct"/>
            <w:tcBorders>
              <w:top w:val="nil"/>
              <w:left w:val="nil"/>
              <w:bottom w:val="single" w:sz="4" w:space="0" w:color="808080"/>
              <w:right w:val="single" w:sz="4" w:space="0" w:color="808080"/>
            </w:tcBorders>
            <w:shd w:val="clear" w:color="auto" w:fill="auto"/>
            <w:noWrap/>
            <w:vAlign w:val="bottom"/>
            <w:hideMark/>
          </w:tcPr>
          <w:p w14:paraId="4D182BC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6.61</w:t>
            </w:r>
          </w:p>
        </w:tc>
        <w:tc>
          <w:tcPr>
            <w:tcW w:w="164" w:type="pct"/>
            <w:tcBorders>
              <w:top w:val="nil"/>
              <w:left w:val="nil"/>
              <w:bottom w:val="single" w:sz="4" w:space="0" w:color="808080"/>
              <w:right w:val="nil"/>
            </w:tcBorders>
            <w:shd w:val="clear" w:color="auto" w:fill="auto"/>
            <w:noWrap/>
            <w:vAlign w:val="bottom"/>
            <w:hideMark/>
          </w:tcPr>
          <w:p w14:paraId="3354E08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6.61</w:t>
            </w:r>
          </w:p>
        </w:tc>
        <w:tc>
          <w:tcPr>
            <w:tcW w:w="118" w:type="pct"/>
            <w:tcBorders>
              <w:top w:val="nil"/>
              <w:left w:val="single" w:sz="4" w:space="0" w:color="auto"/>
              <w:bottom w:val="single" w:sz="4" w:space="0" w:color="808080"/>
              <w:right w:val="single" w:sz="4" w:space="0" w:color="808080"/>
            </w:tcBorders>
            <w:shd w:val="clear" w:color="auto" w:fill="auto"/>
            <w:noWrap/>
            <w:vAlign w:val="bottom"/>
            <w:hideMark/>
          </w:tcPr>
          <w:p w14:paraId="5A36E72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39</w:t>
            </w:r>
          </w:p>
        </w:tc>
        <w:tc>
          <w:tcPr>
            <w:tcW w:w="214" w:type="pct"/>
            <w:tcBorders>
              <w:top w:val="nil"/>
              <w:left w:val="nil"/>
              <w:bottom w:val="single" w:sz="4" w:space="0" w:color="808080"/>
              <w:right w:val="single" w:sz="4" w:space="0" w:color="808080"/>
            </w:tcBorders>
            <w:shd w:val="clear" w:color="auto" w:fill="auto"/>
            <w:noWrap/>
            <w:vAlign w:val="bottom"/>
            <w:hideMark/>
          </w:tcPr>
          <w:p w14:paraId="074E6E8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14.55%</w:t>
            </w:r>
          </w:p>
        </w:tc>
        <w:tc>
          <w:tcPr>
            <w:tcW w:w="215" w:type="pct"/>
            <w:tcBorders>
              <w:top w:val="nil"/>
              <w:left w:val="nil"/>
              <w:bottom w:val="single" w:sz="4" w:space="0" w:color="808080"/>
              <w:right w:val="single" w:sz="4" w:space="0" w:color="808080"/>
            </w:tcBorders>
            <w:shd w:val="clear" w:color="auto" w:fill="auto"/>
            <w:noWrap/>
            <w:vAlign w:val="bottom"/>
            <w:hideMark/>
          </w:tcPr>
          <w:p w14:paraId="66F3F79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14.66%</w:t>
            </w:r>
          </w:p>
        </w:tc>
        <w:tc>
          <w:tcPr>
            <w:tcW w:w="163" w:type="pct"/>
            <w:tcBorders>
              <w:top w:val="nil"/>
              <w:left w:val="nil"/>
              <w:bottom w:val="single" w:sz="4" w:space="0" w:color="808080"/>
              <w:right w:val="single" w:sz="4" w:space="0" w:color="808080"/>
            </w:tcBorders>
            <w:shd w:val="clear" w:color="auto" w:fill="auto"/>
            <w:noWrap/>
            <w:vAlign w:val="bottom"/>
            <w:hideMark/>
          </w:tcPr>
          <w:p w14:paraId="386DD93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10.98</w:t>
            </w:r>
          </w:p>
        </w:tc>
        <w:tc>
          <w:tcPr>
            <w:tcW w:w="163" w:type="pct"/>
            <w:tcBorders>
              <w:top w:val="nil"/>
              <w:left w:val="nil"/>
              <w:bottom w:val="single" w:sz="4" w:space="0" w:color="808080"/>
              <w:right w:val="single" w:sz="4" w:space="0" w:color="auto"/>
            </w:tcBorders>
            <w:shd w:val="clear" w:color="auto" w:fill="auto"/>
            <w:noWrap/>
            <w:vAlign w:val="bottom"/>
            <w:hideMark/>
          </w:tcPr>
          <w:p w14:paraId="69339EE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3.56</w:t>
            </w:r>
          </w:p>
        </w:tc>
        <w:tc>
          <w:tcPr>
            <w:tcW w:w="118" w:type="pct"/>
            <w:tcBorders>
              <w:top w:val="nil"/>
              <w:left w:val="nil"/>
              <w:bottom w:val="single" w:sz="4" w:space="0" w:color="808080"/>
              <w:right w:val="single" w:sz="4" w:space="0" w:color="808080"/>
            </w:tcBorders>
            <w:shd w:val="clear" w:color="auto" w:fill="auto"/>
            <w:noWrap/>
            <w:vAlign w:val="bottom"/>
            <w:hideMark/>
          </w:tcPr>
          <w:p w14:paraId="7C64B28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w:t>
            </w:r>
          </w:p>
        </w:tc>
        <w:tc>
          <w:tcPr>
            <w:tcW w:w="214" w:type="pct"/>
            <w:tcBorders>
              <w:top w:val="nil"/>
              <w:left w:val="nil"/>
              <w:bottom w:val="single" w:sz="4" w:space="0" w:color="808080"/>
              <w:right w:val="single" w:sz="4" w:space="0" w:color="808080"/>
            </w:tcBorders>
            <w:shd w:val="clear" w:color="auto" w:fill="auto"/>
            <w:noWrap/>
            <w:vAlign w:val="bottom"/>
            <w:hideMark/>
          </w:tcPr>
          <w:p w14:paraId="3E22BDD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2.99%</w:t>
            </w:r>
          </w:p>
        </w:tc>
        <w:tc>
          <w:tcPr>
            <w:tcW w:w="215" w:type="pct"/>
            <w:tcBorders>
              <w:top w:val="nil"/>
              <w:left w:val="nil"/>
              <w:bottom w:val="single" w:sz="4" w:space="0" w:color="808080"/>
              <w:right w:val="single" w:sz="4" w:space="0" w:color="808080"/>
            </w:tcBorders>
            <w:shd w:val="clear" w:color="auto" w:fill="auto"/>
            <w:noWrap/>
            <w:vAlign w:val="bottom"/>
            <w:hideMark/>
          </w:tcPr>
          <w:p w14:paraId="55DA9DD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3.38%</w:t>
            </w:r>
          </w:p>
        </w:tc>
        <w:tc>
          <w:tcPr>
            <w:tcW w:w="163" w:type="pct"/>
            <w:tcBorders>
              <w:top w:val="nil"/>
              <w:left w:val="nil"/>
              <w:bottom w:val="single" w:sz="4" w:space="0" w:color="808080"/>
              <w:right w:val="single" w:sz="4" w:space="0" w:color="808080"/>
            </w:tcBorders>
            <w:shd w:val="clear" w:color="auto" w:fill="auto"/>
            <w:noWrap/>
            <w:vAlign w:val="bottom"/>
            <w:hideMark/>
          </w:tcPr>
          <w:p w14:paraId="3EE59FF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3.14</w:t>
            </w:r>
          </w:p>
        </w:tc>
        <w:tc>
          <w:tcPr>
            <w:tcW w:w="163" w:type="pct"/>
            <w:tcBorders>
              <w:top w:val="nil"/>
              <w:left w:val="nil"/>
              <w:bottom w:val="single" w:sz="4" w:space="0" w:color="808080"/>
              <w:right w:val="nil"/>
            </w:tcBorders>
            <w:shd w:val="clear" w:color="auto" w:fill="auto"/>
            <w:noWrap/>
            <w:vAlign w:val="bottom"/>
            <w:hideMark/>
          </w:tcPr>
          <w:p w14:paraId="0A377BD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0.61</w:t>
            </w:r>
          </w:p>
        </w:tc>
        <w:tc>
          <w:tcPr>
            <w:tcW w:w="118" w:type="pct"/>
            <w:tcBorders>
              <w:top w:val="nil"/>
              <w:left w:val="single" w:sz="4" w:space="0" w:color="auto"/>
              <w:bottom w:val="single" w:sz="4" w:space="0" w:color="808080"/>
              <w:right w:val="single" w:sz="4" w:space="0" w:color="808080"/>
            </w:tcBorders>
            <w:shd w:val="clear" w:color="auto" w:fill="auto"/>
            <w:noWrap/>
            <w:vAlign w:val="bottom"/>
            <w:hideMark/>
          </w:tcPr>
          <w:p w14:paraId="0D95984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w:t>
            </w:r>
          </w:p>
        </w:tc>
        <w:tc>
          <w:tcPr>
            <w:tcW w:w="214" w:type="pct"/>
            <w:tcBorders>
              <w:top w:val="nil"/>
              <w:left w:val="nil"/>
              <w:bottom w:val="single" w:sz="4" w:space="0" w:color="808080"/>
              <w:right w:val="single" w:sz="4" w:space="0" w:color="808080"/>
            </w:tcBorders>
            <w:shd w:val="clear" w:color="auto" w:fill="auto"/>
            <w:noWrap/>
            <w:vAlign w:val="bottom"/>
            <w:hideMark/>
          </w:tcPr>
          <w:p w14:paraId="3F00B59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9.33%</w:t>
            </w:r>
          </w:p>
        </w:tc>
        <w:tc>
          <w:tcPr>
            <w:tcW w:w="245" w:type="pct"/>
            <w:tcBorders>
              <w:top w:val="nil"/>
              <w:left w:val="nil"/>
              <w:bottom w:val="single" w:sz="4" w:space="0" w:color="808080"/>
              <w:right w:val="single" w:sz="4" w:space="0" w:color="808080"/>
            </w:tcBorders>
            <w:shd w:val="clear" w:color="auto" w:fill="auto"/>
            <w:noWrap/>
            <w:vAlign w:val="bottom"/>
            <w:hideMark/>
          </w:tcPr>
          <w:p w14:paraId="19431FC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1.75%</w:t>
            </w:r>
          </w:p>
        </w:tc>
        <w:tc>
          <w:tcPr>
            <w:tcW w:w="163" w:type="pct"/>
            <w:tcBorders>
              <w:top w:val="nil"/>
              <w:left w:val="nil"/>
              <w:bottom w:val="single" w:sz="4" w:space="0" w:color="808080"/>
              <w:right w:val="single" w:sz="4" w:space="0" w:color="808080"/>
            </w:tcBorders>
            <w:shd w:val="clear" w:color="auto" w:fill="auto"/>
            <w:noWrap/>
            <w:vAlign w:val="bottom"/>
            <w:hideMark/>
          </w:tcPr>
          <w:p w14:paraId="3F25BD9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0.77</w:t>
            </w:r>
          </w:p>
        </w:tc>
        <w:tc>
          <w:tcPr>
            <w:tcW w:w="133" w:type="pct"/>
            <w:tcBorders>
              <w:top w:val="nil"/>
              <w:left w:val="nil"/>
              <w:bottom w:val="single" w:sz="4" w:space="0" w:color="808080"/>
              <w:right w:val="single" w:sz="4" w:space="0" w:color="auto"/>
            </w:tcBorders>
            <w:shd w:val="clear" w:color="auto" w:fill="auto"/>
            <w:noWrap/>
            <w:vAlign w:val="bottom"/>
            <w:hideMark/>
          </w:tcPr>
          <w:p w14:paraId="25E68C6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0.11</w:t>
            </w:r>
          </w:p>
        </w:tc>
        <w:tc>
          <w:tcPr>
            <w:tcW w:w="384" w:type="pct"/>
            <w:tcBorders>
              <w:top w:val="nil"/>
              <w:left w:val="nil"/>
              <w:bottom w:val="single" w:sz="4" w:space="0" w:color="808080"/>
              <w:right w:val="single" w:sz="4" w:space="0" w:color="auto"/>
            </w:tcBorders>
            <w:shd w:val="clear" w:color="auto" w:fill="auto"/>
            <w:noWrap/>
            <w:vAlign w:val="bottom"/>
            <w:hideMark/>
          </w:tcPr>
          <w:p w14:paraId="18A59A7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6.60</w:t>
            </w:r>
          </w:p>
        </w:tc>
        <w:tc>
          <w:tcPr>
            <w:tcW w:w="214" w:type="pct"/>
            <w:tcBorders>
              <w:top w:val="nil"/>
              <w:left w:val="nil"/>
              <w:bottom w:val="single" w:sz="4" w:space="0" w:color="808080"/>
              <w:right w:val="single" w:sz="4" w:space="0" w:color="808080"/>
            </w:tcBorders>
            <w:shd w:val="clear" w:color="auto" w:fill="auto"/>
            <w:noWrap/>
            <w:vAlign w:val="bottom"/>
            <w:hideMark/>
          </w:tcPr>
          <w:p w14:paraId="2422DC6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10.18%</w:t>
            </w:r>
          </w:p>
        </w:tc>
        <w:tc>
          <w:tcPr>
            <w:tcW w:w="245" w:type="pct"/>
            <w:tcBorders>
              <w:top w:val="nil"/>
              <w:left w:val="nil"/>
              <w:bottom w:val="single" w:sz="4" w:space="0" w:color="808080"/>
              <w:right w:val="single" w:sz="4" w:space="0" w:color="808080"/>
            </w:tcBorders>
            <w:shd w:val="clear" w:color="auto" w:fill="auto"/>
            <w:noWrap/>
            <w:vAlign w:val="bottom"/>
            <w:hideMark/>
          </w:tcPr>
          <w:p w14:paraId="686D74B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18.84%</w:t>
            </w:r>
          </w:p>
        </w:tc>
        <w:tc>
          <w:tcPr>
            <w:tcW w:w="214" w:type="pct"/>
            <w:tcBorders>
              <w:top w:val="nil"/>
              <w:left w:val="nil"/>
              <w:bottom w:val="single" w:sz="4" w:space="0" w:color="808080"/>
              <w:right w:val="single" w:sz="4" w:space="0" w:color="808080"/>
            </w:tcBorders>
            <w:shd w:val="clear" w:color="auto" w:fill="auto"/>
            <w:noWrap/>
            <w:vAlign w:val="bottom"/>
            <w:hideMark/>
          </w:tcPr>
          <w:p w14:paraId="4A22830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13.04%</w:t>
            </w:r>
          </w:p>
        </w:tc>
        <w:tc>
          <w:tcPr>
            <w:tcW w:w="246" w:type="pct"/>
            <w:tcBorders>
              <w:top w:val="nil"/>
              <w:left w:val="nil"/>
              <w:bottom w:val="single" w:sz="4" w:space="0" w:color="808080"/>
              <w:right w:val="single" w:sz="4" w:space="0" w:color="auto"/>
            </w:tcBorders>
            <w:shd w:val="clear" w:color="auto" w:fill="auto"/>
            <w:noWrap/>
            <w:vAlign w:val="bottom"/>
            <w:hideMark/>
          </w:tcPr>
          <w:p w14:paraId="29090CB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22.58%</w:t>
            </w:r>
          </w:p>
        </w:tc>
      </w:tr>
      <w:tr w:rsidR="00A022DF" w:rsidRPr="00E87E42" w14:paraId="06625CA9" w14:textId="77777777" w:rsidTr="005839EF">
        <w:trPr>
          <w:trHeight w:val="227"/>
        </w:trPr>
        <w:tc>
          <w:tcPr>
            <w:tcW w:w="56" w:type="pct"/>
            <w:tcBorders>
              <w:top w:val="nil"/>
              <w:left w:val="single" w:sz="4" w:space="0" w:color="auto"/>
              <w:bottom w:val="single" w:sz="4" w:space="0" w:color="auto"/>
              <w:right w:val="nil"/>
            </w:tcBorders>
            <w:shd w:val="clear" w:color="auto" w:fill="auto"/>
            <w:noWrap/>
            <w:vAlign w:val="bottom"/>
            <w:hideMark/>
          </w:tcPr>
          <w:p w14:paraId="28493D4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118" w:type="pct"/>
            <w:tcBorders>
              <w:top w:val="nil"/>
              <w:left w:val="single" w:sz="4" w:space="0" w:color="auto"/>
              <w:bottom w:val="single" w:sz="4" w:space="0" w:color="808080"/>
              <w:right w:val="single" w:sz="4" w:space="0" w:color="auto"/>
            </w:tcBorders>
            <w:shd w:val="clear" w:color="auto" w:fill="auto"/>
            <w:noWrap/>
            <w:vAlign w:val="bottom"/>
            <w:hideMark/>
          </w:tcPr>
          <w:p w14:paraId="1CC00D8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w:t>
            </w:r>
          </w:p>
        </w:tc>
        <w:tc>
          <w:tcPr>
            <w:tcW w:w="118" w:type="pct"/>
            <w:tcBorders>
              <w:top w:val="nil"/>
              <w:left w:val="nil"/>
              <w:bottom w:val="single" w:sz="4" w:space="0" w:color="808080"/>
              <w:right w:val="single" w:sz="4" w:space="0" w:color="808080"/>
            </w:tcBorders>
            <w:shd w:val="clear" w:color="auto" w:fill="auto"/>
            <w:noWrap/>
            <w:vAlign w:val="bottom"/>
            <w:hideMark/>
          </w:tcPr>
          <w:p w14:paraId="0ED4CEB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38</w:t>
            </w:r>
          </w:p>
        </w:tc>
        <w:tc>
          <w:tcPr>
            <w:tcW w:w="245" w:type="pct"/>
            <w:tcBorders>
              <w:top w:val="nil"/>
              <w:left w:val="nil"/>
              <w:bottom w:val="single" w:sz="4" w:space="0" w:color="808080"/>
              <w:right w:val="single" w:sz="4" w:space="0" w:color="808080"/>
            </w:tcBorders>
            <w:shd w:val="clear" w:color="auto" w:fill="auto"/>
            <w:noWrap/>
            <w:vAlign w:val="bottom"/>
            <w:hideMark/>
          </w:tcPr>
          <w:p w14:paraId="150BED7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59.38%</w:t>
            </w:r>
          </w:p>
        </w:tc>
        <w:tc>
          <w:tcPr>
            <w:tcW w:w="214" w:type="pct"/>
            <w:tcBorders>
              <w:top w:val="nil"/>
              <w:left w:val="nil"/>
              <w:bottom w:val="single" w:sz="4" w:space="0" w:color="808080"/>
              <w:right w:val="single" w:sz="4" w:space="0" w:color="808080"/>
            </w:tcBorders>
            <w:shd w:val="clear" w:color="auto" w:fill="auto"/>
            <w:noWrap/>
            <w:vAlign w:val="bottom"/>
            <w:hideMark/>
          </w:tcPr>
          <w:p w14:paraId="05A0FE8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5.40%</w:t>
            </w:r>
          </w:p>
        </w:tc>
        <w:tc>
          <w:tcPr>
            <w:tcW w:w="163" w:type="pct"/>
            <w:tcBorders>
              <w:top w:val="nil"/>
              <w:left w:val="nil"/>
              <w:bottom w:val="single" w:sz="4" w:space="0" w:color="808080"/>
              <w:right w:val="single" w:sz="4" w:space="0" w:color="808080"/>
            </w:tcBorders>
            <w:shd w:val="clear" w:color="auto" w:fill="auto"/>
            <w:noWrap/>
            <w:vAlign w:val="bottom"/>
            <w:hideMark/>
          </w:tcPr>
          <w:p w14:paraId="0C50C81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0.92</w:t>
            </w:r>
          </w:p>
        </w:tc>
        <w:tc>
          <w:tcPr>
            <w:tcW w:w="164" w:type="pct"/>
            <w:tcBorders>
              <w:top w:val="nil"/>
              <w:left w:val="nil"/>
              <w:bottom w:val="single" w:sz="4" w:space="0" w:color="808080"/>
              <w:right w:val="nil"/>
            </w:tcBorders>
            <w:shd w:val="clear" w:color="auto" w:fill="auto"/>
            <w:noWrap/>
            <w:vAlign w:val="bottom"/>
            <w:hideMark/>
          </w:tcPr>
          <w:p w14:paraId="12193F2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0.92</w:t>
            </w:r>
          </w:p>
        </w:tc>
        <w:tc>
          <w:tcPr>
            <w:tcW w:w="118" w:type="pct"/>
            <w:tcBorders>
              <w:top w:val="nil"/>
              <w:left w:val="single" w:sz="4" w:space="0" w:color="auto"/>
              <w:bottom w:val="single" w:sz="4" w:space="0" w:color="808080"/>
              <w:right w:val="single" w:sz="4" w:space="0" w:color="808080"/>
            </w:tcBorders>
            <w:shd w:val="clear" w:color="auto" w:fill="auto"/>
            <w:noWrap/>
            <w:vAlign w:val="bottom"/>
            <w:hideMark/>
          </w:tcPr>
          <w:p w14:paraId="6D97728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w:t>
            </w:r>
          </w:p>
        </w:tc>
        <w:tc>
          <w:tcPr>
            <w:tcW w:w="214" w:type="pct"/>
            <w:tcBorders>
              <w:top w:val="nil"/>
              <w:left w:val="nil"/>
              <w:bottom w:val="single" w:sz="4" w:space="0" w:color="808080"/>
              <w:right w:val="single" w:sz="4" w:space="0" w:color="808080"/>
            </w:tcBorders>
            <w:shd w:val="clear" w:color="auto" w:fill="auto"/>
            <w:noWrap/>
            <w:vAlign w:val="bottom"/>
            <w:hideMark/>
          </w:tcPr>
          <w:p w14:paraId="6610D4C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20.31%</w:t>
            </w:r>
          </w:p>
        </w:tc>
        <w:tc>
          <w:tcPr>
            <w:tcW w:w="215" w:type="pct"/>
            <w:tcBorders>
              <w:top w:val="nil"/>
              <w:left w:val="nil"/>
              <w:bottom w:val="single" w:sz="4" w:space="0" w:color="808080"/>
              <w:right w:val="single" w:sz="4" w:space="0" w:color="808080"/>
            </w:tcBorders>
            <w:shd w:val="clear" w:color="auto" w:fill="auto"/>
            <w:noWrap/>
            <w:vAlign w:val="bottom"/>
            <w:hideMark/>
          </w:tcPr>
          <w:p w14:paraId="2EC05B6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4.89%</w:t>
            </w:r>
          </w:p>
        </w:tc>
        <w:tc>
          <w:tcPr>
            <w:tcW w:w="163" w:type="pct"/>
            <w:tcBorders>
              <w:top w:val="nil"/>
              <w:left w:val="nil"/>
              <w:bottom w:val="single" w:sz="4" w:space="0" w:color="808080"/>
              <w:right w:val="single" w:sz="4" w:space="0" w:color="808080"/>
            </w:tcBorders>
            <w:shd w:val="clear" w:color="auto" w:fill="auto"/>
            <w:noWrap/>
            <w:vAlign w:val="bottom"/>
            <w:hideMark/>
          </w:tcPr>
          <w:p w14:paraId="247FF26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2.48</w:t>
            </w:r>
          </w:p>
        </w:tc>
        <w:tc>
          <w:tcPr>
            <w:tcW w:w="163" w:type="pct"/>
            <w:tcBorders>
              <w:top w:val="nil"/>
              <w:left w:val="nil"/>
              <w:bottom w:val="single" w:sz="4" w:space="0" w:color="808080"/>
              <w:right w:val="single" w:sz="4" w:space="0" w:color="auto"/>
            </w:tcBorders>
            <w:shd w:val="clear" w:color="auto" w:fill="auto"/>
            <w:noWrap/>
            <w:vAlign w:val="bottom"/>
            <w:hideMark/>
          </w:tcPr>
          <w:p w14:paraId="5B8283A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0.80</w:t>
            </w:r>
          </w:p>
        </w:tc>
        <w:tc>
          <w:tcPr>
            <w:tcW w:w="118" w:type="pct"/>
            <w:tcBorders>
              <w:top w:val="nil"/>
              <w:left w:val="nil"/>
              <w:bottom w:val="single" w:sz="4" w:space="0" w:color="808080"/>
              <w:right w:val="single" w:sz="4" w:space="0" w:color="808080"/>
            </w:tcBorders>
            <w:shd w:val="clear" w:color="auto" w:fill="auto"/>
            <w:noWrap/>
            <w:vAlign w:val="bottom"/>
            <w:hideMark/>
          </w:tcPr>
          <w:p w14:paraId="39006BC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w:t>
            </w:r>
          </w:p>
        </w:tc>
        <w:tc>
          <w:tcPr>
            <w:tcW w:w="214" w:type="pct"/>
            <w:tcBorders>
              <w:top w:val="nil"/>
              <w:left w:val="nil"/>
              <w:bottom w:val="single" w:sz="4" w:space="0" w:color="808080"/>
              <w:right w:val="single" w:sz="4" w:space="0" w:color="808080"/>
            </w:tcBorders>
            <w:shd w:val="clear" w:color="auto" w:fill="auto"/>
            <w:noWrap/>
            <w:vAlign w:val="bottom"/>
            <w:hideMark/>
          </w:tcPr>
          <w:p w14:paraId="6033F5F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12.50%</w:t>
            </w:r>
          </w:p>
        </w:tc>
        <w:tc>
          <w:tcPr>
            <w:tcW w:w="215" w:type="pct"/>
            <w:tcBorders>
              <w:top w:val="nil"/>
              <w:left w:val="nil"/>
              <w:bottom w:val="single" w:sz="4" w:space="0" w:color="808080"/>
              <w:right w:val="single" w:sz="4" w:space="0" w:color="808080"/>
            </w:tcBorders>
            <w:shd w:val="clear" w:color="auto" w:fill="auto"/>
            <w:noWrap/>
            <w:vAlign w:val="bottom"/>
            <w:hideMark/>
          </w:tcPr>
          <w:p w14:paraId="4470709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3.38%</w:t>
            </w:r>
          </w:p>
        </w:tc>
        <w:tc>
          <w:tcPr>
            <w:tcW w:w="163" w:type="pct"/>
            <w:tcBorders>
              <w:top w:val="nil"/>
              <w:left w:val="nil"/>
              <w:bottom w:val="single" w:sz="4" w:space="0" w:color="808080"/>
              <w:right w:val="single" w:sz="4" w:space="0" w:color="808080"/>
            </w:tcBorders>
            <w:shd w:val="clear" w:color="auto" w:fill="auto"/>
            <w:noWrap/>
            <w:vAlign w:val="bottom"/>
            <w:hideMark/>
          </w:tcPr>
          <w:p w14:paraId="289CBCA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1.86</w:t>
            </w:r>
          </w:p>
        </w:tc>
        <w:tc>
          <w:tcPr>
            <w:tcW w:w="163" w:type="pct"/>
            <w:tcBorders>
              <w:top w:val="nil"/>
              <w:left w:val="nil"/>
              <w:bottom w:val="single" w:sz="4" w:space="0" w:color="808080"/>
              <w:right w:val="nil"/>
            </w:tcBorders>
            <w:shd w:val="clear" w:color="auto" w:fill="auto"/>
            <w:noWrap/>
            <w:vAlign w:val="bottom"/>
            <w:hideMark/>
          </w:tcPr>
          <w:p w14:paraId="1FFE446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0.36</w:t>
            </w:r>
          </w:p>
        </w:tc>
        <w:tc>
          <w:tcPr>
            <w:tcW w:w="118" w:type="pct"/>
            <w:tcBorders>
              <w:top w:val="nil"/>
              <w:left w:val="single" w:sz="4" w:space="0" w:color="auto"/>
              <w:bottom w:val="single" w:sz="4" w:space="0" w:color="808080"/>
              <w:right w:val="single" w:sz="4" w:space="0" w:color="808080"/>
            </w:tcBorders>
            <w:shd w:val="clear" w:color="auto" w:fill="auto"/>
            <w:noWrap/>
            <w:vAlign w:val="bottom"/>
            <w:hideMark/>
          </w:tcPr>
          <w:p w14:paraId="78933FA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214" w:type="pct"/>
            <w:tcBorders>
              <w:top w:val="nil"/>
              <w:left w:val="nil"/>
              <w:bottom w:val="single" w:sz="4" w:space="0" w:color="808080"/>
              <w:right w:val="single" w:sz="4" w:space="0" w:color="808080"/>
            </w:tcBorders>
            <w:shd w:val="clear" w:color="auto" w:fill="auto"/>
            <w:noWrap/>
            <w:vAlign w:val="bottom"/>
            <w:hideMark/>
          </w:tcPr>
          <w:p w14:paraId="43FD6C1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7.81%</w:t>
            </w:r>
          </w:p>
        </w:tc>
        <w:tc>
          <w:tcPr>
            <w:tcW w:w="245" w:type="pct"/>
            <w:tcBorders>
              <w:top w:val="nil"/>
              <w:left w:val="nil"/>
              <w:bottom w:val="single" w:sz="4" w:space="0" w:color="808080"/>
              <w:right w:val="single" w:sz="4" w:space="0" w:color="808080"/>
            </w:tcBorders>
            <w:shd w:val="clear" w:color="auto" w:fill="auto"/>
            <w:noWrap/>
            <w:vAlign w:val="bottom"/>
            <w:hideMark/>
          </w:tcPr>
          <w:p w14:paraId="6C279AD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0.35%</w:t>
            </w:r>
          </w:p>
        </w:tc>
        <w:tc>
          <w:tcPr>
            <w:tcW w:w="163" w:type="pct"/>
            <w:tcBorders>
              <w:top w:val="nil"/>
              <w:left w:val="nil"/>
              <w:bottom w:val="single" w:sz="4" w:space="0" w:color="808080"/>
              <w:right w:val="single" w:sz="4" w:space="0" w:color="808080"/>
            </w:tcBorders>
            <w:shd w:val="clear" w:color="auto" w:fill="auto"/>
            <w:noWrap/>
            <w:vAlign w:val="bottom"/>
            <w:hideMark/>
          </w:tcPr>
          <w:p w14:paraId="466B518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0.54</w:t>
            </w:r>
          </w:p>
        </w:tc>
        <w:tc>
          <w:tcPr>
            <w:tcW w:w="133" w:type="pct"/>
            <w:tcBorders>
              <w:top w:val="nil"/>
              <w:left w:val="nil"/>
              <w:bottom w:val="single" w:sz="4" w:space="0" w:color="808080"/>
              <w:right w:val="single" w:sz="4" w:space="0" w:color="auto"/>
            </w:tcBorders>
            <w:shd w:val="clear" w:color="auto" w:fill="auto"/>
            <w:noWrap/>
            <w:vAlign w:val="bottom"/>
            <w:hideMark/>
          </w:tcPr>
          <w:p w14:paraId="1E2400A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0.07</w:t>
            </w:r>
          </w:p>
        </w:tc>
        <w:tc>
          <w:tcPr>
            <w:tcW w:w="384" w:type="pct"/>
            <w:tcBorders>
              <w:top w:val="nil"/>
              <w:left w:val="nil"/>
              <w:bottom w:val="single" w:sz="4" w:space="0" w:color="808080"/>
              <w:right w:val="single" w:sz="4" w:space="0" w:color="auto"/>
            </w:tcBorders>
            <w:shd w:val="clear" w:color="auto" w:fill="auto"/>
            <w:noWrap/>
            <w:vAlign w:val="bottom"/>
            <w:hideMark/>
          </w:tcPr>
          <w:p w14:paraId="663A31F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1.33</w:t>
            </w:r>
          </w:p>
        </w:tc>
        <w:tc>
          <w:tcPr>
            <w:tcW w:w="214" w:type="pct"/>
            <w:tcBorders>
              <w:top w:val="nil"/>
              <w:left w:val="nil"/>
              <w:bottom w:val="single" w:sz="4" w:space="0" w:color="808080"/>
              <w:right w:val="single" w:sz="4" w:space="0" w:color="808080"/>
            </w:tcBorders>
            <w:shd w:val="clear" w:color="auto" w:fill="auto"/>
            <w:noWrap/>
            <w:vAlign w:val="bottom"/>
            <w:hideMark/>
          </w:tcPr>
          <w:p w14:paraId="619B405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2.43%</w:t>
            </w:r>
          </w:p>
        </w:tc>
        <w:tc>
          <w:tcPr>
            <w:tcW w:w="245" w:type="pct"/>
            <w:tcBorders>
              <w:top w:val="nil"/>
              <w:left w:val="nil"/>
              <w:bottom w:val="single" w:sz="4" w:space="0" w:color="808080"/>
              <w:right w:val="single" w:sz="4" w:space="0" w:color="808080"/>
            </w:tcBorders>
            <w:shd w:val="clear" w:color="auto" w:fill="auto"/>
            <w:noWrap/>
            <w:vAlign w:val="bottom"/>
            <w:hideMark/>
          </w:tcPr>
          <w:p w14:paraId="1BFF6C1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21.27%</w:t>
            </w:r>
          </w:p>
        </w:tc>
        <w:tc>
          <w:tcPr>
            <w:tcW w:w="214" w:type="pct"/>
            <w:tcBorders>
              <w:top w:val="nil"/>
              <w:left w:val="nil"/>
              <w:bottom w:val="single" w:sz="4" w:space="0" w:color="808080"/>
              <w:right w:val="single" w:sz="4" w:space="0" w:color="808080"/>
            </w:tcBorders>
            <w:shd w:val="clear" w:color="auto" w:fill="auto"/>
            <w:noWrap/>
            <w:vAlign w:val="bottom"/>
            <w:hideMark/>
          </w:tcPr>
          <w:p w14:paraId="30E2BA8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2.79%</w:t>
            </w:r>
          </w:p>
        </w:tc>
        <w:tc>
          <w:tcPr>
            <w:tcW w:w="246" w:type="pct"/>
            <w:tcBorders>
              <w:top w:val="nil"/>
              <w:left w:val="nil"/>
              <w:bottom w:val="single" w:sz="4" w:space="0" w:color="808080"/>
              <w:right w:val="single" w:sz="4" w:space="0" w:color="auto"/>
            </w:tcBorders>
            <w:shd w:val="clear" w:color="auto" w:fill="auto"/>
            <w:noWrap/>
            <w:vAlign w:val="bottom"/>
            <w:hideMark/>
          </w:tcPr>
          <w:p w14:paraId="051B60E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25.36%</w:t>
            </w:r>
          </w:p>
        </w:tc>
      </w:tr>
      <w:tr w:rsidR="00A022DF" w:rsidRPr="00E87E42" w14:paraId="252A9262" w14:textId="77777777" w:rsidTr="005839EF">
        <w:trPr>
          <w:trHeight w:val="227"/>
        </w:trPr>
        <w:tc>
          <w:tcPr>
            <w:tcW w:w="56" w:type="pct"/>
            <w:tcBorders>
              <w:top w:val="nil"/>
              <w:left w:val="single" w:sz="4" w:space="0" w:color="auto"/>
              <w:bottom w:val="single" w:sz="4" w:space="0" w:color="auto"/>
              <w:right w:val="nil"/>
            </w:tcBorders>
            <w:shd w:val="clear" w:color="auto" w:fill="auto"/>
            <w:noWrap/>
            <w:vAlign w:val="bottom"/>
            <w:hideMark/>
          </w:tcPr>
          <w:p w14:paraId="06897CD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118" w:type="pct"/>
            <w:tcBorders>
              <w:top w:val="nil"/>
              <w:left w:val="single" w:sz="4" w:space="0" w:color="auto"/>
              <w:bottom w:val="single" w:sz="4" w:space="0" w:color="808080"/>
              <w:right w:val="single" w:sz="4" w:space="0" w:color="auto"/>
            </w:tcBorders>
            <w:shd w:val="clear" w:color="auto" w:fill="auto"/>
            <w:noWrap/>
            <w:vAlign w:val="bottom"/>
            <w:hideMark/>
          </w:tcPr>
          <w:p w14:paraId="6386F57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986</w:t>
            </w:r>
          </w:p>
        </w:tc>
        <w:tc>
          <w:tcPr>
            <w:tcW w:w="118" w:type="pct"/>
            <w:tcBorders>
              <w:top w:val="nil"/>
              <w:left w:val="nil"/>
              <w:bottom w:val="single" w:sz="4" w:space="0" w:color="808080"/>
              <w:right w:val="single" w:sz="4" w:space="0" w:color="808080"/>
            </w:tcBorders>
            <w:shd w:val="clear" w:color="auto" w:fill="auto"/>
            <w:noWrap/>
            <w:vAlign w:val="bottom"/>
            <w:hideMark/>
          </w:tcPr>
          <w:p w14:paraId="4B84646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293</w:t>
            </w:r>
          </w:p>
        </w:tc>
        <w:tc>
          <w:tcPr>
            <w:tcW w:w="245" w:type="pct"/>
            <w:tcBorders>
              <w:top w:val="nil"/>
              <w:left w:val="nil"/>
              <w:bottom w:val="single" w:sz="4" w:space="0" w:color="808080"/>
              <w:right w:val="single" w:sz="4" w:space="0" w:color="808080"/>
            </w:tcBorders>
            <w:shd w:val="clear" w:color="auto" w:fill="auto"/>
            <w:noWrap/>
            <w:vAlign w:val="bottom"/>
            <w:hideMark/>
          </w:tcPr>
          <w:p w14:paraId="310D5CE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20.71%</w:t>
            </w:r>
          </w:p>
        </w:tc>
        <w:tc>
          <w:tcPr>
            <w:tcW w:w="214" w:type="pct"/>
            <w:tcBorders>
              <w:top w:val="nil"/>
              <w:left w:val="nil"/>
              <w:bottom w:val="single" w:sz="4" w:space="0" w:color="808080"/>
              <w:right w:val="single" w:sz="4" w:space="0" w:color="808080"/>
            </w:tcBorders>
            <w:shd w:val="clear" w:color="auto" w:fill="auto"/>
            <w:noWrap/>
            <w:vAlign w:val="bottom"/>
            <w:hideMark/>
          </w:tcPr>
          <w:p w14:paraId="68B2B3D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41.62%</w:t>
            </w:r>
          </w:p>
        </w:tc>
        <w:tc>
          <w:tcPr>
            <w:tcW w:w="163" w:type="pct"/>
            <w:tcBorders>
              <w:top w:val="nil"/>
              <w:left w:val="nil"/>
              <w:bottom w:val="single" w:sz="4" w:space="0" w:color="808080"/>
              <w:right w:val="single" w:sz="4" w:space="0" w:color="808080"/>
            </w:tcBorders>
            <w:shd w:val="clear" w:color="auto" w:fill="auto"/>
            <w:noWrap/>
            <w:vAlign w:val="bottom"/>
            <w:hideMark/>
          </w:tcPr>
          <w:p w14:paraId="2AA9D40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8.98</w:t>
            </w:r>
          </w:p>
        </w:tc>
        <w:tc>
          <w:tcPr>
            <w:tcW w:w="164" w:type="pct"/>
            <w:tcBorders>
              <w:top w:val="nil"/>
              <w:left w:val="nil"/>
              <w:bottom w:val="single" w:sz="4" w:space="0" w:color="808080"/>
              <w:right w:val="nil"/>
            </w:tcBorders>
            <w:shd w:val="clear" w:color="auto" w:fill="auto"/>
            <w:noWrap/>
            <w:vAlign w:val="bottom"/>
            <w:hideMark/>
          </w:tcPr>
          <w:p w14:paraId="5037449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8.98</w:t>
            </w:r>
          </w:p>
        </w:tc>
        <w:tc>
          <w:tcPr>
            <w:tcW w:w="118" w:type="pct"/>
            <w:tcBorders>
              <w:top w:val="nil"/>
              <w:left w:val="single" w:sz="4" w:space="0" w:color="auto"/>
              <w:bottom w:val="single" w:sz="4" w:space="0" w:color="808080"/>
              <w:right w:val="single" w:sz="4" w:space="0" w:color="808080"/>
            </w:tcBorders>
            <w:shd w:val="clear" w:color="auto" w:fill="auto"/>
            <w:noWrap/>
            <w:vAlign w:val="bottom"/>
            <w:hideMark/>
          </w:tcPr>
          <w:p w14:paraId="734E417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168</w:t>
            </w:r>
          </w:p>
        </w:tc>
        <w:tc>
          <w:tcPr>
            <w:tcW w:w="214" w:type="pct"/>
            <w:tcBorders>
              <w:top w:val="nil"/>
              <w:left w:val="nil"/>
              <w:bottom w:val="single" w:sz="4" w:space="0" w:color="808080"/>
              <w:right w:val="single" w:sz="4" w:space="0" w:color="808080"/>
            </w:tcBorders>
            <w:shd w:val="clear" w:color="auto" w:fill="auto"/>
            <w:noWrap/>
            <w:vAlign w:val="bottom"/>
            <w:hideMark/>
          </w:tcPr>
          <w:p w14:paraId="1C328DC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11.87%</w:t>
            </w:r>
          </w:p>
        </w:tc>
        <w:tc>
          <w:tcPr>
            <w:tcW w:w="215" w:type="pct"/>
            <w:tcBorders>
              <w:top w:val="nil"/>
              <w:left w:val="nil"/>
              <w:bottom w:val="single" w:sz="4" w:space="0" w:color="808080"/>
              <w:right w:val="single" w:sz="4" w:space="0" w:color="808080"/>
            </w:tcBorders>
            <w:shd w:val="clear" w:color="auto" w:fill="auto"/>
            <w:noWrap/>
            <w:vAlign w:val="bottom"/>
            <w:hideMark/>
          </w:tcPr>
          <w:p w14:paraId="5A760EC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63.16%</w:t>
            </w:r>
          </w:p>
        </w:tc>
        <w:tc>
          <w:tcPr>
            <w:tcW w:w="163" w:type="pct"/>
            <w:tcBorders>
              <w:top w:val="nil"/>
              <w:left w:val="nil"/>
              <w:bottom w:val="single" w:sz="4" w:space="0" w:color="808080"/>
              <w:right w:val="single" w:sz="4" w:space="0" w:color="808080"/>
            </w:tcBorders>
            <w:shd w:val="clear" w:color="auto" w:fill="auto"/>
            <w:noWrap/>
            <w:vAlign w:val="bottom"/>
            <w:hideMark/>
          </w:tcPr>
          <w:p w14:paraId="7E22531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49.58</w:t>
            </w:r>
          </w:p>
        </w:tc>
        <w:tc>
          <w:tcPr>
            <w:tcW w:w="163" w:type="pct"/>
            <w:tcBorders>
              <w:top w:val="nil"/>
              <w:left w:val="nil"/>
              <w:bottom w:val="single" w:sz="4" w:space="0" w:color="808080"/>
              <w:right w:val="single" w:sz="4" w:space="0" w:color="auto"/>
            </w:tcBorders>
            <w:shd w:val="clear" w:color="auto" w:fill="auto"/>
            <w:noWrap/>
            <w:vAlign w:val="bottom"/>
            <w:hideMark/>
          </w:tcPr>
          <w:p w14:paraId="05DB89C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16.08</w:t>
            </w:r>
          </w:p>
        </w:tc>
        <w:tc>
          <w:tcPr>
            <w:tcW w:w="118" w:type="pct"/>
            <w:tcBorders>
              <w:top w:val="nil"/>
              <w:left w:val="nil"/>
              <w:bottom w:val="single" w:sz="4" w:space="0" w:color="808080"/>
              <w:right w:val="single" w:sz="4" w:space="0" w:color="808080"/>
            </w:tcBorders>
            <w:shd w:val="clear" w:color="auto" w:fill="auto"/>
            <w:noWrap/>
            <w:vAlign w:val="bottom"/>
            <w:hideMark/>
          </w:tcPr>
          <w:p w14:paraId="5241761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166</w:t>
            </w:r>
          </w:p>
        </w:tc>
        <w:tc>
          <w:tcPr>
            <w:tcW w:w="214" w:type="pct"/>
            <w:tcBorders>
              <w:top w:val="nil"/>
              <w:left w:val="nil"/>
              <w:bottom w:val="single" w:sz="4" w:space="0" w:color="808080"/>
              <w:right w:val="single" w:sz="4" w:space="0" w:color="808080"/>
            </w:tcBorders>
            <w:shd w:val="clear" w:color="auto" w:fill="auto"/>
            <w:noWrap/>
            <w:vAlign w:val="bottom"/>
            <w:hideMark/>
          </w:tcPr>
          <w:p w14:paraId="345BAE7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11.73%</w:t>
            </w:r>
          </w:p>
        </w:tc>
        <w:tc>
          <w:tcPr>
            <w:tcW w:w="215" w:type="pct"/>
            <w:tcBorders>
              <w:top w:val="nil"/>
              <w:left w:val="nil"/>
              <w:bottom w:val="single" w:sz="4" w:space="0" w:color="808080"/>
              <w:right w:val="single" w:sz="4" w:space="0" w:color="808080"/>
            </w:tcBorders>
            <w:shd w:val="clear" w:color="auto" w:fill="auto"/>
            <w:noWrap/>
            <w:vAlign w:val="bottom"/>
            <w:hideMark/>
          </w:tcPr>
          <w:p w14:paraId="3C41C75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70.04%</w:t>
            </w:r>
          </w:p>
        </w:tc>
        <w:tc>
          <w:tcPr>
            <w:tcW w:w="163" w:type="pct"/>
            <w:tcBorders>
              <w:top w:val="nil"/>
              <w:left w:val="nil"/>
              <w:bottom w:val="single" w:sz="4" w:space="0" w:color="808080"/>
              <w:right w:val="single" w:sz="4" w:space="0" w:color="808080"/>
            </w:tcBorders>
            <w:shd w:val="clear" w:color="auto" w:fill="auto"/>
            <w:noWrap/>
            <w:vAlign w:val="bottom"/>
            <w:hideMark/>
          </w:tcPr>
          <w:p w14:paraId="4289AEA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72.97</w:t>
            </w:r>
          </w:p>
        </w:tc>
        <w:tc>
          <w:tcPr>
            <w:tcW w:w="163" w:type="pct"/>
            <w:tcBorders>
              <w:top w:val="nil"/>
              <w:left w:val="nil"/>
              <w:bottom w:val="single" w:sz="4" w:space="0" w:color="808080"/>
              <w:right w:val="nil"/>
            </w:tcBorders>
            <w:shd w:val="clear" w:color="auto" w:fill="auto"/>
            <w:noWrap/>
            <w:vAlign w:val="bottom"/>
            <w:hideMark/>
          </w:tcPr>
          <w:p w14:paraId="36FDDFC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14.12</w:t>
            </w:r>
          </w:p>
        </w:tc>
        <w:tc>
          <w:tcPr>
            <w:tcW w:w="118" w:type="pct"/>
            <w:tcBorders>
              <w:top w:val="nil"/>
              <w:left w:val="single" w:sz="4" w:space="0" w:color="auto"/>
              <w:bottom w:val="single" w:sz="4" w:space="0" w:color="808080"/>
              <w:right w:val="single" w:sz="4" w:space="0" w:color="808080"/>
            </w:tcBorders>
            <w:shd w:val="clear" w:color="auto" w:fill="auto"/>
            <w:noWrap/>
            <w:vAlign w:val="bottom"/>
            <w:hideMark/>
          </w:tcPr>
          <w:p w14:paraId="447FE94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788</w:t>
            </w:r>
          </w:p>
        </w:tc>
        <w:tc>
          <w:tcPr>
            <w:tcW w:w="214" w:type="pct"/>
            <w:tcBorders>
              <w:top w:val="nil"/>
              <w:left w:val="nil"/>
              <w:bottom w:val="single" w:sz="4" w:space="0" w:color="808080"/>
              <w:right w:val="single" w:sz="4" w:space="0" w:color="808080"/>
            </w:tcBorders>
            <w:shd w:val="clear" w:color="auto" w:fill="auto"/>
            <w:noWrap/>
            <w:vAlign w:val="bottom"/>
            <w:hideMark/>
          </w:tcPr>
          <w:p w14:paraId="7A263EC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55.69%</w:t>
            </w:r>
          </w:p>
        </w:tc>
        <w:tc>
          <w:tcPr>
            <w:tcW w:w="245" w:type="pct"/>
            <w:tcBorders>
              <w:top w:val="nil"/>
              <w:left w:val="nil"/>
              <w:bottom w:val="single" w:sz="4" w:space="0" w:color="808080"/>
              <w:right w:val="single" w:sz="4" w:space="0" w:color="808080"/>
            </w:tcBorders>
            <w:shd w:val="clear" w:color="auto" w:fill="auto"/>
            <w:noWrap/>
            <w:vAlign w:val="bottom"/>
            <w:hideMark/>
          </w:tcPr>
          <w:p w14:paraId="2842881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55.26%</w:t>
            </w:r>
          </w:p>
        </w:tc>
        <w:tc>
          <w:tcPr>
            <w:tcW w:w="163" w:type="pct"/>
            <w:tcBorders>
              <w:top w:val="nil"/>
              <w:left w:val="nil"/>
              <w:bottom w:val="single" w:sz="4" w:space="0" w:color="808080"/>
              <w:right w:val="single" w:sz="4" w:space="0" w:color="808080"/>
            </w:tcBorders>
            <w:shd w:val="clear" w:color="auto" w:fill="auto"/>
            <w:noWrap/>
            <w:vAlign w:val="bottom"/>
            <w:hideMark/>
          </w:tcPr>
          <w:p w14:paraId="1B6CD99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69.72</w:t>
            </w:r>
          </w:p>
        </w:tc>
        <w:tc>
          <w:tcPr>
            <w:tcW w:w="133" w:type="pct"/>
            <w:tcBorders>
              <w:top w:val="nil"/>
              <w:left w:val="nil"/>
              <w:bottom w:val="single" w:sz="4" w:space="0" w:color="808080"/>
              <w:right w:val="single" w:sz="4" w:space="0" w:color="auto"/>
            </w:tcBorders>
            <w:shd w:val="clear" w:color="auto" w:fill="auto"/>
            <w:noWrap/>
            <w:vAlign w:val="bottom"/>
            <w:hideMark/>
          </w:tcPr>
          <w:p w14:paraId="39E5396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9.51</w:t>
            </w:r>
          </w:p>
        </w:tc>
        <w:tc>
          <w:tcPr>
            <w:tcW w:w="384" w:type="pct"/>
            <w:tcBorders>
              <w:top w:val="nil"/>
              <w:left w:val="nil"/>
              <w:bottom w:val="single" w:sz="4" w:space="0" w:color="808080"/>
              <w:right w:val="single" w:sz="4" w:space="0" w:color="auto"/>
            </w:tcBorders>
            <w:shd w:val="clear" w:color="auto" w:fill="auto"/>
            <w:noWrap/>
            <w:vAlign w:val="bottom"/>
            <w:hideMark/>
          </w:tcPr>
          <w:p w14:paraId="29D7BDF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55.14</w:t>
            </w:r>
          </w:p>
        </w:tc>
        <w:tc>
          <w:tcPr>
            <w:tcW w:w="214" w:type="pct"/>
            <w:tcBorders>
              <w:top w:val="nil"/>
              <w:left w:val="nil"/>
              <w:bottom w:val="single" w:sz="4" w:space="0" w:color="808080"/>
              <w:right w:val="single" w:sz="4" w:space="0" w:color="808080"/>
            </w:tcBorders>
            <w:shd w:val="clear" w:color="auto" w:fill="auto"/>
            <w:noWrap/>
            <w:vAlign w:val="bottom"/>
            <w:hideMark/>
          </w:tcPr>
          <w:p w14:paraId="549FAA9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53.74%</w:t>
            </w:r>
          </w:p>
        </w:tc>
        <w:tc>
          <w:tcPr>
            <w:tcW w:w="245" w:type="pct"/>
            <w:tcBorders>
              <w:top w:val="nil"/>
              <w:left w:val="nil"/>
              <w:bottom w:val="single" w:sz="4" w:space="0" w:color="808080"/>
              <w:right w:val="single" w:sz="4" w:space="0" w:color="808080"/>
            </w:tcBorders>
            <w:shd w:val="clear" w:color="auto" w:fill="auto"/>
            <w:noWrap/>
            <w:vAlign w:val="bottom"/>
            <w:hideMark/>
          </w:tcPr>
          <w:p w14:paraId="0C61028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75.01%</w:t>
            </w:r>
          </w:p>
        </w:tc>
        <w:tc>
          <w:tcPr>
            <w:tcW w:w="214" w:type="pct"/>
            <w:tcBorders>
              <w:top w:val="nil"/>
              <w:left w:val="nil"/>
              <w:bottom w:val="single" w:sz="4" w:space="0" w:color="808080"/>
              <w:right w:val="single" w:sz="4" w:space="0" w:color="808080"/>
            </w:tcBorders>
            <w:shd w:val="clear" w:color="auto" w:fill="auto"/>
            <w:noWrap/>
            <w:vAlign w:val="bottom"/>
            <w:hideMark/>
          </w:tcPr>
          <w:p w14:paraId="00A9F4E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54.96%</w:t>
            </w:r>
          </w:p>
        </w:tc>
        <w:tc>
          <w:tcPr>
            <w:tcW w:w="246" w:type="pct"/>
            <w:tcBorders>
              <w:top w:val="nil"/>
              <w:left w:val="nil"/>
              <w:bottom w:val="single" w:sz="4" w:space="0" w:color="808080"/>
              <w:right w:val="single" w:sz="4" w:space="0" w:color="auto"/>
            </w:tcBorders>
            <w:shd w:val="clear" w:color="auto" w:fill="auto"/>
            <w:noWrap/>
            <w:vAlign w:val="bottom"/>
            <w:hideMark/>
          </w:tcPr>
          <w:p w14:paraId="13259DF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80.32%</w:t>
            </w:r>
          </w:p>
        </w:tc>
      </w:tr>
      <w:tr w:rsidR="00A022DF" w:rsidRPr="00E87E42" w14:paraId="1058741A" w14:textId="77777777" w:rsidTr="005839EF">
        <w:trPr>
          <w:trHeight w:val="227"/>
        </w:trPr>
        <w:tc>
          <w:tcPr>
            <w:tcW w:w="56" w:type="pct"/>
            <w:tcBorders>
              <w:top w:val="nil"/>
              <w:left w:val="single" w:sz="4" w:space="0" w:color="auto"/>
              <w:bottom w:val="single" w:sz="4" w:space="0" w:color="auto"/>
              <w:right w:val="nil"/>
            </w:tcBorders>
            <w:shd w:val="clear" w:color="auto" w:fill="auto"/>
            <w:noWrap/>
            <w:vAlign w:val="bottom"/>
            <w:hideMark/>
          </w:tcPr>
          <w:p w14:paraId="6D3E83A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118" w:type="pct"/>
            <w:tcBorders>
              <w:top w:val="nil"/>
              <w:left w:val="single" w:sz="4" w:space="0" w:color="auto"/>
              <w:bottom w:val="single" w:sz="4" w:space="0" w:color="auto"/>
              <w:right w:val="single" w:sz="4" w:space="0" w:color="auto"/>
            </w:tcBorders>
            <w:shd w:val="clear" w:color="auto" w:fill="auto"/>
            <w:noWrap/>
            <w:vAlign w:val="bottom"/>
            <w:hideMark/>
          </w:tcPr>
          <w:p w14:paraId="124E12F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353</w:t>
            </w:r>
          </w:p>
        </w:tc>
        <w:tc>
          <w:tcPr>
            <w:tcW w:w="118" w:type="pct"/>
            <w:tcBorders>
              <w:top w:val="nil"/>
              <w:left w:val="nil"/>
              <w:bottom w:val="single" w:sz="4" w:space="0" w:color="auto"/>
              <w:right w:val="single" w:sz="4" w:space="0" w:color="808080"/>
            </w:tcBorders>
            <w:shd w:val="clear" w:color="auto" w:fill="auto"/>
            <w:noWrap/>
            <w:vAlign w:val="bottom"/>
            <w:hideMark/>
          </w:tcPr>
          <w:p w14:paraId="5839ABA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71</w:t>
            </w:r>
          </w:p>
        </w:tc>
        <w:tc>
          <w:tcPr>
            <w:tcW w:w="245" w:type="pct"/>
            <w:tcBorders>
              <w:top w:val="nil"/>
              <w:left w:val="nil"/>
              <w:bottom w:val="single" w:sz="4" w:space="0" w:color="auto"/>
              <w:right w:val="single" w:sz="4" w:space="0" w:color="808080"/>
            </w:tcBorders>
            <w:shd w:val="clear" w:color="auto" w:fill="auto"/>
            <w:noWrap/>
            <w:vAlign w:val="bottom"/>
            <w:hideMark/>
          </w:tcPr>
          <w:p w14:paraId="377AE21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10.79%</w:t>
            </w:r>
          </w:p>
        </w:tc>
        <w:tc>
          <w:tcPr>
            <w:tcW w:w="214" w:type="pct"/>
            <w:tcBorders>
              <w:top w:val="nil"/>
              <w:left w:val="nil"/>
              <w:bottom w:val="single" w:sz="4" w:space="0" w:color="auto"/>
              <w:right w:val="single" w:sz="4" w:space="0" w:color="808080"/>
            </w:tcBorders>
            <w:shd w:val="clear" w:color="auto" w:fill="auto"/>
            <w:noWrap/>
            <w:vAlign w:val="bottom"/>
            <w:hideMark/>
          </w:tcPr>
          <w:p w14:paraId="003F42B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10.09%</w:t>
            </w:r>
          </w:p>
        </w:tc>
        <w:tc>
          <w:tcPr>
            <w:tcW w:w="163" w:type="pct"/>
            <w:tcBorders>
              <w:top w:val="nil"/>
              <w:left w:val="nil"/>
              <w:bottom w:val="single" w:sz="4" w:space="0" w:color="auto"/>
              <w:right w:val="single" w:sz="4" w:space="0" w:color="808080"/>
            </w:tcBorders>
            <w:shd w:val="clear" w:color="auto" w:fill="auto"/>
            <w:noWrap/>
            <w:vAlign w:val="bottom"/>
            <w:hideMark/>
          </w:tcPr>
          <w:p w14:paraId="15EF94E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4.35</w:t>
            </w:r>
          </w:p>
        </w:tc>
        <w:tc>
          <w:tcPr>
            <w:tcW w:w="164" w:type="pct"/>
            <w:tcBorders>
              <w:top w:val="nil"/>
              <w:left w:val="nil"/>
              <w:bottom w:val="single" w:sz="4" w:space="0" w:color="auto"/>
              <w:right w:val="nil"/>
            </w:tcBorders>
            <w:shd w:val="clear" w:color="auto" w:fill="auto"/>
            <w:noWrap/>
            <w:vAlign w:val="bottom"/>
            <w:hideMark/>
          </w:tcPr>
          <w:p w14:paraId="2330A97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4.35</w:t>
            </w:r>
          </w:p>
        </w:tc>
        <w:tc>
          <w:tcPr>
            <w:tcW w:w="118" w:type="pct"/>
            <w:tcBorders>
              <w:top w:val="nil"/>
              <w:left w:val="single" w:sz="4" w:space="0" w:color="auto"/>
              <w:bottom w:val="single" w:sz="4" w:space="0" w:color="auto"/>
              <w:right w:val="single" w:sz="4" w:space="0" w:color="808080"/>
            </w:tcBorders>
            <w:shd w:val="clear" w:color="auto" w:fill="auto"/>
            <w:noWrap/>
            <w:vAlign w:val="bottom"/>
            <w:hideMark/>
          </w:tcPr>
          <w:p w14:paraId="1CE1A42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w:t>
            </w:r>
          </w:p>
        </w:tc>
        <w:tc>
          <w:tcPr>
            <w:tcW w:w="214" w:type="pct"/>
            <w:tcBorders>
              <w:top w:val="nil"/>
              <w:left w:val="nil"/>
              <w:bottom w:val="single" w:sz="4" w:space="0" w:color="auto"/>
              <w:right w:val="single" w:sz="4" w:space="0" w:color="808080"/>
            </w:tcBorders>
            <w:shd w:val="clear" w:color="auto" w:fill="auto"/>
            <w:noWrap/>
            <w:vAlign w:val="bottom"/>
            <w:hideMark/>
          </w:tcPr>
          <w:p w14:paraId="1764715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4.86%</w:t>
            </w:r>
          </w:p>
        </w:tc>
        <w:tc>
          <w:tcPr>
            <w:tcW w:w="215" w:type="pct"/>
            <w:tcBorders>
              <w:top w:val="nil"/>
              <w:left w:val="nil"/>
              <w:bottom w:val="single" w:sz="4" w:space="0" w:color="auto"/>
              <w:right w:val="single" w:sz="4" w:space="0" w:color="808080"/>
            </w:tcBorders>
            <w:shd w:val="clear" w:color="auto" w:fill="auto"/>
            <w:noWrap/>
            <w:vAlign w:val="bottom"/>
            <w:hideMark/>
          </w:tcPr>
          <w:p w14:paraId="035D27B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12.03%</w:t>
            </w:r>
          </w:p>
        </w:tc>
        <w:tc>
          <w:tcPr>
            <w:tcW w:w="163" w:type="pct"/>
            <w:tcBorders>
              <w:top w:val="nil"/>
              <w:left w:val="nil"/>
              <w:bottom w:val="single" w:sz="4" w:space="0" w:color="auto"/>
              <w:right w:val="single" w:sz="4" w:space="0" w:color="808080"/>
            </w:tcBorders>
            <w:shd w:val="clear" w:color="auto" w:fill="auto"/>
            <w:noWrap/>
            <w:vAlign w:val="bottom"/>
            <w:hideMark/>
          </w:tcPr>
          <w:p w14:paraId="27CA77A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2.13</w:t>
            </w:r>
          </w:p>
        </w:tc>
        <w:tc>
          <w:tcPr>
            <w:tcW w:w="163" w:type="pct"/>
            <w:tcBorders>
              <w:top w:val="nil"/>
              <w:left w:val="nil"/>
              <w:bottom w:val="single" w:sz="4" w:space="0" w:color="auto"/>
              <w:right w:val="single" w:sz="4" w:space="0" w:color="auto"/>
            </w:tcBorders>
            <w:shd w:val="clear" w:color="auto" w:fill="auto"/>
            <w:noWrap/>
            <w:vAlign w:val="bottom"/>
            <w:hideMark/>
          </w:tcPr>
          <w:p w14:paraId="1D5CC3B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0.69</w:t>
            </w:r>
          </w:p>
        </w:tc>
        <w:tc>
          <w:tcPr>
            <w:tcW w:w="118" w:type="pct"/>
            <w:tcBorders>
              <w:top w:val="nil"/>
              <w:left w:val="nil"/>
              <w:bottom w:val="single" w:sz="4" w:space="0" w:color="auto"/>
              <w:right w:val="single" w:sz="4" w:space="0" w:color="808080"/>
            </w:tcBorders>
            <w:shd w:val="clear" w:color="auto" w:fill="auto"/>
            <w:noWrap/>
            <w:vAlign w:val="bottom"/>
            <w:hideMark/>
          </w:tcPr>
          <w:p w14:paraId="0ACC337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w:t>
            </w:r>
          </w:p>
        </w:tc>
        <w:tc>
          <w:tcPr>
            <w:tcW w:w="214" w:type="pct"/>
            <w:tcBorders>
              <w:top w:val="nil"/>
              <w:left w:val="nil"/>
              <w:bottom w:val="single" w:sz="4" w:space="0" w:color="auto"/>
              <w:right w:val="single" w:sz="4" w:space="0" w:color="808080"/>
            </w:tcBorders>
            <w:shd w:val="clear" w:color="auto" w:fill="auto"/>
            <w:noWrap/>
            <w:vAlign w:val="bottom"/>
            <w:hideMark/>
          </w:tcPr>
          <w:p w14:paraId="56DF581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6.23%</w:t>
            </w:r>
          </w:p>
        </w:tc>
        <w:tc>
          <w:tcPr>
            <w:tcW w:w="215" w:type="pct"/>
            <w:tcBorders>
              <w:top w:val="nil"/>
              <w:left w:val="nil"/>
              <w:bottom w:val="single" w:sz="4" w:space="0" w:color="auto"/>
              <w:right w:val="single" w:sz="4" w:space="0" w:color="808080"/>
            </w:tcBorders>
            <w:shd w:val="clear" w:color="auto" w:fill="auto"/>
            <w:noWrap/>
            <w:vAlign w:val="bottom"/>
            <w:hideMark/>
          </w:tcPr>
          <w:p w14:paraId="5143277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17.30%</w:t>
            </w:r>
          </w:p>
        </w:tc>
        <w:tc>
          <w:tcPr>
            <w:tcW w:w="163" w:type="pct"/>
            <w:tcBorders>
              <w:top w:val="nil"/>
              <w:left w:val="nil"/>
              <w:bottom w:val="single" w:sz="4" w:space="0" w:color="auto"/>
              <w:right w:val="single" w:sz="4" w:space="0" w:color="808080"/>
            </w:tcBorders>
            <w:shd w:val="clear" w:color="auto" w:fill="auto"/>
            <w:noWrap/>
            <w:vAlign w:val="bottom"/>
            <w:hideMark/>
          </w:tcPr>
          <w:p w14:paraId="184F155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46.07</w:t>
            </w:r>
          </w:p>
        </w:tc>
        <w:tc>
          <w:tcPr>
            <w:tcW w:w="163" w:type="pct"/>
            <w:tcBorders>
              <w:top w:val="nil"/>
              <w:left w:val="nil"/>
              <w:bottom w:val="single" w:sz="4" w:space="0" w:color="auto"/>
              <w:right w:val="nil"/>
            </w:tcBorders>
            <w:shd w:val="clear" w:color="auto" w:fill="auto"/>
            <w:noWrap/>
            <w:vAlign w:val="bottom"/>
            <w:hideMark/>
          </w:tcPr>
          <w:p w14:paraId="2CF3960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8.92</w:t>
            </w:r>
          </w:p>
        </w:tc>
        <w:tc>
          <w:tcPr>
            <w:tcW w:w="118" w:type="pct"/>
            <w:tcBorders>
              <w:top w:val="nil"/>
              <w:left w:val="single" w:sz="4" w:space="0" w:color="auto"/>
              <w:bottom w:val="single" w:sz="4" w:space="0" w:color="auto"/>
              <w:right w:val="single" w:sz="4" w:space="0" w:color="808080"/>
            </w:tcBorders>
            <w:shd w:val="clear" w:color="auto" w:fill="auto"/>
            <w:noWrap/>
            <w:vAlign w:val="bottom"/>
            <w:hideMark/>
          </w:tcPr>
          <w:p w14:paraId="17CEA2E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514</w:t>
            </w:r>
          </w:p>
        </w:tc>
        <w:tc>
          <w:tcPr>
            <w:tcW w:w="214" w:type="pct"/>
            <w:tcBorders>
              <w:top w:val="nil"/>
              <w:left w:val="nil"/>
              <w:bottom w:val="single" w:sz="4" w:space="0" w:color="auto"/>
              <w:right w:val="single" w:sz="4" w:space="0" w:color="808080"/>
            </w:tcBorders>
            <w:shd w:val="clear" w:color="auto" w:fill="auto"/>
            <w:noWrap/>
            <w:vAlign w:val="bottom"/>
            <w:hideMark/>
          </w:tcPr>
          <w:p w14:paraId="6D4CE33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78.12%</w:t>
            </w:r>
          </w:p>
        </w:tc>
        <w:tc>
          <w:tcPr>
            <w:tcW w:w="245" w:type="pct"/>
            <w:tcBorders>
              <w:top w:val="nil"/>
              <w:left w:val="nil"/>
              <w:bottom w:val="single" w:sz="4" w:space="0" w:color="auto"/>
              <w:right w:val="single" w:sz="4" w:space="0" w:color="808080"/>
            </w:tcBorders>
            <w:shd w:val="clear" w:color="auto" w:fill="auto"/>
            <w:noWrap/>
            <w:vAlign w:val="bottom"/>
            <w:hideMark/>
          </w:tcPr>
          <w:p w14:paraId="39B4B62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36.04%</w:t>
            </w:r>
          </w:p>
        </w:tc>
        <w:tc>
          <w:tcPr>
            <w:tcW w:w="163" w:type="pct"/>
            <w:tcBorders>
              <w:top w:val="nil"/>
              <w:left w:val="nil"/>
              <w:bottom w:val="single" w:sz="4" w:space="0" w:color="auto"/>
              <w:right w:val="single" w:sz="4" w:space="0" w:color="808080"/>
            </w:tcBorders>
            <w:shd w:val="clear" w:color="auto" w:fill="auto"/>
            <w:noWrap/>
            <w:vAlign w:val="bottom"/>
            <w:hideMark/>
          </w:tcPr>
          <w:p w14:paraId="64BBD60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49.03</w:t>
            </w:r>
          </w:p>
        </w:tc>
        <w:tc>
          <w:tcPr>
            <w:tcW w:w="133" w:type="pct"/>
            <w:tcBorders>
              <w:top w:val="nil"/>
              <w:left w:val="nil"/>
              <w:bottom w:val="single" w:sz="4" w:space="0" w:color="auto"/>
              <w:right w:val="single" w:sz="4" w:space="0" w:color="auto"/>
            </w:tcBorders>
            <w:shd w:val="clear" w:color="auto" w:fill="auto"/>
            <w:noWrap/>
            <w:vAlign w:val="bottom"/>
            <w:hideMark/>
          </w:tcPr>
          <w:p w14:paraId="150F5DD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6.69</w:t>
            </w:r>
          </w:p>
        </w:tc>
        <w:tc>
          <w:tcPr>
            <w:tcW w:w="384" w:type="pct"/>
            <w:tcBorders>
              <w:top w:val="nil"/>
              <w:left w:val="nil"/>
              <w:bottom w:val="single" w:sz="4" w:space="0" w:color="auto"/>
              <w:right w:val="single" w:sz="4" w:space="0" w:color="auto"/>
            </w:tcBorders>
            <w:shd w:val="clear" w:color="auto" w:fill="auto"/>
            <w:noWrap/>
            <w:vAlign w:val="bottom"/>
            <w:hideMark/>
          </w:tcPr>
          <w:p w14:paraId="098F753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41.75</w:t>
            </w:r>
          </w:p>
        </w:tc>
        <w:tc>
          <w:tcPr>
            <w:tcW w:w="214" w:type="pct"/>
            <w:tcBorders>
              <w:top w:val="nil"/>
              <w:left w:val="nil"/>
              <w:bottom w:val="single" w:sz="4" w:space="0" w:color="auto"/>
              <w:right w:val="single" w:sz="4" w:space="0" w:color="808080"/>
            </w:tcBorders>
            <w:shd w:val="clear" w:color="auto" w:fill="auto"/>
            <w:noWrap/>
            <w:vAlign w:val="bottom"/>
            <w:hideMark/>
          </w:tcPr>
          <w:p w14:paraId="5F8FB73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24.99%</w:t>
            </w:r>
          </w:p>
        </w:tc>
        <w:tc>
          <w:tcPr>
            <w:tcW w:w="245" w:type="pct"/>
            <w:tcBorders>
              <w:top w:val="nil"/>
              <w:left w:val="nil"/>
              <w:bottom w:val="single" w:sz="4" w:space="0" w:color="auto"/>
              <w:right w:val="single" w:sz="4" w:space="0" w:color="808080"/>
            </w:tcBorders>
            <w:shd w:val="clear" w:color="auto" w:fill="auto"/>
            <w:noWrap/>
            <w:vAlign w:val="bottom"/>
            <w:hideMark/>
          </w:tcPr>
          <w:p w14:paraId="2774675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14" w:type="pct"/>
            <w:tcBorders>
              <w:top w:val="nil"/>
              <w:left w:val="nil"/>
              <w:bottom w:val="single" w:sz="4" w:space="0" w:color="auto"/>
              <w:right w:val="single" w:sz="4" w:space="0" w:color="808080"/>
            </w:tcBorders>
            <w:shd w:val="clear" w:color="auto" w:fill="auto"/>
            <w:noWrap/>
            <w:vAlign w:val="bottom"/>
            <w:hideMark/>
          </w:tcPr>
          <w:p w14:paraId="37AE1EF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19.68%</w:t>
            </w:r>
          </w:p>
        </w:tc>
        <w:tc>
          <w:tcPr>
            <w:tcW w:w="246" w:type="pct"/>
            <w:tcBorders>
              <w:top w:val="nil"/>
              <w:left w:val="nil"/>
              <w:bottom w:val="single" w:sz="4" w:space="0" w:color="auto"/>
              <w:right w:val="single" w:sz="4" w:space="0" w:color="auto"/>
            </w:tcBorders>
            <w:shd w:val="clear" w:color="auto" w:fill="auto"/>
            <w:noWrap/>
            <w:vAlign w:val="bottom"/>
            <w:hideMark/>
          </w:tcPr>
          <w:p w14:paraId="2DE6F52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r>
      <w:tr w:rsidR="00A022DF" w:rsidRPr="00E87E42" w14:paraId="0B4B3F3C" w14:textId="77777777" w:rsidTr="005839EF">
        <w:trPr>
          <w:trHeight w:val="227"/>
        </w:trPr>
        <w:tc>
          <w:tcPr>
            <w:tcW w:w="3697" w:type="pct"/>
            <w:gridSpan w:val="22"/>
            <w:tcBorders>
              <w:top w:val="single" w:sz="4" w:space="0" w:color="auto"/>
              <w:left w:val="single" w:sz="4" w:space="0" w:color="auto"/>
              <w:bottom w:val="single" w:sz="4" w:space="0" w:color="auto"/>
              <w:right w:val="single" w:sz="4" w:space="0" w:color="auto"/>
            </w:tcBorders>
            <w:shd w:val="clear" w:color="auto" w:fill="auto"/>
            <w:noWrap/>
            <w:vAlign w:val="bottom"/>
          </w:tcPr>
          <w:p w14:paraId="2C6AB821" w14:textId="77777777" w:rsidR="00A022DF" w:rsidRPr="00E87E42" w:rsidRDefault="00A022DF" w:rsidP="00A022DF">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Total weighted area damage</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2683B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41.30</w:t>
            </w:r>
          </w:p>
        </w:tc>
        <w:tc>
          <w:tcPr>
            <w:tcW w:w="919"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196A52C" w14:textId="77777777" w:rsidR="00A022DF" w:rsidRPr="00E87E42" w:rsidRDefault="00A022DF" w:rsidP="00A022DF">
            <w:pPr>
              <w:spacing w:after="0" w:line="240" w:lineRule="auto"/>
              <w:jc w:val="center"/>
              <w:rPr>
                <w:rFonts w:eastAsia="Times New Roman"/>
                <w:color w:val="000000"/>
                <w:sz w:val="16"/>
                <w:szCs w:val="16"/>
                <w:lang w:eastAsia="en-GB"/>
              </w:rPr>
            </w:pPr>
          </w:p>
        </w:tc>
      </w:tr>
    </w:tbl>
    <w:p w14:paraId="60C5A7C1" w14:textId="77777777" w:rsidR="00B61F61" w:rsidRPr="00E87E42" w:rsidRDefault="00B61F61" w:rsidP="00B61F61">
      <w:pPr>
        <w:pStyle w:val="Caption"/>
        <w:spacing w:line="240" w:lineRule="auto"/>
        <w:jc w:val="both"/>
      </w:pPr>
    </w:p>
    <w:p w14:paraId="59CC4CFB" w14:textId="53534F0D" w:rsidR="00B61F61" w:rsidRPr="00E87E42" w:rsidRDefault="00B61F61" w:rsidP="008A55B5">
      <w:pPr>
        <w:spacing w:after="0" w:line="240" w:lineRule="auto"/>
        <w:jc w:val="left"/>
      </w:pPr>
    </w:p>
    <w:p w14:paraId="32788D64" w14:textId="48DF896E" w:rsidR="00B61F61" w:rsidRPr="00E87E42" w:rsidRDefault="00B61F61" w:rsidP="008A55B5">
      <w:pPr>
        <w:spacing w:after="0" w:line="240" w:lineRule="auto"/>
        <w:jc w:val="left"/>
      </w:pPr>
    </w:p>
    <w:p w14:paraId="42A81841" w14:textId="77777777" w:rsidR="00B61F61" w:rsidRPr="00E87E42" w:rsidRDefault="00B61F61" w:rsidP="008A55B5">
      <w:pPr>
        <w:spacing w:after="0" w:line="240" w:lineRule="auto"/>
        <w:jc w:val="left"/>
        <w:rPr>
          <w:i/>
          <w:iCs/>
        </w:rPr>
      </w:pPr>
    </w:p>
    <w:p w14:paraId="41E675A8" w14:textId="324C402A" w:rsidR="00B61F61" w:rsidRPr="00E87E42" w:rsidRDefault="00B61F61" w:rsidP="008A55B5">
      <w:pPr>
        <w:spacing w:after="0" w:line="240" w:lineRule="auto"/>
        <w:jc w:val="left"/>
      </w:pPr>
    </w:p>
    <w:p w14:paraId="32465D15" w14:textId="70032DDF" w:rsidR="00B61F61" w:rsidRPr="00E87E42" w:rsidRDefault="00B61F61" w:rsidP="008A55B5">
      <w:pPr>
        <w:spacing w:after="0" w:line="240" w:lineRule="auto"/>
        <w:jc w:val="left"/>
      </w:pPr>
    </w:p>
    <w:p w14:paraId="4503B17B" w14:textId="5071929D" w:rsidR="00B61F61" w:rsidRPr="00E87E42" w:rsidRDefault="00B61F61" w:rsidP="008A55B5">
      <w:pPr>
        <w:spacing w:after="0" w:line="240" w:lineRule="auto"/>
        <w:jc w:val="left"/>
      </w:pPr>
    </w:p>
    <w:p w14:paraId="30126196" w14:textId="6BE963FD" w:rsidR="00B61F61" w:rsidRPr="00E87E42" w:rsidRDefault="00B61F61" w:rsidP="008A55B5">
      <w:pPr>
        <w:spacing w:after="0" w:line="240" w:lineRule="auto"/>
        <w:jc w:val="left"/>
      </w:pPr>
    </w:p>
    <w:p w14:paraId="73ADD80B" w14:textId="7F2554DB" w:rsidR="00B61F61" w:rsidRPr="00E87E42" w:rsidRDefault="00B61F61" w:rsidP="008A55B5">
      <w:pPr>
        <w:spacing w:after="0" w:line="240" w:lineRule="auto"/>
        <w:jc w:val="left"/>
      </w:pPr>
    </w:p>
    <w:p w14:paraId="56355B4E" w14:textId="5DC29832" w:rsidR="00B61F61" w:rsidRPr="00E87E42" w:rsidRDefault="00B61F61" w:rsidP="008A55B5">
      <w:pPr>
        <w:spacing w:after="0" w:line="240" w:lineRule="auto"/>
        <w:jc w:val="left"/>
      </w:pPr>
    </w:p>
    <w:p w14:paraId="0D55A30A" w14:textId="77777777" w:rsidR="00B61F61" w:rsidRPr="00E87E42" w:rsidRDefault="00B61F61" w:rsidP="008A55B5">
      <w:pPr>
        <w:spacing w:after="0" w:line="240" w:lineRule="auto"/>
        <w:jc w:val="left"/>
      </w:pPr>
    </w:p>
    <w:p w14:paraId="59557E29" w14:textId="0DA042D4" w:rsidR="00B61F61" w:rsidRPr="00E87E42" w:rsidRDefault="00B61F61" w:rsidP="00B61F61">
      <w:pPr>
        <w:pStyle w:val="Caption"/>
        <w:spacing w:line="240" w:lineRule="auto"/>
      </w:pPr>
      <w:bookmarkStart w:id="63" w:name="_Ref518121372"/>
      <w:bookmarkStart w:id="64" w:name="_Ref518121362"/>
      <w:r w:rsidRPr="00E87E42">
        <w:t xml:space="preserve">Table </w:t>
      </w:r>
      <w:r w:rsidR="00A446AC" w:rsidRPr="00E87E42">
        <w:rPr>
          <w:noProof/>
        </w:rPr>
        <w:fldChar w:fldCharType="begin"/>
      </w:r>
      <w:r w:rsidR="00A446AC" w:rsidRPr="00E87E42">
        <w:rPr>
          <w:noProof/>
        </w:rPr>
        <w:instrText xml:space="preserve"> SEQ Table \* ROMAN\n </w:instrText>
      </w:r>
      <w:r w:rsidR="00A446AC" w:rsidRPr="00E87E42">
        <w:rPr>
          <w:noProof/>
        </w:rPr>
        <w:fldChar w:fldCharType="separate"/>
      </w:r>
      <w:r w:rsidR="009F6872">
        <w:rPr>
          <w:noProof/>
        </w:rPr>
        <w:t>IV</w:t>
      </w:r>
      <w:r w:rsidR="00A446AC" w:rsidRPr="00E87E42">
        <w:rPr>
          <w:noProof/>
        </w:rPr>
        <w:fldChar w:fldCharType="end"/>
      </w:r>
      <w:bookmarkEnd w:id="63"/>
      <w:r w:rsidRPr="00E87E42">
        <w:t>: Residential: area damage and fire spread according to damage class; and fire frequency with respect to fire spread in presence and absence of automatic extinguishing systems in USA fire statistics, with weighted are damage, and frequency for fires and unclassified damage fires in the USA fire statistics.</w:t>
      </w:r>
      <w:bookmarkEnd w:id="64"/>
    </w:p>
    <w:tbl>
      <w:tblPr>
        <w:tblW w:w="5000" w:type="pct"/>
        <w:tblCellMar>
          <w:top w:w="28" w:type="dxa"/>
          <w:left w:w="34" w:type="dxa"/>
          <w:bottom w:w="28" w:type="dxa"/>
          <w:right w:w="34" w:type="dxa"/>
        </w:tblCellMar>
        <w:tblLook w:val="04A0" w:firstRow="1" w:lastRow="0" w:firstColumn="1" w:lastColumn="0" w:noHBand="0" w:noVBand="1"/>
      </w:tblPr>
      <w:tblGrid>
        <w:gridCol w:w="154"/>
        <w:gridCol w:w="410"/>
        <w:gridCol w:w="410"/>
        <w:gridCol w:w="594"/>
        <w:gridCol w:w="594"/>
        <w:gridCol w:w="453"/>
        <w:gridCol w:w="453"/>
        <w:gridCol w:w="410"/>
        <w:gridCol w:w="594"/>
        <w:gridCol w:w="594"/>
        <w:gridCol w:w="453"/>
        <w:gridCol w:w="453"/>
        <w:gridCol w:w="410"/>
        <w:gridCol w:w="594"/>
        <w:gridCol w:w="594"/>
        <w:gridCol w:w="536"/>
        <w:gridCol w:w="453"/>
        <w:gridCol w:w="410"/>
        <w:gridCol w:w="594"/>
        <w:gridCol w:w="594"/>
        <w:gridCol w:w="536"/>
        <w:gridCol w:w="453"/>
        <w:gridCol w:w="1061"/>
        <w:gridCol w:w="594"/>
        <w:gridCol w:w="677"/>
        <w:gridCol w:w="594"/>
        <w:gridCol w:w="668"/>
      </w:tblGrid>
      <w:tr w:rsidR="00B61F61" w:rsidRPr="00E87E42" w14:paraId="19C46E54" w14:textId="77777777" w:rsidTr="005839EF">
        <w:trPr>
          <w:trHeight w:val="227"/>
        </w:trPr>
        <w:tc>
          <w:tcPr>
            <w:tcW w:w="54" w:type="pct"/>
            <w:tcBorders>
              <w:top w:val="nil"/>
              <w:left w:val="nil"/>
              <w:bottom w:val="nil"/>
              <w:right w:val="nil"/>
            </w:tcBorders>
            <w:shd w:val="clear" w:color="auto" w:fill="auto"/>
            <w:noWrap/>
            <w:vAlign w:val="bottom"/>
            <w:hideMark/>
          </w:tcPr>
          <w:p w14:paraId="3FD5C9C1" w14:textId="77777777" w:rsidR="00B61F61" w:rsidRPr="00E87E42" w:rsidRDefault="00B61F61" w:rsidP="005839EF">
            <w:pPr>
              <w:spacing w:after="0" w:line="240" w:lineRule="auto"/>
              <w:jc w:val="left"/>
              <w:rPr>
                <w:rFonts w:eastAsia="Times New Roman"/>
                <w:sz w:val="16"/>
                <w:szCs w:val="16"/>
                <w:lang w:eastAsia="en-GB"/>
              </w:rPr>
            </w:pPr>
          </w:p>
        </w:tc>
        <w:tc>
          <w:tcPr>
            <w:tcW w:w="4946" w:type="pct"/>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A9D7B2" w14:textId="77777777" w:rsidR="00B61F61" w:rsidRPr="00E87E42" w:rsidRDefault="00B61F61" w:rsidP="005839EF">
            <w:pPr>
              <w:spacing w:after="0" w:line="240" w:lineRule="auto"/>
              <w:jc w:val="center"/>
              <w:rPr>
                <w:rFonts w:eastAsia="Times New Roman"/>
                <w:b/>
                <w:bCs/>
                <w:color w:val="000000"/>
                <w:sz w:val="16"/>
                <w:szCs w:val="16"/>
                <w:u w:val="single"/>
                <w:lang w:eastAsia="en-GB"/>
              </w:rPr>
            </w:pPr>
            <w:r w:rsidRPr="00E87E42">
              <w:rPr>
                <w:rFonts w:eastAsia="Times New Roman"/>
                <w:b/>
                <w:bCs/>
                <w:color w:val="000000"/>
                <w:sz w:val="16"/>
                <w:szCs w:val="16"/>
                <w:u w:val="single"/>
                <w:lang w:eastAsia="en-GB"/>
              </w:rPr>
              <w:t xml:space="preserve">Sprinklers - Area damage </w:t>
            </w:r>
            <w:r w:rsidRPr="00E87E42">
              <w:rPr>
                <w:rFonts w:eastAsia="Times New Roman"/>
                <w:b/>
                <w:color w:val="000000"/>
                <w:sz w:val="16"/>
                <w:szCs w:val="16"/>
                <w:u w:val="single"/>
                <w:lang w:eastAsia="en-GB"/>
              </w:rPr>
              <w:t>m</w:t>
            </w:r>
            <w:r w:rsidRPr="00E87E42">
              <w:rPr>
                <w:rFonts w:eastAsia="Times New Roman"/>
                <w:b/>
                <w:color w:val="000000"/>
                <w:sz w:val="16"/>
                <w:szCs w:val="16"/>
                <w:u w:val="single"/>
                <w:vertAlign w:val="superscript"/>
                <w:lang w:eastAsia="en-GB"/>
              </w:rPr>
              <w:t>2</w:t>
            </w:r>
          </w:p>
        </w:tc>
      </w:tr>
      <w:tr w:rsidR="00B61F61" w:rsidRPr="00E87E42" w14:paraId="28B0BCE6" w14:textId="77777777" w:rsidTr="005839EF">
        <w:trPr>
          <w:trHeight w:val="227"/>
        </w:trPr>
        <w:tc>
          <w:tcPr>
            <w:tcW w:w="54" w:type="pct"/>
            <w:tcBorders>
              <w:top w:val="nil"/>
              <w:left w:val="nil"/>
              <w:bottom w:val="nil"/>
              <w:right w:val="nil"/>
            </w:tcBorders>
            <w:shd w:val="clear" w:color="auto" w:fill="auto"/>
            <w:noWrap/>
            <w:vAlign w:val="bottom"/>
            <w:hideMark/>
          </w:tcPr>
          <w:p w14:paraId="1FC95BDE" w14:textId="77777777" w:rsidR="00B61F61" w:rsidRPr="00E87E42" w:rsidRDefault="00B61F61" w:rsidP="005839EF">
            <w:pPr>
              <w:spacing w:after="0" w:line="240" w:lineRule="auto"/>
              <w:jc w:val="center"/>
              <w:rPr>
                <w:rFonts w:eastAsia="Times New Roman"/>
                <w:b/>
                <w:bCs/>
                <w:color w:val="000000"/>
                <w:sz w:val="16"/>
                <w:szCs w:val="16"/>
                <w:u w:val="single"/>
                <w:lang w:eastAsia="en-GB"/>
              </w:rPr>
            </w:pPr>
          </w:p>
        </w:tc>
        <w:tc>
          <w:tcPr>
            <w:tcW w:w="143" w:type="pct"/>
            <w:vMerge w:val="restart"/>
            <w:tcBorders>
              <w:top w:val="nil"/>
              <w:left w:val="single" w:sz="4" w:space="0" w:color="auto"/>
              <w:bottom w:val="nil"/>
              <w:right w:val="single" w:sz="4" w:space="0" w:color="auto"/>
            </w:tcBorders>
            <w:shd w:val="clear" w:color="auto" w:fill="auto"/>
            <w:noWrap/>
            <w:vAlign w:val="center"/>
            <w:hideMark/>
          </w:tcPr>
          <w:p w14:paraId="0AD614D7"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w:t>
            </w:r>
          </w:p>
        </w:tc>
        <w:tc>
          <w:tcPr>
            <w:tcW w:w="873"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51EA30A1" w14:textId="77777777" w:rsidR="00B61F61" w:rsidRPr="00E87E42" w:rsidRDefault="00B61F61" w:rsidP="005839E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Minor</w:t>
            </w:r>
          </w:p>
        </w:tc>
        <w:tc>
          <w:tcPr>
            <w:tcW w:w="873"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205876FE" w14:textId="77777777" w:rsidR="00B61F61" w:rsidRPr="00E87E42" w:rsidRDefault="00B61F61" w:rsidP="005839E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Significantly</w:t>
            </w:r>
          </w:p>
        </w:tc>
        <w:tc>
          <w:tcPr>
            <w:tcW w:w="902"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7CD9B454" w14:textId="77777777" w:rsidR="00B61F61" w:rsidRPr="00E87E42" w:rsidRDefault="00B61F61" w:rsidP="005839E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Heavy</w:t>
            </w:r>
          </w:p>
        </w:tc>
        <w:tc>
          <w:tcPr>
            <w:tcW w:w="902"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46E7F459" w14:textId="77777777" w:rsidR="00B61F61" w:rsidRPr="00E87E42" w:rsidRDefault="00B61F61" w:rsidP="005839E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Extreme</w:t>
            </w:r>
          </w:p>
        </w:tc>
        <w:tc>
          <w:tcPr>
            <w:tcW w:w="370" w:type="pct"/>
            <w:vMerge w:val="restart"/>
            <w:tcBorders>
              <w:top w:val="nil"/>
              <w:left w:val="single" w:sz="4" w:space="0" w:color="auto"/>
              <w:bottom w:val="nil"/>
              <w:right w:val="single" w:sz="4" w:space="0" w:color="auto"/>
            </w:tcBorders>
            <w:shd w:val="clear" w:color="auto" w:fill="auto"/>
            <w:noWrap/>
            <w:vAlign w:val="center"/>
            <w:hideMark/>
          </w:tcPr>
          <w:p w14:paraId="4B95E1A8" w14:textId="77777777" w:rsidR="00B61F61" w:rsidRPr="00E87E42" w:rsidRDefault="00B61F61" w:rsidP="005839E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 xml:space="preserve">Weighted area </w:t>
            </w:r>
          </w:p>
          <w:p w14:paraId="4FFED660" w14:textId="77777777" w:rsidR="00B61F61" w:rsidRPr="00E87E42" w:rsidRDefault="00B61F61" w:rsidP="005839E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damage</w:t>
            </w:r>
          </w:p>
          <w:p w14:paraId="7E7313BD"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443"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1FC924F6"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40"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29BA90B"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F+U</w:t>
            </w:r>
          </w:p>
        </w:tc>
      </w:tr>
      <w:tr w:rsidR="00B61F61" w:rsidRPr="00E87E42" w14:paraId="0819292B" w14:textId="77777777" w:rsidTr="005839EF">
        <w:trPr>
          <w:trHeight w:val="227"/>
        </w:trPr>
        <w:tc>
          <w:tcPr>
            <w:tcW w:w="54" w:type="pct"/>
            <w:tcBorders>
              <w:top w:val="nil"/>
              <w:left w:val="nil"/>
              <w:bottom w:val="nil"/>
              <w:right w:val="nil"/>
            </w:tcBorders>
            <w:shd w:val="clear" w:color="auto" w:fill="auto"/>
            <w:noWrap/>
            <w:vAlign w:val="bottom"/>
            <w:hideMark/>
          </w:tcPr>
          <w:p w14:paraId="1F4B9C59" w14:textId="77777777" w:rsidR="00B61F61" w:rsidRPr="00E87E42" w:rsidRDefault="00B61F61" w:rsidP="005839EF">
            <w:pPr>
              <w:spacing w:after="0" w:line="240" w:lineRule="auto"/>
              <w:jc w:val="center"/>
              <w:rPr>
                <w:rFonts w:eastAsia="Times New Roman"/>
                <w:color w:val="000000"/>
                <w:sz w:val="16"/>
                <w:szCs w:val="16"/>
                <w:lang w:eastAsia="en-GB"/>
              </w:rPr>
            </w:pPr>
          </w:p>
        </w:tc>
        <w:tc>
          <w:tcPr>
            <w:tcW w:w="143" w:type="pct"/>
            <w:vMerge/>
            <w:tcBorders>
              <w:top w:val="nil"/>
              <w:left w:val="single" w:sz="4" w:space="0" w:color="auto"/>
              <w:bottom w:val="nil"/>
              <w:right w:val="single" w:sz="4" w:space="0" w:color="auto"/>
            </w:tcBorders>
            <w:vAlign w:val="center"/>
            <w:hideMark/>
          </w:tcPr>
          <w:p w14:paraId="32B9D62E" w14:textId="77777777" w:rsidR="00B61F61" w:rsidRPr="00E87E42" w:rsidRDefault="00B61F61" w:rsidP="005839EF">
            <w:pPr>
              <w:spacing w:after="0" w:line="240" w:lineRule="auto"/>
              <w:jc w:val="left"/>
              <w:rPr>
                <w:rFonts w:eastAsia="Times New Roman"/>
                <w:color w:val="000000"/>
                <w:sz w:val="16"/>
                <w:szCs w:val="16"/>
                <w:lang w:eastAsia="en-GB"/>
              </w:rPr>
            </w:pPr>
          </w:p>
        </w:tc>
        <w:tc>
          <w:tcPr>
            <w:tcW w:w="143" w:type="pct"/>
            <w:vMerge w:val="restart"/>
            <w:tcBorders>
              <w:top w:val="nil"/>
              <w:left w:val="single" w:sz="4" w:space="0" w:color="auto"/>
              <w:bottom w:val="nil"/>
              <w:right w:val="nil"/>
            </w:tcBorders>
            <w:shd w:val="clear" w:color="auto" w:fill="auto"/>
            <w:noWrap/>
            <w:vAlign w:val="center"/>
            <w:hideMark/>
          </w:tcPr>
          <w:p w14:paraId="1E5A6001"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1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21D02C"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58" w:type="pct"/>
            <w:vMerge w:val="restart"/>
            <w:tcBorders>
              <w:top w:val="nil"/>
              <w:left w:val="single" w:sz="4" w:space="0" w:color="auto"/>
              <w:bottom w:val="nil"/>
              <w:right w:val="single" w:sz="4" w:space="0" w:color="auto"/>
            </w:tcBorders>
            <w:shd w:val="clear" w:color="auto" w:fill="auto"/>
            <w:noWrap/>
            <w:vAlign w:val="center"/>
            <w:hideMark/>
          </w:tcPr>
          <w:p w14:paraId="083BD83E"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7AE37519"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58" w:type="pct"/>
            <w:vMerge w:val="restart"/>
            <w:tcBorders>
              <w:top w:val="nil"/>
              <w:left w:val="single" w:sz="4" w:space="0" w:color="auto"/>
              <w:bottom w:val="nil"/>
              <w:right w:val="single" w:sz="4" w:space="0" w:color="auto"/>
            </w:tcBorders>
            <w:shd w:val="clear" w:color="auto" w:fill="auto"/>
            <w:noWrap/>
            <w:vAlign w:val="center"/>
            <w:hideMark/>
          </w:tcPr>
          <w:p w14:paraId="0310313A"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1F3D3C57"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43" w:type="pct"/>
            <w:vMerge w:val="restart"/>
            <w:tcBorders>
              <w:top w:val="nil"/>
              <w:left w:val="single" w:sz="4" w:space="0" w:color="auto"/>
              <w:bottom w:val="nil"/>
              <w:right w:val="single" w:sz="4" w:space="0" w:color="auto"/>
            </w:tcBorders>
            <w:shd w:val="clear" w:color="auto" w:fill="auto"/>
            <w:noWrap/>
            <w:vAlign w:val="center"/>
            <w:hideMark/>
          </w:tcPr>
          <w:p w14:paraId="0B4086EA"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1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4584770E"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58" w:type="pct"/>
            <w:vMerge w:val="restart"/>
            <w:tcBorders>
              <w:top w:val="nil"/>
              <w:left w:val="single" w:sz="4" w:space="0" w:color="auto"/>
              <w:bottom w:val="nil"/>
              <w:right w:val="single" w:sz="4" w:space="0" w:color="auto"/>
            </w:tcBorders>
            <w:shd w:val="clear" w:color="auto" w:fill="auto"/>
            <w:noWrap/>
            <w:vAlign w:val="center"/>
            <w:hideMark/>
          </w:tcPr>
          <w:p w14:paraId="05D828D5"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50A33790"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58" w:type="pct"/>
            <w:vMerge w:val="restart"/>
            <w:tcBorders>
              <w:top w:val="nil"/>
              <w:left w:val="single" w:sz="4" w:space="0" w:color="auto"/>
              <w:bottom w:val="nil"/>
              <w:right w:val="single" w:sz="4" w:space="0" w:color="auto"/>
            </w:tcBorders>
            <w:shd w:val="clear" w:color="auto" w:fill="auto"/>
            <w:noWrap/>
            <w:vAlign w:val="center"/>
            <w:hideMark/>
          </w:tcPr>
          <w:p w14:paraId="20977465"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6D58FB70"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43" w:type="pct"/>
            <w:vMerge w:val="restart"/>
            <w:tcBorders>
              <w:top w:val="nil"/>
              <w:left w:val="single" w:sz="4" w:space="0" w:color="auto"/>
              <w:bottom w:val="nil"/>
              <w:right w:val="single" w:sz="4" w:space="0" w:color="auto"/>
            </w:tcBorders>
            <w:shd w:val="clear" w:color="auto" w:fill="auto"/>
            <w:noWrap/>
            <w:vAlign w:val="center"/>
            <w:hideMark/>
          </w:tcPr>
          <w:p w14:paraId="09B2F319"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1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124BFDA"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87" w:type="pct"/>
            <w:vMerge w:val="restart"/>
            <w:tcBorders>
              <w:top w:val="nil"/>
              <w:left w:val="single" w:sz="4" w:space="0" w:color="auto"/>
              <w:bottom w:val="nil"/>
              <w:right w:val="single" w:sz="4" w:space="0" w:color="auto"/>
            </w:tcBorders>
            <w:shd w:val="clear" w:color="auto" w:fill="auto"/>
            <w:noWrap/>
            <w:vAlign w:val="center"/>
            <w:hideMark/>
          </w:tcPr>
          <w:p w14:paraId="69E0E9C1"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74748FF7"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58" w:type="pct"/>
            <w:vMerge w:val="restart"/>
            <w:tcBorders>
              <w:top w:val="nil"/>
              <w:left w:val="single" w:sz="4" w:space="0" w:color="auto"/>
              <w:bottom w:val="nil"/>
              <w:right w:val="single" w:sz="4" w:space="0" w:color="auto"/>
            </w:tcBorders>
            <w:shd w:val="clear" w:color="auto" w:fill="auto"/>
            <w:noWrap/>
            <w:vAlign w:val="center"/>
            <w:hideMark/>
          </w:tcPr>
          <w:p w14:paraId="36C3E46D"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141F0071"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43" w:type="pct"/>
            <w:vMerge w:val="restart"/>
            <w:tcBorders>
              <w:top w:val="nil"/>
              <w:left w:val="single" w:sz="4" w:space="0" w:color="auto"/>
              <w:bottom w:val="nil"/>
              <w:right w:val="single" w:sz="4" w:space="0" w:color="auto"/>
            </w:tcBorders>
            <w:shd w:val="clear" w:color="auto" w:fill="auto"/>
            <w:noWrap/>
            <w:vAlign w:val="center"/>
            <w:hideMark/>
          </w:tcPr>
          <w:p w14:paraId="0460B689"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14" w:type="pct"/>
            <w:gridSpan w:val="2"/>
            <w:tcBorders>
              <w:top w:val="single" w:sz="4" w:space="0" w:color="auto"/>
              <w:left w:val="nil"/>
              <w:bottom w:val="nil"/>
              <w:right w:val="single" w:sz="4" w:space="0" w:color="000000"/>
            </w:tcBorders>
            <w:shd w:val="clear" w:color="auto" w:fill="auto"/>
            <w:noWrap/>
            <w:vAlign w:val="bottom"/>
            <w:hideMark/>
          </w:tcPr>
          <w:p w14:paraId="0D476430"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87" w:type="pct"/>
            <w:vMerge w:val="restart"/>
            <w:tcBorders>
              <w:top w:val="nil"/>
              <w:left w:val="single" w:sz="4" w:space="0" w:color="auto"/>
              <w:bottom w:val="nil"/>
              <w:right w:val="single" w:sz="4" w:space="0" w:color="auto"/>
            </w:tcBorders>
            <w:shd w:val="clear" w:color="auto" w:fill="auto"/>
            <w:noWrap/>
            <w:vAlign w:val="center"/>
            <w:hideMark/>
          </w:tcPr>
          <w:p w14:paraId="06DB44AE"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24E68661"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58" w:type="pct"/>
            <w:vMerge w:val="restart"/>
            <w:tcBorders>
              <w:top w:val="nil"/>
              <w:left w:val="single" w:sz="4" w:space="0" w:color="auto"/>
              <w:bottom w:val="nil"/>
              <w:right w:val="single" w:sz="4" w:space="0" w:color="auto"/>
            </w:tcBorders>
            <w:shd w:val="clear" w:color="auto" w:fill="auto"/>
            <w:noWrap/>
            <w:vAlign w:val="center"/>
            <w:hideMark/>
          </w:tcPr>
          <w:p w14:paraId="3ABDEF6F"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23975802"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370" w:type="pct"/>
            <w:vMerge/>
            <w:tcBorders>
              <w:top w:val="nil"/>
              <w:left w:val="single" w:sz="4" w:space="0" w:color="auto"/>
              <w:bottom w:val="nil"/>
              <w:right w:val="single" w:sz="4" w:space="0" w:color="auto"/>
            </w:tcBorders>
            <w:vAlign w:val="center"/>
            <w:hideMark/>
          </w:tcPr>
          <w:p w14:paraId="001800AC" w14:textId="77777777" w:rsidR="00B61F61" w:rsidRPr="00E87E42" w:rsidRDefault="00B61F61" w:rsidP="005839EF">
            <w:pPr>
              <w:spacing w:after="0" w:line="240" w:lineRule="auto"/>
              <w:jc w:val="left"/>
              <w:rPr>
                <w:rFonts w:eastAsia="Times New Roman"/>
                <w:color w:val="000000"/>
                <w:sz w:val="16"/>
                <w:szCs w:val="16"/>
                <w:lang w:eastAsia="en-GB"/>
              </w:rPr>
            </w:pPr>
          </w:p>
        </w:tc>
        <w:tc>
          <w:tcPr>
            <w:tcW w:w="443" w:type="pct"/>
            <w:gridSpan w:val="2"/>
            <w:vMerge/>
            <w:tcBorders>
              <w:top w:val="single" w:sz="4" w:space="0" w:color="auto"/>
              <w:left w:val="single" w:sz="4" w:space="0" w:color="auto"/>
              <w:bottom w:val="single" w:sz="4" w:space="0" w:color="000000"/>
              <w:right w:val="nil"/>
            </w:tcBorders>
            <w:vAlign w:val="center"/>
            <w:hideMark/>
          </w:tcPr>
          <w:p w14:paraId="33DE85F3" w14:textId="77777777" w:rsidR="00B61F61" w:rsidRPr="00E87E42" w:rsidRDefault="00B61F61" w:rsidP="005839EF">
            <w:pPr>
              <w:spacing w:after="0" w:line="240" w:lineRule="auto"/>
              <w:jc w:val="left"/>
              <w:rPr>
                <w:rFonts w:eastAsia="Times New Roman"/>
                <w:color w:val="000000"/>
                <w:sz w:val="16"/>
                <w:szCs w:val="16"/>
                <w:lang w:eastAsia="en-GB"/>
              </w:rPr>
            </w:pPr>
          </w:p>
        </w:tc>
        <w:tc>
          <w:tcPr>
            <w:tcW w:w="440" w:type="pct"/>
            <w:gridSpan w:val="2"/>
            <w:vMerge/>
            <w:tcBorders>
              <w:top w:val="single" w:sz="4" w:space="0" w:color="auto"/>
              <w:left w:val="single" w:sz="4" w:space="0" w:color="auto"/>
              <w:bottom w:val="single" w:sz="4" w:space="0" w:color="000000"/>
              <w:right w:val="single" w:sz="4" w:space="0" w:color="000000"/>
            </w:tcBorders>
            <w:vAlign w:val="center"/>
            <w:hideMark/>
          </w:tcPr>
          <w:p w14:paraId="7AC58F58" w14:textId="77777777" w:rsidR="00B61F61" w:rsidRPr="00E87E42" w:rsidRDefault="00B61F61" w:rsidP="005839EF">
            <w:pPr>
              <w:spacing w:after="0" w:line="240" w:lineRule="auto"/>
              <w:jc w:val="left"/>
              <w:rPr>
                <w:rFonts w:eastAsia="Times New Roman"/>
                <w:color w:val="000000"/>
                <w:sz w:val="16"/>
                <w:szCs w:val="16"/>
                <w:lang w:eastAsia="en-GB"/>
              </w:rPr>
            </w:pPr>
          </w:p>
        </w:tc>
      </w:tr>
      <w:tr w:rsidR="00AD472B" w:rsidRPr="00E87E42" w14:paraId="23CE5885" w14:textId="77777777" w:rsidTr="00A446AC">
        <w:trPr>
          <w:trHeight w:val="227"/>
        </w:trPr>
        <w:tc>
          <w:tcPr>
            <w:tcW w:w="54" w:type="pct"/>
            <w:tcBorders>
              <w:top w:val="nil"/>
              <w:left w:val="nil"/>
              <w:bottom w:val="single" w:sz="4" w:space="0" w:color="auto"/>
              <w:right w:val="nil"/>
            </w:tcBorders>
            <w:shd w:val="clear" w:color="auto" w:fill="auto"/>
            <w:noWrap/>
            <w:vAlign w:val="bottom"/>
            <w:hideMark/>
          </w:tcPr>
          <w:p w14:paraId="484D166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w:t>
            </w:r>
          </w:p>
        </w:tc>
        <w:tc>
          <w:tcPr>
            <w:tcW w:w="143" w:type="pct"/>
            <w:vMerge/>
            <w:tcBorders>
              <w:top w:val="nil"/>
              <w:left w:val="single" w:sz="4" w:space="0" w:color="auto"/>
              <w:bottom w:val="nil"/>
              <w:right w:val="single" w:sz="4" w:space="0" w:color="auto"/>
            </w:tcBorders>
            <w:vAlign w:val="center"/>
            <w:hideMark/>
          </w:tcPr>
          <w:p w14:paraId="50609D8B"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43" w:type="pct"/>
            <w:vMerge/>
            <w:tcBorders>
              <w:top w:val="nil"/>
              <w:left w:val="single" w:sz="4" w:space="0" w:color="auto"/>
              <w:bottom w:val="nil"/>
              <w:right w:val="nil"/>
            </w:tcBorders>
            <w:vAlign w:val="center"/>
            <w:hideMark/>
          </w:tcPr>
          <w:p w14:paraId="2588C593"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07" w:type="pct"/>
            <w:tcBorders>
              <w:top w:val="nil"/>
              <w:left w:val="single" w:sz="4" w:space="0" w:color="auto"/>
              <w:bottom w:val="nil"/>
              <w:right w:val="single" w:sz="4" w:space="0" w:color="auto"/>
            </w:tcBorders>
            <w:shd w:val="clear" w:color="auto" w:fill="auto"/>
            <w:noWrap/>
            <w:vAlign w:val="bottom"/>
            <w:hideMark/>
          </w:tcPr>
          <w:p w14:paraId="0B105758" w14:textId="21A783EA"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07" w:type="pct"/>
            <w:tcBorders>
              <w:top w:val="nil"/>
              <w:left w:val="nil"/>
              <w:bottom w:val="nil"/>
              <w:right w:val="single" w:sz="4" w:space="0" w:color="auto"/>
            </w:tcBorders>
            <w:shd w:val="clear" w:color="auto" w:fill="auto"/>
            <w:noWrap/>
            <w:vAlign w:val="bottom"/>
            <w:hideMark/>
          </w:tcPr>
          <w:p w14:paraId="0CF394A0" w14:textId="327C7748"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58" w:type="pct"/>
            <w:vMerge/>
            <w:tcBorders>
              <w:top w:val="nil"/>
              <w:left w:val="single" w:sz="4" w:space="0" w:color="auto"/>
              <w:bottom w:val="nil"/>
              <w:right w:val="single" w:sz="4" w:space="0" w:color="auto"/>
            </w:tcBorders>
            <w:vAlign w:val="center"/>
            <w:hideMark/>
          </w:tcPr>
          <w:p w14:paraId="779986CD"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58" w:type="pct"/>
            <w:vMerge/>
            <w:tcBorders>
              <w:top w:val="nil"/>
              <w:left w:val="single" w:sz="4" w:space="0" w:color="auto"/>
              <w:bottom w:val="nil"/>
              <w:right w:val="single" w:sz="4" w:space="0" w:color="auto"/>
            </w:tcBorders>
            <w:vAlign w:val="center"/>
            <w:hideMark/>
          </w:tcPr>
          <w:p w14:paraId="57D56E04"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43" w:type="pct"/>
            <w:vMerge/>
            <w:tcBorders>
              <w:top w:val="nil"/>
              <w:left w:val="single" w:sz="4" w:space="0" w:color="auto"/>
              <w:bottom w:val="nil"/>
              <w:right w:val="single" w:sz="4" w:space="0" w:color="auto"/>
            </w:tcBorders>
            <w:vAlign w:val="center"/>
            <w:hideMark/>
          </w:tcPr>
          <w:p w14:paraId="31EA7FEC"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07" w:type="pct"/>
            <w:tcBorders>
              <w:top w:val="nil"/>
              <w:left w:val="nil"/>
              <w:bottom w:val="nil"/>
              <w:right w:val="single" w:sz="4" w:space="0" w:color="auto"/>
            </w:tcBorders>
            <w:shd w:val="clear" w:color="auto" w:fill="auto"/>
            <w:noWrap/>
            <w:vAlign w:val="bottom"/>
            <w:hideMark/>
          </w:tcPr>
          <w:p w14:paraId="0C3A4CDD" w14:textId="6BF8E5BD"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07" w:type="pct"/>
            <w:tcBorders>
              <w:top w:val="nil"/>
              <w:left w:val="nil"/>
              <w:bottom w:val="nil"/>
              <w:right w:val="single" w:sz="4" w:space="0" w:color="auto"/>
            </w:tcBorders>
            <w:shd w:val="clear" w:color="auto" w:fill="auto"/>
            <w:noWrap/>
            <w:vAlign w:val="bottom"/>
            <w:hideMark/>
          </w:tcPr>
          <w:p w14:paraId="33A382BE" w14:textId="469262AB"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58" w:type="pct"/>
            <w:vMerge/>
            <w:tcBorders>
              <w:top w:val="nil"/>
              <w:left w:val="single" w:sz="4" w:space="0" w:color="auto"/>
              <w:bottom w:val="nil"/>
              <w:right w:val="single" w:sz="4" w:space="0" w:color="auto"/>
            </w:tcBorders>
            <w:vAlign w:val="center"/>
            <w:hideMark/>
          </w:tcPr>
          <w:p w14:paraId="22DB7F4D"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58" w:type="pct"/>
            <w:vMerge/>
            <w:tcBorders>
              <w:top w:val="nil"/>
              <w:left w:val="single" w:sz="4" w:space="0" w:color="auto"/>
              <w:bottom w:val="nil"/>
              <w:right w:val="single" w:sz="4" w:space="0" w:color="auto"/>
            </w:tcBorders>
            <w:vAlign w:val="center"/>
            <w:hideMark/>
          </w:tcPr>
          <w:p w14:paraId="59AF835D"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43" w:type="pct"/>
            <w:vMerge/>
            <w:tcBorders>
              <w:top w:val="nil"/>
              <w:left w:val="single" w:sz="4" w:space="0" w:color="auto"/>
              <w:bottom w:val="nil"/>
              <w:right w:val="single" w:sz="4" w:space="0" w:color="auto"/>
            </w:tcBorders>
            <w:vAlign w:val="center"/>
            <w:hideMark/>
          </w:tcPr>
          <w:p w14:paraId="3D4F712F"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07" w:type="pct"/>
            <w:tcBorders>
              <w:top w:val="nil"/>
              <w:left w:val="nil"/>
              <w:bottom w:val="nil"/>
              <w:right w:val="single" w:sz="4" w:space="0" w:color="auto"/>
            </w:tcBorders>
            <w:shd w:val="clear" w:color="auto" w:fill="auto"/>
            <w:noWrap/>
            <w:vAlign w:val="bottom"/>
            <w:hideMark/>
          </w:tcPr>
          <w:p w14:paraId="2BB5EF38" w14:textId="78E0203F"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07" w:type="pct"/>
            <w:tcBorders>
              <w:top w:val="nil"/>
              <w:left w:val="nil"/>
              <w:bottom w:val="nil"/>
              <w:right w:val="single" w:sz="4" w:space="0" w:color="auto"/>
            </w:tcBorders>
            <w:shd w:val="clear" w:color="auto" w:fill="auto"/>
            <w:noWrap/>
            <w:vAlign w:val="bottom"/>
            <w:hideMark/>
          </w:tcPr>
          <w:p w14:paraId="7DA6F455" w14:textId="494200D4"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87" w:type="pct"/>
            <w:vMerge/>
            <w:tcBorders>
              <w:top w:val="nil"/>
              <w:left w:val="single" w:sz="4" w:space="0" w:color="auto"/>
              <w:bottom w:val="nil"/>
              <w:right w:val="single" w:sz="4" w:space="0" w:color="auto"/>
            </w:tcBorders>
            <w:vAlign w:val="center"/>
            <w:hideMark/>
          </w:tcPr>
          <w:p w14:paraId="08F85B8A"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58" w:type="pct"/>
            <w:vMerge/>
            <w:tcBorders>
              <w:top w:val="nil"/>
              <w:left w:val="single" w:sz="4" w:space="0" w:color="auto"/>
              <w:bottom w:val="nil"/>
              <w:right w:val="single" w:sz="4" w:space="0" w:color="auto"/>
            </w:tcBorders>
            <w:vAlign w:val="center"/>
            <w:hideMark/>
          </w:tcPr>
          <w:p w14:paraId="3ADC7DF2"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43" w:type="pct"/>
            <w:vMerge/>
            <w:tcBorders>
              <w:top w:val="nil"/>
              <w:left w:val="single" w:sz="4" w:space="0" w:color="auto"/>
              <w:bottom w:val="nil"/>
              <w:right w:val="single" w:sz="4" w:space="0" w:color="auto"/>
            </w:tcBorders>
            <w:vAlign w:val="center"/>
            <w:hideMark/>
          </w:tcPr>
          <w:p w14:paraId="37D88B53"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07" w:type="pct"/>
            <w:tcBorders>
              <w:top w:val="single" w:sz="4" w:space="0" w:color="auto"/>
              <w:left w:val="nil"/>
              <w:bottom w:val="nil"/>
              <w:right w:val="single" w:sz="4" w:space="0" w:color="auto"/>
            </w:tcBorders>
            <w:shd w:val="clear" w:color="auto" w:fill="auto"/>
            <w:noWrap/>
            <w:vAlign w:val="bottom"/>
            <w:hideMark/>
          </w:tcPr>
          <w:p w14:paraId="0965C3E6" w14:textId="0426AD3F"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07" w:type="pct"/>
            <w:tcBorders>
              <w:top w:val="single" w:sz="4" w:space="0" w:color="auto"/>
              <w:left w:val="nil"/>
              <w:bottom w:val="nil"/>
              <w:right w:val="single" w:sz="4" w:space="0" w:color="auto"/>
            </w:tcBorders>
            <w:shd w:val="clear" w:color="auto" w:fill="auto"/>
            <w:noWrap/>
            <w:vAlign w:val="bottom"/>
            <w:hideMark/>
          </w:tcPr>
          <w:p w14:paraId="201912BE" w14:textId="5AD0F066"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87" w:type="pct"/>
            <w:vMerge/>
            <w:tcBorders>
              <w:top w:val="nil"/>
              <w:left w:val="single" w:sz="4" w:space="0" w:color="auto"/>
              <w:bottom w:val="nil"/>
              <w:right w:val="single" w:sz="4" w:space="0" w:color="auto"/>
            </w:tcBorders>
            <w:vAlign w:val="center"/>
            <w:hideMark/>
          </w:tcPr>
          <w:p w14:paraId="7CF0C1BC"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58" w:type="pct"/>
            <w:vMerge/>
            <w:tcBorders>
              <w:top w:val="nil"/>
              <w:left w:val="single" w:sz="4" w:space="0" w:color="auto"/>
              <w:bottom w:val="nil"/>
              <w:right w:val="single" w:sz="4" w:space="0" w:color="auto"/>
            </w:tcBorders>
            <w:vAlign w:val="center"/>
            <w:hideMark/>
          </w:tcPr>
          <w:p w14:paraId="3B454AC6"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370" w:type="pct"/>
            <w:vMerge/>
            <w:tcBorders>
              <w:top w:val="nil"/>
              <w:left w:val="single" w:sz="4" w:space="0" w:color="auto"/>
              <w:bottom w:val="nil"/>
              <w:right w:val="single" w:sz="4" w:space="0" w:color="auto"/>
            </w:tcBorders>
            <w:vAlign w:val="center"/>
            <w:hideMark/>
          </w:tcPr>
          <w:p w14:paraId="6C5262F9"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07" w:type="pct"/>
            <w:tcBorders>
              <w:top w:val="nil"/>
              <w:left w:val="nil"/>
              <w:bottom w:val="nil"/>
              <w:right w:val="nil"/>
            </w:tcBorders>
            <w:shd w:val="clear" w:color="auto" w:fill="auto"/>
            <w:noWrap/>
            <w:vAlign w:val="bottom"/>
            <w:hideMark/>
          </w:tcPr>
          <w:p w14:paraId="2FABCA8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36" w:type="pct"/>
            <w:tcBorders>
              <w:top w:val="nil"/>
              <w:left w:val="single" w:sz="4" w:space="0" w:color="auto"/>
              <w:bottom w:val="nil"/>
              <w:right w:val="single" w:sz="4" w:space="0" w:color="auto"/>
            </w:tcBorders>
            <w:shd w:val="clear" w:color="auto" w:fill="auto"/>
            <w:noWrap/>
            <w:vAlign w:val="bottom"/>
            <w:hideMark/>
          </w:tcPr>
          <w:p w14:paraId="6C84FEB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c>
          <w:tcPr>
            <w:tcW w:w="207" w:type="pct"/>
            <w:tcBorders>
              <w:top w:val="nil"/>
              <w:left w:val="nil"/>
              <w:bottom w:val="nil"/>
              <w:right w:val="nil"/>
            </w:tcBorders>
            <w:shd w:val="clear" w:color="auto" w:fill="auto"/>
            <w:noWrap/>
            <w:vAlign w:val="bottom"/>
            <w:hideMark/>
          </w:tcPr>
          <w:p w14:paraId="452BDD3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33" w:type="pct"/>
            <w:tcBorders>
              <w:top w:val="nil"/>
              <w:left w:val="single" w:sz="4" w:space="0" w:color="auto"/>
              <w:bottom w:val="nil"/>
              <w:right w:val="single" w:sz="4" w:space="0" w:color="auto"/>
            </w:tcBorders>
            <w:shd w:val="clear" w:color="auto" w:fill="auto"/>
            <w:noWrap/>
            <w:vAlign w:val="bottom"/>
            <w:hideMark/>
          </w:tcPr>
          <w:p w14:paraId="3ED245D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r>
      <w:tr w:rsidR="00A022DF" w:rsidRPr="00E87E42" w14:paraId="0996BD4B" w14:textId="77777777" w:rsidTr="005839EF">
        <w:trPr>
          <w:trHeight w:val="227"/>
        </w:trPr>
        <w:tc>
          <w:tcPr>
            <w:tcW w:w="54" w:type="pct"/>
            <w:tcBorders>
              <w:top w:val="nil"/>
              <w:left w:val="single" w:sz="4" w:space="0" w:color="auto"/>
              <w:bottom w:val="single" w:sz="4" w:space="0" w:color="auto"/>
              <w:right w:val="nil"/>
            </w:tcBorders>
            <w:shd w:val="clear" w:color="auto" w:fill="auto"/>
            <w:noWrap/>
            <w:vAlign w:val="bottom"/>
            <w:hideMark/>
          </w:tcPr>
          <w:p w14:paraId="3E26B31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143" w:type="pct"/>
            <w:tcBorders>
              <w:top w:val="single" w:sz="4" w:space="0" w:color="auto"/>
              <w:left w:val="single" w:sz="4" w:space="0" w:color="auto"/>
              <w:bottom w:val="single" w:sz="4" w:space="0" w:color="808080"/>
              <w:right w:val="single" w:sz="4" w:space="0" w:color="auto"/>
            </w:tcBorders>
            <w:shd w:val="clear" w:color="auto" w:fill="auto"/>
            <w:noWrap/>
            <w:vAlign w:val="bottom"/>
            <w:hideMark/>
          </w:tcPr>
          <w:p w14:paraId="6DB266B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404</w:t>
            </w:r>
          </w:p>
        </w:tc>
        <w:tc>
          <w:tcPr>
            <w:tcW w:w="143" w:type="pct"/>
            <w:tcBorders>
              <w:top w:val="single" w:sz="4" w:space="0" w:color="auto"/>
              <w:left w:val="nil"/>
              <w:bottom w:val="single" w:sz="4" w:space="0" w:color="808080"/>
              <w:right w:val="single" w:sz="4" w:space="0" w:color="808080"/>
            </w:tcBorders>
            <w:shd w:val="clear" w:color="auto" w:fill="auto"/>
            <w:noWrap/>
            <w:vAlign w:val="bottom"/>
            <w:hideMark/>
          </w:tcPr>
          <w:p w14:paraId="701AFB4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163</w:t>
            </w:r>
          </w:p>
        </w:tc>
        <w:tc>
          <w:tcPr>
            <w:tcW w:w="207" w:type="pct"/>
            <w:tcBorders>
              <w:top w:val="single" w:sz="4" w:space="0" w:color="auto"/>
              <w:left w:val="nil"/>
              <w:bottom w:val="single" w:sz="4" w:space="0" w:color="808080"/>
              <w:right w:val="single" w:sz="4" w:space="0" w:color="808080"/>
            </w:tcBorders>
            <w:shd w:val="clear" w:color="auto" w:fill="auto"/>
            <w:noWrap/>
            <w:vAlign w:val="bottom"/>
            <w:hideMark/>
          </w:tcPr>
          <w:p w14:paraId="5627B92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98.79%</w:t>
            </w:r>
          </w:p>
        </w:tc>
        <w:tc>
          <w:tcPr>
            <w:tcW w:w="207" w:type="pct"/>
            <w:tcBorders>
              <w:top w:val="single" w:sz="4" w:space="0" w:color="auto"/>
              <w:left w:val="nil"/>
              <w:bottom w:val="single" w:sz="4" w:space="0" w:color="808080"/>
              <w:right w:val="single" w:sz="4" w:space="0" w:color="808080"/>
            </w:tcBorders>
            <w:shd w:val="clear" w:color="auto" w:fill="auto"/>
            <w:noWrap/>
            <w:vAlign w:val="bottom"/>
            <w:hideMark/>
          </w:tcPr>
          <w:p w14:paraId="4CF7C51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21.68%</w:t>
            </w:r>
          </w:p>
        </w:tc>
        <w:tc>
          <w:tcPr>
            <w:tcW w:w="158" w:type="pct"/>
            <w:tcBorders>
              <w:top w:val="single" w:sz="4" w:space="0" w:color="auto"/>
              <w:left w:val="nil"/>
              <w:bottom w:val="single" w:sz="4" w:space="0" w:color="808080"/>
              <w:right w:val="single" w:sz="4" w:space="0" w:color="808080"/>
            </w:tcBorders>
            <w:shd w:val="clear" w:color="auto" w:fill="auto"/>
            <w:noWrap/>
            <w:vAlign w:val="bottom"/>
            <w:hideMark/>
          </w:tcPr>
          <w:p w14:paraId="58510A1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3.35</w:t>
            </w:r>
          </w:p>
        </w:tc>
        <w:tc>
          <w:tcPr>
            <w:tcW w:w="158" w:type="pct"/>
            <w:tcBorders>
              <w:top w:val="single" w:sz="4" w:space="0" w:color="auto"/>
              <w:left w:val="nil"/>
              <w:bottom w:val="single" w:sz="4" w:space="0" w:color="808080"/>
              <w:right w:val="single" w:sz="4" w:space="0" w:color="auto"/>
            </w:tcBorders>
            <w:shd w:val="clear" w:color="auto" w:fill="auto"/>
            <w:noWrap/>
            <w:vAlign w:val="bottom"/>
            <w:hideMark/>
          </w:tcPr>
          <w:p w14:paraId="37FC6B5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3.35</w:t>
            </w:r>
          </w:p>
        </w:tc>
        <w:tc>
          <w:tcPr>
            <w:tcW w:w="143" w:type="pct"/>
            <w:tcBorders>
              <w:top w:val="single" w:sz="4" w:space="0" w:color="auto"/>
              <w:left w:val="nil"/>
              <w:bottom w:val="single" w:sz="4" w:space="0" w:color="808080"/>
              <w:right w:val="single" w:sz="4" w:space="0" w:color="808080"/>
            </w:tcBorders>
            <w:shd w:val="clear" w:color="auto" w:fill="auto"/>
            <w:noWrap/>
            <w:vAlign w:val="bottom"/>
            <w:hideMark/>
          </w:tcPr>
          <w:p w14:paraId="69AFE7A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07" w:type="pct"/>
            <w:tcBorders>
              <w:top w:val="single" w:sz="4" w:space="0" w:color="auto"/>
              <w:left w:val="nil"/>
              <w:bottom w:val="single" w:sz="4" w:space="0" w:color="808080"/>
              <w:right w:val="single" w:sz="4" w:space="0" w:color="808080"/>
            </w:tcBorders>
            <w:shd w:val="clear" w:color="auto" w:fill="auto"/>
            <w:noWrap/>
            <w:vAlign w:val="bottom"/>
            <w:hideMark/>
          </w:tcPr>
          <w:p w14:paraId="1C56470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0.61%</w:t>
            </w:r>
          </w:p>
        </w:tc>
        <w:tc>
          <w:tcPr>
            <w:tcW w:w="207" w:type="pct"/>
            <w:tcBorders>
              <w:top w:val="single" w:sz="4" w:space="0" w:color="auto"/>
              <w:left w:val="nil"/>
              <w:bottom w:val="single" w:sz="4" w:space="0" w:color="808080"/>
              <w:right w:val="single" w:sz="4" w:space="0" w:color="808080"/>
            </w:tcBorders>
            <w:shd w:val="clear" w:color="auto" w:fill="auto"/>
            <w:noWrap/>
            <w:vAlign w:val="bottom"/>
            <w:hideMark/>
          </w:tcPr>
          <w:p w14:paraId="34EFF08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0.95%</w:t>
            </w:r>
          </w:p>
        </w:tc>
        <w:tc>
          <w:tcPr>
            <w:tcW w:w="158" w:type="pct"/>
            <w:tcBorders>
              <w:top w:val="single" w:sz="4" w:space="0" w:color="auto"/>
              <w:left w:val="nil"/>
              <w:bottom w:val="single" w:sz="4" w:space="0" w:color="808080"/>
              <w:right w:val="single" w:sz="4" w:space="0" w:color="808080"/>
            </w:tcBorders>
            <w:shd w:val="clear" w:color="auto" w:fill="auto"/>
            <w:noWrap/>
            <w:vAlign w:val="bottom"/>
            <w:hideMark/>
          </w:tcPr>
          <w:p w14:paraId="73EC014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58" w:type="pct"/>
            <w:tcBorders>
              <w:top w:val="single" w:sz="4" w:space="0" w:color="auto"/>
              <w:left w:val="nil"/>
              <w:bottom w:val="single" w:sz="4" w:space="0" w:color="808080"/>
              <w:right w:val="nil"/>
            </w:tcBorders>
            <w:shd w:val="clear" w:color="auto" w:fill="auto"/>
            <w:noWrap/>
            <w:vAlign w:val="bottom"/>
            <w:hideMark/>
          </w:tcPr>
          <w:p w14:paraId="3FF8DEA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43" w:type="pct"/>
            <w:tcBorders>
              <w:top w:val="single" w:sz="4" w:space="0" w:color="auto"/>
              <w:left w:val="single" w:sz="4" w:space="0" w:color="auto"/>
              <w:bottom w:val="single" w:sz="4" w:space="0" w:color="808080"/>
              <w:right w:val="single" w:sz="4" w:space="0" w:color="808080"/>
            </w:tcBorders>
            <w:shd w:val="clear" w:color="auto" w:fill="auto"/>
            <w:noWrap/>
            <w:vAlign w:val="bottom"/>
            <w:hideMark/>
          </w:tcPr>
          <w:p w14:paraId="49825D7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07" w:type="pct"/>
            <w:tcBorders>
              <w:top w:val="single" w:sz="4" w:space="0" w:color="auto"/>
              <w:left w:val="nil"/>
              <w:bottom w:val="single" w:sz="4" w:space="0" w:color="808080"/>
              <w:right w:val="single" w:sz="4" w:space="0" w:color="808080"/>
            </w:tcBorders>
            <w:shd w:val="clear" w:color="auto" w:fill="auto"/>
            <w:noWrap/>
            <w:vAlign w:val="bottom"/>
            <w:hideMark/>
          </w:tcPr>
          <w:p w14:paraId="2947C1C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07" w:type="pct"/>
            <w:tcBorders>
              <w:top w:val="single" w:sz="4" w:space="0" w:color="auto"/>
              <w:left w:val="nil"/>
              <w:bottom w:val="single" w:sz="4" w:space="0" w:color="808080"/>
              <w:right w:val="single" w:sz="4" w:space="0" w:color="808080"/>
            </w:tcBorders>
            <w:shd w:val="clear" w:color="auto" w:fill="auto"/>
            <w:noWrap/>
            <w:vAlign w:val="bottom"/>
            <w:hideMark/>
          </w:tcPr>
          <w:p w14:paraId="40E176D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87" w:type="pct"/>
            <w:tcBorders>
              <w:top w:val="single" w:sz="4" w:space="0" w:color="auto"/>
              <w:left w:val="nil"/>
              <w:bottom w:val="single" w:sz="4" w:space="0" w:color="808080"/>
              <w:right w:val="single" w:sz="4" w:space="0" w:color="808080"/>
            </w:tcBorders>
            <w:shd w:val="clear" w:color="auto" w:fill="auto"/>
            <w:noWrap/>
            <w:vAlign w:val="bottom"/>
            <w:hideMark/>
          </w:tcPr>
          <w:p w14:paraId="2499BD0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58" w:type="pct"/>
            <w:tcBorders>
              <w:top w:val="single" w:sz="4" w:space="0" w:color="auto"/>
              <w:left w:val="nil"/>
              <w:bottom w:val="single" w:sz="4" w:space="0" w:color="808080"/>
              <w:right w:val="single" w:sz="4" w:space="0" w:color="auto"/>
            </w:tcBorders>
            <w:shd w:val="clear" w:color="auto" w:fill="auto"/>
            <w:noWrap/>
            <w:vAlign w:val="bottom"/>
            <w:hideMark/>
          </w:tcPr>
          <w:p w14:paraId="38F5669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43" w:type="pct"/>
            <w:tcBorders>
              <w:top w:val="single" w:sz="4" w:space="0" w:color="auto"/>
              <w:left w:val="nil"/>
              <w:bottom w:val="single" w:sz="4" w:space="0" w:color="808080"/>
              <w:right w:val="single" w:sz="4" w:space="0" w:color="808080"/>
            </w:tcBorders>
            <w:shd w:val="clear" w:color="auto" w:fill="auto"/>
            <w:noWrap/>
            <w:vAlign w:val="bottom"/>
            <w:hideMark/>
          </w:tcPr>
          <w:p w14:paraId="396EBAA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07" w:type="pct"/>
            <w:tcBorders>
              <w:top w:val="single" w:sz="4" w:space="0" w:color="auto"/>
              <w:left w:val="nil"/>
              <w:bottom w:val="single" w:sz="4" w:space="0" w:color="808080"/>
              <w:right w:val="single" w:sz="4" w:space="0" w:color="808080"/>
            </w:tcBorders>
            <w:shd w:val="clear" w:color="auto" w:fill="auto"/>
            <w:noWrap/>
            <w:vAlign w:val="bottom"/>
            <w:hideMark/>
          </w:tcPr>
          <w:p w14:paraId="67FA764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0.61%</w:t>
            </w:r>
          </w:p>
        </w:tc>
        <w:tc>
          <w:tcPr>
            <w:tcW w:w="207" w:type="pct"/>
            <w:tcBorders>
              <w:top w:val="single" w:sz="4" w:space="0" w:color="auto"/>
              <w:left w:val="nil"/>
              <w:bottom w:val="single" w:sz="4" w:space="0" w:color="808080"/>
              <w:right w:val="single" w:sz="4" w:space="0" w:color="808080"/>
            </w:tcBorders>
            <w:shd w:val="clear" w:color="auto" w:fill="auto"/>
            <w:noWrap/>
            <w:vAlign w:val="bottom"/>
            <w:hideMark/>
          </w:tcPr>
          <w:p w14:paraId="0E992A3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2.17%</w:t>
            </w:r>
          </w:p>
        </w:tc>
        <w:tc>
          <w:tcPr>
            <w:tcW w:w="187" w:type="pct"/>
            <w:tcBorders>
              <w:top w:val="single" w:sz="4" w:space="0" w:color="auto"/>
              <w:left w:val="nil"/>
              <w:bottom w:val="single" w:sz="4" w:space="0" w:color="808080"/>
              <w:right w:val="single" w:sz="4" w:space="0" w:color="808080"/>
            </w:tcBorders>
            <w:shd w:val="clear" w:color="auto" w:fill="auto"/>
            <w:noWrap/>
            <w:vAlign w:val="bottom"/>
            <w:hideMark/>
          </w:tcPr>
          <w:p w14:paraId="24F522F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0.02</w:t>
            </w:r>
          </w:p>
        </w:tc>
        <w:tc>
          <w:tcPr>
            <w:tcW w:w="158" w:type="pct"/>
            <w:tcBorders>
              <w:top w:val="single" w:sz="4" w:space="0" w:color="auto"/>
              <w:left w:val="nil"/>
              <w:bottom w:val="single" w:sz="4" w:space="0" w:color="808080"/>
              <w:right w:val="nil"/>
            </w:tcBorders>
            <w:shd w:val="clear" w:color="auto" w:fill="auto"/>
            <w:noWrap/>
            <w:vAlign w:val="bottom"/>
            <w:hideMark/>
          </w:tcPr>
          <w:p w14:paraId="6B4B7DA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0" w:type="pct"/>
            <w:tcBorders>
              <w:top w:val="single" w:sz="4" w:space="0" w:color="auto"/>
              <w:left w:val="single" w:sz="4" w:space="0" w:color="auto"/>
              <w:bottom w:val="single" w:sz="4" w:space="0" w:color="808080"/>
              <w:right w:val="single" w:sz="4" w:space="0" w:color="auto"/>
            </w:tcBorders>
            <w:shd w:val="clear" w:color="auto" w:fill="auto"/>
            <w:noWrap/>
            <w:vAlign w:val="bottom"/>
            <w:hideMark/>
          </w:tcPr>
          <w:p w14:paraId="4A1F54C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3.30</w:t>
            </w:r>
          </w:p>
        </w:tc>
        <w:tc>
          <w:tcPr>
            <w:tcW w:w="207" w:type="pct"/>
            <w:tcBorders>
              <w:top w:val="single" w:sz="4" w:space="0" w:color="auto"/>
              <w:left w:val="nil"/>
              <w:bottom w:val="single" w:sz="4" w:space="0" w:color="808080"/>
              <w:right w:val="single" w:sz="4" w:space="0" w:color="808080"/>
            </w:tcBorders>
            <w:shd w:val="clear" w:color="auto" w:fill="auto"/>
            <w:noWrap/>
            <w:vAlign w:val="bottom"/>
            <w:hideMark/>
          </w:tcPr>
          <w:p w14:paraId="2F04B85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17.03%</w:t>
            </w:r>
          </w:p>
        </w:tc>
        <w:tc>
          <w:tcPr>
            <w:tcW w:w="236" w:type="pct"/>
            <w:tcBorders>
              <w:top w:val="single" w:sz="4" w:space="0" w:color="auto"/>
              <w:left w:val="nil"/>
              <w:bottom w:val="single" w:sz="4" w:space="0" w:color="808080"/>
              <w:right w:val="single" w:sz="4" w:space="0" w:color="808080"/>
            </w:tcBorders>
            <w:shd w:val="clear" w:color="auto" w:fill="auto"/>
            <w:noWrap/>
            <w:vAlign w:val="bottom"/>
            <w:hideMark/>
          </w:tcPr>
          <w:p w14:paraId="63212EE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17.03%</w:t>
            </w:r>
          </w:p>
        </w:tc>
        <w:tc>
          <w:tcPr>
            <w:tcW w:w="207" w:type="pct"/>
            <w:tcBorders>
              <w:top w:val="single" w:sz="4" w:space="0" w:color="auto"/>
              <w:left w:val="nil"/>
              <w:bottom w:val="single" w:sz="4" w:space="0" w:color="808080"/>
              <w:right w:val="single" w:sz="4" w:space="0" w:color="808080"/>
            </w:tcBorders>
            <w:shd w:val="clear" w:color="auto" w:fill="auto"/>
            <w:noWrap/>
            <w:vAlign w:val="bottom"/>
            <w:hideMark/>
          </w:tcPr>
          <w:p w14:paraId="0B116EC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23.96%</w:t>
            </w:r>
          </w:p>
        </w:tc>
        <w:tc>
          <w:tcPr>
            <w:tcW w:w="233" w:type="pct"/>
            <w:tcBorders>
              <w:top w:val="single" w:sz="4" w:space="0" w:color="auto"/>
              <w:left w:val="nil"/>
              <w:bottom w:val="single" w:sz="4" w:space="0" w:color="808080"/>
              <w:right w:val="single" w:sz="4" w:space="0" w:color="auto"/>
            </w:tcBorders>
            <w:shd w:val="clear" w:color="auto" w:fill="auto"/>
            <w:noWrap/>
            <w:vAlign w:val="bottom"/>
            <w:hideMark/>
          </w:tcPr>
          <w:p w14:paraId="36D44CE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23.96%</w:t>
            </w:r>
          </w:p>
        </w:tc>
      </w:tr>
      <w:tr w:rsidR="00A022DF" w:rsidRPr="00E87E42" w14:paraId="39058E1E" w14:textId="77777777" w:rsidTr="005839EF">
        <w:trPr>
          <w:trHeight w:val="227"/>
        </w:trPr>
        <w:tc>
          <w:tcPr>
            <w:tcW w:w="54" w:type="pct"/>
            <w:tcBorders>
              <w:top w:val="nil"/>
              <w:left w:val="single" w:sz="4" w:space="0" w:color="auto"/>
              <w:bottom w:val="single" w:sz="4" w:space="0" w:color="auto"/>
              <w:right w:val="nil"/>
            </w:tcBorders>
            <w:shd w:val="clear" w:color="auto" w:fill="auto"/>
            <w:noWrap/>
            <w:vAlign w:val="bottom"/>
            <w:hideMark/>
          </w:tcPr>
          <w:p w14:paraId="76E8A06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143" w:type="pct"/>
            <w:tcBorders>
              <w:top w:val="nil"/>
              <w:left w:val="single" w:sz="4" w:space="0" w:color="auto"/>
              <w:bottom w:val="single" w:sz="4" w:space="0" w:color="808080"/>
              <w:right w:val="single" w:sz="4" w:space="0" w:color="auto"/>
            </w:tcBorders>
            <w:shd w:val="clear" w:color="auto" w:fill="auto"/>
            <w:noWrap/>
            <w:vAlign w:val="bottom"/>
            <w:hideMark/>
          </w:tcPr>
          <w:p w14:paraId="555DF45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1061</w:t>
            </w:r>
          </w:p>
        </w:tc>
        <w:tc>
          <w:tcPr>
            <w:tcW w:w="143" w:type="pct"/>
            <w:tcBorders>
              <w:top w:val="nil"/>
              <w:left w:val="nil"/>
              <w:bottom w:val="single" w:sz="4" w:space="0" w:color="808080"/>
              <w:right w:val="single" w:sz="4" w:space="0" w:color="808080"/>
            </w:tcBorders>
            <w:shd w:val="clear" w:color="auto" w:fill="auto"/>
            <w:noWrap/>
            <w:vAlign w:val="bottom"/>
            <w:hideMark/>
          </w:tcPr>
          <w:p w14:paraId="1074A47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466</w:t>
            </w:r>
          </w:p>
        </w:tc>
        <w:tc>
          <w:tcPr>
            <w:tcW w:w="207" w:type="pct"/>
            <w:tcBorders>
              <w:top w:val="nil"/>
              <w:left w:val="nil"/>
              <w:bottom w:val="single" w:sz="4" w:space="0" w:color="808080"/>
              <w:right w:val="single" w:sz="4" w:space="0" w:color="808080"/>
            </w:tcBorders>
            <w:shd w:val="clear" w:color="auto" w:fill="auto"/>
            <w:noWrap/>
            <w:vAlign w:val="bottom"/>
            <w:hideMark/>
          </w:tcPr>
          <w:p w14:paraId="65D6862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89.44%</w:t>
            </w:r>
          </w:p>
        </w:tc>
        <w:tc>
          <w:tcPr>
            <w:tcW w:w="207" w:type="pct"/>
            <w:tcBorders>
              <w:top w:val="nil"/>
              <w:left w:val="nil"/>
              <w:bottom w:val="single" w:sz="4" w:space="0" w:color="808080"/>
              <w:right w:val="single" w:sz="4" w:space="0" w:color="808080"/>
            </w:tcBorders>
            <w:shd w:val="clear" w:color="auto" w:fill="auto"/>
            <w:noWrap/>
            <w:vAlign w:val="bottom"/>
            <w:hideMark/>
          </w:tcPr>
          <w:p w14:paraId="71E4877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61.97%</w:t>
            </w:r>
          </w:p>
        </w:tc>
        <w:tc>
          <w:tcPr>
            <w:tcW w:w="158" w:type="pct"/>
            <w:tcBorders>
              <w:top w:val="nil"/>
              <w:left w:val="nil"/>
              <w:bottom w:val="single" w:sz="4" w:space="0" w:color="808080"/>
              <w:right w:val="single" w:sz="4" w:space="0" w:color="808080"/>
            </w:tcBorders>
            <w:shd w:val="clear" w:color="auto" w:fill="auto"/>
            <w:noWrap/>
            <w:vAlign w:val="bottom"/>
            <w:hideMark/>
          </w:tcPr>
          <w:p w14:paraId="672DB42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6.19</w:t>
            </w:r>
          </w:p>
        </w:tc>
        <w:tc>
          <w:tcPr>
            <w:tcW w:w="158" w:type="pct"/>
            <w:tcBorders>
              <w:top w:val="nil"/>
              <w:left w:val="nil"/>
              <w:bottom w:val="single" w:sz="4" w:space="0" w:color="808080"/>
              <w:right w:val="single" w:sz="4" w:space="0" w:color="auto"/>
            </w:tcBorders>
            <w:shd w:val="clear" w:color="auto" w:fill="auto"/>
            <w:noWrap/>
            <w:vAlign w:val="bottom"/>
            <w:hideMark/>
          </w:tcPr>
          <w:p w14:paraId="5F65006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6.19</w:t>
            </w:r>
          </w:p>
        </w:tc>
        <w:tc>
          <w:tcPr>
            <w:tcW w:w="143" w:type="pct"/>
            <w:tcBorders>
              <w:top w:val="nil"/>
              <w:left w:val="nil"/>
              <w:bottom w:val="single" w:sz="4" w:space="0" w:color="808080"/>
              <w:right w:val="single" w:sz="4" w:space="0" w:color="808080"/>
            </w:tcBorders>
            <w:shd w:val="clear" w:color="auto" w:fill="auto"/>
            <w:noWrap/>
            <w:vAlign w:val="bottom"/>
            <w:hideMark/>
          </w:tcPr>
          <w:p w14:paraId="40CE41A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47</w:t>
            </w:r>
          </w:p>
        </w:tc>
        <w:tc>
          <w:tcPr>
            <w:tcW w:w="207" w:type="pct"/>
            <w:tcBorders>
              <w:top w:val="nil"/>
              <w:left w:val="nil"/>
              <w:bottom w:val="single" w:sz="4" w:space="0" w:color="808080"/>
              <w:right w:val="single" w:sz="4" w:space="0" w:color="808080"/>
            </w:tcBorders>
            <w:shd w:val="clear" w:color="auto" w:fill="auto"/>
            <w:noWrap/>
            <w:vAlign w:val="bottom"/>
            <w:hideMark/>
          </w:tcPr>
          <w:p w14:paraId="43B92DE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9.02%</w:t>
            </w:r>
          </w:p>
        </w:tc>
        <w:tc>
          <w:tcPr>
            <w:tcW w:w="207" w:type="pct"/>
            <w:tcBorders>
              <w:top w:val="nil"/>
              <w:left w:val="nil"/>
              <w:bottom w:val="single" w:sz="4" w:space="0" w:color="808080"/>
              <w:right w:val="single" w:sz="4" w:space="0" w:color="808080"/>
            </w:tcBorders>
            <w:shd w:val="clear" w:color="auto" w:fill="auto"/>
            <w:noWrap/>
            <w:vAlign w:val="bottom"/>
            <w:hideMark/>
          </w:tcPr>
          <w:p w14:paraId="3223FF3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44.76%</w:t>
            </w:r>
          </w:p>
        </w:tc>
        <w:tc>
          <w:tcPr>
            <w:tcW w:w="158" w:type="pct"/>
            <w:tcBorders>
              <w:top w:val="nil"/>
              <w:left w:val="nil"/>
              <w:bottom w:val="single" w:sz="4" w:space="0" w:color="808080"/>
              <w:right w:val="single" w:sz="4" w:space="0" w:color="808080"/>
            </w:tcBorders>
            <w:shd w:val="clear" w:color="auto" w:fill="auto"/>
            <w:noWrap/>
            <w:vAlign w:val="bottom"/>
            <w:hideMark/>
          </w:tcPr>
          <w:p w14:paraId="2A03CA1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1.52</w:t>
            </w:r>
          </w:p>
        </w:tc>
        <w:tc>
          <w:tcPr>
            <w:tcW w:w="158" w:type="pct"/>
            <w:tcBorders>
              <w:top w:val="nil"/>
              <w:left w:val="nil"/>
              <w:bottom w:val="single" w:sz="4" w:space="0" w:color="808080"/>
              <w:right w:val="nil"/>
            </w:tcBorders>
            <w:shd w:val="clear" w:color="auto" w:fill="auto"/>
            <w:noWrap/>
            <w:vAlign w:val="bottom"/>
            <w:hideMark/>
          </w:tcPr>
          <w:p w14:paraId="6E6B87C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0.49</w:t>
            </w:r>
          </w:p>
        </w:tc>
        <w:tc>
          <w:tcPr>
            <w:tcW w:w="143" w:type="pct"/>
            <w:tcBorders>
              <w:top w:val="nil"/>
              <w:left w:val="single" w:sz="4" w:space="0" w:color="auto"/>
              <w:bottom w:val="single" w:sz="4" w:space="0" w:color="808080"/>
              <w:right w:val="single" w:sz="4" w:space="0" w:color="808080"/>
            </w:tcBorders>
            <w:shd w:val="clear" w:color="auto" w:fill="auto"/>
            <w:noWrap/>
            <w:vAlign w:val="bottom"/>
            <w:hideMark/>
          </w:tcPr>
          <w:p w14:paraId="2E45A1F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w:t>
            </w:r>
          </w:p>
        </w:tc>
        <w:tc>
          <w:tcPr>
            <w:tcW w:w="207" w:type="pct"/>
            <w:tcBorders>
              <w:top w:val="nil"/>
              <w:left w:val="nil"/>
              <w:bottom w:val="single" w:sz="4" w:space="0" w:color="808080"/>
              <w:right w:val="single" w:sz="4" w:space="0" w:color="808080"/>
            </w:tcBorders>
            <w:shd w:val="clear" w:color="auto" w:fill="auto"/>
            <w:noWrap/>
            <w:vAlign w:val="bottom"/>
            <w:hideMark/>
          </w:tcPr>
          <w:p w14:paraId="40630FC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1.15%</w:t>
            </w:r>
          </w:p>
        </w:tc>
        <w:tc>
          <w:tcPr>
            <w:tcW w:w="207" w:type="pct"/>
            <w:tcBorders>
              <w:top w:val="nil"/>
              <w:left w:val="nil"/>
              <w:bottom w:val="single" w:sz="4" w:space="0" w:color="808080"/>
              <w:right w:val="single" w:sz="4" w:space="0" w:color="808080"/>
            </w:tcBorders>
            <w:shd w:val="clear" w:color="auto" w:fill="auto"/>
            <w:noWrap/>
            <w:vAlign w:val="bottom"/>
            <w:hideMark/>
          </w:tcPr>
          <w:p w14:paraId="3361A5C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9.09%</w:t>
            </w:r>
          </w:p>
        </w:tc>
        <w:tc>
          <w:tcPr>
            <w:tcW w:w="187" w:type="pct"/>
            <w:tcBorders>
              <w:top w:val="nil"/>
              <w:left w:val="nil"/>
              <w:bottom w:val="single" w:sz="4" w:space="0" w:color="808080"/>
              <w:right w:val="single" w:sz="4" w:space="0" w:color="808080"/>
            </w:tcBorders>
            <w:shd w:val="clear" w:color="auto" w:fill="auto"/>
            <w:noWrap/>
            <w:vAlign w:val="bottom"/>
            <w:hideMark/>
          </w:tcPr>
          <w:p w14:paraId="4421A4A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2.26</w:t>
            </w:r>
          </w:p>
        </w:tc>
        <w:tc>
          <w:tcPr>
            <w:tcW w:w="158" w:type="pct"/>
            <w:tcBorders>
              <w:top w:val="nil"/>
              <w:left w:val="nil"/>
              <w:bottom w:val="single" w:sz="4" w:space="0" w:color="808080"/>
              <w:right w:val="single" w:sz="4" w:space="0" w:color="auto"/>
            </w:tcBorders>
            <w:shd w:val="clear" w:color="auto" w:fill="auto"/>
            <w:noWrap/>
            <w:vAlign w:val="bottom"/>
            <w:hideMark/>
          </w:tcPr>
          <w:p w14:paraId="59B5661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0.44</w:t>
            </w:r>
          </w:p>
        </w:tc>
        <w:tc>
          <w:tcPr>
            <w:tcW w:w="143" w:type="pct"/>
            <w:tcBorders>
              <w:top w:val="nil"/>
              <w:left w:val="nil"/>
              <w:bottom w:val="single" w:sz="4" w:space="0" w:color="808080"/>
              <w:right w:val="single" w:sz="4" w:space="0" w:color="808080"/>
            </w:tcBorders>
            <w:shd w:val="clear" w:color="auto" w:fill="auto"/>
            <w:noWrap/>
            <w:vAlign w:val="bottom"/>
            <w:hideMark/>
          </w:tcPr>
          <w:p w14:paraId="1F1A63A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07" w:type="pct"/>
            <w:tcBorders>
              <w:top w:val="nil"/>
              <w:left w:val="nil"/>
              <w:bottom w:val="single" w:sz="4" w:space="0" w:color="808080"/>
              <w:right w:val="single" w:sz="4" w:space="0" w:color="808080"/>
            </w:tcBorders>
            <w:shd w:val="clear" w:color="auto" w:fill="auto"/>
            <w:noWrap/>
            <w:vAlign w:val="bottom"/>
            <w:hideMark/>
          </w:tcPr>
          <w:p w14:paraId="526D318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0.38%</w:t>
            </w:r>
          </w:p>
        </w:tc>
        <w:tc>
          <w:tcPr>
            <w:tcW w:w="207" w:type="pct"/>
            <w:tcBorders>
              <w:top w:val="nil"/>
              <w:left w:val="nil"/>
              <w:bottom w:val="single" w:sz="4" w:space="0" w:color="808080"/>
              <w:right w:val="single" w:sz="4" w:space="0" w:color="808080"/>
            </w:tcBorders>
            <w:shd w:val="clear" w:color="auto" w:fill="auto"/>
            <w:noWrap/>
            <w:vAlign w:val="bottom"/>
            <w:hideMark/>
          </w:tcPr>
          <w:p w14:paraId="4212665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4.35%</w:t>
            </w:r>
          </w:p>
        </w:tc>
        <w:tc>
          <w:tcPr>
            <w:tcW w:w="187" w:type="pct"/>
            <w:tcBorders>
              <w:top w:val="nil"/>
              <w:left w:val="nil"/>
              <w:bottom w:val="single" w:sz="4" w:space="0" w:color="808080"/>
              <w:right w:val="single" w:sz="4" w:space="0" w:color="808080"/>
            </w:tcBorders>
            <w:shd w:val="clear" w:color="auto" w:fill="auto"/>
            <w:noWrap/>
            <w:vAlign w:val="bottom"/>
            <w:hideMark/>
          </w:tcPr>
          <w:p w14:paraId="56ED882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0.16</w:t>
            </w:r>
          </w:p>
        </w:tc>
        <w:tc>
          <w:tcPr>
            <w:tcW w:w="158" w:type="pct"/>
            <w:tcBorders>
              <w:top w:val="nil"/>
              <w:left w:val="nil"/>
              <w:bottom w:val="single" w:sz="4" w:space="0" w:color="808080"/>
              <w:right w:val="nil"/>
            </w:tcBorders>
            <w:shd w:val="clear" w:color="auto" w:fill="auto"/>
            <w:noWrap/>
            <w:vAlign w:val="bottom"/>
            <w:hideMark/>
          </w:tcPr>
          <w:p w14:paraId="718C100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0.02</w:t>
            </w:r>
          </w:p>
        </w:tc>
        <w:tc>
          <w:tcPr>
            <w:tcW w:w="370" w:type="pct"/>
            <w:tcBorders>
              <w:top w:val="nil"/>
              <w:left w:val="single" w:sz="4" w:space="0" w:color="auto"/>
              <w:bottom w:val="single" w:sz="4" w:space="0" w:color="808080"/>
              <w:right w:val="single" w:sz="4" w:space="0" w:color="auto"/>
            </w:tcBorders>
            <w:shd w:val="clear" w:color="auto" w:fill="auto"/>
            <w:noWrap/>
            <w:vAlign w:val="bottom"/>
            <w:hideMark/>
          </w:tcPr>
          <w:p w14:paraId="254F1B8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5.70</w:t>
            </w:r>
          </w:p>
        </w:tc>
        <w:tc>
          <w:tcPr>
            <w:tcW w:w="207" w:type="pct"/>
            <w:tcBorders>
              <w:top w:val="nil"/>
              <w:left w:val="nil"/>
              <w:bottom w:val="single" w:sz="4" w:space="0" w:color="808080"/>
              <w:right w:val="single" w:sz="4" w:space="0" w:color="808080"/>
            </w:tcBorders>
            <w:shd w:val="clear" w:color="auto" w:fill="auto"/>
            <w:noWrap/>
            <w:vAlign w:val="bottom"/>
            <w:hideMark/>
          </w:tcPr>
          <w:p w14:paraId="66DF0A9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53.77%</w:t>
            </w:r>
          </w:p>
        </w:tc>
        <w:tc>
          <w:tcPr>
            <w:tcW w:w="236" w:type="pct"/>
            <w:tcBorders>
              <w:top w:val="nil"/>
              <w:left w:val="nil"/>
              <w:bottom w:val="single" w:sz="4" w:space="0" w:color="808080"/>
              <w:right w:val="single" w:sz="4" w:space="0" w:color="808080"/>
            </w:tcBorders>
            <w:shd w:val="clear" w:color="auto" w:fill="auto"/>
            <w:noWrap/>
            <w:vAlign w:val="bottom"/>
            <w:hideMark/>
          </w:tcPr>
          <w:p w14:paraId="15A61DD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70.79%</w:t>
            </w:r>
          </w:p>
        </w:tc>
        <w:tc>
          <w:tcPr>
            <w:tcW w:w="207" w:type="pct"/>
            <w:tcBorders>
              <w:top w:val="nil"/>
              <w:left w:val="nil"/>
              <w:bottom w:val="single" w:sz="4" w:space="0" w:color="808080"/>
              <w:right w:val="single" w:sz="4" w:space="0" w:color="808080"/>
            </w:tcBorders>
            <w:shd w:val="clear" w:color="auto" w:fill="auto"/>
            <w:noWrap/>
            <w:vAlign w:val="bottom"/>
            <w:hideMark/>
          </w:tcPr>
          <w:p w14:paraId="20D2C86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62.93%</w:t>
            </w:r>
          </w:p>
        </w:tc>
        <w:tc>
          <w:tcPr>
            <w:tcW w:w="233" w:type="pct"/>
            <w:tcBorders>
              <w:top w:val="nil"/>
              <w:left w:val="nil"/>
              <w:bottom w:val="single" w:sz="4" w:space="0" w:color="808080"/>
              <w:right w:val="single" w:sz="4" w:space="0" w:color="auto"/>
            </w:tcBorders>
            <w:shd w:val="clear" w:color="auto" w:fill="auto"/>
            <w:noWrap/>
            <w:vAlign w:val="bottom"/>
            <w:hideMark/>
          </w:tcPr>
          <w:p w14:paraId="515EB2F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86.89%</w:t>
            </w:r>
          </w:p>
        </w:tc>
      </w:tr>
      <w:tr w:rsidR="00A022DF" w:rsidRPr="00E87E42" w14:paraId="04EE6C32" w14:textId="77777777" w:rsidTr="005839EF">
        <w:trPr>
          <w:trHeight w:val="227"/>
        </w:trPr>
        <w:tc>
          <w:tcPr>
            <w:tcW w:w="54" w:type="pct"/>
            <w:tcBorders>
              <w:top w:val="nil"/>
              <w:left w:val="single" w:sz="4" w:space="0" w:color="auto"/>
              <w:bottom w:val="single" w:sz="4" w:space="0" w:color="auto"/>
              <w:right w:val="nil"/>
            </w:tcBorders>
            <w:shd w:val="clear" w:color="auto" w:fill="auto"/>
            <w:noWrap/>
            <w:vAlign w:val="bottom"/>
            <w:hideMark/>
          </w:tcPr>
          <w:p w14:paraId="2529F88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143" w:type="pct"/>
            <w:tcBorders>
              <w:top w:val="nil"/>
              <w:left w:val="single" w:sz="4" w:space="0" w:color="auto"/>
              <w:bottom w:val="single" w:sz="4" w:space="0" w:color="808080"/>
              <w:right w:val="single" w:sz="4" w:space="0" w:color="auto"/>
            </w:tcBorders>
            <w:shd w:val="clear" w:color="auto" w:fill="auto"/>
            <w:noWrap/>
            <w:vAlign w:val="bottom"/>
            <w:hideMark/>
          </w:tcPr>
          <w:p w14:paraId="5631296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82</w:t>
            </w:r>
          </w:p>
        </w:tc>
        <w:tc>
          <w:tcPr>
            <w:tcW w:w="143" w:type="pct"/>
            <w:tcBorders>
              <w:top w:val="nil"/>
              <w:left w:val="nil"/>
              <w:bottom w:val="single" w:sz="4" w:space="0" w:color="808080"/>
              <w:right w:val="single" w:sz="4" w:space="0" w:color="808080"/>
            </w:tcBorders>
            <w:shd w:val="clear" w:color="auto" w:fill="auto"/>
            <w:noWrap/>
            <w:vAlign w:val="bottom"/>
            <w:hideMark/>
          </w:tcPr>
          <w:p w14:paraId="370DB7F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30</w:t>
            </w:r>
          </w:p>
        </w:tc>
        <w:tc>
          <w:tcPr>
            <w:tcW w:w="207" w:type="pct"/>
            <w:tcBorders>
              <w:top w:val="nil"/>
              <w:left w:val="nil"/>
              <w:bottom w:val="single" w:sz="4" w:space="0" w:color="808080"/>
              <w:right w:val="single" w:sz="4" w:space="0" w:color="808080"/>
            </w:tcBorders>
            <w:shd w:val="clear" w:color="auto" w:fill="auto"/>
            <w:noWrap/>
            <w:vAlign w:val="bottom"/>
            <w:hideMark/>
          </w:tcPr>
          <w:p w14:paraId="245697D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76.92%</w:t>
            </w:r>
          </w:p>
        </w:tc>
        <w:tc>
          <w:tcPr>
            <w:tcW w:w="207" w:type="pct"/>
            <w:tcBorders>
              <w:top w:val="nil"/>
              <w:left w:val="nil"/>
              <w:bottom w:val="single" w:sz="4" w:space="0" w:color="808080"/>
              <w:right w:val="single" w:sz="4" w:space="0" w:color="808080"/>
            </w:tcBorders>
            <w:shd w:val="clear" w:color="auto" w:fill="auto"/>
            <w:noWrap/>
            <w:vAlign w:val="bottom"/>
            <w:hideMark/>
          </w:tcPr>
          <w:p w14:paraId="290C775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3.99%</w:t>
            </w:r>
          </w:p>
        </w:tc>
        <w:tc>
          <w:tcPr>
            <w:tcW w:w="158" w:type="pct"/>
            <w:tcBorders>
              <w:top w:val="nil"/>
              <w:left w:val="nil"/>
              <w:bottom w:val="single" w:sz="4" w:space="0" w:color="808080"/>
              <w:right w:val="single" w:sz="4" w:space="0" w:color="808080"/>
            </w:tcBorders>
            <w:shd w:val="clear" w:color="auto" w:fill="auto"/>
            <w:noWrap/>
            <w:vAlign w:val="bottom"/>
            <w:hideMark/>
          </w:tcPr>
          <w:p w14:paraId="5E4B02B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0.21</w:t>
            </w:r>
          </w:p>
        </w:tc>
        <w:tc>
          <w:tcPr>
            <w:tcW w:w="158" w:type="pct"/>
            <w:tcBorders>
              <w:top w:val="nil"/>
              <w:left w:val="nil"/>
              <w:bottom w:val="single" w:sz="4" w:space="0" w:color="808080"/>
              <w:right w:val="single" w:sz="4" w:space="0" w:color="auto"/>
            </w:tcBorders>
            <w:shd w:val="clear" w:color="auto" w:fill="auto"/>
            <w:noWrap/>
            <w:vAlign w:val="bottom"/>
            <w:hideMark/>
          </w:tcPr>
          <w:p w14:paraId="7EB43CE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0.21</w:t>
            </w:r>
          </w:p>
        </w:tc>
        <w:tc>
          <w:tcPr>
            <w:tcW w:w="143" w:type="pct"/>
            <w:tcBorders>
              <w:top w:val="nil"/>
              <w:left w:val="nil"/>
              <w:bottom w:val="single" w:sz="4" w:space="0" w:color="808080"/>
              <w:right w:val="single" w:sz="4" w:space="0" w:color="808080"/>
            </w:tcBorders>
            <w:shd w:val="clear" w:color="auto" w:fill="auto"/>
            <w:noWrap/>
            <w:vAlign w:val="bottom"/>
            <w:hideMark/>
          </w:tcPr>
          <w:p w14:paraId="639292D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w:t>
            </w:r>
          </w:p>
        </w:tc>
        <w:tc>
          <w:tcPr>
            <w:tcW w:w="207" w:type="pct"/>
            <w:tcBorders>
              <w:top w:val="nil"/>
              <w:left w:val="nil"/>
              <w:bottom w:val="single" w:sz="4" w:space="0" w:color="808080"/>
              <w:right w:val="single" w:sz="4" w:space="0" w:color="808080"/>
            </w:tcBorders>
            <w:shd w:val="clear" w:color="auto" w:fill="auto"/>
            <w:noWrap/>
            <w:vAlign w:val="bottom"/>
            <w:hideMark/>
          </w:tcPr>
          <w:p w14:paraId="0917F8E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15.38%</w:t>
            </w:r>
          </w:p>
        </w:tc>
        <w:tc>
          <w:tcPr>
            <w:tcW w:w="207" w:type="pct"/>
            <w:tcBorders>
              <w:top w:val="nil"/>
              <w:left w:val="nil"/>
              <w:bottom w:val="single" w:sz="4" w:space="0" w:color="808080"/>
              <w:right w:val="single" w:sz="4" w:space="0" w:color="808080"/>
            </w:tcBorders>
            <w:shd w:val="clear" w:color="auto" w:fill="auto"/>
            <w:noWrap/>
            <w:vAlign w:val="bottom"/>
            <w:hideMark/>
          </w:tcPr>
          <w:p w14:paraId="77B3A11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5.71%</w:t>
            </w:r>
          </w:p>
        </w:tc>
        <w:tc>
          <w:tcPr>
            <w:tcW w:w="158" w:type="pct"/>
            <w:tcBorders>
              <w:top w:val="nil"/>
              <w:left w:val="nil"/>
              <w:bottom w:val="single" w:sz="4" w:space="0" w:color="808080"/>
              <w:right w:val="single" w:sz="4" w:space="0" w:color="808080"/>
            </w:tcBorders>
            <w:shd w:val="clear" w:color="auto" w:fill="auto"/>
            <w:noWrap/>
            <w:vAlign w:val="bottom"/>
            <w:hideMark/>
          </w:tcPr>
          <w:p w14:paraId="4138930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0.53</w:t>
            </w:r>
          </w:p>
        </w:tc>
        <w:tc>
          <w:tcPr>
            <w:tcW w:w="158" w:type="pct"/>
            <w:tcBorders>
              <w:top w:val="nil"/>
              <w:left w:val="nil"/>
              <w:bottom w:val="single" w:sz="4" w:space="0" w:color="808080"/>
              <w:right w:val="nil"/>
            </w:tcBorders>
            <w:shd w:val="clear" w:color="auto" w:fill="auto"/>
            <w:noWrap/>
            <w:vAlign w:val="bottom"/>
            <w:hideMark/>
          </w:tcPr>
          <w:p w14:paraId="326E388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0.17</w:t>
            </w:r>
          </w:p>
        </w:tc>
        <w:tc>
          <w:tcPr>
            <w:tcW w:w="143" w:type="pct"/>
            <w:tcBorders>
              <w:top w:val="nil"/>
              <w:left w:val="single" w:sz="4" w:space="0" w:color="auto"/>
              <w:bottom w:val="single" w:sz="4" w:space="0" w:color="808080"/>
              <w:right w:val="single" w:sz="4" w:space="0" w:color="808080"/>
            </w:tcBorders>
            <w:shd w:val="clear" w:color="auto" w:fill="auto"/>
            <w:noWrap/>
            <w:vAlign w:val="bottom"/>
            <w:hideMark/>
          </w:tcPr>
          <w:p w14:paraId="497AA47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07" w:type="pct"/>
            <w:tcBorders>
              <w:top w:val="nil"/>
              <w:left w:val="nil"/>
              <w:bottom w:val="single" w:sz="4" w:space="0" w:color="808080"/>
              <w:right w:val="single" w:sz="4" w:space="0" w:color="808080"/>
            </w:tcBorders>
            <w:shd w:val="clear" w:color="auto" w:fill="auto"/>
            <w:noWrap/>
            <w:vAlign w:val="bottom"/>
            <w:hideMark/>
          </w:tcPr>
          <w:p w14:paraId="0103A5B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5.13%</w:t>
            </w:r>
          </w:p>
        </w:tc>
        <w:tc>
          <w:tcPr>
            <w:tcW w:w="207" w:type="pct"/>
            <w:tcBorders>
              <w:top w:val="nil"/>
              <w:left w:val="nil"/>
              <w:bottom w:val="single" w:sz="4" w:space="0" w:color="808080"/>
              <w:right w:val="single" w:sz="4" w:space="0" w:color="808080"/>
            </w:tcBorders>
            <w:shd w:val="clear" w:color="auto" w:fill="auto"/>
            <w:noWrap/>
            <w:vAlign w:val="bottom"/>
            <w:hideMark/>
          </w:tcPr>
          <w:p w14:paraId="03F96AC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3.03%</w:t>
            </w:r>
          </w:p>
        </w:tc>
        <w:tc>
          <w:tcPr>
            <w:tcW w:w="187" w:type="pct"/>
            <w:tcBorders>
              <w:top w:val="nil"/>
              <w:left w:val="nil"/>
              <w:bottom w:val="single" w:sz="4" w:space="0" w:color="808080"/>
              <w:right w:val="single" w:sz="4" w:space="0" w:color="808080"/>
            </w:tcBorders>
            <w:shd w:val="clear" w:color="auto" w:fill="auto"/>
            <w:noWrap/>
            <w:vAlign w:val="bottom"/>
            <w:hideMark/>
          </w:tcPr>
          <w:p w14:paraId="1282DD9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0.03</w:t>
            </w:r>
          </w:p>
        </w:tc>
        <w:tc>
          <w:tcPr>
            <w:tcW w:w="158" w:type="pct"/>
            <w:tcBorders>
              <w:top w:val="nil"/>
              <w:left w:val="nil"/>
              <w:bottom w:val="single" w:sz="4" w:space="0" w:color="808080"/>
              <w:right w:val="single" w:sz="4" w:space="0" w:color="auto"/>
            </w:tcBorders>
            <w:shd w:val="clear" w:color="auto" w:fill="auto"/>
            <w:noWrap/>
            <w:vAlign w:val="bottom"/>
            <w:hideMark/>
          </w:tcPr>
          <w:p w14:paraId="417CBCA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0.01</w:t>
            </w:r>
          </w:p>
        </w:tc>
        <w:tc>
          <w:tcPr>
            <w:tcW w:w="143" w:type="pct"/>
            <w:tcBorders>
              <w:top w:val="nil"/>
              <w:left w:val="nil"/>
              <w:bottom w:val="single" w:sz="4" w:space="0" w:color="808080"/>
              <w:right w:val="single" w:sz="4" w:space="0" w:color="808080"/>
            </w:tcBorders>
            <w:shd w:val="clear" w:color="auto" w:fill="auto"/>
            <w:noWrap/>
            <w:vAlign w:val="bottom"/>
            <w:hideMark/>
          </w:tcPr>
          <w:p w14:paraId="695DA9A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07" w:type="pct"/>
            <w:tcBorders>
              <w:top w:val="nil"/>
              <w:left w:val="nil"/>
              <w:bottom w:val="single" w:sz="4" w:space="0" w:color="808080"/>
              <w:right w:val="single" w:sz="4" w:space="0" w:color="808080"/>
            </w:tcBorders>
            <w:shd w:val="clear" w:color="auto" w:fill="auto"/>
            <w:noWrap/>
            <w:vAlign w:val="bottom"/>
            <w:hideMark/>
          </w:tcPr>
          <w:p w14:paraId="4942B2C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2.56%</w:t>
            </w:r>
          </w:p>
        </w:tc>
        <w:tc>
          <w:tcPr>
            <w:tcW w:w="207" w:type="pct"/>
            <w:tcBorders>
              <w:top w:val="nil"/>
              <w:left w:val="nil"/>
              <w:bottom w:val="single" w:sz="4" w:space="0" w:color="808080"/>
              <w:right w:val="single" w:sz="4" w:space="0" w:color="808080"/>
            </w:tcBorders>
            <w:shd w:val="clear" w:color="auto" w:fill="auto"/>
            <w:noWrap/>
            <w:vAlign w:val="bottom"/>
            <w:hideMark/>
          </w:tcPr>
          <w:p w14:paraId="1ED0615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2.17%</w:t>
            </w:r>
          </w:p>
        </w:tc>
        <w:tc>
          <w:tcPr>
            <w:tcW w:w="187" w:type="pct"/>
            <w:tcBorders>
              <w:top w:val="nil"/>
              <w:left w:val="nil"/>
              <w:bottom w:val="single" w:sz="4" w:space="0" w:color="808080"/>
              <w:right w:val="single" w:sz="4" w:space="0" w:color="808080"/>
            </w:tcBorders>
            <w:shd w:val="clear" w:color="auto" w:fill="auto"/>
            <w:noWrap/>
            <w:vAlign w:val="bottom"/>
            <w:hideMark/>
          </w:tcPr>
          <w:p w14:paraId="3B332E8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0.02</w:t>
            </w:r>
          </w:p>
        </w:tc>
        <w:tc>
          <w:tcPr>
            <w:tcW w:w="158" w:type="pct"/>
            <w:tcBorders>
              <w:top w:val="nil"/>
              <w:left w:val="nil"/>
              <w:bottom w:val="single" w:sz="4" w:space="0" w:color="808080"/>
              <w:right w:val="nil"/>
            </w:tcBorders>
            <w:shd w:val="clear" w:color="auto" w:fill="auto"/>
            <w:noWrap/>
            <w:vAlign w:val="bottom"/>
            <w:hideMark/>
          </w:tcPr>
          <w:p w14:paraId="358CEEC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0" w:type="pct"/>
            <w:tcBorders>
              <w:top w:val="nil"/>
              <w:left w:val="single" w:sz="4" w:space="0" w:color="auto"/>
              <w:bottom w:val="single" w:sz="4" w:space="0" w:color="808080"/>
              <w:right w:val="single" w:sz="4" w:space="0" w:color="auto"/>
            </w:tcBorders>
            <w:shd w:val="clear" w:color="auto" w:fill="auto"/>
            <w:noWrap/>
            <w:vAlign w:val="bottom"/>
            <w:hideMark/>
          </w:tcPr>
          <w:p w14:paraId="7AB0F3D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0.25</w:t>
            </w:r>
          </w:p>
        </w:tc>
        <w:tc>
          <w:tcPr>
            <w:tcW w:w="207" w:type="pct"/>
            <w:tcBorders>
              <w:top w:val="nil"/>
              <w:left w:val="nil"/>
              <w:bottom w:val="single" w:sz="4" w:space="0" w:color="808080"/>
              <w:right w:val="single" w:sz="4" w:space="0" w:color="808080"/>
            </w:tcBorders>
            <w:shd w:val="clear" w:color="auto" w:fill="auto"/>
            <w:noWrap/>
            <w:vAlign w:val="bottom"/>
            <w:hideMark/>
          </w:tcPr>
          <w:p w14:paraId="7186D3F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4.02%</w:t>
            </w:r>
          </w:p>
        </w:tc>
        <w:tc>
          <w:tcPr>
            <w:tcW w:w="236" w:type="pct"/>
            <w:tcBorders>
              <w:top w:val="nil"/>
              <w:left w:val="nil"/>
              <w:bottom w:val="single" w:sz="4" w:space="0" w:color="808080"/>
              <w:right w:val="single" w:sz="4" w:space="0" w:color="808080"/>
            </w:tcBorders>
            <w:shd w:val="clear" w:color="auto" w:fill="auto"/>
            <w:noWrap/>
            <w:vAlign w:val="bottom"/>
            <w:hideMark/>
          </w:tcPr>
          <w:p w14:paraId="5C7DD32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74.82%</w:t>
            </w:r>
          </w:p>
        </w:tc>
        <w:tc>
          <w:tcPr>
            <w:tcW w:w="207" w:type="pct"/>
            <w:tcBorders>
              <w:top w:val="nil"/>
              <w:left w:val="nil"/>
              <w:bottom w:val="single" w:sz="4" w:space="0" w:color="808080"/>
              <w:right w:val="single" w:sz="4" w:space="0" w:color="808080"/>
            </w:tcBorders>
            <w:shd w:val="clear" w:color="auto" w:fill="auto"/>
            <w:noWrap/>
            <w:vAlign w:val="bottom"/>
            <w:hideMark/>
          </w:tcPr>
          <w:p w14:paraId="6219D90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4.86%</w:t>
            </w:r>
          </w:p>
        </w:tc>
        <w:tc>
          <w:tcPr>
            <w:tcW w:w="233" w:type="pct"/>
            <w:tcBorders>
              <w:top w:val="nil"/>
              <w:left w:val="nil"/>
              <w:bottom w:val="single" w:sz="4" w:space="0" w:color="808080"/>
              <w:right w:val="single" w:sz="4" w:space="0" w:color="auto"/>
            </w:tcBorders>
            <w:shd w:val="clear" w:color="auto" w:fill="auto"/>
            <w:noWrap/>
            <w:vAlign w:val="bottom"/>
            <w:hideMark/>
          </w:tcPr>
          <w:p w14:paraId="14A7D04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91.76%</w:t>
            </w:r>
          </w:p>
        </w:tc>
      </w:tr>
      <w:tr w:rsidR="00A022DF" w:rsidRPr="00E87E42" w14:paraId="412B01F6" w14:textId="77777777" w:rsidTr="005839EF">
        <w:trPr>
          <w:trHeight w:val="227"/>
        </w:trPr>
        <w:tc>
          <w:tcPr>
            <w:tcW w:w="54" w:type="pct"/>
            <w:tcBorders>
              <w:top w:val="nil"/>
              <w:left w:val="single" w:sz="4" w:space="0" w:color="auto"/>
              <w:bottom w:val="single" w:sz="4" w:space="0" w:color="auto"/>
              <w:right w:val="nil"/>
            </w:tcBorders>
            <w:shd w:val="clear" w:color="auto" w:fill="auto"/>
            <w:noWrap/>
            <w:vAlign w:val="bottom"/>
            <w:hideMark/>
          </w:tcPr>
          <w:p w14:paraId="49B96E5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143" w:type="pct"/>
            <w:tcBorders>
              <w:top w:val="nil"/>
              <w:left w:val="single" w:sz="4" w:space="0" w:color="auto"/>
              <w:bottom w:val="single" w:sz="4" w:space="0" w:color="808080"/>
              <w:right w:val="single" w:sz="4" w:space="0" w:color="auto"/>
            </w:tcBorders>
            <w:shd w:val="clear" w:color="auto" w:fill="auto"/>
            <w:noWrap/>
            <w:vAlign w:val="bottom"/>
            <w:hideMark/>
          </w:tcPr>
          <w:p w14:paraId="69C9DD1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118</w:t>
            </w:r>
          </w:p>
        </w:tc>
        <w:tc>
          <w:tcPr>
            <w:tcW w:w="143" w:type="pct"/>
            <w:tcBorders>
              <w:top w:val="nil"/>
              <w:left w:val="nil"/>
              <w:bottom w:val="single" w:sz="4" w:space="0" w:color="808080"/>
              <w:right w:val="single" w:sz="4" w:space="0" w:color="808080"/>
            </w:tcBorders>
            <w:shd w:val="clear" w:color="auto" w:fill="auto"/>
            <w:noWrap/>
            <w:vAlign w:val="bottom"/>
            <w:hideMark/>
          </w:tcPr>
          <w:p w14:paraId="00336FA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91</w:t>
            </w:r>
          </w:p>
        </w:tc>
        <w:tc>
          <w:tcPr>
            <w:tcW w:w="207" w:type="pct"/>
            <w:tcBorders>
              <w:top w:val="nil"/>
              <w:left w:val="nil"/>
              <w:bottom w:val="single" w:sz="4" w:space="0" w:color="808080"/>
              <w:right w:val="single" w:sz="4" w:space="0" w:color="808080"/>
            </w:tcBorders>
            <w:shd w:val="clear" w:color="auto" w:fill="auto"/>
            <w:noWrap/>
            <w:vAlign w:val="bottom"/>
            <w:hideMark/>
          </w:tcPr>
          <w:p w14:paraId="504F51A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40.27%</w:t>
            </w:r>
          </w:p>
        </w:tc>
        <w:tc>
          <w:tcPr>
            <w:tcW w:w="207" w:type="pct"/>
            <w:tcBorders>
              <w:top w:val="nil"/>
              <w:left w:val="nil"/>
              <w:bottom w:val="single" w:sz="4" w:space="0" w:color="808080"/>
              <w:right w:val="single" w:sz="4" w:space="0" w:color="808080"/>
            </w:tcBorders>
            <w:shd w:val="clear" w:color="auto" w:fill="auto"/>
            <w:noWrap/>
            <w:vAlign w:val="bottom"/>
            <w:hideMark/>
          </w:tcPr>
          <w:p w14:paraId="0DFB5FE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12.10%</w:t>
            </w:r>
          </w:p>
        </w:tc>
        <w:tc>
          <w:tcPr>
            <w:tcW w:w="158" w:type="pct"/>
            <w:tcBorders>
              <w:top w:val="nil"/>
              <w:left w:val="nil"/>
              <w:bottom w:val="single" w:sz="4" w:space="0" w:color="808080"/>
              <w:right w:val="single" w:sz="4" w:space="0" w:color="808080"/>
            </w:tcBorders>
            <w:shd w:val="clear" w:color="auto" w:fill="auto"/>
            <w:noWrap/>
            <w:vAlign w:val="bottom"/>
            <w:hideMark/>
          </w:tcPr>
          <w:p w14:paraId="7F9B4E6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2.16</w:t>
            </w:r>
          </w:p>
        </w:tc>
        <w:tc>
          <w:tcPr>
            <w:tcW w:w="158" w:type="pct"/>
            <w:tcBorders>
              <w:top w:val="nil"/>
              <w:left w:val="nil"/>
              <w:bottom w:val="single" w:sz="4" w:space="0" w:color="808080"/>
              <w:right w:val="single" w:sz="4" w:space="0" w:color="auto"/>
            </w:tcBorders>
            <w:shd w:val="clear" w:color="auto" w:fill="auto"/>
            <w:noWrap/>
            <w:vAlign w:val="bottom"/>
            <w:hideMark/>
          </w:tcPr>
          <w:p w14:paraId="041AA5D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2.16</w:t>
            </w:r>
          </w:p>
        </w:tc>
        <w:tc>
          <w:tcPr>
            <w:tcW w:w="143" w:type="pct"/>
            <w:tcBorders>
              <w:top w:val="nil"/>
              <w:left w:val="nil"/>
              <w:bottom w:val="single" w:sz="4" w:space="0" w:color="808080"/>
              <w:right w:val="single" w:sz="4" w:space="0" w:color="808080"/>
            </w:tcBorders>
            <w:shd w:val="clear" w:color="auto" w:fill="auto"/>
            <w:noWrap/>
            <w:vAlign w:val="bottom"/>
            <w:hideMark/>
          </w:tcPr>
          <w:p w14:paraId="0D58475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47</w:t>
            </w:r>
          </w:p>
        </w:tc>
        <w:tc>
          <w:tcPr>
            <w:tcW w:w="207" w:type="pct"/>
            <w:tcBorders>
              <w:top w:val="nil"/>
              <w:left w:val="nil"/>
              <w:bottom w:val="single" w:sz="4" w:space="0" w:color="808080"/>
              <w:right w:val="single" w:sz="4" w:space="0" w:color="808080"/>
            </w:tcBorders>
            <w:shd w:val="clear" w:color="auto" w:fill="auto"/>
            <w:noWrap/>
            <w:vAlign w:val="bottom"/>
            <w:hideMark/>
          </w:tcPr>
          <w:p w14:paraId="0EB5136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20.80%</w:t>
            </w:r>
          </w:p>
        </w:tc>
        <w:tc>
          <w:tcPr>
            <w:tcW w:w="207" w:type="pct"/>
            <w:tcBorders>
              <w:top w:val="nil"/>
              <w:left w:val="nil"/>
              <w:bottom w:val="single" w:sz="4" w:space="0" w:color="808080"/>
              <w:right w:val="single" w:sz="4" w:space="0" w:color="808080"/>
            </w:tcBorders>
            <w:shd w:val="clear" w:color="auto" w:fill="auto"/>
            <w:noWrap/>
            <w:vAlign w:val="bottom"/>
            <w:hideMark/>
          </w:tcPr>
          <w:p w14:paraId="53B6C8A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44.76%</w:t>
            </w:r>
          </w:p>
        </w:tc>
        <w:tc>
          <w:tcPr>
            <w:tcW w:w="158" w:type="pct"/>
            <w:tcBorders>
              <w:top w:val="nil"/>
              <w:left w:val="nil"/>
              <w:bottom w:val="single" w:sz="4" w:space="0" w:color="808080"/>
              <w:right w:val="single" w:sz="4" w:space="0" w:color="808080"/>
            </w:tcBorders>
            <w:shd w:val="clear" w:color="auto" w:fill="auto"/>
            <w:noWrap/>
            <w:vAlign w:val="bottom"/>
            <w:hideMark/>
          </w:tcPr>
          <w:p w14:paraId="263CDE9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1.81</w:t>
            </w:r>
          </w:p>
        </w:tc>
        <w:tc>
          <w:tcPr>
            <w:tcW w:w="158" w:type="pct"/>
            <w:tcBorders>
              <w:top w:val="nil"/>
              <w:left w:val="nil"/>
              <w:bottom w:val="single" w:sz="4" w:space="0" w:color="808080"/>
              <w:right w:val="nil"/>
            </w:tcBorders>
            <w:shd w:val="clear" w:color="auto" w:fill="auto"/>
            <w:noWrap/>
            <w:vAlign w:val="bottom"/>
            <w:hideMark/>
          </w:tcPr>
          <w:p w14:paraId="0834804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0.59</w:t>
            </w:r>
          </w:p>
        </w:tc>
        <w:tc>
          <w:tcPr>
            <w:tcW w:w="143" w:type="pct"/>
            <w:tcBorders>
              <w:top w:val="nil"/>
              <w:left w:val="single" w:sz="4" w:space="0" w:color="auto"/>
              <w:bottom w:val="single" w:sz="4" w:space="0" w:color="808080"/>
              <w:right w:val="single" w:sz="4" w:space="0" w:color="808080"/>
            </w:tcBorders>
            <w:shd w:val="clear" w:color="auto" w:fill="auto"/>
            <w:noWrap/>
            <w:vAlign w:val="bottom"/>
            <w:hideMark/>
          </w:tcPr>
          <w:p w14:paraId="612AF95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53</w:t>
            </w:r>
          </w:p>
        </w:tc>
        <w:tc>
          <w:tcPr>
            <w:tcW w:w="207" w:type="pct"/>
            <w:tcBorders>
              <w:top w:val="nil"/>
              <w:left w:val="nil"/>
              <w:bottom w:val="single" w:sz="4" w:space="0" w:color="808080"/>
              <w:right w:val="single" w:sz="4" w:space="0" w:color="808080"/>
            </w:tcBorders>
            <w:shd w:val="clear" w:color="auto" w:fill="auto"/>
            <w:noWrap/>
            <w:vAlign w:val="bottom"/>
            <w:hideMark/>
          </w:tcPr>
          <w:p w14:paraId="48AB6F1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23.45%</w:t>
            </w:r>
          </w:p>
        </w:tc>
        <w:tc>
          <w:tcPr>
            <w:tcW w:w="207" w:type="pct"/>
            <w:tcBorders>
              <w:top w:val="nil"/>
              <w:left w:val="nil"/>
              <w:bottom w:val="single" w:sz="4" w:space="0" w:color="808080"/>
              <w:right w:val="single" w:sz="4" w:space="0" w:color="808080"/>
            </w:tcBorders>
            <w:shd w:val="clear" w:color="auto" w:fill="auto"/>
            <w:noWrap/>
            <w:vAlign w:val="bottom"/>
            <w:hideMark/>
          </w:tcPr>
          <w:p w14:paraId="73D2B1C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80.30%</w:t>
            </w:r>
          </w:p>
        </w:tc>
        <w:tc>
          <w:tcPr>
            <w:tcW w:w="187" w:type="pct"/>
            <w:tcBorders>
              <w:top w:val="nil"/>
              <w:left w:val="nil"/>
              <w:bottom w:val="single" w:sz="4" w:space="0" w:color="808080"/>
              <w:right w:val="single" w:sz="4" w:space="0" w:color="808080"/>
            </w:tcBorders>
            <w:shd w:val="clear" w:color="auto" w:fill="auto"/>
            <w:noWrap/>
            <w:vAlign w:val="bottom"/>
            <w:hideMark/>
          </w:tcPr>
          <w:p w14:paraId="74FC18D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14.13</w:t>
            </w:r>
          </w:p>
        </w:tc>
        <w:tc>
          <w:tcPr>
            <w:tcW w:w="158" w:type="pct"/>
            <w:tcBorders>
              <w:top w:val="nil"/>
              <w:left w:val="nil"/>
              <w:bottom w:val="single" w:sz="4" w:space="0" w:color="808080"/>
              <w:right w:val="single" w:sz="4" w:space="0" w:color="auto"/>
            </w:tcBorders>
            <w:shd w:val="clear" w:color="auto" w:fill="auto"/>
            <w:noWrap/>
            <w:vAlign w:val="bottom"/>
            <w:hideMark/>
          </w:tcPr>
          <w:p w14:paraId="06526E7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2.73</w:t>
            </w:r>
          </w:p>
        </w:tc>
        <w:tc>
          <w:tcPr>
            <w:tcW w:w="143" w:type="pct"/>
            <w:tcBorders>
              <w:top w:val="nil"/>
              <w:left w:val="nil"/>
              <w:bottom w:val="single" w:sz="4" w:space="0" w:color="808080"/>
              <w:right w:val="single" w:sz="4" w:space="0" w:color="808080"/>
            </w:tcBorders>
            <w:shd w:val="clear" w:color="auto" w:fill="auto"/>
            <w:noWrap/>
            <w:vAlign w:val="bottom"/>
            <w:hideMark/>
          </w:tcPr>
          <w:p w14:paraId="23657EA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35</w:t>
            </w:r>
          </w:p>
        </w:tc>
        <w:tc>
          <w:tcPr>
            <w:tcW w:w="207" w:type="pct"/>
            <w:tcBorders>
              <w:top w:val="nil"/>
              <w:left w:val="nil"/>
              <w:bottom w:val="single" w:sz="4" w:space="0" w:color="808080"/>
              <w:right w:val="single" w:sz="4" w:space="0" w:color="808080"/>
            </w:tcBorders>
            <w:shd w:val="clear" w:color="auto" w:fill="auto"/>
            <w:noWrap/>
            <w:vAlign w:val="bottom"/>
            <w:hideMark/>
          </w:tcPr>
          <w:p w14:paraId="07B8FDA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15.49%</w:t>
            </w:r>
          </w:p>
        </w:tc>
        <w:tc>
          <w:tcPr>
            <w:tcW w:w="207" w:type="pct"/>
            <w:tcBorders>
              <w:top w:val="nil"/>
              <w:left w:val="nil"/>
              <w:bottom w:val="single" w:sz="4" w:space="0" w:color="808080"/>
              <w:right w:val="single" w:sz="4" w:space="0" w:color="808080"/>
            </w:tcBorders>
            <w:shd w:val="clear" w:color="auto" w:fill="auto"/>
            <w:noWrap/>
            <w:vAlign w:val="bottom"/>
            <w:hideMark/>
          </w:tcPr>
          <w:p w14:paraId="5EE7A47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76.09%</w:t>
            </w:r>
          </w:p>
        </w:tc>
        <w:tc>
          <w:tcPr>
            <w:tcW w:w="187" w:type="pct"/>
            <w:tcBorders>
              <w:top w:val="nil"/>
              <w:left w:val="nil"/>
              <w:bottom w:val="single" w:sz="4" w:space="0" w:color="808080"/>
              <w:right w:val="single" w:sz="4" w:space="0" w:color="808080"/>
            </w:tcBorders>
            <w:shd w:val="clear" w:color="auto" w:fill="auto"/>
            <w:noWrap/>
            <w:vAlign w:val="bottom"/>
            <w:hideMark/>
          </w:tcPr>
          <w:p w14:paraId="779E51C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5.88</w:t>
            </w:r>
          </w:p>
        </w:tc>
        <w:tc>
          <w:tcPr>
            <w:tcW w:w="158" w:type="pct"/>
            <w:tcBorders>
              <w:top w:val="nil"/>
              <w:left w:val="nil"/>
              <w:bottom w:val="single" w:sz="4" w:space="0" w:color="808080"/>
              <w:right w:val="nil"/>
            </w:tcBorders>
            <w:shd w:val="clear" w:color="auto" w:fill="auto"/>
            <w:noWrap/>
            <w:vAlign w:val="bottom"/>
            <w:hideMark/>
          </w:tcPr>
          <w:p w14:paraId="0FB467F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0.80</w:t>
            </w:r>
          </w:p>
        </w:tc>
        <w:tc>
          <w:tcPr>
            <w:tcW w:w="370" w:type="pct"/>
            <w:tcBorders>
              <w:top w:val="nil"/>
              <w:left w:val="single" w:sz="4" w:space="0" w:color="auto"/>
              <w:bottom w:val="single" w:sz="4" w:space="0" w:color="808080"/>
              <w:right w:val="single" w:sz="4" w:space="0" w:color="auto"/>
            </w:tcBorders>
            <w:shd w:val="clear" w:color="auto" w:fill="auto"/>
            <w:noWrap/>
            <w:vAlign w:val="bottom"/>
            <w:hideMark/>
          </w:tcPr>
          <w:p w14:paraId="1704F70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5.47</w:t>
            </w:r>
          </w:p>
        </w:tc>
        <w:tc>
          <w:tcPr>
            <w:tcW w:w="207" w:type="pct"/>
            <w:tcBorders>
              <w:top w:val="nil"/>
              <w:left w:val="nil"/>
              <w:bottom w:val="single" w:sz="4" w:space="0" w:color="808080"/>
              <w:right w:val="single" w:sz="4" w:space="0" w:color="808080"/>
            </w:tcBorders>
            <w:shd w:val="clear" w:color="auto" w:fill="auto"/>
            <w:noWrap/>
            <w:vAlign w:val="bottom"/>
            <w:hideMark/>
          </w:tcPr>
          <w:p w14:paraId="3486676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23.32%</w:t>
            </w:r>
          </w:p>
        </w:tc>
        <w:tc>
          <w:tcPr>
            <w:tcW w:w="236" w:type="pct"/>
            <w:tcBorders>
              <w:top w:val="nil"/>
              <w:left w:val="nil"/>
              <w:bottom w:val="single" w:sz="4" w:space="0" w:color="808080"/>
              <w:right w:val="single" w:sz="4" w:space="0" w:color="808080"/>
            </w:tcBorders>
            <w:shd w:val="clear" w:color="auto" w:fill="auto"/>
            <w:noWrap/>
            <w:vAlign w:val="bottom"/>
            <w:hideMark/>
          </w:tcPr>
          <w:p w14:paraId="233A487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98.14%</w:t>
            </w:r>
          </w:p>
        </w:tc>
        <w:tc>
          <w:tcPr>
            <w:tcW w:w="207" w:type="pct"/>
            <w:tcBorders>
              <w:top w:val="nil"/>
              <w:left w:val="nil"/>
              <w:bottom w:val="single" w:sz="4" w:space="0" w:color="808080"/>
              <w:right w:val="single" w:sz="4" w:space="0" w:color="808080"/>
            </w:tcBorders>
            <w:shd w:val="clear" w:color="auto" w:fill="auto"/>
            <w:noWrap/>
            <w:vAlign w:val="bottom"/>
            <w:hideMark/>
          </w:tcPr>
          <w:p w14:paraId="0DFAD9D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7.00%</w:t>
            </w:r>
          </w:p>
        </w:tc>
        <w:tc>
          <w:tcPr>
            <w:tcW w:w="233" w:type="pct"/>
            <w:tcBorders>
              <w:top w:val="nil"/>
              <w:left w:val="nil"/>
              <w:bottom w:val="single" w:sz="4" w:space="0" w:color="808080"/>
              <w:right w:val="single" w:sz="4" w:space="0" w:color="auto"/>
            </w:tcBorders>
            <w:shd w:val="clear" w:color="auto" w:fill="auto"/>
            <w:noWrap/>
            <w:vAlign w:val="bottom"/>
            <w:hideMark/>
          </w:tcPr>
          <w:p w14:paraId="6B83FA6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98.75%</w:t>
            </w:r>
          </w:p>
        </w:tc>
      </w:tr>
      <w:tr w:rsidR="00A022DF" w:rsidRPr="00E87E42" w14:paraId="3EB5230C" w14:textId="77777777" w:rsidTr="005839EF">
        <w:trPr>
          <w:trHeight w:val="227"/>
        </w:trPr>
        <w:tc>
          <w:tcPr>
            <w:tcW w:w="54" w:type="pct"/>
            <w:tcBorders>
              <w:top w:val="nil"/>
              <w:left w:val="single" w:sz="4" w:space="0" w:color="auto"/>
              <w:bottom w:val="single" w:sz="4" w:space="0" w:color="auto"/>
              <w:right w:val="nil"/>
            </w:tcBorders>
            <w:shd w:val="clear" w:color="auto" w:fill="auto"/>
            <w:noWrap/>
            <w:vAlign w:val="bottom"/>
            <w:hideMark/>
          </w:tcPr>
          <w:p w14:paraId="29F7169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143" w:type="pct"/>
            <w:tcBorders>
              <w:top w:val="nil"/>
              <w:left w:val="single" w:sz="4" w:space="0" w:color="auto"/>
              <w:bottom w:val="single" w:sz="4" w:space="0" w:color="auto"/>
              <w:right w:val="single" w:sz="4" w:space="0" w:color="auto"/>
            </w:tcBorders>
            <w:shd w:val="clear" w:color="auto" w:fill="auto"/>
            <w:noWrap/>
            <w:vAlign w:val="bottom"/>
            <w:hideMark/>
          </w:tcPr>
          <w:p w14:paraId="072B02C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w:t>
            </w:r>
          </w:p>
        </w:tc>
        <w:tc>
          <w:tcPr>
            <w:tcW w:w="143" w:type="pct"/>
            <w:tcBorders>
              <w:top w:val="nil"/>
              <w:left w:val="nil"/>
              <w:bottom w:val="single" w:sz="4" w:space="0" w:color="auto"/>
              <w:right w:val="single" w:sz="4" w:space="0" w:color="808080"/>
            </w:tcBorders>
            <w:shd w:val="clear" w:color="auto" w:fill="auto"/>
            <w:noWrap/>
            <w:vAlign w:val="bottom"/>
            <w:hideMark/>
          </w:tcPr>
          <w:p w14:paraId="1816C7F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07" w:type="pct"/>
            <w:tcBorders>
              <w:top w:val="nil"/>
              <w:left w:val="nil"/>
              <w:bottom w:val="single" w:sz="4" w:space="0" w:color="auto"/>
              <w:right w:val="single" w:sz="4" w:space="0" w:color="808080"/>
            </w:tcBorders>
            <w:shd w:val="clear" w:color="auto" w:fill="auto"/>
            <w:noWrap/>
            <w:vAlign w:val="bottom"/>
            <w:hideMark/>
          </w:tcPr>
          <w:p w14:paraId="3D030F2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11.11%</w:t>
            </w:r>
          </w:p>
        </w:tc>
        <w:tc>
          <w:tcPr>
            <w:tcW w:w="207" w:type="pct"/>
            <w:tcBorders>
              <w:top w:val="nil"/>
              <w:left w:val="nil"/>
              <w:bottom w:val="single" w:sz="4" w:space="0" w:color="auto"/>
              <w:right w:val="single" w:sz="4" w:space="0" w:color="808080"/>
            </w:tcBorders>
            <w:shd w:val="clear" w:color="auto" w:fill="auto"/>
            <w:noWrap/>
            <w:vAlign w:val="bottom"/>
            <w:hideMark/>
          </w:tcPr>
          <w:p w14:paraId="39680CC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0.27%</w:t>
            </w:r>
          </w:p>
        </w:tc>
        <w:tc>
          <w:tcPr>
            <w:tcW w:w="158" w:type="pct"/>
            <w:tcBorders>
              <w:top w:val="nil"/>
              <w:left w:val="nil"/>
              <w:bottom w:val="single" w:sz="4" w:space="0" w:color="auto"/>
              <w:right w:val="single" w:sz="4" w:space="0" w:color="808080"/>
            </w:tcBorders>
            <w:shd w:val="clear" w:color="auto" w:fill="auto"/>
            <w:noWrap/>
            <w:vAlign w:val="bottom"/>
            <w:hideMark/>
          </w:tcPr>
          <w:p w14:paraId="67BEF31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58" w:type="pct"/>
            <w:tcBorders>
              <w:top w:val="nil"/>
              <w:left w:val="nil"/>
              <w:bottom w:val="single" w:sz="4" w:space="0" w:color="auto"/>
              <w:right w:val="single" w:sz="4" w:space="0" w:color="auto"/>
            </w:tcBorders>
            <w:shd w:val="clear" w:color="auto" w:fill="auto"/>
            <w:noWrap/>
            <w:vAlign w:val="bottom"/>
            <w:hideMark/>
          </w:tcPr>
          <w:p w14:paraId="2380165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43" w:type="pct"/>
            <w:tcBorders>
              <w:top w:val="nil"/>
              <w:left w:val="nil"/>
              <w:bottom w:val="single" w:sz="4" w:space="0" w:color="auto"/>
              <w:right w:val="single" w:sz="4" w:space="0" w:color="808080"/>
            </w:tcBorders>
            <w:shd w:val="clear" w:color="auto" w:fill="auto"/>
            <w:noWrap/>
            <w:vAlign w:val="bottom"/>
            <w:hideMark/>
          </w:tcPr>
          <w:p w14:paraId="03E6CE4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207" w:type="pct"/>
            <w:tcBorders>
              <w:top w:val="nil"/>
              <w:left w:val="nil"/>
              <w:bottom w:val="single" w:sz="4" w:space="0" w:color="auto"/>
              <w:right w:val="single" w:sz="4" w:space="0" w:color="808080"/>
            </w:tcBorders>
            <w:shd w:val="clear" w:color="auto" w:fill="auto"/>
            <w:noWrap/>
            <w:vAlign w:val="bottom"/>
            <w:hideMark/>
          </w:tcPr>
          <w:p w14:paraId="4884EB4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22.22%</w:t>
            </w:r>
          </w:p>
        </w:tc>
        <w:tc>
          <w:tcPr>
            <w:tcW w:w="207" w:type="pct"/>
            <w:tcBorders>
              <w:top w:val="nil"/>
              <w:left w:val="nil"/>
              <w:bottom w:val="single" w:sz="4" w:space="0" w:color="auto"/>
              <w:right w:val="single" w:sz="4" w:space="0" w:color="808080"/>
            </w:tcBorders>
            <w:shd w:val="clear" w:color="auto" w:fill="auto"/>
            <w:noWrap/>
            <w:vAlign w:val="bottom"/>
            <w:hideMark/>
          </w:tcPr>
          <w:p w14:paraId="2E4339C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3.81%</w:t>
            </w:r>
          </w:p>
        </w:tc>
        <w:tc>
          <w:tcPr>
            <w:tcW w:w="158" w:type="pct"/>
            <w:tcBorders>
              <w:top w:val="nil"/>
              <w:left w:val="nil"/>
              <w:bottom w:val="single" w:sz="4" w:space="0" w:color="auto"/>
              <w:right w:val="single" w:sz="4" w:space="0" w:color="808080"/>
            </w:tcBorders>
            <w:shd w:val="clear" w:color="auto" w:fill="auto"/>
            <w:noWrap/>
            <w:vAlign w:val="bottom"/>
            <w:hideMark/>
          </w:tcPr>
          <w:p w14:paraId="640C03C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0.10</w:t>
            </w:r>
          </w:p>
        </w:tc>
        <w:tc>
          <w:tcPr>
            <w:tcW w:w="158" w:type="pct"/>
            <w:tcBorders>
              <w:top w:val="nil"/>
              <w:left w:val="nil"/>
              <w:bottom w:val="single" w:sz="4" w:space="0" w:color="auto"/>
              <w:right w:val="nil"/>
            </w:tcBorders>
            <w:shd w:val="clear" w:color="auto" w:fill="auto"/>
            <w:noWrap/>
            <w:vAlign w:val="bottom"/>
            <w:hideMark/>
          </w:tcPr>
          <w:p w14:paraId="3BF9882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0.03</w:t>
            </w:r>
          </w:p>
        </w:tc>
        <w:tc>
          <w:tcPr>
            <w:tcW w:w="143" w:type="pct"/>
            <w:tcBorders>
              <w:top w:val="nil"/>
              <w:left w:val="single" w:sz="4" w:space="0" w:color="auto"/>
              <w:bottom w:val="single" w:sz="4" w:space="0" w:color="auto"/>
              <w:right w:val="single" w:sz="4" w:space="0" w:color="808080"/>
            </w:tcBorders>
            <w:shd w:val="clear" w:color="auto" w:fill="auto"/>
            <w:noWrap/>
            <w:vAlign w:val="bottom"/>
            <w:hideMark/>
          </w:tcPr>
          <w:p w14:paraId="6EE986C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207" w:type="pct"/>
            <w:tcBorders>
              <w:top w:val="nil"/>
              <w:left w:val="nil"/>
              <w:bottom w:val="single" w:sz="4" w:space="0" w:color="auto"/>
              <w:right w:val="single" w:sz="4" w:space="0" w:color="808080"/>
            </w:tcBorders>
            <w:shd w:val="clear" w:color="auto" w:fill="auto"/>
            <w:noWrap/>
            <w:vAlign w:val="bottom"/>
            <w:hideMark/>
          </w:tcPr>
          <w:p w14:paraId="0FE5549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27.78%</w:t>
            </w:r>
          </w:p>
        </w:tc>
        <w:tc>
          <w:tcPr>
            <w:tcW w:w="207" w:type="pct"/>
            <w:tcBorders>
              <w:top w:val="nil"/>
              <w:left w:val="nil"/>
              <w:bottom w:val="single" w:sz="4" w:space="0" w:color="auto"/>
              <w:right w:val="single" w:sz="4" w:space="0" w:color="808080"/>
            </w:tcBorders>
            <w:shd w:val="clear" w:color="auto" w:fill="auto"/>
            <w:noWrap/>
            <w:vAlign w:val="bottom"/>
            <w:hideMark/>
          </w:tcPr>
          <w:p w14:paraId="6BEC0BD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7.58%</w:t>
            </w:r>
          </w:p>
        </w:tc>
        <w:tc>
          <w:tcPr>
            <w:tcW w:w="187" w:type="pct"/>
            <w:tcBorders>
              <w:top w:val="nil"/>
              <w:left w:val="nil"/>
              <w:bottom w:val="single" w:sz="4" w:space="0" w:color="auto"/>
              <w:right w:val="single" w:sz="4" w:space="0" w:color="808080"/>
            </w:tcBorders>
            <w:shd w:val="clear" w:color="auto" w:fill="auto"/>
            <w:noWrap/>
            <w:vAlign w:val="bottom"/>
            <w:hideMark/>
          </w:tcPr>
          <w:p w14:paraId="598EF3C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0.14</w:t>
            </w:r>
          </w:p>
        </w:tc>
        <w:tc>
          <w:tcPr>
            <w:tcW w:w="158" w:type="pct"/>
            <w:tcBorders>
              <w:top w:val="nil"/>
              <w:left w:val="nil"/>
              <w:bottom w:val="single" w:sz="4" w:space="0" w:color="auto"/>
              <w:right w:val="single" w:sz="4" w:space="0" w:color="auto"/>
            </w:tcBorders>
            <w:shd w:val="clear" w:color="auto" w:fill="auto"/>
            <w:noWrap/>
            <w:vAlign w:val="bottom"/>
            <w:hideMark/>
          </w:tcPr>
          <w:p w14:paraId="5C2BB80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0.03</w:t>
            </w:r>
          </w:p>
        </w:tc>
        <w:tc>
          <w:tcPr>
            <w:tcW w:w="143" w:type="pct"/>
            <w:tcBorders>
              <w:top w:val="nil"/>
              <w:left w:val="nil"/>
              <w:bottom w:val="single" w:sz="4" w:space="0" w:color="auto"/>
              <w:right w:val="single" w:sz="4" w:space="0" w:color="808080"/>
            </w:tcBorders>
            <w:shd w:val="clear" w:color="auto" w:fill="auto"/>
            <w:noWrap/>
            <w:vAlign w:val="bottom"/>
            <w:hideMark/>
          </w:tcPr>
          <w:p w14:paraId="14405D2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w:t>
            </w:r>
          </w:p>
        </w:tc>
        <w:tc>
          <w:tcPr>
            <w:tcW w:w="207" w:type="pct"/>
            <w:tcBorders>
              <w:top w:val="nil"/>
              <w:left w:val="nil"/>
              <w:bottom w:val="single" w:sz="4" w:space="0" w:color="auto"/>
              <w:right w:val="single" w:sz="4" w:space="0" w:color="808080"/>
            </w:tcBorders>
            <w:shd w:val="clear" w:color="auto" w:fill="auto"/>
            <w:noWrap/>
            <w:vAlign w:val="bottom"/>
            <w:hideMark/>
          </w:tcPr>
          <w:p w14:paraId="0442953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38.89%</w:t>
            </w:r>
          </w:p>
        </w:tc>
        <w:tc>
          <w:tcPr>
            <w:tcW w:w="207" w:type="pct"/>
            <w:tcBorders>
              <w:top w:val="nil"/>
              <w:left w:val="nil"/>
              <w:bottom w:val="single" w:sz="4" w:space="0" w:color="auto"/>
              <w:right w:val="single" w:sz="4" w:space="0" w:color="808080"/>
            </w:tcBorders>
            <w:shd w:val="clear" w:color="auto" w:fill="auto"/>
            <w:noWrap/>
            <w:vAlign w:val="bottom"/>
            <w:hideMark/>
          </w:tcPr>
          <w:p w14:paraId="0963E02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15.22%</w:t>
            </w:r>
          </w:p>
        </w:tc>
        <w:tc>
          <w:tcPr>
            <w:tcW w:w="187" w:type="pct"/>
            <w:tcBorders>
              <w:top w:val="nil"/>
              <w:left w:val="nil"/>
              <w:bottom w:val="single" w:sz="4" w:space="0" w:color="auto"/>
              <w:right w:val="single" w:sz="4" w:space="0" w:color="808080"/>
            </w:tcBorders>
            <w:shd w:val="clear" w:color="auto" w:fill="auto"/>
            <w:noWrap/>
            <w:vAlign w:val="bottom"/>
            <w:hideMark/>
          </w:tcPr>
          <w:p w14:paraId="579A612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0.32</w:t>
            </w:r>
          </w:p>
        </w:tc>
        <w:tc>
          <w:tcPr>
            <w:tcW w:w="158" w:type="pct"/>
            <w:tcBorders>
              <w:top w:val="nil"/>
              <w:left w:val="nil"/>
              <w:bottom w:val="single" w:sz="4" w:space="0" w:color="auto"/>
              <w:right w:val="nil"/>
            </w:tcBorders>
            <w:shd w:val="clear" w:color="auto" w:fill="auto"/>
            <w:noWrap/>
            <w:vAlign w:val="bottom"/>
            <w:hideMark/>
          </w:tcPr>
          <w:p w14:paraId="588ED99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0.04</w:t>
            </w:r>
          </w:p>
        </w:tc>
        <w:tc>
          <w:tcPr>
            <w:tcW w:w="370" w:type="pct"/>
            <w:tcBorders>
              <w:top w:val="nil"/>
              <w:left w:val="single" w:sz="4" w:space="0" w:color="auto"/>
              <w:bottom w:val="single" w:sz="4" w:space="0" w:color="auto"/>
              <w:right w:val="single" w:sz="4" w:space="0" w:color="auto"/>
            </w:tcBorders>
            <w:shd w:val="clear" w:color="auto" w:fill="auto"/>
            <w:noWrap/>
            <w:vAlign w:val="bottom"/>
            <w:hideMark/>
          </w:tcPr>
          <w:p w14:paraId="7B3EFC7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0.19</w:t>
            </w:r>
          </w:p>
        </w:tc>
        <w:tc>
          <w:tcPr>
            <w:tcW w:w="207" w:type="pct"/>
            <w:tcBorders>
              <w:top w:val="nil"/>
              <w:left w:val="nil"/>
              <w:bottom w:val="single" w:sz="4" w:space="0" w:color="auto"/>
              <w:right w:val="single" w:sz="4" w:space="0" w:color="808080"/>
            </w:tcBorders>
            <w:shd w:val="clear" w:color="auto" w:fill="auto"/>
            <w:noWrap/>
            <w:vAlign w:val="bottom"/>
            <w:hideMark/>
          </w:tcPr>
          <w:p w14:paraId="3A68C71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1.86%</w:t>
            </w:r>
          </w:p>
        </w:tc>
        <w:tc>
          <w:tcPr>
            <w:tcW w:w="236" w:type="pct"/>
            <w:tcBorders>
              <w:top w:val="nil"/>
              <w:left w:val="nil"/>
              <w:bottom w:val="single" w:sz="4" w:space="0" w:color="auto"/>
              <w:right w:val="single" w:sz="4" w:space="0" w:color="808080"/>
            </w:tcBorders>
            <w:shd w:val="clear" w:color="auto" w:fill="auto"/>
            <w:noWrap/>
            <w:vAlign w:val="bottom"/>
            <w:hideMark/>
          </w:tcPr>
          <w:p w14:paraId="60AB618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07" w:type="pct"/>
            <w:tcBorders>
              <w:top w:val="nil"/>
              <w:left w:val="nil"/>
              <w:bottom w:val="single" w:sz="4" w:space="0" w:color="auto"/>
              <w:right w:val="single" w:sz="4" w:space="0" w:color="808080"/>
            </w:tcBorders>
            <w:shd w:val="clear" w:color="auto" w:fill="auto"/>
            <w:noWrap/>
            <w:vAlign w:val="bottom"/>
            <w:hideMark/>
          </w:tcPr>
          <w:p w14:paraId="29C84DA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1.25%</w:t>
            </w:r>
          </w:p>
        </w:tc>
        <w:tc>
          <w:tcPr>
            <w:tcW w:w="233" w:type="pct"/>
            <w:tcBorders>
              <w:top w:val="nil"/>
              <w:left w:val="nil"/>
              <w:bottom w:val="single" w:sz="4" w:space="0" w:color="auto"/>
              <w:right w:val="single" w:sz="4" w:space="0" w:color="auto"/>
            </w:tcBorders>
            <w:shd w:val="clear" w:color="auto" w:fill="auto"/>
            <w:noWrap/>
            <w:vAlign w:val="bottom"/>
            <w:hideMark/>
          </w:tcPr>
          <w:p w14:paraId="0457FDE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r>
      <w:tr w:rsidR="00A022DF" w:rsidRPr="00E87E42" w14:paraId="30EACEE3" w14:textId="77777777" w:rsidTr="005839EF">
        <w:trPr>
          <w:trHeight w:val="227"/>
        </w:trPr>
        <w:tc>
          <w:tcPr>
            <w:tcW w:w="3747" w:type="pct"/>
            <w:gridSpan w:val="22"/>
            <w:tcBorders>
              <w:top w:val="nil"/>
              <w:left w:val="single" w:sz="4" w:space="0" w:color="auto"/>
              <w:bottom w:val="single" w:sz="4" w:space="0" w:color="auto"/>
              <w:right w:val="nil"/>
            </w:tcBorders>
            <w:shd w:val="clear" w:color="auto" w:fill="auto"/>
            <w:noWrap/>
            <w:vAlign w:val="bottom"/>
          </w:tcPr>
          <w:p w14:paraId="460E54CE" w14:textId="77777777" w:rsidR="00A022DF" w:rsidRPr="00E87E42" w:rsidRDefault="00A022DF" w:rsidP="00A022DF">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Total weighted area damage</w:t>
            </w:r>
          </w:p>
        </w:tc>
        <w:tc>
          <w:tcPr>
            <w:tcW w:w="370" w:type="pct"/>
            <w:tcBorders>
              <w:top w:val="nil"/>
              <w:left w:val="single" w:sz="4" w:space="0" w:color="auto"/>
              <w:bottom w:val="single" w:sz="4" w:space="0" w:color="auto"/>
              <w:right w:val="single" w:sz="4" w:space="0" w:color="auto"/>
            </w:tcBorders>
            <w:shd w:val="clear" w:color="auto" w:fill="auto"/>
            <w:noWrap/>
            <w:vAlign w:val="bottom"/>
          </w:tcPr>
          <w:p w14:paraId="2ED84DA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4.92</w:t>
            </w:r>
          </w:p>
        </w:tc>
        <w:tc>
          <w:tcPr>
            <w:tcW w:w="883" w:type="pct"/>
            <w:gridSpan w:val="4"/>
            <w:tcBorders>
              <w:top w:val="nil"/>
              <w:left w:val="nil"/>
              <w:bottom w:val="single" w:sz="4" w:space="0" w:color="auto"/>
              <w:right w:val="single" w:sz="4" w:space="0" w:color="auto"/>
            </w:tcBorders>
            <w:shd w:val="clear" w:color="auto" w:fill="auto"/>
            <w:noWrap/>
            <w:vAlign w:val="bottom"/>
          </w:tcPr>
          <w:p w14:paraId="3B290D2A" w14:textId="77777777" w:rsidR="00A022DF" w:rsidRPr="00E87E42" w:rsidRDefault="00A022DF" w:rsidP="00A022DF">
            <w:pPr>
              <w:spacing w:after="0" w:line="240" w:lineRule="auto"/>
              <w:jc w:val="center"/>
              <w:rPr>
                <w:rFonts w:eastAsia="Times New Roman"/>
                <w:color w:val="000000"/>
                <w:sz w:val="16"/>
                <w:szCs w:val="16"/>
                <w:lang w:eastAsia="en-GB"/>
              </w:rPr>
            </w:pPr>
          </w:p>
        </w:tc>
      </w:tr>
      <w:tr w:rsidR="00A022DF" w:rsidRPr="00E87E42" w14:paraId="655E80ED" w14:textId="77777777" w:rsidTr="005839EF">
        <w:trPr>
          <w:trHeight w:val="227"/>
        </w:trPr>
        <w:tc>
          <w:tcPr>
            <w:tcW w:w="54" w:type="pct"/>
            <w:tcBorders>
              <w:top w:val="nil"/>
              <w:left w:val="nil"/>
              <w:bottom w:val="nil"/>
              <w:right w:val="nil"/>
            </w:tcBorders>
            <w:shd w:val="clear" w:color="auto" w:fill="auto"/>
            <w:noWrap/>
            <w:vAlign w:val="bottom"/>
            <w:hideMark/>
          </w:tcPr>
          <w:p w14:paraId="3B0FB102" w14:textId="77777777" w:rsidR="00A022DF" w:rsidRPr="00E87E42" w:rsidRDefault="00A022DF" w:rsidP="00A022DF">
            <w:pPr>
              <w:spacing w:after="0" w:line="240" w:lineRule="auto"/>
              <w:jc w:val="center"/>
              <w:rPr>
                <w:rFonts w:eastAsia="Times New Roman"/>
                <w:color w:val="000000"/>
                <w:sz w:val="16"/>
                <w:szCs w:val="16"/>
                <w:lang w:eastAsia="en-GB"/>
              </w:rPr>
            </w:pPr>
          </w:p>
        </w:tc>
        <w:tc>
          <w:tcPr>
            <w:tcW w:w="4946" w:type="pct"/>
            <w:gridSpan w:val="26"/>
            <w:tcBorders>
              <w:top w:val="nil"/>
              <w:left w:val="single" w:sz="4" w:space="0" w:color="auto"/>
              <w:bottom w:val="single" w:sz="4" w:space="0" w:color="auto"/>
              <w:right w:val="single" w:sz="4" w:space="0" w:color="000000"/>
            </w:tcBorders>
            <w:shd w:val="clear" w:color="auto" w:fill="auto"/>
            <w:noWrap/>
            <w:vAlign w:val="bottom"/>
            <w:hideMark/>
          </w:tcPr>
          <w:p w14:paraId="64066BB2" w14:textId="77777777" w:rsidR="00A022DF" w:rsidRPr="00E87E42" w:rsidRDefault="00A022DF" w:rsidP="00A022DF">
            <w:pPr>
              <w:spacing w:after="0" w:line="240" w:lineRule="auto"/>
              <w:jc w:val="center"/>
              <w:rPr>
                <w:rFonts w:eastAsia="Times New Roman"/>
                <w:b/>
                <w:bCs/>
                <w:color w:val="000000"/>
                <w:sz w:val="16"/>
                <w:szCs w:val="16"/>
                <w:u w:val="single"/>
                <w:lang w:eastAsia="en-GB"/>
              </w:rPr>
            </w:pPr>
            <w:r w:rsidRPr="00E87E42">
              <w:rPr>
                <w:rFonts w:eastAsia="Times New Roman"/>
                <w:b/>
                <w:bCs/>
                <w:color w:val="000000"/>
                <w:sz w:val="16"/>
                <w:szCs w:val="16"/>
                <w:u w:val="single"/>
                <w:lang w:eastAsia="en-GB"/>
              </w:rPr>
              <w:t xml:space="preserve">No Sprinklers - Area damage </w:t>
            </w:r>
            <w:r w:rsidRPr="00E87E42">
              <w:rPr>
                <w:rFonts w:eastAsia="Times New Roman"/>
                <w:b/>
                <w:color w:val="000000"/>
                <w:sz w:val="16"/>
                <w:szCs w:val="16"/>
                <w:u w:val="single"/>
                <w:lang w:eastAsia="en-GB"/>
              </w:rPr>
              <w:t>m</w:t>
            </w:r>
            <w:r w:rsidRPr="00E87E42">
              <w:rPr>
                <w:rFonts w:eastAsia="Times New Roman"/>
                <w:b/>
                <w:color w:val="000000"/>
                <w:sz w:val="16"/>
                <w:szCs w:val="16"/>
                <w:u w:val="single"/>
                <w:vertAlign w:val="superscript"/>
                <w:lang w:eastAsia="en-GB"/>
              </w:rPr>
              <w:t>2</w:t>
            </w:r>
          </w:p>
        </w:tc>
      </w:tr>
      <w:tr w:rsidR="00A022DF" w:rsidRPr="00E87E42" w14:paraId="67B6A1E6" w14:textId="77777777" w:rsidTr="005839EF">
        <w:trPr>
          <w:trHeight w:val="227"/>
        </w:trPr>
        <w:tc>
          <w:tcPr>
            <w:tcW w:w="54" w:type="pct"/>
            <w:tcBorders>
              <w:top w:val="nil"/>
              <w:left w:val="nil"/>
              <w:bottom w:val="nil"/>
              <w:right w:val="nil"/>
            </w:tcBorders>
            <w:shd w:val="clear" w:color="auto" w:fill="auto"/>
            <w:noWrap/>
            <w:vAlign w:val="bottom"/>
            <w:hideMark/>
          </w:tcPr>
          <w:p w14:paraId="7584E833" w14:textId="77777777" w:rsidR="00A022DF" w:rsidRPr="00E87E42" w:rsidRDefault="00A022DF" w:rsidP="00A022DF">
            <w:pPr>
              <w:spacing w:after="0" w:line="240" w:lineRule="auto"/>
              <w:jc w:val="center"/>
              <w:rPr>
                <w:rFonts w:eastAsia="Times New Roman"/>
                <w:b/>
                <w:bCs/>
                <w:color w:val="000000"/>
                <w:sz w:val="16"/>
                <w:szCs w:val="16"/>
                <w:u w:val="single"/>
                <w:lang w:eastAsia="en-GB"/>
              </w:rPr>
            </w:pPr>
          </w:p>
        </w:tc>
        <w:tc>
          <w:tcPr>
            <w:tcW w:w="143" w:type="pct"/>
            <w:vMerge w:val="restart"/>
            <w:tcBorders>
              <w:top w:val="nil"/>
              <w:left w:val="single" w:sz="4" w:space="0" w:color="auto"/>
              <w:bottom w:val="nil"/>
              <w:right w:val="single" w:sz="4" w:space="0" w:color="auto"/>
            </w:tcBorders>
            <w:shd w:val="clear" w:color="auto" w:fill="auto"/>
            <w:noWrap/>
            <w:vAlign w:val="center"/>
            <w:hideMark/>
          </w:tcPr>
          <w:p w14:paraId="06CCE02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w:t>
            </w:r>
          </w:p>
        </w:tc>
        <w:tc>
          <w:tcPr>
            <w:tcW w:w="873"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7CBFA967" w14:textId="77777777"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Minor</w:t>
            </w:r>
          </w:p>
        </w:tc>
        <w:tc>
          <w:tcPr>
            <w:tcW w:w="873"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5FD2DCF0" w14:textId="77777777"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Significantly</w:t>
            </w:r>
          </w:p>
        </w:tc>
        <w:tc>
          <w:tcPr>
            <w:tcW w:w="902"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3772BB3B" w14:textId="77777777"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Heavy</w:t>
            </w:r>
          </w:p>
        </w:tc>
        <w:tc>
          <w:tcPr>
            <w:tcW w:w="902"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47858A52" w14:textId="77777777"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Extreme</w:t>
            </w:r>
          </w:p>
        </w:tc>
        <w:tc>
          <w:tcPr>
            <w:tcW w:w="370" w:type="pct"/>
            <w:vMerge w:val="restart"/>
            <w:tcBorders>
              <w:top w:val="nil"/>
              <w:left w:val="single" w:sz="4" w:space="0" w:color="auto"/>
              <w:bottom w:val="nil"/>
              <w:right w:val="single" w:sz="4" w:space="0" w:color="auto"/>
            </w:tcBorders>
            <w:shd w:val="clear" w:color="auto" w:fill="auto"/>
            <w:noWrap/>
            <w:vAlign w:val="center"/>
            <w:hideMark/>
          </w:tcPr>
          <w:p w14:paraId="691834FE" w14:textId="77777777" w:rsidR="00A022DF" w:rsidRPr="00E87E42" w:rsidRDefault="00A022DF" w:rsidP="00A022D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 xml:space="preserve">Weighted area </w:t>
            </w:r>
          </w:p>
          <w:p w14:paraId="60B5DFDE" w14:textId="77777777" w:rsidR="00A022DF" w:rsidRPr="00E87E42" w:rsidRDefault="00A022DF" w:rsidP="00A022D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damage</w:t>
            </w:r>
          </w:p>
          <w:p w14:paraId="3C5A418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443"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6D91D2B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40"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E4E2A3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F+U</w:t>
            </w:r>
          </w:p>
        </w:tc>
      </w:tr>
      <w:tr w:rsidR="00A022DF" w:rsidRPr="00E87E42" w14:paraId="030EEE0F" w14:textId="77777777" w:rsidTr="005839EF">
        <w:trPr>
          <w:trHeight w:val="227"/>
        </w:trPr>
        <w:tc>
          <w:tcPr>
            <w:tcW w:w="54" w:type="pct"/>
            <w:tcBorders>
              <w:top w:val="nil"/>
              <w:left w:val="nil"/>
              <w:bottom w:val="nil"/>
              <w:right w:val="nil"/>
            </w:tcBorders>
            <w:shd w:val="clear" w:color="auto" w:fill="auto"/>
            <w:noWrap/>
            <w:vAlign w:val="bottom"/>
            <w:hideMark/>
          </w:tcPr>
          <w:p w14:paraId="646DE28C" w14:textId="77777777" w:rsidR="00A022DF" w:rsidRPr="00E87E42" w:rsidRDefault="00A022DF" w:rsidP="00A022DF">
            <w:pPr>
              <w:spacing w:after="0" w:line="240" w:lineRule="auto"/>
              <w:jc w:val="center"/>
              <w:rPr>
                <w:rFonts w:eastAsia="Times New Roman"/>
                <w:color w:val="000000"/>
                <w:sz w:val="16"/>
                <w:szCs w:val="16"/>
                <w:lang w:eastAsia="en-GB"/>
              </w:rPr>
            </w:pPr>
          </w:p>
        </w:tc>
        <w:tc>
          <w:tcPr>
            <w:tcW w:w="143" w:type="pct"/>
            <w:vMerge/>
            <w:tcBorders>
              <w:top w:val="nil"/>
              <w:left w:val="single" w:sz="4" w:space="0" w:color="auto"/>
              <w:bottom w:val="nil"/>
              <w:right w:val="single" w:sz="4" w:space="0" w:color="auto"/>
            </w:tcBorders>
            <w:vAlign w:val="center"/>
            <w:hideMark/>
          </w:tcPr>
          <w:p w14:paraId="66990793"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43" w:type="pct"/>
            <w:vMerge w:val="restart"/>
            <w:tcBorders>
              <w:top w:val="nil"/>
              <w:left w:val="single" w:sz="4" w:space="0" w:color="auto"/>
              <w:bottom w:val="nil"/>
              <w:right w:val="nil"/>
            </w:tcBorders>
            <w:shd w:val="clear" w:color="auto" w:fill="auto"/>
            <w:noWrap/>
            <w:vAlign w:val="center"/>
            <w:hideMark/>
          </w:tcPr>
          <w:p w14:paraId="17C46FC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1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00721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58" w:type="pct"/>
            <w:vMerge w:val="restart"/>
            <w:tcBorders>
              <w:top w:val="nil"/>
              <w:left w:val="single" w:sz="4" w:space="0" w:color="auto"/>
              <w:bottom w:val="nil"/>
              <w:right w:val="single" w:sz="4" w:space="0" w:color="auto"/>
            </w:tcBorders>
            <w:shd w:val="clear" w:color="auto" w:fill="auto"/>
            <w:noWrap/>
            <w:vAlign w:val="center"/>
            <w:hideMark/>
          </w:tcPr>
          <w:p w14:paraId="3A26C06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7BB0825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58" w:type="pct"/>
            <w:vMerge w:val="restart"/>
            <w:tcBorders>
              <w:top w:val="nil"/>
              <w:left w:val="single" w:sz="4" w:space="0" w:color="auto"/>
              <w:bottom w:val="nil"/>
              <w:right w:val="single" w:sz="4" w:space="0" w:color="auto"/>
            </w:tcBorders>
            <w:shd w:val="clear" w:color="auto" w:fill="auto"/>
            <w:noWrap/>
            <w:vAlign w:val="center"/>
            <w:hideMark/>
          </w:tcPr>
          <w:p w14:paraId="3D8529A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389BFB2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43" w:type="pct"/>
            <w:vMerge w:val="restart"/>
            <w:tcBorders>
              <w:top w:val="nil"/>
              <w:left w:val="single" w:sz="4" w:space="0" w:color="auto"/>
              <w:bottom w:val="nil"/>
              <w:right w:val="single" w:sz="4" w:space="0" w:color="auto"/>
            </w:tcBorders>
            <w:shd w:val="clear" w:color="auto" w:fill="auto"/>
            <w:noWrap/>
            <w:vAlign w:val="center"/>
            <w:hideMark/>
          </w:tcPr>
          <w:p w14:paraId="52FF014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1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1BE1C3A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58" w:type="pct"/>
            <w:vMerge w:val="restart"/>
            <w:tcBorders>
              <w:top w:val="nil"/>
              <w:left w:val="single" w:sz="4" w:space="0" w:color="auto"/>
              <w:bottom w:val="nil"/>
              <w:right w:val="single" w:sz="4" w:space="0" w:color="auto"/>
            </w:tcBorders>
            <w:shd w:val="clear" w:color="auto" w:fill="auto"/>
            <w:noWrap/>
            <w:vAlign w:val="center"/>
            <w:hideMark/>
          </w:tcPr>
          <w:p w14:paraId="3F1BF85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2F12380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58" w:type="pct"/>
            <w:vMerge w:val="restart"/>
            <w:tcBorders>
              <w:top w:val="nil"/>
              <w:left w:val="single" w:sz="4" w:space="0" w:color="auto"/>
              <w:bottom w:val="nil"/>
              <w:right w:val="single" w:sz="4" w:space="0" w:color="auto"/>
            </w:tcBorders>
            <w:shd w:val="clear" w:color="auto" w:fill="auto"/>
            <w:noWrap/>
            <w:vAlign w:val="center"/>
            <w:hideMark/>
          </w:tcPr>
          <w:p w14:paraId="68FC675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3616608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43" w:type="pct"/>
            <w:vMerge w:val="restart"/>
            <w:tcBorders>
              <w:top w:val="nil"/>
              <w:left w:val="single" w:sz="4" w:space="0" w:color="auto"/>
              <w:bottom w:val="nil"/>
              <w:right w:val="single" w:sz="4" w:space="0" w:color="auto"/>
            </w:tcBorders>
            <w:shd w:val="clear" w:color="auto" w:fill="auto"/>
            <w:noWrap/>
            <w:vAlign w:val="center"/>
            <w:hideMark/>
          </w:tcPr>
          <w:p w14:paraId="1382240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1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2AC626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87" w:type="pct"/>
            <w:vMerge w:val="restart"/>
            <w:tcBorders>
              <w:top w:val="nil"/>
              <w:left w:val="single" w:sz="4" w:space="0" w:color="auto"/>
              <w:bottom w:val="nil"/>
              <w:right w:val="single" w:sz="4" w:space="0" w:color="auto"/>
            </w:tcBorders>
            <w:shd w:val="clear" w:color="auto" w:fill="auto"/>
            <w:noWrap/>
            <w:vAlign w:val="center"/>
            <w:hideMark/>
          </w:tcPr>
          <w:p w14:paraId="2A48D98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47CEA38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58" w:type="pct"/>
            <w:vMerge w:val="restart"/>
            <w:tcBorders>
              <w:top w:val="nil"/>
              <w:left w:val="single" w:sz="4" w:space="0" w:color="auto"/>
              <w:bottom w:val="nil"/>
              <w:right w:val="single" w:sz="4" w:space="0" w:color="auto"/>
            </w:tcBorders>
            <w:shd w:val="clear" w:color="auto" w:fill="auto"/>
            <w:noWrap/>
            <w:vAlign w:val="center"/>
            <w:hideMark/>
          </w:tcPr>
          <w:p w14:paraId="5D656B4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16D27EA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43" w:type="pct"/>
            <w:vMerge w:val="restart"/>
            <w:tcBorders>
              <w:top w:val="nil"/>
              <w:left w:val="single" w:sz="4" w:space="0" w:color="auto"/>
              <w:bottom w:val="nil"/>
              <w:right w:val="single" w:sz="4" w:space="0" w:color="auto"/>
            </w:tcBorders>
            <w:shd w:val="clear" w:color="auto" w:fill="auto"/>
            <w:noWrap/>
            <w:vAlign w:val="center"/>
            <w:hideMark/>
          </w:tcPr>
          <w:p w14:paraId="2452AFE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14" w:type="pct"/>
            <w:gridSpan w:val="2"/>
            <w:tcBorders>
              <w:top w:val="single" w:sz="4" w:space="0" w:color="auto"/>
              <w:left w:val="nil"/>
              <w:bottom w:val="nil"/>
              <w:right w:val="single" w:sz="4" w:space="0" w:color="000000"/>
            </w:tcBorders>
            <w:shd w:val="clear" w:color="auto" w:fill="auto"/>
            <w:noWrap/>
            <w:vAlign w:val="bottom"/>
            <w:hideMark/>
          </w:tcPr>
          <w:p w14:paraId="133310D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87" w:type="pct"/>
            <w:vMerge w:val="restart"/>
            <w:tcBorders>
              <w:top w:val="nil"/>
              <w:left w:val="single" w:sz="4" w:space="0" w:color="auto"/>
              <w:bottom w:val="nil"/>
              <w:right w:val="single" w:sz="4" w:space="0" w:color="auto"/>
            </w:tcBorders>
            <w:shd w:val="clear" w:color="auto" w:fill="auto"/>
            <w:noWrap/>
            <w:vAlign w:val="center"/>
            <w:hideMark/>
          </w:tcPr>
          <w:p w14:paraId="29195BA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4CDEBA5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58" w:type="pct"/>
            <w:vMerge w:val="restart"/>
            <w:tcBorders>
              <w:top w:val="nil"/>
              <w:left w:val="single" w:sz="4" w:space="0" w:color="auto"/>
              <w:bottom w:val="nil"/>
              <w:right w:val="single" w:sz="4" w:space="0" w:color="auto"/>
            </w:tcBorders>
            <w:shd w:val="clear" w:color="auto" w:fill="auto"/>
            <w:noWrap/>
            <w:vAlign w:val="center"/>
            <w:hideMark/>
          </w:tcPr>
          <w:p w14:paraId="179F61D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587849F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370" w:type="pct"/>
            <w:vMerge/>
            <w:tcBorders>
              <w:top w:val="nil"/>
              <w:left w:val="single" w:sz="4" w:space="0" w:color="auto"/>
              <w:bottom w:val="nil"/>
              <w:right w:val="single" w:sz="4" w:space="0" w:color="auto"/>
            </w:tcBorders>
            <w:vAlign w:val="center"/>
            <w:hideMark/>
          </w:tcPr>
          <w:p w14:paraId="19BA8E08"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443" w:type="pct"/>
            <w:gridSpan w:val="2"/>
            <w:vMerge/>
            <w:tcBorders>
              <w:top w:val="single" w:sz="4" w:space="0" w:color="auto"/>
              <w:left w:val="single" w:sz="4" w:space="0" w:color="auto"/>
              <w:bottom w:val="single" w:sz="4" w:space="0" w:color="000000"/>
              <w:right w:val="nil"/>
            </w:tcBorders>
            <w:vAlign w:val="center"/>
            <w:hideMark/>
          </w:tcPr>
          <w:p w14:paraId="24E781B4"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440" w:type="pct"/>
            <w:gridSpan w:val="2"/>
            <w:vMerge/>
            <w:tcBorders>
              <w:top w:val="single" w:sz="4" w:space="0" w:color="auto"/>
              <w:left w:val="single" w:sz="4" w:space="0" w:color="auto"/>
              <w:bottom w:val="single" w:sz="4" w:space="0" w:color="000000"/>
              <w:right w:val="single" w:sz="4" w:space="0" w:color="000000"/>
            </w:tcBorders>
            <w:vAlign w:val="center"/>
            <w:hideMark/>
          </w:tcPr>
          <w:p w14:paraId="6067A417" w14:textId="77777777" w:rsidR="00A022DF" w:rsidRPr="00E87E42" w:rsidRDefault="00A022DF" w:rsidP="00A022DF">
            <w:pPr>
              <w:spacing w:after="0" w:line="240" w:lineRule="auto"/>
              <w:jc w:val="left"/>
              <w:rPr>
                <w:rFonts w:eastAsia="Times New Roman"/>
                <w:color w:val="000000"/>
                <w:sz w:val="16"/>
                <w:szCs w:val="16"/>
                <w:lang w:eastAsia="en-GB"/>
              </w:rPr>
            </w:pPr>
          </w:p>
        </w:tc>
      </w:tr>
      <w:tr w:rsidR="00AD472B" w:rsidRPr="00E87E42" w14:paraId="5070300B" w14:textId="77777777" w:rsidTr="00A446AC">
        <w:trPr>
          <w:trHeight w:val="227"/>
        </w:trPr>
        <w:tc>
          <w:tcPr>
            <w:tcW w:w="54" w:type="pct"/>
            <w:tcBorders>
              <w:top w:val="nil"/>
              <w:left w:val="nil"/>
              <w:bottom w:val="single" w:sz="4" w:space="0" w:color="auto"/>
              <w:right w:val="single" w:sz="4" w:space="0" w:color="auto"/>
            </w:tcBorders>
            <w:shd w:val="clear" w:color="auto" w:fill="auto"/>
            <w:noWrap/>
            <w:vAlign w:val="bottom"/>
            <w:hideMark/>
          </w:tcPr>
          <w:p w14:paraId="6ECF77E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w:t>
            </w:r>
          </w:p>
        </w:tc>
        <w:tc>
          <w:tcPr>
            <w:tcW w:w="143" w:type="pct"/>
            <w:vMerge/>
            <w:tcBorders>
              <w:top w:val="nil"/>
              <w:left w:val="single" w:sz="4" w:space="0" w:color="auto"/>
              <w:bottom w:val="nil"/>
              <w:right w:val="single" w:sz="4" w:space="0" w:color="auto"/>
            </w:tcBorders>
            <w:vAlign w:val="center"/>
            <w:hideMark/>
          </w:tcPr>
          <w:p w14:paraId="283803E9"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43" w:type="pct"/>
            <w:vMerge/>
            <w:tcBorders>
              <w:top w:val="nil"/>
              <w:left w:val="single" w:sz="4" w:space="0" w:color="auto"/>
              <w:bottom w:val="nil"/>
              <w:right w:val="nil"/>
            </w:tcBorders>
            <w:vAlign w:val="center"/>
            <w:hideMark/>
          </w:tcPr>
          <w:p w14:paraId="07FAB92C"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07" w:type="pct"/>
            <w:tcBorders>
              <w:top w:val="nil"/>
              <w:left w:val="single" w:sz="4" w:space="0" w:color="auto"/>
              <w:bottom w:val="nil"/>
              <w:right w:val="single" w:sz="4" w:space="0" w:color="auto"/>
            </w:tcBorders>
            <w:shd w:val="clear" w:color="auto" w:fill="auto"/>
            <w:noWrap/>
            <w:vAlign w:val="bottom"/>
            <w:hideMark/>
          </w:tcPr>
          <w:p w14:paraId="389E70F3" w14:textId="1CA360D5"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07" w:type="pct"/>
            <w:tcBorders>
              <w:top w:val="nil"/>
              <w:left w:val="nil"/>
              <w:bottom w:val="nil"/>
              <w:right w:val="single" w:sz="4" w:space="0" w:color="auto"/>
            </w:tcBorders>
            <w:shd w:val="clear" w:color="auto" w:fill="auto"/>
            <w:noWrap/>
            <w:vAlign w:val="bottom"/>
            <w:hideMark/>
          </w:tcPr>
          <w:p w14:paraId="315FFB50" w14:textId="42C694CF"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58" w:type="pct"/>
            <w:vMerge/>
            <w:tcBorders>
              <w:top w:val="nil"/>
              <w:left w:val="single" w:sz="4" w:space="0" w:color="auto"/>
              <w:bottom w:val="nil"/>
              <w:right w:val="single" w:sz="4" w:space="0" w:color="auto"/>
            </w:tcBorders>
            <w:vAlign w:val="center"/>
            <w:hideMark/>
          </w:tcPr>
          <w:p w14:paraId="4A38E828"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58" w:type="pct"/>
            <w:vMerge/>
            <w:tcBorders>
              <w:top w:val="nil"/>
              <w:left w:val="single" w:sz="4" w:space="0" w:color="auto"/>
              <w:bottom w:val="nil"/>
              <w:right w:val="single" w:sz="4" w:space="0" w:color="auto"/>
            </w:tcBorders>
            <w:vAlign w:val="center"/>
            <w:hideMark/>
          </w:tcPr>
          <w:p w14:paraId="042F13F0"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43" w:type="pct"/>
            <w:vMerge/>
            <w:tcBorders>
              <w:top w:val="nil"/>
              <w:left w:val="single" w:sz="4" w:space="0" w:color="auto"/>
              <w:bottom w:val="nil"/>
              <w:right w:val="single" w:sz="4" w:space="0" w:color="auto"/>
            </w:tcBorders>
            <w:vAlign w:val="center"/>
            <w:hideMark/>
          </w:tcPr>
          <w:p w14:paraId="1D1C83A7"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07" w:type="pct"/>
            <w:tcBorders>
              <w:top w:val="nil"/>
              <w:left w:val="nil"/>
              <w:bottom w:val="nil"/>
              <w:right w:val="single" w:sz="4" w:space="0" w:color="auto"/>
            </w:tcBorders>
            <w:shd w:val="clear" w:color="auto" w:fill="auto"/>
            <w:noWrap/>
            <w:vAlign w:val="bottom"/>
            <w:hideMark/>
          </w:tcPr>
          <w:p w14:paraId="69F3709D" w14:textId="5747A356"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07" w:type="pct"/>
            <w:tcBorders>
              <w:top w:val="nil"/>
              <w:left w:val="nil"/>
              <w:bottom w:val="nil"/>
              <w:right w:val="single" w:sz="4" w:space="0" w:color="auto"/>
            </w:tcBorders>
            <w:shd w:val="clear" w:color="auto" w:fill="auto"/>
            <w:noWrap/>
            <w:vAlign w:val="bottom"/>
            <w:hideMark/>
          </w:tcPr>
          <w:p w14:paraId="3B3413CC" w14:textId="725207C9"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58" w:type="pct"/>
            <w:vMerge/>
            <w:tcBorders>
              <w:top w:val="nil"/>
              <w:left w:val="single" w:sz="4" w:space="0" w:color="auto"/>
              <w:bottom w:val="nil"/>
              <w:right w:val="single" w:sz="4" w:space="0" w:color="auto"/>
            </w:tcBorders>
            <w:vAlign w:val="center"/>
            <w:hideMark/>
          </w:tcPr>
          <w:p w14:paraId="57E84E01"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58" w:type="pct"/>
            <w:vMerge/>
            <w:tcBorders>
              <w:top w:val="nil"/>
              <w:left w:val="single" w:sz="4" w:space="0" w:color="auto"/>
              <w:bottom w:val="nil"/>
              <w:right w:val="single" w:sz="4" w:space="0" w:color="auto"/>
            </w:tcBorders>
            <w:vAlign w:val="center"/>
            <w:hideMark/>
          </w:tcPr>
          <w:p w14:paraId="06054E7D"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43" w:type="pct"/>
            <w:vMerge/>
            <w:tcBorders>
              <w:top w:val="nil"/>
              <w:left w:val="single" w:sz="4" w:space="0" w:color="auto"/>
              <w:bottom w:val="nil"/>
              <w:right w:val="single" w:sz="4" w:space="0" w:color="auto"/>
            </w:tcBorders>
            <w:vAlign w:val="center"/>
            <w:hideMark/>
          </w:tcPr>
          <w:p w14:paraId="14A0C7E3"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07" w:type="pct"/>
            <w:tcBorders>
              <w:top w:val="nil"/>
              <w:left w:val="nil"/>
              <w:bottom w:val="nil"/>
              <w:right w:val="single" w:sz="4" w:space="0" w:color="auto"/>
            </w:tcBorders>
            <w:shd w:val="clear" w:color="auto" w:fill="auto"/>
            <w:noWrap/>
            <w:vAlign w:val="bottom"/>
            <w:hideMark/>
          </w:tcPr>
          <w:p w14:paraId="772104F6" w14:textId="5001994A"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07" w:type="pct"/>
            <w:tcBorders>
              <w:top w:val="nil"/>
              <w:left w:val="nil"/>
              <w:bottom w:val="nil"/>
              <w:right w:val="single" w:sz="4" w:space="0" w:color="auto"/>
            </w:tcBorders>
            <w:shd w:val="clear" w:color="auto" w:fill="auto"/>
            <w:noWrap/>
            <w:vAlign w:val="bottom"/>
            <w:hideMark/>
          </w:tcPr>
          <w:p w14:paraId="48C845BB" w14:textId="68627BAE"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87" w:type="pct"/>
            <w:vMerge/>
            <w:tcBorders>
              <w:top w:val="nil"/>
              <w:left w:val="single" w:sz="4" w:space="0" w:color="auto"/>
              <w:bottom w:val="nil"/>
              <w:right w:val="single" w:sz="4" w:space="0" w:color="auto"/>
            </w:tcBorders>
            <w:vAlign w:val="center"/>
            <w:hideMark/>
          </w:tcPr>
          <w:p w14:paraId="4627F438"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58" w:type="pct"/>
            <w:vMerge/>
            <w:tcBorders>
              <w:top w:val="nil"/>
              <w:left w:val="single" w:sz="4" w:space="0" w:color="auto"/>
              <w:bottom w:val="nil"/>
              <w:right w:val="single" w:sz="4" w:space="0" w:color="auto"/>
            </w:tcBorders>
            <w:vAlign w:val="center"/>
            <w:hideMark/>
          </w:tcPr>
          <w:p w14:paraId="05D0E7A8"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43" w:type="pct"/>
            <w:vMerge/>
            <w:tcBorders>
              <w:top w:val="nil"/>
              <w:left w:val="single" w:sz="4" w:space="0" w:color="auto"/>
              <w:bottom w:val="nil"/>
              <w:right w:val="single" w:sz="4" w:space="0" w:color="auto"/>
            </w:tcBorders>
            <w:vAlign w:val="center"/>
            <w:hideMark/>
          </w:tcPr>
          <w:p w14:paraId="3A53CD4E"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07" w:type="pct"/>
            <w:tcBorders>
              <w:top w:val="single" w:sz="4" w:space="0" w:color="auto"/>
              <w:left w:val="nil"/>
              <w:bottom w:val="nil"/>
              <w:right w:val="single" w:sz="4" w:space="0" w:color="auto"/>
            </w:tcBorders>
            <w:shd w:val="clear" w:color="auto" w:fill="auto"/>
            <w:noWrap/>
            <w:vAlign w:val="bottom"/>
            <w:hideMark/>
          </w:tcPr>
          <w:p w14:paraId="3BF808CC" w14:textId="252FAD36"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07" w:type="pct"/>
            <w:tcBorders>
              <w:top w:val="single" w:sz="4" w:space="0" w:color="auto"/>
              <w:left w:val="nil"/>
              <w:bottom w:val="nil"/>
              <w:right w:val="single" w:sz="4" w:space="0" w:color="auto"/>
            </w:tcBorders>
            <w:shd w:val="clear" w:color="auto" w:fill="auto"/>
            <w:noWrap/>
            <w:vAlign w:val="bottom"/>
            <w:hideMark/>
          </w:tcPr>
          <w:p w14:paraId="35763D52" w14:textId="3114B2C8"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87" w:type="pct"/>
            <w:vMerge/>
            <w:tcBorders>
              <w:top w:val="nil"/>
              <w:left w:val="single" w:sz="4" w:space="0" w:color="auto"/>
              <w:bottom w:val="nil"/>
              <w:right w:val="single" w:sz="4" w:space="0" w:color="auto"/>
            </w:tcBorders>
            <w:vAlign w:val="center"/>
            <w:hideMark/>
          </w:tcPr>
          <w:p w14:paraId="141B4A02"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58" w:type="pct"/>
            <w:vMerge/>
            <w:tcBorders>
              <w:top w:val="nil"/>
              <w:left w:val="single" w:sz="4" w:space="0" w:color="auto"/>
              <w:bottom w:val="nil"/>
              <w:right w:val="single" w:sz="4" w:space="0" w:color="auto"/>
            </w:tcBorders>
            <w:vAlign w:val="center"/>
            <w:hideMark/>
          </w:tcPr>
          <w:p w14:paraId="75F2F2AF"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370" w:type="pct"/>
            <w:vMerge/>
            <w:tcBorders>
              <w:top w:val="nil"/>
              <w:left w:val="single" w:sz="4" w:space="0" w:color="auto"/>
              <w:bottom w:val="nil"/>
              <w:right w:val="single" w:sz="4" w:space="0" w:color="auto"/>
            </w:tcBorders>
            <w:vAlign w:val="center"/>
            <w:hideMark/>
          </w:tcPr>
          <w:p w14:paraId="04551A1D"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07" w:type="pct"/>
            <w:tcBorders>
              <w:top w:val="nil"/>
              <w:left w:val="nil"/>
              <w:bottom w:val="nil"/>
              <w:right w:val="nil"/>
            </w:tcBorders>
            <w:shd w:val="clear" w:color="auto" w:fill="auto"/>
            <w:noWrap/>
            <w:vAlign w:val="bottom"/>
            <w:hideMark/>
          </w:tcPr>
          <w:p w14:paraId="4FD78BC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36" w:type="pct"/>
            <w:tcBorders>
              <w:top w:val="nil"/>
              <w:left w:val="single" w:sz="4" w:space="0" w:color="auto"/>
              <w:bottom w:val="nil"/>
              <w:right w:val="single" w:sz="4" w:space="0" w:color="auto"/>
            </w:tcBorders>
            <w:shd w:val="clear" w:color="auto" w:fill="auto"/>
            <w:noWrap/>
            <w:vAlign w:val="bottom"/>
            <w:hideMark/>
          </w:tcPr>
          <w:p w14:paraId="1B1AF2F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c>
          <w:tcPr>
            <w:tcW w:w="207" w:type="pct"/>
            <w:tcBorders>
              <w:top w:val="nil"/>
              <w:left w:val="nil"/>
              <w:bottom w:val="nil"/>
              <w:right w:val="nil"/>
            </w:tcBorders>
            <w:shd w:val="clear" w:color="auto" w:fill="auto"/>
            <w:noWrap/>
            <w:vAlign w:val="bottom"/>
            <w:hideMark/>
          </w:tcPr>
          <w:p w14:paraId="73E7D01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33" w:type="pct"/>
            <w:tcBorders>
              <w:top w:val="nil"/>
              <w:left w:val="single" w:sz="4" w:space="0" w:color="auto"/>
              <w:bottom w:val="nil"/>
              <w:right w:val="single" w:sz="4" w:space="0" w:color="auto"/>
            </w:tcBorders>
            <w:shd w:val="clear" w:color="auto" w:fill="auto"/>
            <w:noWrap/>
            <w:vAlign w:val="bottom"/>
            <w:hideMark/>
          </w:tcPr>
          <w:p w14:paraId="1F27AEF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r>
      <w:tr w:rsidR="00A022DF" w:rsidRPr="00E87E42" w14:paraId="05C942A5" w14:textId="77777777" w:rsidTr="005839EF">
        <w:trPr>
          <w:trHeight w:val="227"/>
        </w:trPr>
        <w:tc>
          <w:tcPr>
            <w:tcW w:w="54" w:type="pct"/>
            <w:tcBorders>
              <w:top w:val="nil"/>
              <w:left w:val="single" w:sz="4" w:space="0" w:color="auto"/>
              <w:bottom w:val="single" w:sz="4" w:space="0" w:color="auto"/>
              <w:right w:val="nil"/>
            </w:tcBorders>
            <w:shd w:val="clear" w:color="auto" w:fill="auto"/>
            <w:noWrap/>
            <w:vAlign w:val="bottom"/>
            <w:hideMark/>
          </w:tcPr>
          <w:p w14:paraId="7AEFE89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143" w:type="pct"/>
            <w:tcBorders>
              <w:top w:val="single" w:sz="4" w:space="0" w:color="auto"/>
              <w:left w:val="single" w:sz="4" w:space="0" w:color="auto"/>
              <w:bottom w:val="single" w:sz="4" w:space="0" w:color="808080"/>
              <w:right w:val="single" w:sz="4" w:space="0" w:color="auto"/>
            </w:tcBorders>
            <w:shd w:val="clear" w:color="auto" w:fill="auto"/>
            <w:noWrap/>
            <w:vAlign w:val="bottom"/>
            <w:hideMark/>
          </w:tcPr>
          <w:p w14:paraId="60B9E2F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3902</w:t>
            </w:r>
          </w:p>
        </w:tc>
        <w:tc>
          <w:tcPr>
            <w:tcW w:w="143" w:type="pct"/>
            <w:tcBorders>
              <w:top w:val="single" w:sz="4" w:space="0" w:color="auto"/>
              <w:left w:val="nil"/>
              <w:bottom w:val="single" w:sz="4" w:space="0" w:color="808080"/>
              <w:right w:val="single" w:sz="4" w:space="0" w:color="808080"/>
            </w:tcBorders>
            <w:shd w:val="clear" w:color="auto" w:fill="auto"/>
            <w:noWrap/>
            <w:vAlign w:val="bottom"/>
            <w:hideMark/>
          </w:tcPr>
          <w:p w14:paraId="5644BA9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2652</w:t>
            </w:r>
          </w:p>
        </w:tc>
        <w:tc>
          <w:tcPr>
            <w:tcW w:w="207" w:type="pct"/>
            <w:tcBorders>
              <w:top w:val="single" w:sz="4" w:space="0" w:color="auto"/>
              <w:left w:val="nil"/>
              <w:bottom w:val="single" w:sz="4" w:space="0" w:color="808080"/>
              <w:right w:val="single" w:sz="4" w:space="0" w:color="808080"/>
            </w:tcBorders>
            <w:shd w:val="clear" w:color="auto" w:fill="auto"/>
            <w:noWrap/>
            <w:vAlign w:val="bottom"/>
            <w:hideMark/>
          </w:tcPr>
          <w:p w14:paraId="25B696F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82.08%</w:t>
            </w:r>
          </w:p>
        </w:tc>
        <w:tc>
          <w:tcPr>
            <w:tcW w:w="207" w:type="pct"/>
            <w:tcBorders>
              <w:top w:val="single" w:sz="4" w:space="0" w:color="auto"/>
              <w:left w:val="nil"/>
              <w:bottom w:val="single" w:sz="4" w:space="0" w:color="808080"/>
              <w:right w:val="single" w:sz="4" w:space="0" w:color="808080"/>
            </w:tcBorders>
            <w:shd w:val="clear" w:color="auto" w:fill="auto"/>
            <w:noWrap/>
            <w:vAlign w:val="bottom"/>
            <w:hideMark/>
          </w:tcPr>
          <w:p w14:paraId="68CB058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18.74%</w:t>
            </w:r>
          </w:p>
        </w:tc>
        <w:tc>
          <w:tcPr>
            <w:tcW w:w="158" w:type="pct"/>
            <w:tcBorders>
              <w:top w:val="single" w:sz="4" w:space="0" w:color="auto"/>
              <w:left w:val="nil"/>
              <w:bottom w:val="single" w:sz="4" w:space="0" w:color="808080"/>
              <w:right w:val="single" w:sz="4" w:space="0" w:color="808080"/>
            </w:tcBorders>
            <w:shd w:val="clear" w:color="auto" w:fill="auto"/>
            <w:noWrap/>
            <w:vAlign w:val="bottom"/>
            <w:hideMark/>
          </w:tcPr>
          <w:p w14:paraId="4F9F1C6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4.44</w:t>
            </w:r>
          </w:p>
        </w:tc>
        <w:tc>
          <w:tcPr>
            <w:tcW w:w="158" w:type="pct"/>
            <w:tcBorders>
              <w:top w:val="single" w:sz="4" w:space="0" w:color="auto"/>
              <w:left w:val="nil"/>
              <w:bottom w:val="single" w:sz="4" w:space="0" w:color="808080"/>
              <w:right w:val="nil"/>
            </w:tcBorders>
            <w:shd w:val="clear" w:color="auto" w:fill="auto"/>
            <w:noWrap/>
            <w:vAlign w:val="bottom"/>
            <w:hideMark/>
          </w:tcPr>
          <w:p w14:paraId="26115C8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4.44</w:t>
            </w:r>
          </w:p>
        </w:tc>
        <w:tc>
          <w:tcPr>
            <w:tcW w:w="143" w:type="pct"/>
            <w:tcBorders>
              <w:top w:val="single" w:sz="4" w:space="0" w:color="auto"/>
              <w:left w:val="single" w:sz="4" w:space="0" w:color="auto"/>
              <w:bottom w:val="single" w:sz="4" w:space="0" w:color="808080"/>
              <w:right w:val="single" w:sz="4" w:space="0" w:color="808080"/>
            </w:tcBorders>
            <w:shd w:val="clear" w:color="auto" w:fill="auto"/>
            <w:noWrap/>
            <w:vAlign w:val="bottom"/>
            <w:hideMark/>
          </w:tcPr>
          <w:p w14:paraId="0317A15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217</w:t>
            </w:r>
          </w:p>
        </w:tc>
        <w:tc>
          <w:tcPr>
            <w:tcW w:w="207" w:type="pct"/>
            <w:tcBorders>
              <w:top w:val="single" w:sz="4" w:space="0" w:color="auto"/>
              <w:left w:val="nil"/>
              <w:bottom w:val="single" w:sz="4" w:space="0" w:color="808080"/>
              <w:right w:val="single" w:sz="4" w:space="0" w:color="808080"/>
            </w:tcBorders>
            <w:shd w:val="clear" w:color="auto" w:fill="auto"/>
            <w:noWrap/>
            <w:vAlign w:val="bottom"/>
            <w:hideMark/>
          </w:tcPr>
          <w:p w14:paraId="3C94D7C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6.72%</w:t>
            </w:r>
          </w:p>
        </w:tc>
        <w:tc>
          <w:tcPr>
            <w:tcW w:w="207" w:type="pct"/>
            <w:tcBorders>
              <w:top w:val="single" w:sz="4" w:space="0" w:color="auto"/>
              <w:left w:val="nil"/>
              <w:bottom w:val="single" w:sz="4" w:space="0" w:color="808080"/>
              <w:right w:val="single" w:sz="4" w:space="0" w:color="808080"/>
            </w:tcBorders>
            <w:shd w:val="clear" w:color="auto" w:fill="auto"/>
            <w:noWrap/>
            <w:vAlign w:val="bottom"/>
            <w:hideMark/>
          </w:tcPr>
          <w:p w14:paraId="3526B2F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4.35%</w:t>
            </w:r>
          </w:p>
        </w:tc>
        <w:tc>
          <w:tcPr>
            <w:tcW w:w="158" w:type="pct"/>
            <w:tcBorders>
              <w:top w:val="single" w:sz="4" w:space="0" w:color="auto"/>
              <w:left w:val="nil"/>
              <w:bottom w:val="single" w:sz="4" w:space="0" w:color="808080"/>
              <w:right w:val="single" w:sz="4" w:space="0" w:color="808080"/>
            </w:tcBorders>
            <w:shd w:val="clear" w:color="auto" w:fill="auto"/>
            <w:noWrap/>
            <w:vAlign w:val="bottom"/>
            <w:hideMark/>
          </w:tcPr>
          <w:p w14:paraId="28AD0ED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2.34</w:t>
            </w:r>
          </w:p>
        </w:tc>
        <w:tc>
          <w:tcPr>
            <w:tcW w:w="158" w:type="pct"/>
            <w:tcBorders>
              <w:top w:val="single" w:sz="4" w:space="0" w:color="auto"/>
              <w:left w:val="nil"/>
              <w:bottom w:val="single" w:sz="4" w:space="0" w:color="808080"/>
              <w:right w:val="single" w:sz="4" w:space="0" w:color="auto"/>
            </w:tcBorders>
            <w:shd w:val="clear" w:color="auto" w:fill="auto"/>
            <w:noWrap/>
            <w:vAlign w:val="bottom"/>
            <w:hideMark/>
          </w:tcPr>
          <w:p w14:paraId="121E344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0.76</w:t>
            </w:r>
          </w:p>
        </w:tc>
        <w:tc>
          <w:tcPr>
            <w:tcW w:w="143" w:type="pct"/>
            <w:tcBorders>
              <w:top w:val="single" w:sz="4" w:space="0" w:color="auto"/>
              <w:left w:val="nil"/>
              <w:bottom w:val="single" w:sz="4" w:space="0" w:color="808080"/>
              <w:right w:val="single" w:sz="4" w:space="0" w:color="808080"/>
            </w:tcBorders>
            <w:shd w:val="clear" w:color="auto" w:fill="auto"/>
            <w:noWrap/>
            <w:vAlign w:val="bottom"/>
            <w:hideMark/>
          </w:tcPr>
          <w:p w14:paraId="2BC8652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108</w:t>
            </w:r>
          </w:p>
        </w:tc>
        <w:tc>
          <w:tcPr>
            <w:tcW w:w="207" w:type="pct"/>
            <w:tcBorders>
              <w:top w:val="single" w:sz="4" w:space="0" w:color="auto"/>
              <w:left w:val="nil"/>
              <w:bottom w:val="single" w:sz="4" w:space="0" w:color="808080"/>
              <w:right w:val="single" w:sz="4" w:space="0" w:color="808080"/>
            </w:tcBorders>
            <w:shd w:val="clear" w:color="auto" w:fill="auto"/>
            <w:noWrap/>
            <w:vAlign w:val="bottom"/>
            <w:hideMark/>
          </w:tcPr>
          <w:p w14:paraId="41DD6F7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3.34%</w:t>
            </w:r>
          </w:p>
        </w:tc>
        <w:tc>
          <w:tcPr>
            <w:tcW w:w="207" w:type="pct"/>
            <w:tcBorders>
              <w:top w:val="single" w:sz="4" w:space="0" w:color="auto"/>
              <w:left w:val="nil"/>
              <w:bottom w:val="single" w:sz="4" w:space="0" w:color="808080"/>
              <w:right w:val="single" w:sz="4" w:space="0" w:color="808080"/>
            </w:tcBorders>
            <w:shd w:val="clear" w:color="auto" w:fill="auto"/>
            <w:noWrap/>
            <w:vAlign w:val="bottom"/>
            <w:hideMark/>
          </w:tcPr>
          <w:p w14:paraId="67093FE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2.98%</w:t>
            </w:r>
          </w:p>
        </w:tc>
        <w:tc>
          <w:tcPr>
            <w:tcW w:w="187" w:type="pct"/>
            <w:tcBorders>
              <w:top w:val="single" w:sz="4" w:space="0" w:color="auto"/>
              <w:left w:val="nil"/>
              <w:bottom w:val="single" w:sz="4" w:space="0" w:color="808080"/>
              <w:right w:val="single" w:sz="4" w:space="0" w:color="808080"/>
            </w:tcBorders>
            <w:shd w:val="clear" w:color="auto" w:fill="auto"/>
            <w:noWrap/>
            <w:vAlign w:val="bottom"/>
            <w:hideMark/>
          </w:tcPr>
          <w:p w14:paraId="68E66D4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2.17</w:t>
            </w:r>
          </w:p>
        </w:tc>
        <w:tc>
          <w:tcPr>
            <w:tcW w:w="158" w:type="pct"/>
            <w:tcBorders>
              <w:top w:val="single" w:sz="4" w:space="0" w:color="auto"/>
              <w:left w:val="nil"/>
              <w:bottom w:val="single" w:sz="4" w:space="0" w:color="808080"/>
              <w:right w:val="nil"/>
            </w:tcBorders>
            <w:shd w:val="clear" w:color="auto" w:fill="auto"/>
            <w:noWrap/>
            <w:vAlign w:val="bottom"/>
            <w:hideMark/>
          </w:tcPr>
          <w:p w14:paraId="6AFBBC4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0.42</w:t>
            </w:r>
          </w:p>
        </w:tc>
        <w:tc>
          <w:tcPr>
            <w:tcW w:w="143" w:type="pct"/>
            <w:tcBorders>
              <w:top w:val="single" w:sz="4" w:space="0" w:color="auto"/>
              <w:left w:val="single" w:sz="4" w:space="0" w:color="auto"/>
              <w:bottom w:val="single" w:sz="4" w:space="0" w:color="808080"/>
              <w:right w:val="single" w:sz="4" w:space="0" w:color="808080"/>
            </w:tcBorders>
            <w:shd w:val="clear" w:color="auto" w:fill="auto"/>
            <w:noWrap/>
            <w:vAlign w:val="bottom"/>
            <w:hideMark/>
          </w:tcPr>
          <w:p w14:paraId="5673989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254</w:t>
            </w:r>
          </w:p>
        </w:tc>
        <w:tc>
          <w:tcPr>
            <w:tcW w:w="207" w:type="pct"/>
            <w:tcBorders>
              <w:top w:val="single" w:sz="4" w:space="0" w:color="auto"/>
              <w:left w:val="nil"/>
              <w:bottom w:val="single" w:sz="4" w:space="0" w:color="808080"/>
              <w:right w:val="single" w:sz="4" w:space="0" w:color="808080"/>
            </w:tcBorders>
            <w:shd w:val="clear" w:color="auto" w:fill="auto"/>
            <w:noWrap/>
            <w:vAlign w:val="bottom"/>
            <w:hideMark/>
          </w:tcPr>
          <w:p w14:paraId="2BB1786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7.86%</w:t>
            </w:r>
          </w:p>
        </w:tc>
        <w:tc>
          <w:tcPr>
            <w:tcW w:w="207" w:type="pct"/>
            <w:tcBorders>
              <w:top w:val="single" w:sz="4" w:space="0" w:color="auto"/>
              <w:left w:val="nil"/>
              <w:bottom w:val="single" w:sz="4" w:space="0" w:color="808080"/>
              <w:right w:val="single" w:sz="4" w:space="0" w:color="808080"/>
            </w:tcBorders>
            <w:shd w:val="clear" w:color="auto" w:fill="auto"/>
            <w:noWrap/>
            <w:vAlign w:val="bottom"/>
            <w:hideMark/>
          </w:tcPr>
          <w:p w14:paraId="5264CCF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4.73%</w:t>
            </w:r>
          </w:p>
        </w:tc>
        <w:tc>
          <w:tcPr>
            <w:tcW w:w="187" w:type="pct"/>
            <w:tcBorders>
              <w:top w:val="single" w:sz="4" w:space="0" w:color="auto"/>
              <w:left w:val="nil"/>
              <w:bottom w:val="single" w:sz="4" w:space="0" w:color="808080"/>
              <w:right w:val="single" w:sz="4" w:space="0" w:color="808080"/>
            </w:tcBorders>
            <w:shd w:val="clear" w:color="auto" w:fill="auto"/>
            <w:noWrap/>
            <w:vAlign w:val="bottom"/>
            <w:hideMark/>
          </w:tcPr>
          <w:p w14:paraId="001775B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3.36</w:t>
            </w:r>
          </w:p>
        </w:tc>
        <w:tc>
          <w:tcPr>
            <w:tcW w:w="158" w:type="pct"/>
            <w:tcBorders>
              <w:top w:val="single" w:sz="4" w:space="0" w:color="auto"/>
              <w:left w:val="nil"/>
              <w:bottom w:val="single" w:sz="4" w:space="0" w:color="808080"/>
              <w:right w:val="single" w:sz="4" w:space="0" w:color="auto"/>
            </w:tcBorders>
            <w:shd w:val="clear" w:color="auto" w:fill="auto"/>
            <w:noWrap/>
            <w:vAlign w:val="bottom"/>
            <w:hideMark/>
          </w:tcPr>
          <w:p w14:paraId="1F0B0B5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0.46</w:t>
            </w:r>
          </w:p>
        </w:tc>
        <w:tc>
          <w:tcPr>
            <w:tcW w:w="370" w:type="pct"/>
            <w:tcBorders>
              <w:top w:val="single" w:sz="4" w:space="0" w:color="auto"/>
              <w:left w:val="nil"/>
              <w:bottom w:val="single" w:sz="4" w:space="0" w:color="808080"/>
              <w:right w:val="single" w:sz="4" w:space="0" w:color="auto"/>
            </w:tcBorders>
            <w:shd w:val="clear" w:color="auto" w:fill="auto"/>
            <w:noWrap/>
            <w:vAlign w:val="bottom"/>
            <w:hideMark/>
          </w:tcPr>
          <w:p w14:paraId="05BE4AF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4.14</w:t>
            </w:r>
          </w:p>
        </w:tc>
        <w:tc>
          <w:tcPr>
            <w:tcW w:w="207" w:type="pct"/>
            <w:tcBorders>
              <w:top w:val="single" w:sz="4" w:space="0" w:color="auto"/>
              <w:left w:val="nil"/>
              <w:bottom w:val="single" w:sz="4" w:space="0" w:color="808080"/>
              <w:right w:val="single" w:sz="4" w:space="0" w:color="808080"/>
            </w:tcBorders>
            <w:shd w:val="clear" w:color="auto" w:fill="auto"/>
            <w:noWrap/>
            <w:vAlign w:val="bottom"/>
            <w:hideMark/>
          </w:tcPr>
          <w:p w14:paraId="704DD43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11.48%</w:t>
            </w:r>
          </w:p>
        </w:tc>
        <w:tc>
          <w:tcPr>
            <w:tcW w:w="236" w:type="pct"/>
            <w:tcBorders>
              <w:top w:val="single" w:sz="4" w:space="0" w:color="auto"/>
              <w:left w:val="nil"/>
              <w:bottom w:val="single" w:sz="4" w:space="0" w:color="808080"/>
              <w:right w:val="single" w:sz="4" w:space="0" w:color="808080"/>
            </w:tcBorders>
            <w:shd w:val="clear" w:color="auto" w:fill="auto"/>
            <w:noWrap/>
            <w:vAlign w:val="bottom"/>
            <w:hideMark/>
          </w:tcPr>
          <w:p w14:paraId="74D34BE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11.48%</w:t>
            </w:r>
          </w:p>
        </w:tc>
        <w:tc>
          <w:tcPr>
            <w:tcW w:w="207" w:type="pct"/>
            <w:tcBorders>
              <w:top w:val="single" w:sz="4" w:space="0" w:color="auto"/>
              <w:left w:val="nil"/>
              <w:bottom w:val="single" w:sz="4" w:space="0" w:color="808080"/>
              <w:right w:val="single" w:sz="4" w:space="0" w:color="808080"/>
            </w:tcBorders>
            <w:shd w:val="clear" w:color="auto" w:fill="auto"/>
            <w:noWrap/>
            <w:vAlign w:val="bottom"/>
            <w:hideMark/>
          </w:tcPr>
          <w:p w14:paraId="6914860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17.97%</w:t>
            </w:r>
          </w:p>
        </w:tc>
        <w:tc>
          <w:tcPr>
            <w:tcW w:w="233" w:type="pct"/>
            <w:tcBorders>
              <w:top w:val="single" w:sz="4" w:space="0" w:color="auto"/>
              <w:left w:val="nil"/>
              <w:bottom w:val="single" w:sz="4" w:space="0" w:color="808080"/>
              <w:right w:val="single" w:sz="4" w:space="0" w:color="auto"/>
            </w:tcBorders>
            <w:shd w:val="clear" w:color="auto" w:fill="auto"/>
            <w:noWrap/>
            <w:vAlign w:val="bottom"/>
            <w:hideMark/>
          </w:tcPr>
          <w:p w14:paraId="5365DC8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17.97%</w:t>
            </w:r>
          </w:p>
        </w:tc>
      </w:tr>
      <w:tr w:rsidR="00A022DF" w:rsidRPr="00E87E42" w14:paraId="0233A3E0" w14:textId="77777777" w:rsidTr="005839EF">
        <w:trPr>
          <w:trHeight w:val="227"/>
        </w:trPr>
        <w:tc>
          <w:tcPr>
            <w:tcW w:w="54" w:type="pct"/>
            <w:tcBorders>
              <w:top w:val="nil"/>
              <w:left w:val="single" w:sz="4" w:space="0" w:color="auto"/>
              <w:bottom w:val="single" w:sz="4" w:space="0" w:color="auto"/>
              <w:right w:val="nil"/>
            </w:tcBorders>
            <w:shd w:val="clear" w:color="auto" w:fill="auto"/>
            <w:noWrap/>
            <w:vAlign w:val="bottom"/>
            <w:hideMark/>
          </w:tcPr>
          <w:p w14:paraId="150E582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143" w:type="pct"/>
            <w:tcBorders>
              <w:top w:val="nil"/>
              <w:left w:val="single" w:sz="4" w:space="0" w:color="auto"/>
              <w:bottom w:val="single" w:sz="4" w:space="0" w:color="808080"/>
              <w:right w:val="single" w:sz="4" w:space="0" w:color="auto"/>
            </w:tcBorders>
            <w:shd w:val="clear" w:color="auto" w:fill="auto"/>
            <w:noWrap/>
            <w:vAlign w:val="bottom"/>
            <w:hideMark/>
          </w:tcPr>
          <w:p w14:paraId="6257DFE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9574</w:t>
            </w:r>
          </w:p>
        </w:tc>
        <w:tc>
          <w:tcPr>
            <w:tcW w:w="143" w:type="pct"/>
            <w:tcBorders>
              <w:top w:val="nil"/>
              <w:left w:val="nil"/>
              <w:bottom w:val="single" w:sz="4" w:space="0" w:color="808080"/>
              <w:right w:val="single" w:sz="4" w:space="0" w:color="808080"/>
            </w:tcBorders>
            <w:shd w:val="clear" w:color="auto" w:fill="auto"/>
            <w:noWrap/>
            <w:vAlign w:val="bottom"/>
            <w:hideMark/>
          </w:tcPr>
          <w:p w14:paraId="60365D3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7303</w:t>
            </w:r>
          </w:p>
        </w:tc>
        <w:tc>
          <w:tcPr>
            <w:tcW w:w="207" w:type="pct"/>
            <w:tcBorders>
              <w:top w:val="nil"/>
              <w:left w:val="nil"/>
              <w:bottom w:val="single" w:sz="4" w:space="0" w:color="808080"/>
              <w:right w:val="single" w:sz="4" w:space="0" w:color="808080"/>
            </w:tcBorders>
            <w:shd w:val="clear" w:color="auto" w:fill="auto"/>
            <w:noWrap/>
            <w:vAlign w:val="bottom"/>
            <w:hideMark/>
          </w:tcPr>
          <w:p w14:paraId="20A1EF5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78.84%</w:t>
            </w:r>
          </w:p>
        </w:tc>
        <w:tc>
          <w:tcPr>
            <w:tcW w:w="207" w:type="pct"/>
            <w:tcBorders>
              <w:top w:val="nil"/>
              <w:left w:val="nil"/>
              <w:bottom w:val="single" w:sz="4" w:space="0" w:color="808080"/>
              <w:right w:val="single" w:sz="4" w:space="0" w:color="808080"/>
            </w:tcBorders>
            <w:shd w:val="clear" w:color="auto" w:fill="auto"/>
            <w:noWrap/>
            <w:vAlign w:val="bottom"/>
            <w:hideMark/>
          </w:tcPr>
          <w:p w14:paraId="7F672AC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51.60%</w:t>
            </w:r>
          </w:p>
        </w:tc>
        <w:tc>
          <w:tcPr>
            <w:tcW w:w="158" w:type="pct"/>
            <w:tcBorders>
              <w:top w:val="nil"/>
              <w:left w:val="nil"/>
              <w:bottom w:val="single" w:sz="4" w:space="0" w:color="808080"/>
              <w:right w:val="single" w:sz="4" w:space="0" w:color="808080"/>
            </w:tcBorders>
            <w:shd w:val="clear" w:color="auto" w:fill="auto"/>
            <w:noWrap/>
            <w:vAlign w:val="bottom"/>
            <w:hideMark/>
          </w:tcPr>
          <w:p w14:paraId="33E0F62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12.79</w:t>
            </w:r>
          </w:p>
        </w:tc>
        <w:tc>
          <w:tcPr>
            <w:tcW w:w="158" w:type="pct"/>
            <w:tcBorders>
              <w:top w:val="nil"/>
              <w:left w:val="nil"/>
              <w:bottom w:val="single" w:sz="4" w:space="0" w:color="808080"/>
              <w:right w:val="nil"/>
            </w:tcBorders>
            <w:shd w:val="clear" w:color="auto" w:fill="auto"/>
            <w:noWrap/>
            <w:vAlign w:val="bottom"/>
            <w:hideMark/>
          </w:tcPr>
          <w:p w14:paraId="584FF25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12.79</w:t>
            </w:r>
          </w:p>
        </w:tc>
        <w:tc>
          <w:tcPr>
            <w:tcW w:w="143" w:type="pct"/>
            <w:tcBorders>
              <w:top w:val="nil"/>
              <w:left w:val="single" w:sz="4" w:space="0" w:color="auto"/>
              <w:bottom w:val="single" w:sz="4" w:space="0" w:color="808080"/>
              <w:right w:val="single" w:sz="4" w:space="0" w:color="808080"/>
            </w:tcBorders>
            <w:shd w:val="clear" w:color="auto" w:fill="auto"/>
            <w:noWrap/>
            <w:vAlign w:val="bottom"/>
            <w:hideMark/>
          </w:tcPr>
          <w:p w14:paraId="0E10A19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1535</w:t>
            </w:r>
          </w:p>
        </w:tc>
        <w:tc>
          <w:tcPr>
            <w:tcW w:w="207" w:type="pct"/>
            <w:tcBorders>
              <w:top w:val="nil"/>
              <w:left w:val="nil"/>
              <w:bottom w:val="single" w:sz="4" w:space="0" w:color="808080"/>
              <w:right w:val="single" w:sz="4" w:space="0" w:color="808080"/>
            </w:tcBorders>
            <w:shd w:val="clear" w:color="auto" w:fill="auto"/>
            <w:noWrap/>
            <w:vAlign w:val="bottom"/>
            <w:hideMark/>
          </w:tcPr>
          <w:p w14:paraId="2F14CBB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16.57%</w:t>
            </w:r>
          </w:p>
        </w:tc>
        <w:tc>
          <w:tcPr>
            <w:tcW w:w="207" w:type="pct"/>
            <w:tcBorders>
              <w:top w:val="nil"/>
              <w:left w:val="nil"/>
              <w:bottom w:val="single" w:sz="4" w:space="0" w:color="808080"/>
              <w:right w:val="single" w:sz="4" w:space="0" w:color="808080"/>
            </w:tcBorders>
            <w:shd w:val="clear" w:color="auto" w:fill="auto"/>
            <w:noWrap/>
            <w:vAlign w:val="bottom"/>
            <w:hideMark/>
          </w:tcPr>
          <w:p w14:paraId="4BD90B5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30.77%</w:t>
            </w:r>
          </w:p>
        </w:tc>
        <w:tc>
          <w:tcPr>
            <w:tcW w:w="158" w:type="pct"/>
            <w:tcBorders>
              <w:top w:val="nil"/>
              <w:left w:val="nil"/>
              <w:bottom w:val="single" w:sz="4" w:space="0" w:color="808080"/>
              <w:right w:val="single" w:sz="4" w:space="0" w:color="808080"/>
            </w:tcBorders>
            <w:shd w:val="clear" w:color="auto" w:fill="auto"/>
            <w:noWrap/>
            <w:vAlign w:val="bottom"/>
            <w:hideMark/>
          </w:tcPr>
          <w:p w14:paraId="6095083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17.65</w:t>
            </w:r>
          </w:p>
        </w:tc>
        <w:tc>
          <w:tcPr>
            <w:tcW w:w="158" w:type="pct"/>
            <w:tcBorders>
              <w:top w:val="nil"/>
              <w:left w:val="nil"/>
              <w:bottom w:val="single" w:sz="4" w:space="0" w:color="808080"/>
              <w:right w:val="single" w:sz="4" w:space="0" w:color="auto"/>
            </w:tcBorders>
            <w:shd w:val="clear" w:color="auto" w:fill="auto"/>
            <w:noWrap/>
            <w:vAlign w:val="bottom"/>
            <w:hideMark/>
          </w:tcPr>
          <w:p w14:paraId="5068BFE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5.72</w:t>
            </w:r>
          </w:p>
        </w:tc>
        <w:tc>
          <w:tcPr>
            <w:tcW w:w="143" w:type="pct"/>
            <w:tcBorders>
              <w:top w:val="nil"/>
              <w:left w:val="nil"/>
              <w:bottom w:val="single" w:sz="4" w:space="0" w:color="808080"/>
              <w:right w:val="single" w:sz="4" w:space="0" w:color="808080"/>
            </w:tcBorders>
            <w:shd w:val="clear" w:color="auto" w:fill="auto"/>
            <w:noWrap/>
            <w:vAlign w:val="bottom"/>
            <w:hideMark/>
          </w:tcPr>
          <w:p w14:paraId="5D96FB4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344</w:t>
            </w:r>
          </w:p>
        </w:tc>
        <w:tc>
          <w:tcPr>
            <w:tcW w:w="207" w:type="pct"/>
            <w:tcBorders>
              <w:top w:val="nil"/>
              <w:left w:val="nil"/>
              <w:bottom w:val="single" w:sz="4" w:space="0" w:color="808080"/>
              <w:right w:val="single" w:sz="4" w:space="0" w:color="808080"/>
            </w:tcBorders>
            <w:shd w:val="clear" w:color="auto" w:fill="auto"/>
            <w:noWrap/>
            <w:vAlign w:val="bottom"/>
            <w:hideMark/>
          </w:tcPr>
          <w:p w14:paraId="04329E0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3.71%</w:t>
            </w:r>
          </w:p>
        </w:tc>
        <w:tc>
          <w:tcPr>
            <w:tcW w:w="207" w:type="pct"/>
            <w:tcBorders>
              <w:top w:val="nil"/>
              <w:left w:val="nil"/>
              <w:bottom w:val="single" w:sz="4" w:space="0" w:color="808080"/>
              <w:right w:val="single" w:sz="4" w:space="0" w:color="808080"/>
            </w:tcBorders>
            <w:shd w:val="clear" w:color="auto" w:fill="auto"/>
            <w:noWrap/>
            <w:vAlign w:val="bottom"/>
            <w:hideMark/>
          </w:tcPr>
          <w:p w14:paraId="24E50DB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9.50%</w:t>
            </w:r>
          </w:p>
        </w:tc>
        <w:tc>
          <w:tcPr>
            <w:tcW w:w="187" w:type="pct"/>
            <w:tcBorders>
              <w:top w:val="nil"/>
              <w:left w:val="nil"/>
              <w:bottom w:val="single" w:sz="4" w:space="0" w:color="808080"/>
              <w:right w:val="single" w:sz="4" w:space="0" w:color="808080"/>
            </w:tcBorders>
            <w:shd w:val="clear" w:color="auto" w:fill="auto"/>
            <w:noWrap/>
            <w:vAlign w:val="bottom"/>
            <w:hideMark/>
          </w:tcPr>
          <w:p w14:paraId="024D096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9.45</w:t>
            </w:r>
          </w:p>
        </w:tc>
        <w:tc>
          <w:tcPr>
            <w:tcW w:w="158" w:type="pct"/>
            <w:tcBorders>
              <w:top w:val="nil"/>
              <w:left w:val="nil"/>
              <w:bottom w:val="single" w:sz="4" w:space="0" w:color="808080"/>
              <w:right w:val="nil"/>
            </w:tcBorders>
            <w:shd w:val="clear" w:color="auto" w:fill="auto"/>
            <w:noWrap/>
            <w:vAlign w:val="bottom"/>
            <w:hideMark/>
          </w:tcPr>
          <w:p w14:paraId="606E133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1.83</w:t>
            </w:r>
          </w:p>
        </w:tc>
        <w:tc>
          <w:tcPr>
            <w:tcW w:w="143" w:type="pct"/>
            <w:tcBorders>
              <w:top w:val="nil"/>
              <w:left w:val="single" w:sz="4" w:space="0" w:color="auto"/>
              <w:bottom w:val="single" w:sz="4" w:space="0" w:color="808080"/>
              <w:right w:val="single" w:sz="4" w:space="0" w:color="808080"/>
            </w:tcBorders>
            <w:shd w:val="clear" w:color="auto" w:fill="auto"/>
            <w:noWrap/>
            <w:vAlign w:val="bottom"/>
            <w:hideMark/>
          </w:tcPr>
          <w:p w14:paraId="79E4600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81</w:t>
            </w:r>
          </w:p>
        </w:tc>
        <w:tc>
          <w:tcPr>
            <w:tcW w:w="207" w:type="pct"/>
            <w:tcBorders>
              <w:top w:val="nil"/>
              <w:left w:val="nil"/>
              <w:bottom w:val="single" w:sz="4" w:space="0" w:color="808080"/>
              <w:right w:val="single" w:sz="4" w:space="0" w:color="808080"/>
            </w:tcBorders>
            <w:shd w:val="clear" w:color="auto" w:fill="auto"/>
            <w:noWrap/>
            <w:vAlign w:val="bottom"/>
            <w:hideMark/>
          </w:tcPr>
          <w:p w14:paraId="4943DF3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0.87%</w:t>
            </w:r>
          </w:p>
        </w:tc>
        <w:tc>
          <w:tcPr>
            <w:tcW w:w="207" w:type="pct"/>
            <w:tcBorders>
              <w:top w:val="nil"/>
              <w:left w:val="nil"/>
              <w:bottom w:val="single" w:sz="4" w:space="0" w:color="808080"/>
              <w:right w:val="single" w:sz="4" w:space="0" w:color="808080"/>
            </w:tcBorders>
            <w:shd w:val="clear" w:color="auto" w:fill="auto"/>
            <w:noWrap/>
            <w:vAlign w:val="bottom"/>
            <w:hideMark/>
          </w:tcPr>
          <w:p w14:paraId="4BD79E6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1.51%</w:t>
            </w:r>
          </w:p>
        </w:tc>
        <w:tc>
          <w:tcPr>
            <w:tcW w:w="187" w:type="pct"/>
            <w:tcBorders>
              <w:top w:val="nil"/>
              <w:left w:val="nil"/>
              <w:bottom w:val="single" w:sz="4" w:space="0" w:color="808080"/>
              <w:right w:val="single" w:sz="4" w:space="0" w:color="808080"/>
            </w:tcBorders>
            <w:shd w:val="clear" w:color="auto" w:fill="auto"/>
            <w:noWrap/>
            <w:vAlign w:val="bottom"/>
            <w:hideMark/>
          </w:tcPr>
          <w:p w14:paraId="29E458D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1.87</w:t>
            </w:r>
          </w:p>
        </w:tc>
        <w:tc>
          <w:tcPr>
            <w:tcW w:w="158" w:type="pct"/>
            <w:tcBorders>
              <w:top w:val="nil"/>
              <w:left w:val="nil"/>
              <w:bottom w:val="single" w:sz="4" w:space="0" w:color="808080"/>
              <w:right w:val="single" w:sz="4" w:space="0" w:color="auto"/>
            </w:tcBorders>
            <w:shd w:val="clear" w:color="auto" w:fill="auto"/>
            <w:noWrap/>
            <w:vAlign w:val="bottom"/>
            <w:hideMark/>
          </w:tcPr>
          <w:p w14:paraId="3831FDC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0.25</w:t>
            </w:r>
          </w:p>
        </w:tc>
        <w:tc>
          <w:tcPr>
            <w:tcW w:w="370" w:type="pct"/>
            <w:tcBorders>
              <w:top w:val="nil"/>
              <w:left w:val="nil"/>
              <w:bottom w:val="single" w:sz="4" w:space="0" w:color="808080"/>
              <w:right w:val="single" w:sz="4" w:space="0" w:color="auto"/>
            </w:tcBorders>
            <w:shd w:val="clear" w:color="auto" w:fill="auto"/>
            <w:noWrap/>
            <w:vAlign w:val="bottom"/>
            <w:hideMark/>
          </w:tcPr>
          <w:p w14:paraId="70E0F5C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13.38</w:t>
            </w:r>
          </w:p>
        </w:tc>
        <w:tc>
          <w:tcPr>
            <w:tcW w:w="207" w:type="pct"/>
            <w:tcBorders>
              <w:top w:val="nil"/>
              <w:left w:val="nil"/>
              <w:bottom w:val="single" w:sz="4" w:space="0" w:color="808080"/>
              <w:right w:val="single" w:sz="4" w:space="0" w:color="808080"/>
            </w:tcBorders>
            <w:shd w:val="clear" w:color="auto" w:fill="auto"/>
            <w:noWrap/>
            <w:vAlign w:val="bottom"/>
            <w:hideMark/>
          </w:tcPr>
          <w:p w14:paraId="0140FE1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32.92%</w:t>
            </w:r>
          </w:p>
        </w:tc>
        <w:tc>
          <w:tcPr>
            <w:tcW w:w="236" w:type="pct"/>
            <w:tcBorders>
              <w:top w:val="nil"/>
              <w:left w:val="nil"/>
              <w:bottom w:val="single" w:sz="4" w:space="0" w:color="808080"/>
              <w:right w:val="single" w:sz="4" w:space="0" w:color="808080"/>
            </w:tcBorders>
            <w:shd w:val="clear" w:color="auto" w:fill="auto"/>
            <w:noWrap/>
            <w:vAlign w:val="bottom"/>
            <w:hideMark/>
          </w:tcPr>
          <w:p w14:paraId="3560F13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44.41%</w:t>
            </w:r>
          </w:p>
        </w:tc>
        <w:tc>
          <w:tcPr>
            <w:tcW w:w="207" w:type="pct"/>
            <w:tcBorders>
              <w:top w:val="nil"/>
              <w:left w:val="nil"/>
              <w:bottom w:val="single" w:sz="4" w:space="0" w:color="808080"/>
              <w:right w:val="single" w:sz="4" w:space="0" w:color="808080"/>
            </w:tcBorders>
            <w:shd w:val="clear" w:color="auto" w:fill="auto"/>
            <w:noWrap/>
            <w:vAlign w:val="bottom"/>
            <w:hideMark/>
          </w:tcPr>
          <w:p w14:paraId="631235D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44.10%</w:t>
            </w:r>
          </w:p>
        </w:tc>
        <w:tc>
          <w:tcPr>
            <w:tcW w:w="233" w:type="pct"/>
            <w:tcBorders>
              <w:top w:val="nil"/>
              <w:left w:val="nil"/>
              <w:bottom w:val="single" w:sz="4" w:space="0" w:color="808080"/>
              <w:right w:val="single" w:sz="4" w:space="0" w:color="auto"/>
            </w:tcBorders>
            <w:shd w:val="clear" w:color="auto" w:fill="auto"/>
            <w:noWrap/>
            <w:vAlign w:val="bottom"/>
            <w:hideMark/>
          </w:tcPr>
          <w:p w14:paraId="4CA8C8F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62.08%</w:t>
            </w:r>
          </w:p>
        </w:tc>
      </w:tr>
      <w:tr w:rsidR="00A022DF" w:rsidRPr="00E87E42" w14:paraId="0A0A91F3" w14:textId="77777777" w:rsidTr="005839EF">
        <w:trPr>
          <w:trHeight w:val="227"/>
        </w:trPr>
        <w:tc>
          <w:tcPr>
            <w:tcW w:w="54" w:type="pct"/>
            <w:tcBorders>
              <w:top w:val="nil"/>
              <w:left w:val="single" w:sz="4" w:space="0" w:color="auto"/>
              <w:bottom w:val="single" w:sz="4" w:space="0" w:color="auto"/>
              <w:right w:val="nil"/>
            </w:tcBorders>
            <w:shd w:val="clear" w:color="auto" w:fill="auto"/>
            <w:noWrap/>
            <w:vAlign w:val="bottom"/>
            <w:hideMark/>
          </w:tcPr>
          <w:p w14:paraId="1222758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143" w:type="pct"/>
            <w:tcBorders>
              <w:top w:val="nil"/>
              <w:left w:val="single" w:sz="4" w:space="0" w:color="auto"/>
              <w:bottom w:val="single" w:sz="4" w:space="0" w:color="808080"/>
              <w:right w:val="single" w:sz="4" w:space="0" w:color="auto"/>
            </w:tcBorders>
            <w:shd w:val="clear" w:color="auto" w:fill="auto"/>
            <w:noWrap/>
            <w:vAlign w:val="bottom"/>
            <w:hideMark/>
          </w:tcPr>
          <w:p w14:paraId="4F04B6B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1784</w:t>
            </w:r>
          </w:p>
        </w:tc>
        <w:tc>
          <w:tcPr>
            <w:tcW w:w="143" w:type="pct"/>
            <w:tcBorders>
              <w:top w:val="nil"/>
              <w:left w:val="nil"/>
              <w:bottom w:val="single" w:sz="4" w:space="0" w:color="808080"/>
              <w:right w:val="single" w:sz="4" w:space="0" w:color="808080"/>
            </w:tcBorders>
            <w:shd w:val="clear" w:color="auto" w:fill="auto"/>
            <w:noWrap/>
            <w:vAlign w:val="bottom"/>
            <w:hideMark/>
          </w:tcPr>
          <w:p w14:paraId="02E3153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1056</w:t>
            </w:r>
          </w:p>
        </w:tc>
        <w:tc>
          <w:tcPr>
            <w:tcW w:w="207" w:type="pct"/>
            <w:tcBorders>
              <w:top w:val="nil"/>
              <w:left w:val="nil"/>
              <w:bottom w:val="single" w:sz="4" w:space="0" w:color="808080"/>
              <w:right w:val="single" w:sz="4" w:space="0" w:color="808080"/>
            </w:tcBorders>
            <w:shd w:val="clear" w:color="auto" w:fill="auto"/>
            <w:noWrap/>
            <w:vAlign w:val="bottom"/>
            <w:hideMark/>
          </w:tcPr>
          <w:p w14:paraId="5CB21E1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39.62%</w:t>
            </w:r>
          </w:p>
        </w:tc>
        <w:tc>
          <w:tcPr>
            <w:tcW w:w="207" w:type="pct"/>
            <w:tcBorders>
              <w:top w:val="nil"/>
              <w:left w:val="nil"/>
              <w:bottom w:val="single" w:sz="4" w:space="0" w:color="808080"/>
              <w:right w:val="single" w:sz="4" w:space="0" w:color="808080"/>
            </w:tcBorders>
            <w:shd w:val="clear" w:color="auto" w:fill="auto"/>
            <w:noWrap/>
            <w:vAlign w:val="bottom"/>
            <w:hideMark/>
          </w:tcPr>
          <w:p w14:paraId="383A731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7.46%</w:t>
            </w:r>
          </w:p>
        </w:tc>
        <w:tc>
          <w:tcPr>
            <w:tcW w:w="158" w:type="pct"/>
            <w:tcBorders>
              <w:top w:val="nil"/>
              <w:left w:val="nil"/>
              <w:bottom w:val="single" w:sz="4" w:space="0" w:color="808080"/>
              <w:right w:val="single" w:sz="4" w:space="0" w:color="808080"/>
            </w:tcBorders>
            <w:shd w:val="clear" w:color="auto" w:fill="auto"/>
            <w:noWrap/>
            <w:vAlign w:val="bottom"/>
            <w:hideMark/>
          </w:tcPr>
          <w:p w14:paraId="355F06F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1.75</w:t>
            </w:r>
          </w:p>
        </w:tc>
        <w:tc>
          <w:tcPr>
            <w:tcW w:w="158" w:type="pct"/>
            <w:tcBorders>
              <w:top w:val="nil"/>
              <w:left w:val="nil"/>
              <w:bottom w:val="single" w:sz="4" w:space="0" w:color="808080"/>
              <w:right w:val="nil"/>
            </w:tcBorders>
            <w:shd w:val="clear" w:color="auto" w:fill="auto"/>
            <w:noWrap/>
            <w:vAlign w:val="bottom"/>
            <w:hideMark/>
          </w:tcPr>
          <w:p w14:paraId="1999F22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1.75</w:t>
            </w:r>
          </w:p>
        </w:tc>
        <w:tc>
          <w:tcPr>
            <w:tcW w:w="143" w:type="pct"/>
            <w:tcBorders>
              <w:top w:val="nil"/>
              <w:left w:val="single" w:sz="4" w:space="0" w:color="auto"/>
              <w:bottom w:val="single" w:sz="4" w:space="0" w:color="808080"/>
              <w:right w:val="single" w:sz="4" w:space="0" w:color="808080"/>
            </w:tcBorders>
            <w:shd w:val="clear" w:color="auto" w:fill="auto"/>
            <w:noWrap/>
            <w:vAlign w:val="bottom"/>
            <w:hideMark/>
          </w:tcPr>
          <w:p w14:paraId="41EB177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842</w:t>
            </w:r>
          </w:p>
        </w:tc>
        <w:tc>
          <w:tcPr>
            <w:tcW w:w="207" w:type="pct"/>
            <w:tcBorders>
              <w:top w:val="nil"/>
              <w:left w:val="nil"/>
              <w:bottom w:val="single" w:sz="4" w:space="0" w:color="808080"/>
              <w:right w:val="single" w:sz="4" w:space="0" w:color="808080"/>
            </w:tcBorders>
            <w:shd w:val="clear" w:color="auto" w:fill="auto"/>
            <w:noWrap/>
            <w:vAlign w:val="bottom"/>
            <w:hideMark/>
          </w:tcPr>
          <w:p w14:paraId="72EFCF2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31.59%</w:t>
            </w:r>
          </w:p>
        </w:tc>
        <w:tc>
          <w:tcPr>
            <w:tcW w:w="207" w:type="pct"/>
            <w:tcBorders>
              <w:top w:val="nil"/>
              <w:left w:val="nil"/>
              <w:bottom w:val="single" w:sz="4" w:space="0" w:color="808080"/>
              <w:right w:val="single" w:sz="4" w:space="0" w:color="808080"/>
            </w:tcBorders>
            <w:shd w:val="clear" w:color="auto" w:fill="auto"/>
            <w:noWrap/>
            <w:vAlign w:val="bottom"/>
            <w:hideMark/>
          </w:tcPr>
          <w:p w14:paraId="74EBCBD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16.88%</w:t>
            </w:r>
          </w:p>
        </w:tc>
        <w:tc>
          <w:tcPr>
            <w:tcW w:w="158" w:type="pct"/>
            <w:tcBorders>
              <w:top w:val="nil"/>
              <w:left w:val="nil"/>
              <w:bottom w:val="single" w:sz="4" w:space="0" w:color="808080"/>
              <w:right w:val="single" w:sz="4" w:space="0" w:color="808080"/>
            </w:tcBorders>
            <w:shd w:val="clear" w:color="auto" w:fill="auto"/>
            <w:noWrap/>
            <w:vAlign w:val="bottom"/>
            <w:hideMark/>
          </w:tcPr>
          <w:p w14:paraId="14F8A0F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10.54</w:t>
            </w:r>
          </w:p>
        </w:tc>
        <w:tc>
          <w:tcPr>
            <w:tcW w:w="158" w:type="pct"/>
            <w:tcBorders>
              <w:top w:val="nil"/>
              <w:left w:val="nil"/>
              <w:bottom w:val="single" w:sz="4" w:space="0" w:color="808080"/>
              <w:right w:val="single" w:sz="4" w:space="0" w:color="auto"/>
            </w:tcBorders>
            <w:shd w:val="clear" w:color="auto" w:fill="auto"/>
            <w:noWrap/>
            <w:vAlign w:val="bottom"/>
            <w:hideMark/>
          </w:tcPr>
          <w:p w14:paraId="21433EA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3.42</w:t>
            </w:r>
          </w:p>
        </w:tc>
        <w:tc>
          <w:tcPr>
            <w:tcW w:w="143" w:type="pct"/>
            <w:tcBorders>
              <w:top w:val="nil"/>
              <w:left w:val="nil"/>
              <w:bottom w:val="single" w:sz="4" w:space="0" w:color="808080"/>
              <w:right w:val="single" w:sz="4" w:space="0" w:color="808080"/>
            </w:tcBorders>
            <w:shd w:val="clear" w:color="auto" w:fill="auto"/>
            <w:noWrap/>
            <w:vAlign w:val="bottom"/>
            <w:hideMark/>
          </w:tcPr>
          <w:p w14:paraId="2BC7653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556</w:t>
            </w:r>
          </w:p>
        </w:tc>
        <w:tc>
          <w:tcPr>
            <w:tcW w:w="207" w:type="pct"/>
            <w:tcBorders>
              <w:top w:val="nil"/>
              <w:left w:val="nil"/>
              <w:bottom w:val="single" w:sz="4" w:space="0" w:color="808080"/>
              <w:right w:val="single" w:sz="4" w:space="0" w:color="808080"/>
            </w:tcBorders>
            <w:shd w:val="clear" w:color="auto" w:fill="auto"/>
            <w:noWrap/>
            <w:vAlign w:val="bottom"/>
            <w:hideMark/>
          </w:tcPr>
          <w:p w14:paraId="1B837D1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20.86%</w:t>
            </w:r>
          </w:p>
        </w:tc>
        <w:tc>
          <w:tcPr>
            <w:tcW w:w="207" w:type="pct"/>
            <w:tcBorders>
              <w:top w:val="nil"/>
              <w:left w:val="nil"/>
              <w:bottom w:val="single" w:sz="4" w:space="0" w:color="808080"/>
              <w:right w:val="single" w:sz="4" w:space="0" w:color="808080"/>
            </w:tcBorders>
            <w:shd w:val="clear" w:color="auto" w:fill="auto"/>
            <w:noWrap/>
            <w:vAlign w:val="bottom"/>
            <w:hideMark/>
          </w:tcPr>
          <w:p w14:paraId="1E62FAC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15.35%</w:t>
            </w:r>
          </w:p>
        </w:tc>
        <w:tc>
          <w:tcPr>
            <w:tcW w:w="187" w:type="pct"/>
            <w:tcBorders>
              <w:top w:val="nil"/>
              <w:left w:val="nil"/>
              <w:bottom w:val="single" w:sz="4" w:space="0" w:color="808080"/>
              <w:right w:val="single" w:sz="4" w:space="0" w:color="808080"/>
            </w:tcBorders>
            <w:shd w:val="clear" w:color="auto" w:fill="auto"/>
            <w:noWrap/>
            <w:vAlign w:val="bottom"/>
            <w:hideMark/>
          </w:tcPr>
          <w:p w14:paraId="563C78B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166.01</w:t>
            </w:r>
          </w:p>
        </w:tc>
        <w:tc>
          <w:tcPr>
            <w:tcW w:w="158" w:type="pct"/>
            <w:tcBorders>
              <w:top w:val="nil"/>
              <w:left w:val="nil"/>
              <w:bottom w:val="single" w:sz="4" w:space="0" w:color="808080"/>
              <w:right w:val="nil"/>
            </w:tcBorders>
            <w:shd w:val="clear" w:color="auto" w:fill="auto"/>
            <w:noWrap/>
            <w:vAlign w:val="bottom"/>
            <w:hideMark/>
          </w:tcPr>
          <w:p w14:paraId="68EEFF8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32.13</w:t>
            </w:r>
          </w:p>
        </w:tc>
        <w:tc>
          <w:tcPr>
            <w:tcW w:w="143" w:type="pct"/>
            <w:tcBorders>
              <w:top w:val="nil"/>
              <w:left w:val="single" w:sz="4" w:space="0" w:color="auto"/>
              <w:bottom w:val="single" w:sz="4" w:space="0" w:color="808080"/>
              <w:right w:val="single" w:sz="4" w:space="0" w:color="808080"/>
            </w:tcBorders>
            <w:shd w:val="clear" w:color="auto" w:fill="auto"/>
            <w:noWrap/>
            <w:vAlign w:val="bottom"/>
            <w:hideMark/>
          </w:tcPr>
          <w:p w14:paraId="33CEE1F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211</w:t>
            </w:r>
          </w:p>
        </w:tc>
        <w:tc>
          <w:tcPr>
            <w:tcW w:w="207" w:type="pct"/>
            <w:tcBorders>
              <w:top w:val="nil"/>
              <w:left w:val="nil"/>
              <w:bottom w:val="single" w:sz="4" w:space="0" w:color="808080"/>
              <w:right w:val="single" w:sz="4" w:space="0" w:color="808080"/>
            </w:tcBorders>
            <w:shd w:val="clear" w:color="auto" w:fill="auto"/>
            <w:noWrap/>
            <w:vAlign w:val="bottom"/>
            <w:hideMark/>
          </w:tcPr>
          <w:p w14:paraId="22BEE85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7.92%</w:t>
            </w:r>
          </w:p>
        </w:tc>
        <w:tc>
          <w:tcPr>
            <w:tcW w:w="207" w:type="pct"/>
            <w:tcBorders>
              <w:top w:val="nil"/>
              <w:left w:val="nil"/>
              <w:bottom w:val="single" w:sz="4" w:space="0" w:color="808080"/>
              <w:right w:val="single" w:sz="4" w:space="0" w:color="808080"/>
            </w:tcBorders>
            <w:shd w:val="clear" w:color="auto" w:fill="auto"/>
            <w:noWrap/>
            <w:vAlign w:val="bottom"/>
            <w:hideMark/>
          </w:tcPr>
          <w:p w14:paraId="10E3386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3.93%</w:t>
            </w:r>
          </w:p>
        </w:tc>
        <w:tc>
          <w:tcPr>
            <w:tcW w:w="187" w:type="pct"/>
            <w:tcBorders>
              <w:top w:val="nil"/>
              <w:left w:val="nil"/>
              <w:bottom w:val="single" w:sz="4" w:space="0" w:color="808080"/>
              <w:right w:val="single" w:sz="4" w:space="0" w:color="808080"/>
            </w:tcBorders>
            <w:shd w:val="clear" w:color="auto" w:fill="auto"/>
            <w:noWrap/>
            <w:vAlign w:val="bottom"/>
            <w:hideMark/>
          </w:tcPr>
          <w:p w14:paraId="77F6A99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4.92</w:t>
            </w:r>
          </w:p>
        </w:tc>
        <w:tc>
          <w:tcPr>
            <w:tcW w:w="158" w:type="pct"/>
            <w:tcBorders>
              <w:top w:val="nil"/>
              <w:left w:val="nil"/>
              <w:bottom w:val="single" w:sz="4" w:space="0" w:color="808080"/>
              <w:right w:val="single" w:sz="4" w:space="0" w:color="auto"/>
            </w:tcBorders>
            <w:shd w:val="clear" w:color="auto" w:fill="auto"/>
            <w:noWrap/>
            <w:vAlign w:val="bottom"/>
            <w:hideMark/>
          </w:tcPr>
          <w:p w14:paraId="4CD5FE1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0.67</w:t>
            </w:r>
          </w:p>
        </w:tc>
        <w:tc>
          <w:tcPr>
            <w:tcW w:w="370" w:type="pct"/>
            <w:tcBorders>
              <w:top w:val="nil"/>
              <w:left w:val="nil"/>
              <w:bottom w:val="single" w:sz="4" w:space="0" w:color="808080"/>
              <w:right w:val="single" w:sz="4" w:space="0" w:color="auto"/>
            </w:tcBorders>
            <w:shd w:val="clear" w:color="auto" w:fill="auto"/>
            <w:noWrap/>
            <w:vAlign w:val="bottom"/>
            <w:hideMark/>
          </w:tcPr>
          <w:p w14:paraId="4880D32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39.05</w:t>
            </w:r>
          </w:p>
        </w:tc>
        <w:tc>
          <w:tcPr>
            <w:tcW w:w="207" w:type="pct"/>
            <w:tcBorders>
              <w:top w:val="nil"/>
              <w:left w:val="nil"/>
              <w:bottom w:val="single" w:sz="4" w:space="0" w:color="808080"/>
              <w:right w:val="single" w:sz="4" w:space="0" w:color="808080"/>
            </w:tcBorders>
            <w:shd w:val="clear" w:color="auto" w:fill="auto"/>
            <w:noWrap/>
            <w:vAlign w:val="bottom"/>
            <w:hideMark/>
          </w:tcPr>
          <w:p w14:paraId="1130639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9.47%</w:t>
            </w:r>
          </w:p>
        </w:tc>
        <w:tc>
          <w:tcPr>
            <w:tcW w:w="236" w:type="pct"/>
            <w:tcBorders>
              <w:top w:val="nil"/>
              <w:left w:val="nil"/>
              <w:bottom w:val="single" w:sz="4" w:space="0" w:color="808080"/>
              <w:right w:val="single" w:sz="4" w:space="0" w:color="808080"/>
            </w:tcBorders>
            <w:shd w:val="clear" w:color="auto" w:fill="auto"/>
            <w:noWrap/>
            <w:vAlign w:val="bottom"/>
            <w:hideMark/>
          </w:tcPr>
          <w:p w14:paraId="086A7AF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53.88%</w:t>
            </w:r>
          </w:p>
        </w:tc>
        <w:tc>
          <w:tcPr>
            <w:tcW w:w="207" w:type="pct"/>
            <w:tcBorders>
              <w:top w:val="nil"/>
              <w:left w:val="nil"/>
              <w:bottom w:val="single" w:sz="4" w:space="0" w:color="808080"/>
              <w:right w:val="single" w:sz="4" w:space="0" w:color="808080"/>
            </w:tcBorders>
            <w:shd w:val="clear" w:color="auto" w:fill="auto"/>
            <w:noWrap/>
            <w:vAlign w:val="bottom"/>
            <w:hideMark/>
          </w:tcPr>
          <w:p w14:paraId="77FB418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8.22%</w:t>
            </w:r>
          </w:p>
        </w:tc>
        <w:tc>
          <w:tcPr>
            <w:tcW w:w="233" w:type="pct"/>
            <w:tcBorders>
              <w:top w:val="nil"/>
              <w:left w:val="nil"/>
              <w:bottom w:val="single" w:sz="4" w:space="0" w:color="808080"/>
              <w:right w:val="single" w:sz="4" w:space="0" w:color="auto"/>
            </w:tcBorders>
            <w:shd w:val="clear" w:color="auto" w:fill="auto"/>
            <w:noWrap/>
            <w:vAlign w:val="bottom"/>
            <w:hideMark/>
          </w:tcPr>
          <w:p w14:paraId="7D0D809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70.30%</w:t>
            </w:r>
          </w:p>
        </w:tc>
      </w:tr>
      <w:tr w:rsidR="00A022DF" w:rsidRPr="00E87E42" w14:paraId="157BF9DE" w14:textId="77777777" w:rsidTr="005839EF">
        <w:trPr>
          <w:trHeight w:val="227"/>
        </w:trPr>
        <w:tc>
          <w:tcPr>
            <w:tcW w:w="54" w:type="pct"/>
            <w:tcBorders>
              <w:top w:val="nil"/>
              <w:left w:val="single" w:sz="4" w:space="0" w:color="auto"/>
              <w:bottom w:val="single" w:sz="4" w:space="0" w:color="auto"/>
              <w:right w:val="nil"/>
            </w:tcBorders>
            <w:shd w:val="clear" w:color="auto" w:fill="auto"/>
            <w:noWrap/>
            <w:vAlign w:val="bottom"/>
            <w:hideMark/>
          </w:tcPr>
          <w:p w14:paraId="528DC53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143" w:type="pct"/>
            <w:tcBorders>
              <w:top w:val="nil"/>
              <w:left w:val="single" w:sz="4" w:space="0" w:color="auto"/>
              <w:bottom w:val="single" w:sz="4" w:space="0" w:color="808080"/>
              <w:right w:val="single" w:sz="4" w:space="0" w:color="auto"/>
            </w:tcBorders>
            <w:shd w:val="clear" w:color="auto" w:fill="auto"/>
            <w:noWrap/>
            <w:vAlign w:val="bottom"/>
            <w:hideMark/>
          </w:tcPr>
          <w:p w14:paraId="23D3695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5538</w:t>
            </w:r>
          </w:p>
        </w:tc>
        <w:tc>
          <w:tcPr>
            <w:tcW w:w="143" w:type="pct"/>
            <w:tcBorders>
              <w:top w:val="nil"/>
              <w:left w:val="nil"/>
              <w:bottom w:val="single" w:sz="4" w:space="0" w:color="808080"/>
              <w:right w:val="single" w:sz="4" w:space="0" w:color="808080"/>
            </w:tcBorders>
            <w:shd w:val="clear" w:color="auto" w:fill="auto"/>
            <w:noWrap/>
            <w:vAlign w:val="bottom"/>
            <w:hideMark/>
          </w:tcPr>
          <w:p w14:paraId="007D9F8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2883</w:t>
            </w:r>
          </w:p>
        </w:tc>
        <w:tc>
          <w:tcPr>
            <w:tcW w:w="207" w:type="pct"/>
            <w:tcBorders>
              <w:top w:val="nil"/>
              <w:left w:val="nil"/>
              <w:bottom w:val="single" w:sz="4" w:space="0" w:color="808080"/>
              <w:right w:val="single" w:sz="4" w:space="0" w:color="808080"/>
            </w:tcBorders>
            <w:shd w:val="clear" w:color="auto" w:fill="auto"/>
            <w:noWrap/>
            <w:vAlign w:val="bottom"/>
            <w:hideMark/>
          </w:tcPr>
          <w:p w14:paraId="6E5CCA5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25.76%</w:t>
            </w:r>
          </w:p>
        </w:tc>
        <w:tc>
          <w:tcPr>
            <w:tcW w:w="207" w:type="pct"/>
            <w:tcBorders>
              <w:top w:val="nil"/>
              <w:left w:val="nil"/>
              <w:bottom w:val="single" w:sz="4" w:space="0" w:color="808080"/>
              <w:right w:val="single" w:sz="4" w:space="0" w:color="808080"/>
            </w:tcBorders>
            <w:shd w:val="clear" w:color="auto" w:fill="auto"/>
            <w:noWrap/>
            <w:vAlign w:val="bottom"/>
            <w:hideMark/>
          </w:tcPr>
          <w:p w14:paraId="78CC3BF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20.37%</w:t>
            </w:r>
          </w:p>
        </w:tc>
        <w:tc>
          <w:tcPr>
            <w:tcW w:w="158" w:type="pct"/>
            <w:tcBorders>
              <w:top w:val="nil"/>
              <w:left w:val="nil"/>
              <w:bottom w:val="single" w:sz="4" w:space="0" w:color="808080"/>
              <w:right w:val="single" w:sz="4" w:space="0" w:color="808080"/>
            </w:tcBorders>
            <w:shd w:val="clear" w:color="auto" w:fill="auto"/>
            <w:noWrap/>
            <w:vAlign w:val="bottom"/>
            <w:hideMark/>
          </w:tcPr>
          <w:p w14:paraId="4E251A3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6.19</w:t>
            </w:r>
          </w:p>
        </w:tc>
        <w:tc>
          <w:tcPr>
            <w:tcW w:w="158" w:type="pct"/>
            <w:tcBorders>
              <w:top w:val="nil"/>
              <w:left w:val="nil"/>
              <w:bottom w:val="single" w:sz="4" w:space="0" w:color="808080"/>
              <w:right w:val="nil"/>
            </w:tcBorders>
            <w:shd w:val="clear" w:color="auto" w:fill="auto"/>
            <w:noWrap/>
            <w:vAlign w:val="bottom"/>
            <w:hideMark/>
          </w:tcPr>
          <w:p w14:paraId="006BA5B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6.19</w:t>
            </w:r>
          </w:p>
        </w:tc>
        <w:tc>
          <w:tcPr>
            <w:tcW w:w="143" w:type="pct"/>
            <w:tcBorders>
              <w:top w:val="nil"/>
              <w:left w:val="single" w:sz="4" w:space="0" w:color="auto"/>
              <w:bottom w:val="single" w:sz="4" w:space="0" w:color="808080"/>
              <w:right w:val="single" w:sz="4" w:space="0" w:color="808080"/>
            </w:tcBorders>
            <w:shd w:val="clear" w:color="auto" w:fill="auto"/>
            <w:noWrap/>
            <w:vAlign w:val="bottom"/>
            <w:hideMark/>
          </w:tcPr>
          <w:p w14:paraId="3CC05ED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2228</w:t>
            </w:r>
          </w:p>
        </w:tc>
        <w:tc>
          <w:tcPr>
            <w:tcW w:w="207" w:type="pct"/>
            <w:tcBorders>
              <w:top w:val="nil"/>
              <w:left w:val="nil"/>
              <w:bottom w:val="single" w:sz="4" w:space="0" w:color="808080"/>
              <w:right w:val="single" w:sz="4" w:space="0" w:color="808080"/>
            </w:tcBorders>
            <w:shd w:val="clear" w:color="auto" w:fill="auto"/>
            <w:noWrap/>
            <w:vAlign w:val="bottom"/>
            <w:hideMark/>
          </w:tcPr>
          <w:p w14:paraId="3B03AC1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19.91%</w:t>
            </w:r>
          </w:p>
        </w:tc>
        <w:tc>
          <w:tcPr>
            <w:tcW w:w="207" w:type="pct"/>
            <w:tcBorders>
              <w:top w:val="nil"/>
              <w:left w:val="nil"/>
              <w:bottom w:val="single" w:sz="4" w:space="0" w:color="808080"/>
              <w:right w:val="single" w:sz="4" w:space="0" w:color="808080"/>
            </w:tcBorders>
            <w:shd w:val="clear" w:color="auto" w:fill="auto"/>
            <w:noWrap/>
            <w:vAlign w:val="bottom"/>
            <w:hideMark/>
          </w:tcPr>
          <w:p w14:paraId="16ED939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44.66%</w:t>
            </w:r>
          </w:p>
        </w:tc>
        <w:tc>
          <w:tcPr>
            <w:tcW w:w="158" w:type="pct"/>
            <w:tcBorders>
              <w:top w:val="nil"/>
              <w:left w:val="nil"/>
              <w:bottom w:val="single" w:sz="4" w:space="0" w:color="808080"/>
              <w:right w:val="single" w:sz="4" w:space="0" w:color="808080"/>
            </w:tcBorders>
            <w:shd w:val="clear" w:color="auto" w:fill="auto"/>
            <w:noWrap/>
            <w:vAlign w:val="bottom"/>
            <w:hideMark/>
          </w:tcPr>
          <w:p w14:paraId="334412A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34.22</w:t>
            </w:r>
          </w:p>
        </w:tc>
        <w:tc>
          <w:tcPr>
            <w:tcW w:w="158" w:type="pct"/>
            <w:tcBorders>
              <w:top w:val="nil"/>
              <w:left w:val="nil"/>
              <w:bottom w:val="single" w:sz="4" w:space="0" w:color="808080"/>
              <w:right w:val="single" w:sz="4" w:space="0" w:color="auto"/>
            </w:tcBorders>
            <w:shd w:val="clear" w:color="auto" w:fill="auto"/>
            <w:noWrap/>
            <w:vAlign w:val="bottom"/>
            <w:hideMark/>
          </w:tcPr>
          <w:p w14:paraId="558B46E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11.10</w:t>
            </w:r>
          </w:p>
        </w:tc>
        <w:tc>
          <w:tcPr>
            <w:tcW w:w="143" w:type="pct"/>
            <w:tcBorders>
              <w:top w:val="nil"/>
              <w:left w:val="nil"/>
              <w:bottom w:val="single" w:sz="4" w:space="0" w:color="808080"/>
              <w:right w:val="single" w:sz="4" w:space="0" w:color="808080"/>
            </w:tcBorders>
            <w:shd w:val="clear" w:color="auto" w:fill="auto"/>
            <w:noWrap/>
            <w:vAlign w:val="bottom"/>
            <w:hideMark/>
          </w:tcPr>
          <w:p w14:paraId="5B2B463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2341</w:t>
            </w:r>
          </w:p>
        </w:tc>
        <w:tc>
          <w:tcPr>
            <w:tcW w:w="207" w:type="pct"/>
            <w:tcBorders>
              <w:top w:val="nil"/>
              <w:left w:val="nil"/>
              <w:bottom w:val="single" w:sz="4" w:space="0" w:color="808080"/>
              <w:right w:val="single" w:sz="4" w:space="0" w:color="808080"/>
            </w:tcBorders>
            <w:shd w:val="clear" w:color="auto" w:fill="auto"/>
            <w:noWrap/>
            <w:vAlign w:val="bottom"/>
            <w:hideMark/>
          </w:tcPr>
          <w:p w14:paraId="2632487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20.91%</w:t>
            </w:r>
          </w:p>
        </w:tc>
        <w:tc>
          <w:tcPr>
            <w:tcW w:w="207" w:type="pct"/>
            <w:tcBorders>
              <w:top w:val="nil"/>
              <w:left w:val="nil"/>
              <w:bottom w:val="single" w:sz="4" w:space="0" w:color="808080"/>
              <w:right w:val="single" w:sz="4" w:space="0" w:color="808080"/>
            </w:tcBorders>
            <w:shd w:val="clear" w:color="auto" w:fill="auto"/>
            <w:noWrap/>
            <w:vAlign w:val="bottom"/>
            <w:hideMark/>
          </w:tcPr>
          <w:p w14:paraId="72138AF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64.65%</w:t>
            </w:r>
          </w:p>
        </w:tc>
        <w:tc>
          <w:tcPr>
            <w:tcW w:w="187" w:type="pct"/>
            <w:tcBorders>
              <w:top w:val="nil"/>
              <w:left w:val="nil"/>
              <w:bottom w:val="single" w:sz="4" w:space="0" w:color="808080"/>
              <w:right w:val="single" w:sz="4" w:space="0" w:color="808080"/>
            </w:tcBorders>
            <w:shd w:val="clear" w:color="auto" w:fill="auto"/>
            <w:noWrap/>
            <w:vAlign w:val="bottom"/>
            <w:hideMark/>
          </w:tcPr>
          <w:p w14:paraId="72C748B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74.02</w:t>
            </w:r>
          </w:p>
        </w:tc>
        <w:tc>
          <w:tcPr>
            <w:tcW w:w="158" w:type="pct"/>
            <w:tcBorders>
              <w:top w:val="nil"/>
              <w:left w:val="nil"/>
              <w:bottom w:val="single" w:sz="4" w:space="0" w:color="808080"/>
              <w:right w:val="nil"/>
            </w:tcBorders>
            <w:shd w:val="clear" w:color="auto" w:fill="auto"/>
            <w:noWrap/>
            <w:vAlign w:val="bottom"/>
            <w:hideMark/>
          </w:tcPr>
          <w:p w14:paraId="623CD79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14.33</w:t>
            </w:r>
          </w:p>
        </w:tc>
        <w:tc>
          <w:tcPr>
            <w:tcW w:w="143" w:type="pct"/>
            <w:tcBorders>
              <w:top w:val="nil"/>
              <w:left w:val="single" w:sz="4" w:space="0" w:color="auto"/>
              <w:bottom w:val="single" w:sz="4" w:space="0" w:color="808080"/>
              <w:right w:val="single" w:sz="4" w:space="0" w:color="808080"/>
            </w:tcBorders>
            <w:shd w:val="clear" w:color="auto" w:fill="auto"/>
            <w:noWrap/>
            <w:vAlign w:val="bottom"/>
            <w:hideMark/>
          </w:tcPr>
          <w:p w14:paraId="532695B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3741</w:t>
            </w:r>
          </w:p>
        </w:tc>
        <w:tc>
          <w:tcPr>
            <w:tcW w:w="207" w:type="pct"/>
            <w:tcBorders>
              <w:top w:val="nil"/>
              <w:left w:val="nil"/>
              <w:bottom w:val="single" w:sz="4" w:space="0" w:color="808080"/>
              <w:right w:val="single" w:sz="4" w:space="0" w:color="808080"/>
            </w:tcBorders>
            <w:shd w:val="clear" w:color="auto" w:fill="auto"/>
            <w:noWrap/>
            <w:vAlign w:val="bottom"/>
            <w:hideMark/>
          </w:tcPr>
          <w:p w14:paraId="0A4B591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33.42%</w:t>
            </w:r>
          </w:p>
        </w:tc>
        <w:tc>
          <w:tcPr>
            <w:tcW w:w="207" w:type="pct"/>
            <w:tcBorders>
              <w:top w:val="nil"/>
              <w:left w:val="nil"/>
              <w:bottom w:val="single" w:sz="4" w:space="0" w:color="808080"/>
              <w:right w:val="single" w:sz="4" w:space="0" w:color="808080"/>
            </w:tcBorders>
            <w:shd w:val="clear" w:color="auto" w:fill="auto"/>
            <w:noWrap/>
            <w:vAlign w:val="bottom"/>
            <w:hideMark/>
          </w:tcPr>
          <w:p w14:paraId="07A6852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69.66%</w:t>
            </w:r>
          </w:p>
        </w:tc>
        <w:tc>
          <w:tcPr>
            <w:tcW w:w="187" w:type="pct"/>
            <w:tcBorders>
              <w:top w:val="nil"/>
              <w:left w:val="nil"/>
              <w:bottom w:val="single" w:sz="4" w:space="0" w:color="808080"/>
              <w:right w:val="single" w:sz="4" w:space="0" w:color="808080"/>
            </w:tcBorders>
            <w:shd w:val="clear" w:color="auto" w:fill="auto"/>
            <w:noWrap/>
            <w:vAlign w:val="bottom"/>
            <w:hideMark/>
          </w:tcPr>
          <w:p w14:paraId="1A4E036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123.36</w:t>
            </w:r>
          </w:p>
        </w:tc>
        <w:tc>
          <w:tcPr>
            <w:tcW w:w="158" w:type="pct"/>
            <w:tcBorders>
              <w:top w:val="nil"/>
              <w:left w:val="nil"/>
              <w:bottom w:val="single" w:sz="4" w:space="0" w:color="808080"/>
              <w:right w:val="single" w:sz="4" w:space="0" w:color="auto"/>
            </w:tcBorders>
            <w:shd w:val="clear" w:color="auto" w:fill="auto"/>
            <w:noWrap/>
            <w:vAlign w:val="bottom"/>
            <w:hideMark/>
          </w:tcPr>
          <w:p w14:paraId="3DE64E8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16.82</w:t>
            </w:r>
          </w:p>
        </w:tc>
        <w:tc>
          <w:tcPr>
            <w:tcW w:w="370" w:type="pct"/>
            <w:tcBorders>
              <w:top w:val="nil"/>
              <w:left w:val="nil"/>
              <w:bottom w:val="single" w:sz="4" w:space="0" w:color="808080"/>
              <w:right w:val="single" w:sz="4" w:space="0" w:color="auto"/>
            </w:tcBorders>
            <w:shd w:val="clear" w:color="auto" w:fill="auto"/>
            <w:noWrap/>
            <w:vAlign w:val="bottom"/>
            <w:hideMark/>
          </w:tcPr>
          <w:p w14:paraId="475F7A6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65.12</w:t>
            </w:r>
          </w:p>
        </w:tc>
        <w:tc>
          <w:tcPr>
            <w:tcW w:w="207" w:type="pct"/>
            <w:tcBorders>
              <w:top w:val="nil"/>
              <w:left w:val="nil"/>
              <w:bottom w:val="single" w:sz="4" w:space="0" w:color="808080"/>
              <w:right w:val="single" w:sz="4" w:space="0" w:color="808080"/>
            </w:tcBorders>
            <w:shd w:val="clear" w:color="auto" w:fill="auto"/>
            <w:noWrap/>
            <w:vAlign w:val="bottom"/>
            <w:hideMark/>
          </w:tcPr>
          <w:p w14:paraId="34E7370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39.78%</w:t>
            </w:r>
          </w:p>
        </w:tc>
        <w:tc>
          <w:tcPr>
            <w:tcW w:w="236" w:type="pct"/>
            <w:tcBorders>
              <w:top w:val="nil"/>
              <w:left w:val="nil"/>
              <w:bottom w:val="single" w:sz="4" w:space="0" w:color="808080"/>
              <w:right w:val="single" w:sz="4" w:space="0" w:color="808080"/>
            </w:tcBorders>
            <w:shd w:val="clear" w:color="auto" w:fill="auto"/>
            <w:noWrap/>
            <w:vAlign w:val="bottom"/>
            <w:hideMark/>
          </w:tcPr>
          <w:p w14:paraId="2535F1B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93.67%</w:t>
            </w:r>
          </w:p>
        </w:tc>
        <w:tc>
          <w:tcPr>
            <w:tcW w:w="207" w:type="pct"/>
            <w:tcBorders>
              <w:top w:val="nil"/>
              <w:left w:val="nil"/>
              <w:bottom w:val="single" w:sz="4" w:space="0" w:color="808080"/>
              <w:right w:val="single" w:sz="4" w:space="0" w:color="808080"/>
            </w:tcBorders>
            <w:shd w:val="clear" w:color="auto" w:fill="auto"/>
            <w:noWrap/>
            <w:vAlign w:val="bottom"/>
            <w:hideMark/>
          </w:tcPr>
          <w:p w14:paraId="2185BBF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25.51%</w:t>
            </w:r>
          </w:p>
        </w:tc>
        <w:tc>
          <w:tcPr>
            <w:tcW w:w="233" w:type="pct"/>
            <w:tcBorders>
              <w:top w:val="nil"/>
              <w:left w:val="nil"/>
              <w:bottom w:val="single" w:sz="4" w:space="0" w:color="808080"/>
              <w:right w:val="single" w:sz="4" w:space="0" w:color="auto"/>
            </w:tcBorders>
            <w:shd w:val="clear" w:color="auto" w:fill="auto"/>
            <w:noWrap/>
            <w:vAlign w:val="bottom"/>
            <w:hideMark/>
          </w:tcPr>
          <w:p w14:paraId="2289A49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95.81%</w:t>
            </w:r>
          </w:p>
        </w:tc>
      </w:tr>
      <w:tr w:rsidR="00A022DF" w:rsidRPr="00E87E42" w14:paraId="143E1EFC" w14:textId="77777777" w:rsidTr="005839EF">
        <w:trPr>
          <w:trHeight w:val="227"/>
        </w:trPr>
        <w:tc>
          <w:tcPr>
            <w:tcW w:w="54" w:type="pct"/>
            <w:tcBorders>
              <w:top w:val="nil"/>
              <w:left w:val="single" w:sz="4" w:space="0" w:color="auto"/>
              <w:bottom w:val="single" w:sz="4" w:space="0" w:color="auto"/>
              <w:right w:val="nil"/>
            </w:tcBorders>
            <w:shd w:val="clear" w:color="auto" w:fill="auto"/>
            <w:noWrap/>
            <w:vAlign w:val="bottom"/>
            <w:hideMark/>
          </w:tcPr>
          <w:p w14:paraId="502D784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143" w:type="pct"/>
            <w:tcBorders>
              <w:top w:val="nil"/>
              <w:left w:val="single" w:sz="4" w:space="0" w:color="auto"/>
              <w:bottom w:val="single" w:sz="4" w:space="0" w:color="auto"/>
              <w:right w:val="single" w:sz="4" w:space="0" w:color="auto"/>
            </w:tcBorders>
            <w:shd w:val="clear" w:color="auto" w:fill="auto"/>
            <w:noWrap/>
            <w:vAlign w:val="bottom"/>
            <w:hideMark/>
          </w:tcPr>
          <w:p w14:paraId="7B6C830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910</w:t>
            </w:r>
          </w:p>
        </w:tc>
        <w:tc>
          <w:tcPr>
            <w:tcW w:w="143" w:type="pct"/>
            <w:tcBorders>
              <w:top w:val="nil"/>
              <w:left w:val="nil"/>
              <w:bottom w:val="single" w:sz="4" w:space="0" w:color="auto"/>
              <w:right w:val="single" w:sz="4" w:space="0" w:color="808080"/>
            </w:tcBorders>
            <w:shd w:val="clear" w:color="auto" w:fill="auto"/>
            <w:noWrap/>
            <w:vAlign w:val="bottom"/>
            <w:hideMark/>
          </w:tcPr>
          <w:p w14:paraId="0CEB7CB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260</w:t>
            </w:r>
          </w:p>
        </w:tc>
        <w:tc>
          <w:tcPr>
            <w:tcW w:w="207" w:type="pct"/>
            <w:tcBorders>
              <w:top w:val="nil"/>
              <w:left w:val="nil"/>
              <w:bottom w:val="single" w:sz="4" w:space="0" w:color="auto"/>
              <w:right w:val="single" w:sz="4" w:space="0" w:color="808080"/>
            </w:tcBorders>
            <w:shd w:val="clear" w:color="auto" w:fill="auto"/>
            <w:noWrap/>
            <w:vAlign w:val="bottom"/>
            <w:hideMark/>
          </w:tcPr>
          <w:p w14:paraId="411C0B9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14.59%</w:t>
            </w:r>
          </w:p>
        </w:tc>
        <w:tc>
          <w:tcPr>
            <w:tcW w:w="207" w:type="pct"/>
            <w:tcBorders>
              <w:top w:val="nil"/>
              <w:left w:val="nil"/>
              <w:bottom w:val="single" w:sz="4" w:space="0" w:color="auto"/>
              <w:right w:val="single" w:sz="4" w:space="0" w:color="808080"/>
            </w:tcBorders>
            <w:shd w:val="clear" w:color="auto" w:fill="auto"/>
            <w:noWrap/>
            <w:vAlign w:val="bottom"/>
            <w:hideMark/>
          </w:tcPr>
          <w:p w14:paraId="6BF55F8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1.84%</w:t>
            </w:r>
          </w:p>
        </w:tc>
        <w:tc>
          <w:tcPr>
            <w:tcW w:w="158" w:type="pct"/>
            <w:tcBorders>
              <w:top w:val="nil"/>
              <w:left w:val="nil"/>
              <w:bottom w:val="single" w:sz="4" w:space="0" w:color="auto"/>
              <w:right w:val="single" w:sz="4" w:space="0" w:color="808080"/>
            </w:tcBorders>
            <w:shd w:val="clear" w:color="auto" w:fill="auto"/>
            <w:noWrap/>
            <w:vAlign w:val="bottom"/>
            <w:hideMark/>
          </w:tcPr>
          <w:p w14:paraId="3F5F407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0.31</w:t>
            </w:r>
          </w:p>
        </w:tc>
        <w:tc>
          <w:tcPr>
            <w:tcW w:w="158" w:type="pct"/>
            <w:tcBorders>
              <w:top w:val="nil"/>
              <w:left w:val="nil"/>
              <w:bottom w:val="single" w:sz="4" w:space="0" w:color="auto"/>
              <w:right w:val="nil"/>
            </w:tcBorders>
            <w:shd w:val="clear" w:color="auto" w:fill="auto"/>
            <w:noWrap/>
            <w:vAlign w:val="bottom"/>
            <w:hideMark/>
          </w:tcPr>
          <w:p w14:paraId="443927D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0.31</w:t>
            </w:r>
          </w:p>
        </w:tc>
        <w:tc>
          <w:tcPr>
            <w:tcW w:w="143" w:type="pct"/>
            <w:tcBorders>
              <w:top w:val="nil"/>
              <w:left w:val="single" w:sz="4" w:space="0" w:color="auto"/>
              <w:bottom w:val="single" w:sz="4" w:space="0" w:color="auto"/>
              <w:right w:val="single" w:sz="4" w:space="0" w:color="808080"/>
            </w:tcBorders>
            <w:shd w:val="clear" w:color="auto" w:fill="auto"/>
            <w:noWrap/>
            <w:vAlign w:val="bottom"/>
            <w:hideMark/>
          </w:tcPr>
          <w:p w14:paraId="5FBB352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167</w:t>
            </w:r>
          </w:p>
        </w:tc>
        <w:tc>
          <w:tcPr>
            <w:tcW w:w="207" w:type="pct"/>
            <w:tcBorders>
              <w:top w:val="nil"/>
              <w:left w:val="nil"/>
              <w:bottom w:val="single" w:sz="4" w:space="0" w:color="auto"/>
              <w:right w:val="single" w:sz="4" w:space="0" w:color="808080"/>
            </w:tcBorders>
            <w:shd w:val="clear" w:color="auto" w:fill="auto"/>
            <w:noWrap/>
            <w:vAlign w:val="bottom"/>
            <w:hideMark/>
          </w:tcPr>
          <w:p w14:paraId="2BF4152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9.37%</w:t>
            </w:r>
          </w:p>
        </w:tc>
        <w:tc>
          <w:tcPr>
            <w:tcW w:w="207" w:type="pct"/>
            <w:tcBorders>
              <w:top w:val="nil"/>
              <w:left w:val="nil"/>
              <w:bottom w:val="single" w:sz="4" w:space="0" w:color="auto"/>
              <w:right w:val="single" w:sz="4" w:space="0" w:color="808080"/>
            </w:tcBorders>
            <w:shd w:val="clear" w:color="auto" w:fill="auto"/>
            <w:noWrap/>
            <w:vAlign w:val="bottom"/>
            <w:hideMark/>
          </w:tcPr>
          <w:p w14:paraId="4DDB70A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3.35%</w:t>
            </w:r>
          </w:p>
        </w:tc>
        <w:tc>
          <w:tcPr>
            <w:tcW w:w="158" w:type="pct"/>
            <w:tcBorders>
              <w:top w:val="nil"/>
              <w:left w:val="nil"/>
              <w:bottom w:val="single" w:sz="4" w:space="0" w:color="auto"/>
              <w:right w:val="single" w:sz="4" w:space="0" w:color="808080"/>
            </w:tcBorders>
            <w:shd w:val="clear" w:color="auto" w:fill="auto"/>
            <w:noWrap/>
            <w:vAlign w:val="bottom"/>
            <w:hideMark/>
          </w:tcPr>
          <w:p w14:paraId="767D6C1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2.48</w:t>
            </w:r>
          </w:p>
        </w:tc>
        <w:tc>
          <w:tcPr>
            <w:tcW w:w="158" w:type="pct"/>
            <w:tcBorders>
              <w:top w:val="nil"/>
              <w:left w:val="nil"/>
              <w:bottom w:val="single" w:sz="4" w:space="0" w:color="auto"/>
              <w:right w:val="single" w:sz="4" w:space="0" w:color="auto"/>
            </w:tcBorders>
            <w:shd w:val="clear" w:color="auto" w:fill="auto"/>
            <w:noWrap/>
            <w:vAlign w:val="bottom"/>
            <w:hideMark/>
          </w:tcPr>
          <w:p w14:paraId="44A89BC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0.80</w:t>
            </w:r>
          </w:p>
        </w:tc>
        <w:tc>
          <w:tcPr>
            <w:tcW w:w="143" w:type="pct"/>
            <w:tcBorders>
              <w:top w:val="nil"/>
              <w:left w:val="nil"/>
              <w:bottom w:val="single" w:sz="4" w:space="0" w:color="auto"/>
              <w:right w:val="single" w:sz="4" w:space="0" w:color="808080"/>
            </w:tcBorders>
            <w:shd w:val="clear" w:color="auto" w:fill="auto"/>
            <w:noWrap/>
            <w:vAlign w:val="bottom"/>
            <w:hideMark/>
          </w:tcPr>
          <w:p w14:paraId="136BF61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272</w:t>
            </w:r>
          </w:p>
        </w:tc>
        <w:tc>
          <w:tcPr>
            <w:tcW w:w="207" w:type="pct"/>
            <w:tcBorders>
              <w:top w:val="nil"/>
              <w:left w:val="nil"/>
              <w:bottom w:val="single" w:sz="4" w:space="0" w:color="auto"/>
              <w:right w:val="single" w:sz="4" w:space="0" w:color="808080"/>
            </w:tcBorders>
            <w:shd w:val="clear" w:color="auto" w:fill="auto"/>
            <w:noWrap/>
            <w:vAlign w:val="bottom"/>
            <w:hideMark/>
          </w:tcPr>
          <w:p w14:paraId="2FCC5B9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15.26%</w:t>
            </w:r>
          </w:p>
        </w:tc>
        <w:tc>
          <w:tcPr>
            <w:tcW w:w="207" w:type="pct"/>
            <w:tcBorders>
              <w:top w:val="nil"/>
              <w:left w:val="nil"/>
              <w:bottom w:val="single" w:sz="4" w:space="0" w:color="auto"/>
              <w:right w:val="single" w:sz="4" w:space="0" w:color="808080"/>
            </w:tcBorders>
            <w:shd w:val="clear" w:color="auto" w:fill="auto"/>
            <w:noWrap/>
            <w:vAlign w:val="bottom"/>
            <w:hideMark/>
          </w:tcPr>
          <w:p w14:paraId="4DE2B98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7.51%</w:t>
            </w:r>
          </w:p>
        </w:tc>
        <w:tc>
          <w:tcPr>
            <w:tcW w:w="187" w:type="pct"/>
            <w:tcBorders>
              <w:top w:val="nil"/>
              <w:left w:val="nil"/>
              <w:bottom w:val="single" w:sz="4" w:space="0" w:color="auto"/>
              <w:right w:val="single" w:sz="4" w:space="0" w:color="808080"/>
            </w:tcBorders>
            <w:shd w:val="clear" w:color="auto" w:fill="auto"/>
            <w:noWrap/>
            <w:vAlign w:val="bottom"/>
            <w:hideMark/>
          </w:tcPr>
          <w:p w14:paraId="0DF330D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8.29</w:t>
            </w:r>
          </w:p>
        </w:tc>
        <w:tc>
          <w:tcPr>
            <w:tcW w:w="158" w:type="pct"/>
            <w:tcBorders>
              <w:top w:val="nil"/>
              <w:left w:val="nil"/>
              <w:bottom w:val="single" w:sz="4" w:space="0" w:color="auto"/>
              <w:right w:val="nil"/>
            </w:tcBorders>
            <w:shd w:val="clear" w:color="auto" w:fill="auto"/>
            <w:noWrap/>
            <w:vAlign w:val="bottom"/>
            <w:hideMark/>
          </w:tcPr>
          <w:p w14:paraId="45A4F9E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1.60</w:t>
            </w:r>
          </w:p>
        </w:tc>
        <w:tc>
          <w:tcPr>
            <w:tcW w:w="143" w:type="pct"/>
            <w:tcBorders>
              <w:top w:val="nil"/>
              <w:left w:val="single" w:sz="4" w:space="0" w:color="auto"/>
              <w:bottom w:val="single" w:sz="4" w:space="0" w:color="auto"/>
              <w:right w:val="single" w:sz="4" w:space="0" w:color="808080"/>
            </w:tcBorders>
            <w:shd w:val="clear" w:color="auto" w:fill="auto"/>
            <w:noWrap/>
            <w:vAlign w:val="bottom"/>
            <w:hideMark/>
          </w:tcPr>
          <w:p w14:paraId="6512DD7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1083</w:t>
            </w:r>
          </w:p>
        </w:tc>
        <w:tc>
          <w:tcPr>
            <w:tcW w:w="207" w:type="pct"/>
            <w:tcBorders>
              <w:top w:val="nil"/>
              <w:left w:val="nil"/>
              <w:bottom w:val="single" w:sz="4" w:space="0" w:color="auto"/>
              <w:right w:val="single" w:sz="4" w:space="0" w:color="808080"/>
            </w:tcBorders>
            <w:shd w:val="clear" w:color="auto" w:fill="auto"/>
            <w:noWrap/>
            <w:vAlign w:val="bottom"/>
            <w:hideMark/>
          </w:tcPr>
          <w:p w14:paraId="1FC6147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60.77%</w:t>
            </w:r>
          </w:p>
        </w:tc>
        <w:tc>
          <w:tcPr>
            <w:tcW w:w="207" w:type="pct"/>
            <w:tcBorders>
              <w:top w:val="nil"/>
              <w:left w:val="nil"/>
              <w:bottom w:val="single" w:sz="4" w:space="0" w:color="auto"/>
              <w:right w:val="single" w:sz="4" w:space="0" w:color="808080"/>
            </w:tcBorders>
            <w:shd w:val="clear" w:color="auto" w:fill="auto"/>
            <w:noWrap/>
            <w:vAlign w:val="bottom"/>
            <w:hideMark/>
          </w:tcPr>
          <w:p w14:paraId="0D0AE51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20.17%</w:t>
            </w:r>
          </w:p>
        </w:tc>
        <w:tc>
          <w:tcPr>
            <w:tcW w:w="187" w:type="pct"/>
            <w:tcBorders>
              <w:top w:val="nil"/>
              <w:left w:val="nil"/>
              <w:bottom w:val="single" w:sz="4" w:space="0" w:color="auto"/>
              <w:right w:val="single" w:sz="4" w:space="0" w:color="808080"/>
            </w:tcBorders>
            <w:shd w:val="clear" w:color="auto" w:fill="auto"/>
            <w:noWrap/>
            <w:vAlign w:val="bottom"/>
            <w:hideMark/>
          </w:tcPr>
          <w:p w14:paraId="7603FD2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28.74</w:t>
            </w:r>
          </w:p>
        </w:tc>
        <w:tc>
          <w:tcPr>
            <w:tcW w:w="158" w:type="pct"/>
            <w:tcBorders>
              <w:top w:val="nil"/>
              <w:left w:val="nil"/>
              <w:bottom w:val="single" w:sz="4" w:space="0" w:color="auto"/>
              <w:right w:val="single" w:sz="4" w:space="0" w:color="auto"/>
            </w:tcBorders>
            <w:shd w:val="clear" w:color="auto" w:fill="auto"/>
            <w:noWrap/>
            <w:vAlign w:val="bottom"/>
            <w:hideMark/>
          </w:tcPr>
          <w:p w14:paraId="12145BF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3.92</w:t>
            </w:r>
          </w:p>
        </w:tc>
        <w:tc>
          <w:tcPr>
            <w:tcW w:w="370" w:type="pct"/>
            <w:tcBorders>
              <w:top w:val="nil"/>
              <w:left w:val="nil"/>
              <w:bottom w:val="single" w:sz="4" w:space="0" w:color="auto"/>
              <w:right w:val="single" w:sz="4" w:space="0" w:color="auto"/>
            </w:tcBorders>
            <w:shd w:val="clear" w:color="auto" w:fill="auto"/>
            <w:noWrap/>
            <w:vAlign w:val="bottom"/>
            <w:hideMark/>
          </w:tcPr>
          <w:p w14:paraId="3218408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19.01</w:t>
            </w:r>
          </w:p>
        </w:tc>
        <w:tc>
          <w:tcPr>
            <w:tcW w:w="207" w:type="pct"/>
            <w:tcBorders>
              <w:top w:val="nil"/>
              <w:left w:val="nil"/>
              <w:bottom w:val="single" w:sz="4" w:space="0" w:color="auto"/>
              <w:right w:val="single" w:sz="4" w:space="0" w:color="808080"/>
            </w:tcBorders>
            <w:shd w:val="clear" w:color="auto" w:fill="auto"/>
            <w:noWrap/>
            <w:vAlign w:val="bottom"/>
            <w:hideMark/>
          </w:tcPr>
          <w:p w14:paraId="677097A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6.33%</w:t>
            </w:r>
          </w:p>
        </w:tc>
        <w:tc>
          <w:tcPr>
            <w:tcW w:w="236" w:type="pct"/>
            <w:tcBorders>
              <w:top w:val="nil"/>
              <w:left w:val="nil"/>
              <w:bottom w:val="single" w:sz="4" w:space="0" w:color="auto"/>
              <w:right w:val="single" w:sz="4" w:space="0" w:color="808080"/>
            </w:tcBorders>
            <w:shd w:val="clear" w:color="auto" w:fill="auto"/>
            <w:noWrap/>
            <w:vAlign w:val="bottom"/>
            <w:hideMark/>
          </w:tcPr>
          <w:p w14:paraId="6576608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07" w:type="pct"/>
            <w:tcBorders>
              <w:top w:val="nil"/>
              <w:left w:val="nil"/>
              <w:bottom w:val="single" w:sz="4" w:space="0" w:color="auto"/>
              <w:right w:val="single" w:sz="4" w:space="0" w:color="808080"/>
            </w:tcBorders>
            <w:shd w:val="clear" w:color="auto" w:fill="auto"/>
            <w:noWrap/>
            <w:vAlign w:val="bottom"/>
            <w:hideMark/>
          </w:tcPr>
          <w:p w14:paraId="096298E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4.19%</w:t>
            </w:r>
          </w:p>
        </w:tc>
        <w:tc>
          <w:tcPr>
            <w:tcW w:w="233" w:type="pct"/>
            <w:tcBorders>
              <w:top w:val="nil"/>
              <w:left w:val="nil"/>
              <w:bottom w:val="single" w:sz="4" w:space="0" w:color="auto"/>
              <w:right w:val="single" w:sz="4" w:space="0" w:color="auto"/>
            </w:tcBorders>
            <w:shd w:val="clear" w:color="auto" w:fill="auto"/>
            <w:noWrap/>
            <w:vAlign w:val="bottom"/>
            <w:hideMark/>
          </w:tcPr>
          <w:p w14:paraId="269098A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r>
      <w:tr w:rsidR="00A022DF" w:rsidRPr="00E87E42" w14:paraId="6F34A46B" w14:textId="77777777" w:rsidTr="005839EF">
        <w:trPr>
          <w:trHeight w:val="227"/>
        </w:trPr>
        <w:tc>
          <w:tcPr>
            <w:tcW w:w="3747" w:type="pct"/>
            <w:gridSpan w:val="22"/>
            <w:tcBorders>
              <w:top w:val="single" w:sz="4" w:space="0" w:color="auto"/>
              <w:left w:val="single" w:sz="4" w:space="0" w:color="auto"/>
              <w:bottom w:val="single" w:sz="4" w:space="0" w:color="auto"/>
              <w:right w:val="single" w:sz="4" w:space="0" w:color="auto"/>
            </w:tcBorders>
            <w:shd w:val="clear" w:color="auto" w:fill="auto"/>
            <w:noWrap/>
            <w:vAlign w:val="bottom"/>
          </w:tcPr>
          <w:p w14:paraId="2E375FDF" w14:textId="77777777" w:rsidR="00A022DF" w:rsidRPr="00E87E42" w:rsidRDefault="00A022DF" w:rsidP="00A022DF">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Total weighted area damage</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65BBF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35.69</w:t>
            </w:r>
          </w:p>
        </w:tc>
        <w:tc>
          <w:tcPr>
            <w:tcW w:w="883"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2E7BC6E" w14:textId="77777777" w:rsidR="00A022DF" w:rsidRPr="00E87E42" w:rsidRDefault="00A022DF" w:rsidP="00A022DF">
            <w:pPr>
              <w:spacing w:after="0" w:line="240" w:lineRule="auto"/>
              <w:jc w:val="center"/>
              <w:rPr>
                <w:rFonts w:eastAsia="Times New Roman"/>
                <w:color w:val="000000"/>
                <w:sz w:val="16"/>
                <w:szCs w:val="16"/>
                <w:lang w:eastAsia="en-GB"/>
              </w:rPr>
            </w:pPr>
          </w:p>
        </w:tc>
      </w:tr>
    </w:tbl>
    <w:p w14:paraId="5194A29E" w14:textId="77777777" w:rsidR="00B61F61" w:rsidRPr="00E87E42" w:rsidRDefault="00B61F61" w:rsidP="00B61F61">
      <w:pPr>
        <w:spacing w:line="240" w:lineRule="auto"/>
      </w:pPr>
    </w:p>
    <w:p w14:paraId="4E2F6A14" w14:textId="77777777" w:rsidR="00B61F61" w:rsidRPr="00E87E42" w:rsidRDefault="00B61F61" w:rsidP="00B61F61">
      <w:pPr>
        <w:spacing w:after="0" w:line="240" w:lineRule="auto"/>
        <w:jc w:val="left"/>
        <w:rPr>
          <w:i/>
          <w:iCs/>
          <w:sz w:val="20"/>
          <w:szCs w:val="18"/>
        </w:rPr>
      </w:pPr>
      <w:r w:rsidRPr="00E87E42">
        <w:br w:type="page"/>
      </w:r>
    </w:p>
    <w:p w14:paraId="0C056393" w14:textId="4BA2057C" w:rsidR="00B61F61" w:rsidRPr="00E87E42" w:rsidRDefault="00B61F61" w:rsidP="00B61F61">
      <w:pPr>
        <w:pStyle w:val="Caption"/>
        <w:spacing w:line="240" w:lineRule="auto"/>
      </w:pPr>
      <w:bookmarkStart w:id="65" w:name="_Ref518121374"/>
      <w:r w:rsidRPr="00E87E42">
        <w:lastRenderedPageBreak/>
        <w:t xml:space="preserve">Table </w:t>
      </w:r>
      <w:r w:rsidR="00BC5ED7" w:rsidRPr="00E87E42">
        <w:rPr>
          <w:noProof/>
        </w:rPr>
        <w:fldChar w:fldCharType="begin"/>
      </w:r>
      <w:r w:rsidR="00BC5ED7" w:rsidRPr="00E87E42">
        <w:rPr>
          <w:noProof/>
        </w:rPr>
        <w:instrText xml:space="preserve"> SEQ Table \* ROMAN\n </w:instrText>
      </w:r>
      <w:r w:rsidR="00BC5ED7" w:rsidRPr="00E87E42">
        <w:rPr>
          <w:noProof/>
        </w:rPr>
        <w:fldChar w:fldCharType="separate"/>
      </w:r>
      <w:r w:rsidR="009F6872">
        <w:rPr>
          <w:noProof/>
        </w:rPr>
        <w:t>V</w:t>
      </w:r>
      <w:r w:rsidR="00BC5ED7" w:rsidRPr="00E87E42">
        <w:rPr>
          <w:noProof/>
        </w:rPr>
        <w:fldChar w:fldCharType="end"/>
      </w:r>
      <w:bookmarkEnd w:id="65"/>
      <w:r w:rsidRPr="00E87E42">
        <w:t xml:space="preserve">: Mercantile, </w:t>
      </w:r>
      <w:r w:rsidR="00A43875" w:rsidRPr="00E87E42">
        <w:t>B</w:t>
      </w:r>
      <w:r w:rsidRPr="00E87E42">
        <w:t>usiness: area damage and fire spread according to damage class; and fire frequency with respect to fire spread in presence and absence of automatic extinguishing systems in USA fire statistics, with weighted are damage, and frequency for fires and unclassified damage fires in the USA fire statistics.</w:t>
      </w:r>
    </w:p>
    <w:tbl>
      <w:tblPr>
        <w:tblW w:w="5000" w:type="pct"/>
        <w:tblCellMar>
          <w:top w:w="28" w:type="dxa"/>
          <w:left w:w="45" w:type="dxa"/>
          <w:bottom w:w="28" w:type="dxa"/>
          <w:right w:w="45" w:type="dxa"/>
        </w:tblCellMar>
        <w:tblLook w:val="04A0" w:firstRow="1" w:lastRow="0" w:firstColumn="1" w:lastColumn="0" w:noHBand="0" w:noVBand="1"/>
      </w:tblPr>
      <w:tblGrid>
        <w:gridCol w:w="177"/>
        <w:gridCol w:w="343"/>
        <w:gridCol w:w="344"/>
        <w:gridCol w:w="611"/>
        <w:gridCol w:w="611"/>
        <w:gridCol w:w="470"/>
        <w:gridCol w:w="473"/>
        <w:gridCol w:w="261"/>
        <w:gridCol w:w="611"/>
        <w:gridCol w:w="611"/>
        <w:gridCol w:w="554"/>
        <w:gridCol w:w="473"/>
        <w:gridCol w:w="261"/>
        <w:gridCol w:w="611"/>
        <w:gridCol w:w="611"/>
        <w:gridCol w:w="554"/>
        <w:gridCol w:w="473"/>
        <w:gridCol w:w="344"/>
        <w:gridCol w:w="611"/>
        <w:gridCol w:w="611"/>
        <w:gridCol w:w="554"/>
        <w:gridCol w:w="476"/>
        <w:gridCol w:w="1076"/>
        <w:gridCol w:w="611"/>
        <w:gridCol w:w="697"/>
        <w:gridCol w:w="611"/>
        <w:gridCol w:w="700"/>
      </w:tblGrid>
      <w:tr w:rsidR="00B61F61" w:rsidRPr="00E87E42" w14:paraId="1165820B" w14:textId="77777777" w:rsidTr="005839EF">
        <w:trPr>
          <w:trHeight w:val="227"/>
        </w:trPr>
        <w:tc>
          <w:tcPr>
            <w:tcW w:w="62" w:type="pct"/>
            <w:tcBorders>
              <w:top w:val="nil"/>
              <w:left w:val="nil"/>
              <w:bottom w:val="nil"/>
              <w:right w:val="nil"/>
            </w:tcBorders>
            <w:shd w:val="clear" w:color="auto" w:fill="auto"/>
            <w:noWrap/>
            <w:vAlign w:val="bottom"/>
            <w:hideMark/>
          </w:tcPr>
          <w:p w14:paraId="45C9BDDE" w14:textId="77777777" w:rsidR="00B61F61" w:rsidRPr="00E87E42" w:rsidRDefault="00B61F61" w:rsidP="005839EF">
            <w:pPr>
              <w:spacing w:after="0" w:line="240" w:lineRule="auto"/>
              <w:jc w:val="left"/>
              <w:rPr>
                <w:rFonts w:eastAsia="Times New Roman"/>
                <w:sz w:val="16"/>
                <w:szCs w:val="16"/>
                <w:lang w:eastAsia="en-GB"/>
              </w:rPr>
            </w:pPr>
          </w:p>
        </w:tc>
        <w:tc>
          <w:tcPr>
            <w:tcW w:w="4938" w:type="pct"/>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85C1B7" w14:textId="77777777" w:rsidR="00B61F61" w:rsidRPr="00E87E42" w:rsidRDefault="00B61F61" w:rsidP="005839EF">
            <w:pPr>
              <w:spacing w:after="0" w:line="240" w:lineRule="auto"/>
              <w:jc w:val="center"/>
              <w:rPr>
                <w:rFonts w:eastAsia="Times New Roman"/>
                <w:b/>
                <w:bCs/>
                <w:color w:val="000000"/>
                <w:sz w:val="16"/>
                <w:szCs w:val="16"/>
                <w:u w:val="single"/>
                <w:lang w:eastAsia="en-GB"/>
              </w:rPr>
            </w:pPr>
            <w:r w:rsidRPr="00E87E42">
              <w:rPr>
                <w:rFonts w:eastAsia="Times New Roman"/>
                <w:b/>
                <w:bCs/>
                <w:color w:val="000000"/>
                <w:sz w:val="16"/>
                <w:szCs w:val="16"/>
                <w:u w:val="single"/>
                <w:lang w:eastAsia="en-GB"/>
              </w:rPr>
              <w:t xml:space="preserve">Sprinklers - Area damage </w:t>
            </w:r>
            <w:r w:rsidRPr="00E87E42">
              <w:rPr>
                <w:rFonts w:eastAsia="Times New Roman"/>
                <w:b/>
                <w:color w:val="000000"/>
                <w:sz w:val="16"/>
                <w:szCs w:val="16"/>
                <w:u w:val="single"/>
                <w:lang w:eastAsia="en-GB"/>
              </w:rPr>
              <w:t>m</w:t>
            </w:r>
            <w:r w:rsidRPr="00E87E42">
              <w:rPr>
                <w:rFonts w:eastAsia="Times New Roman"/>
                <w:b/>
                <w:color w:val="000000"/>
                <w:sz w:val="16"/>
                <w:szCs w:val="16"/>
                <w:u w:val="single"/>
                <w:vertAlign w:val="superscript"/>
                <w:lang w:eastAsia="en-GB"/>
              </w:rPr>
              <w:t>2</w:t>
            </w:r>
          </w:p>
        </w:tc>
      </w:tr>
      <w:tr w:rsidR="00B61F61" w:rsidRPr="00E87E42" w14:paraId="0BDB9AAB" w14:textId="77777777" w:rsidTr="005839EF">
        <w:trPr>
          <w:trHeight w:val="227"/>
        </w:trPr>
        <w:tc>
          <w:tcPr>
            <w:tcW w:w="62" w:type="pct"/>
            <w:tcBorders>
              <w:top w:val="nil"/>
              <w:left w:val="nil"/>
              <w:bottom w:val="nil"/>
              <w:right w:val="nil"/>
            </w:tcBorders>
            <w:shd w:val="clear" w:color="auto" w:fill="auto"/>
            <w:noWrap/>
            <w:vAlign w:val="bottom"/>
            <w:hideMark/>
          </w:tcPr>
          <w:p w14:paraId="7E3A9D6F" w14:textId="77777777" w:rsidR="00B61F61" w:rsidRPr="00E87E42" w:rsidRDefault="00B61F61" w:rsidP="005839EF">
            <w:pPr>
              <w:spacing w:after="0" w:line="240" w:lineRule="auto"/>
              <w:jc w:val="center"/>
              <w:rPr>
                <w:rFonts w:eastAsia="Times New Roman"/>
                <w:b/>
                <w:bCs/>
                <w:color w:val="000000"/>
                <w:sz w:val="16"/>
                <w:szCs w:val="16"/>
                <w:u w:val="single"/>
                <w:lang w:eastAsia="en-GB"/>
              </w:rPr>
            </w:pPr>
          </w:p>
        </w:tc>
        <w:tc>
          <w:tcPr>
            <w:tcW w:w="120" w:type="pct"/>
            <w:vMerge w:val="restart"/>
            <w:tcBorders>
              <w:top w:val="nil"/>
              <w:left w:val="single" w:sz="4" w:space="0" w:color="auto"/>
              <w:bottom w:val="nil"/>
              <w:right w:val="single" w:sz="4" w:space="0" w:color="auto"/>
            </w:tcBorders>
            <w:shd w:val="clear" w:color="auto" w:fill="auto"/>
            <w:noWrap/>
            <w:vAlign w:val="center"/>
            <w:hideMark/>
          </w:tcPr>
          <w:p w14:paraId="29B6A96E"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w:t>
            </w:r>
          </w:p>
        </w:tc>
        <w:tc>
          <w:tcPr>
            <w:tcW w:w="875"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5F8EAF69" w14:textId="77777777" w:rsidR="00B61F61" w:rsidRPr="00E87E42" w:rsidRDefault="00B61F61" w:rsidP="005839E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Minor</w:t>
            </w:r>
          </w:p>
        </w:tc>
        <w:tc>
          <w:tcPr>
            <w:tcW w:w="875"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7FEC2FCC" w14:textId="77777777" w:rsidR="00B61F61" w:rsidRPr="00E87E42" w:rsidRDefault="00B61F61" w:rsidP="005839E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Significantly</w:t>
            </w:r>
          </w:p>
        </w:tc>
        <w:tc>
          <w:tcPr>
            <w:tcW w:w="875"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22F2B174" w14:textId="77777777" w:rsidR="00B61F61" w:rsidRPr="00E87E42" w:rsidRDefault="00B61F61" w:rsidP="005839E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Heavy</w:t>
            </w:r>
          </w:p>
        </w:tc>
        <w:tc>
          <w:tcPr>
            <w:tcW w:w="905"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538E6ADC" w14:textId="77777777" w:rsidR="00B61F61" w:rsidRPr="00E87E42" w:rsidRDefault="00B61F61" w:rsidP="005839E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Extreme</w:t>
            </w:r>
          </w:p>
        </w:tc>
        <w:tc>
          <w:tcPr>
            <w:tcW w:w="375" w:type="pct"/>
            <w:vMerge w:val="restart"/>
            <w:tcBorders>
              <w:top w:val="nil"/>
              <w:left w:val="single" w:sz="4" w:space="0" w:color="auto"/>
              <w:bottom w:val="nil"/>
              <w:right w:val="single" w:sz="4" w:space="0" w:color="auto"/>
            </w:tcBorders>
            <w:shd w:val="clear" w:color="auto" w:fill="auto"/>
            <w:noWrap/>
            <w:vAlign w:val="center"/>
            <w:hideMark/>
          </w:tcPr>
          <w:p w14:paraId="19A64AD9" w14:textId="77777777" w:rsidR="00B61F61" w:rsidRPr="00E87E42" w:rsidRDefault="00B61F61" w:rsidP="005839E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 xml:space="preserve">Weighted area </w:t>
            </w:r>
          </w:p>
          <w:p w14:paraId="1B9220E7" w14:textId="77777777" w:rsidR="00B61F61" w:rsidRPr="00E87E42" w:rsidRDefault="00B61F61" w:rsidP="005839E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damage</w:t>
            </w:r>
          </w:p>
          <w:p w14:paraId="50050EFD"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456"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6D1CEE47"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9EE08FD"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F+U</w:t>
            </w:r>
          </w:p>
        </w:tc>
      </w:tr>
      <w:tr w:rsidR="00B61F61" w:rsidRPr="00E87E42" w14:paraId="53F93638" w14:textId="77777777" w:rsidTr="005839EF">
        <w:trPr>
          <w:trHeight w:val="227"/>
        </w:trPr>
        <w:tc>
          <w:tcPr>
            <w:tcW w:w="62" w:type="pct"/>
            <w:tcBorders>
              <w:top w:val="nil"/>
              <w:left w:val="nil"/>
              <w:bottom w:val="nil"/>
              <w:right w:val="nil"/>
            </w:tcBorders>
            <w:shd w:val="clear" w:color="auto" w:fill="auto"/>
            <w:noWrap/>
            <w:vAlign w:val="bottom"/>
            <w:hideMark/>
          </w:tcPr>
          <w:p w14:paraId="02C953EA" w14:textId="77777777" w:rsidR="00B61F61" w:rsidRPr="00E87E42" w:rsidRDefault="00B61F61" w:rsidP="005839EF">
            <w:pPr>
              <w:spacing w:after="0" w:line="240" w:lineRule="auto"/>
              <w:jc w:val="center"/>
              <w:rPr>
                <w:rFonts w:eastAsia="Times New Roman"/>
                <w:color w:val="000000"/>
                <w:sz w:val="16"/>
                <w:szCs w:val="16"/>
                <w:lang w:eastAsia="en-GB"/>
              </w:rPr>
            </w:pPr>
          </w:p>
        </w:tc>
        <w:tc>
          <w:tcPr>
            <w:tcW w:w="120" w:type="pct"/>
            <w:vMerge/>
            <w:tcBorders>
              <w:top w:val="nil"/>
              <w:left w:val="single" w:sz="4" w:space="0" w:color="auto"/>
              <w:bottom w:val="nil"/>
              <w:right w:val="single" w:sz="4" w:space="0" w:color="auto"/>
            </w:tcBorders>
            <w:vAlign w:val="center"/>
            <w:hideMark/>
          </w:tcPr>
          <w:p w14:paraId="00A4D78F" w14:textId="77777777" w:rsidR="00B61F61" w:rsidRPr="00E87E42" w:rsidRDefault="00B61F61" w:rsidP="005839EF">
            <w:pPr>
              <w:spacing w:after="0" w:line="240" w:lineRule="auto"/>
              <w:jc w:val="left"/>
              <w:rPr>
                <w:rFonts w:eastAsia="Times New Roman"/>
                <w:color w:val="000000"/>
                <w:sz w:val="16"/>
                <w:szCs w:val="16"/>
                <w:lang w:eastAsia="en-GB"/>
              </w:rPr>
            </w:pPr>
          </w:p>
        </w:tc>
        <w:tc>
          <w:tcPr>
            <w:tcW w:w="120" w:type="pct"/>
            <w:vMerge w:val="restart"/>
            <w:tcBorders>
              <w:top w:val="nil"/>
              <w:left w:val="single" w:sz="4" w:space="0" w:color="auto"/>
              <w:bottom w:val="nil"/>
              <w:right w:val="nil"/>
            </w:tcBorders>
            <w:shd w:val="clear" w:color="auto" w:fill="auto"/>
            <w:noWrap/>
            <w:vAlign w:val="center"/>
            <w:hideMark/>
          </w:tcPr>
          <w:p w14:paraId="4EEE281F"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860D51"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64" w:type="pct"/>
            <w:vMerge w:val="restart"/>
            <w:tcBorders>
              <w:top w:val="nil"/>
              <w:left w:val="single" w:sz="4" w:space="0" w:color="auto"/>
              <w:bottom w:val="nil"/>
              <w:right w:val="single" w:sz="4" w:space="0" w:color="auto"/>
            </w:tcBorders>
            <w:shd w:val="clear" w:color="auto" w:fill="auto"/>
            <w:noWrap/>
            <w:vAlign w:val="center"/>
            <w:hideMark/>
          </w:tcPr>
          <w:p w14:paraId="2EB99DEA"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21EBEA68"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5" w:type="pct"/>
            <w:vMerge w:val="restart"/>
            <w:tcBorders>
              <w:top w:val="nil"/>
              <w:left w:val="single" w:sz="4" w:space="0" w:color="auto"/>
              <w:bottom w:val="nil"/>
              <w:right w:val="single" w:sz="4" w:space="0" w:color="auto"/>
            </w:tcBorders>
            <w:shd w:val="clear" w:color="auto" w:fill="auto"/>
            <w:noWrap/>
            <w:vAlign w:val="center"/>
            <w:hideMark/>
          </w:tcPr>
          <w:p w14:paraId="728C6DCC"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105D1908"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91" w:type="pct"/>
            <w:vMerge w:val="restart"/>
            <w:tcBorders>
              <w:top w:val="nil"/>
              <w:left w:val="single" w:sz="4" w:space="0" w:color="auto"/>
              <w:bottom w:val="nil"/>
              <w:right w:val="single" w:sz="4" w:space="0" w:color="auto"/>
            </w:tcBorders>
            <w:shd w:val="clear" w:color="auto" w:fill="auto"/>
            <w:noWrap/>
            <w:vAlign w:val="center"/>
            <w:hideMark/>
          </w:tcPr>
          <w:p w14:paraId="5E960D5D"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6"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D8B913C"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93" w:type="pct"/>
            <w:vMerge w:val="restart"/>
            <w:tcBorders>
              <w:top w:val="nil"/>
              <w:left w:val="single" w:sz="4" w:space="0" w:color="auto"/>
              <w:bottom w:val="nil"/>
              <w:right w:val="single" w:sz="4" w:space="0" w:color="auto"/>
            </w:tcBorders>
            <w:shd w:val="clear" w:color="auto" w:fill="auto"/>
            <w:noWrap/>
            <w:vAlign w:val="center"/>
            <w:hideMark/>
          </w:tcPr>
          <w:p w14:paraId="2E4F8C94"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3CD0E52E"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5" w:type="pct"/>
            <w:vMerge w:val="restart"/>
            <w:tcBorders>
              <w:top w:val="nil"/>
              <w:left w:val="single" w:sz="4" w:space="0" w:color="auto"/>
              <w:bottom w:val="nil"/>
              <w:right w:val="single" w:sz="4" w:space="0" w:color="auto"/>
            </w:tcBorders>
            <w:shd w:val="clear" w:color="auto" w:fill="auto"/>
            <w:noWrap/>
            <w:vAlign w:val="center"/>
            <w:hideMark/>
          </w:tcPr>
          <w:p w14:paraId="34F4E044"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314C6047"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91" w:type="pct"/>
            <w:vMerge w:val="restart"/>
            <w:tcBorders>
              <w:top w:val="nil"/>
              <w:left w:val="single" w:sz="4" w:space="0" w:color="auto"/>
              <w:bottom w:val="nil"/>
              <w:right w:val="single" w:sz="4" w:space="0" w:color="auto"/>
            </w:tcBorders>
            <w:shd w:val="clear" w:color="auto" w:fill="auto"/>
            <w:noWrap/>
            <w:vAlign w:val="center"/>
            <w:hideMark/>
          </w:tcPr>
          <w:p w14:paraId="5A1659E2"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6"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68327FE"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93" w:type="pct"/>
            <w:vMerge w:val="restart"/>
            <w:tcBorders>
              <w:top w:val="nil"/>
              <w:left w:val="single" w:sz="4" w:space="0" w:color="auto"/>
              <w:bottom w:val="nil"/>
              <w:right w:val="single" w:sz="4" w:space="0" w:color="auto"/>
            </w:tcBorders>
            <w:shd w:val="clear" w:color="auto" w:fill="auto"/>
            <w:noWrap/>
            <w:vAlign w:val="center"/>
            <w:hideMark/>
          </w:tcPr>
          <w:p w14:paraId="10A1FC8A"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3161F5A1"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5" w:type="pct"/>
            <w:vMerge w:val="restart"/>
            <w:tcBorders>
              <w:top w:val="nil"/>
              <w:left w:val="single" w:sz="4" w:space="0" w:color="auto"/>
              <w:bottom w:val="nil"/>
              <w:right w:val="single" w:sz="4" w:space="0" w:color="auto"/>
            </w:tcBorders>
            <w:shd w:val="clear" w:color="auto" w:fill="auto"/>
            <w:noWrap/>
            <w:vAlign w:val="center"/>
            <w:hideMark/>
          </w:tcPr>
          <w:p w14:paraId="1618DD82"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52F68AA9"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20" w:type="pct"/>
            <w:vMerge w:val="restart"/>
            <w:tcBorders>
              <w:top w:val="nil"/>
              <w:left w:val="single" w:sz="4" w:space="0" w:color="auto"/>
              <w:bottom w:val="nil"/>
              <w:right w:val="single" w:sz="4" w:space="0" w:color="auto"/>
            </w:tcBorders>
            <w:shd w:val="clear" w:color="auto" w:fill="auto"/>
            <w:noWrap/>
            <w:vAlign w:val="center"/>
            <w:hideMark/>
          </w:tcPr>
          <w:p w14:paraId="57324558"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6" w:type="pct"/>
            <w:gridSpan w:val="2"/>
            <w:tcBorders>
              <w:top w:val="single" w:sz="4" w:space="0" w:color="auto"/>
              <w:left w:val="nil"/>
              <w:bottom w:val="nil"/>
              <w:right w:val="single" w:sz="4" w:space="0" w:color="000000"/>
            </w:tcBorders>
            <w:shd w:val="clear" w:color="auto" w:fill="auto"/>
            <w:noWrap/>
            <w:vAlign w:val="bottom"/>
            <w:hideMark/>
          </w:tcPr>
          <w:p w14:paraId="3E9B138A"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93" w:type="pct"/>
            <w:vMerge w:val="restart"/>
            <w:tcBorders>
              <w:top w:val="nil"/>
              <w:left w:val="single" w:sz="4" w:space="0" w:color="auto"/>
              <w:bottom w:val="nil"/>
              <w:right w:val="single" w:sz="4" w:space="0" w:color="auto"/>
            </w:tcBorders>
            <w:shd w:val="clear" w:color="auto" w:fill="auto"/>
            <w:noWrap/>
            <w:vAlign w:val="center"/>
            <w:hideMark/>
          </w:tcPr>
          <w:p w14:paraId="5E49756A"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432A4D02"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6" w:type="pct"/>
            <w:vMerge w:val="restart"/>
            <w:tcBorders>
              <w:top w:val="nil"/>
              <w:left w:val="single" w:sz="4" w:space="0" w:color="auto"/>
              <w:bottom w:val="nil"/>
              <w:right w:val="single" w:sz="4" w:space="0" w:color="auto"/>
            </w:tcBorders>
            <w:shd w:val="clear" w:color="auto" w:fill="auto"/>
            <w:noWrap/>
            <w:vAlign w:val="center"/>
            <w:hideMark/>
          </w:tcPr>
          <w:p w14:paraId="48D915F9"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4B2CDFE7" w14:textId="77777777" w:rsidR="00B61F61" w:rsidRPr="00E87E42" w:rsidRDefault="00B61F61" w:rsidP="005839E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375" w:type="pct"/>
            <w:vMerge/>
            <w:tcBorders>
              <w:top w:val="nil"/>
              <w:left w:val="single" w:sz="4" w:space="0" w:color="auto"/>
              <w:bottom w:val="nil"/>
              <w:right w:val="single" w:sz="4" w:space="0" w:color="auto"/>
            </w:tcBorders>
            <w:vAlign w:val="center"/>
            <w:hideMark/>
          </w:tcPr>
          <w:p w14:paraId="139670B8" w14:textId="77777777" w:rsidR="00B61F61" w:rsidRPr="00E87E42" w:rsidRDefault="00B61F61" w:rsidP="005839EF">
            <w:pPr>
              <w:spacing w:after="0" w:line="240" w:lineRule="auto"/>
              <w:jc w:val="left"/>
              <w:rPr>
                <w:rFonts w:eastAsia="Times New Roman"/>
                <w:color w:val="000000"/>
                <w:sz w:val="16"/>
                <w:szCs w:val="16"/>
                <w:lang w:eastAsia="en-GB"/>
              </w:rPr>
            </w:pPr>
          </w:p>
        </w:tc>
        <w:tc>
          <w:tcPr>
            <w:tcW w:w="456" w:type="pct"/>
            <w:gridSpan w:val="2"/>
            <w:vMerge/>
            <w:tcBorders>
              <w:top w:val="single" w:sz="4" w:space="0" w:color="auto"/>
              <w:left w:val="single" w:sz="4" w:space="0" w:color="auto"/>
              <w:bottom w:val="single" w:sz="4" w:space="0" w:color="000000"/>
              <w:right w:val="nil"/>
            </w:tcBorders>
            <w:vAlign w:val="center"/>
            <w:hideMark/>
          </w:tcPr>
          <w:p w14:paraId="0D6F077B" w14:textId="77777777" w:rsidR="00B61F61" w:rsidRPr="00E87E42" w:rsidRDefault="00B61F61" w:rsidP="005839EF">
            <w:pPr>
              <w:spacing w:after="0" w:line="240" w:lineRule="auto"/>
              <w:jc w:val="left"/>
              <w:rPr>
                <w:rFonts w:eastAsia="Times New Roman"/>
                <w:color w:val="000000"/>
                <w:sz w:val="16"/>
                <w:szCs w:val="16"/>
                <w:lang w:eastAsia="en-GB"/>
              </w:rPr>
            </w:pPr>
          </w:p>
        </w:tc>
        <w:tc>
          <w:tcPr>
            <w:tcW w:w="457" w:type="pct"/>
            <w:gridSpan w:val="2"/>
            <w:vMerge/>
            <w:tcBorders>
              <w:top w:val="single" w:sz="4" w:space="0" w:color="auto"/>
              <w:left w:val="single" w:sz="4" w:space="0" w:color="auto"/>
              <w:bottom w:val="single" w:sz="4" w:space="0" w:color="000000"/>
              <w:right w:val="single" w:sz="4" w:space="0" w:color="000000"/>
            </w:tcBorders>
            <w:vAlign w:val="center"/>
            <w:hideMark/>
          </w:tcPr>
          <w:p w14:paraId="777EBBD8" w14:textId="77777777" w:rsidR="00B61F61" w:rsidRPr="00E87E42" w:rsidRDefault="00B61F61" w:rsidP="005839EF">
            <w:pPr>
              <w:spacing w:after="0" w:line="240" w:lineRule="auto"/>
              <w:jc w:val="left"/>
              <w:rPr>
                <w:rFonts w:eastAsia="Times New Roman"/>
                <w:color w:val="000000"/>
                <w:sz w:val="16"/>
                <w:szCs w:val="16"/>
                <w:lang w:eastAsia="en-GB"/>
              </w:rPr>
            </w:pPr>
          </w:p>
        </w:tc>
      </w:tr>
      <w:tr w:rsidR="00AD472B" w:rsidRPr="00E87E42" w14:paraId="1EB96205" w14:textId="77777777" w:rsidTr="00A446AC">
        <w:trPr>
          <w:trHeight w:val="227"/>
        </w:trPr>
        <w:tc>
          <w:tcPr>
            <w:tcW w:w="62" w:type="pct"/>
            <w:tcBorders>
              <w:top w:val="nil"/>
              <w:left w:val="nil"/>
              <w:bottom w:val="single" w:sz="4" w:space="0" w:color="auto"/>
              <w:right w:val="nil"/>
            </w:tcBorders>
            <w:shd w:val="clear" w:color="auto" w:fill="auto"/>
            <w:noWrap/>
            <w:vAlign w:val="bottom"/>
            <w:hideMark/>
          </w:tcPr>
          <w:p w14:paraId="1AA1D9C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w:t>
            </w:r>
          </w:p>
        </w:tc>
        <w:tc>
          <w:tcPr>
            <w:tcW w:w="120" w:type="pct"/>
            <w:vMerge/>
            <w:tcBorders>
              <w:top w:val="nil"/>
              <w:left w:val="single" w:sz="4" w:space="0" w:color="auto"/>
              <w:bottom w:val="nil"/>
              <w:right w:val="single" w:sz="4" w:space="0" w:color="auto"/>
            </w:tcBorders>
            <w:vAlign w:val="center"/>
            <w:hideMark/>
          </w:tcPr>
          <w:p w14:paraId="4E2CCCE2"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20" w:type="pct"/>
            <w:vMerge/>
            <w:tcBorders>
              <w:top w:val="nil"/>
              <w:left w:val="single" w:sz="4" w:space="0" w:color="auto"/>
              <w:bottom w:val="nil"/>
              <w:right w:val="nil"/>
            </w:tcBorders>
            <w:vAlign w:val="center"/>
            <w:hideMark/>
          </w:tcPr>
          <w:p w14:paraId="27BCE447"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3" w:type="pct"/>
            <w:tcBorders>
              <w:top w:val="nil"/>
              <w:left w:val="single" w:sz="4" w:space="0" w:color="auto"/>
              <w:bottom w:val="nil"/>
              <w:right w:val="single" w:sz="4" w:space="0" w:color="auto"/>
            </w:tcBorders>
            <w:shd w:val="clear" w:color="auto" w:fill="auto"/>
            <w:noWrap/>
            <w:vAlign w:val="bottom"/>
            <w:hideMark/>
          </w:tcPr>
          <w:p w14:paraId="148E3A08" w14:textId="6CF9C0C2"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3" w:type="pct"/>
            <w:tcBorders>
              <w:top w:val="nil"/>
              <w:left w:val="nil"/>
              <w:bottom w:val="nil"/>
              <w:right w:val="single" w:sz="4" w:space="0" w:color="auto"/>
            </w:tcBorders>
            <w:shd w:val="clear" w:color="auto" w:fill="auto"/>
            <w:noWrap/>
            <w:vAlign w:val="bottom"/>
            <w:hideMark/>
          </w:tcPr>
          <w:p w14:paraId="2F550E43" w14:textId="4464B575"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64" w:type="pct"/>
            <w:vMerge/>
            <w:tcBorders>
              <w:top w:val="nil"/>
              <w:left w:val="single" w:sz="4" w:space="0" w:color="auto"/>
              <w:bottom w:val="nil"/>
              <w:right w:val="single" w:sz="4" w:space="0" w:color="auto"/>
            </w:tcBorders>
            <w:vAlign w:val="center"/>
            <w:hideMark/>
          </w:tcPr>
          <w:p w14:paraId="6D10F382"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5" w:type="pct"/>
            <w:vMerge/>
            <w:tcBorders>
              <w:top w:val="nil"/>
              <w:left w:val="single" w:sz="4" w:space="0" w:color="auto"/>
              <w:bottom w:val="nil"/>
              <w:right w:val="single" w:sz="4" w:space="0" w:color="auto"/>
            </w:tcBorders>
            <w:vAlign w:val="center"/>
            <w:hideMark/>
          </w:tcPr>
          <w:p w14:paraId="3E5AB3E5"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91" w:type="pct"/>
            <w:vMerge/>
            <w:tcBorders>
              <w:top w:val="nil"/>
              <w:left w:val="single" w:sz="4" w:space="0" w:color="auto"/>
              <w:bottom w:val="nil"/>
              <w:right w:val="single" w:sz="4" w:space="0" w:color="auto"/>
            </w:tcBorders>
            <w:vAlign w:val="center"/>
            <w:hideMark/>
          </w:tcPr>
          <w:p w14:paraId="38B420CC"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3" w:type="pct"/>
            <w:tcBorders>
              <w:top w:val="nil"/>
              <w:left w:val="nil"/>
              <w:bottom w:val="nil"/>
              <w:right w:val="single" w:sz="4" w:space="0" w:color="auto"/>
            </w:tcBorders>
            <w:shd w:val="clear" w:color="auto" w:fill="auto"/>
            <w:noWrap/>
            <w:vAlign w:val="bottom"/>
            <w:hideMark/>
          </w:tcPr>
          <w:p w14:paraId="715B0C52" w14:textId="66922165"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3" w:type="pct"/>
            <w:tcBorders>
              <w:top w:val="nil"/>
              <w:left w:val="nil"/>
              <w:bottom w:val="nil"/>
              <w:right w:val="single" w:sz="4" w:space="0" w:color="auto"/>
            </w:tcBorders>
            <w:shd w:val="clear" w:color="auto" w:fill="auto"/>
            <w:noWrap/>
            <w:vAlign w:val="bottom"/>
            <w:hideMark/>
          </w:tcPr>
          <w:p w14:paraId="4CF49A4D" w14:textId="0F17FC02"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93" w:type="pct"/>
            <w:vMerge/>
            <w:tcBorders>
              <w:top w:val="nil"/>
              <w:left w:val="single" w:sz="4" w:space="0" w:color="auto"/>
              <w:bottom w:val="nil"/>
              <w:right w:val="single" w:sz="4" w:space="0" w:color="auto"/>
            </w:tcBorders>
            <w:vAlign w:val="center"/>
            <w:hideMark/>
          </w:tcPr>
          <w:p w14:paraId="5ED06732"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5" w:type="pct"/>
            <w:vMerge/>
            <w:tcBorders>
              <w:top w:val="nil"/>
              <w:left w:val="single" w:sz="4" w:space="0" w:color="auto"/>
              <w:bottom w:val="nil"/>
              <w:right w:val="single" w:sz="4" w:space="0" w:color="auto"/>
            </w:tcBorders>
            <w:vAlign w:val="center"/>
            <w:hideMark/>
          </w:tcPr>
          <w:p w14:paraId="7C13C03A"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91" w:type="pct"/>
            <w:vMerge/>
            <w:tcBorders>
              <w:top w:val="nil"/>
              <w:left w:val="single" w:sz="4" w:space="0" w:color="auto"/>
              <w:bottom w:val="nil"/>
              <w:right w:val="single" w:sz="4" w:space="0" w:color="auto"/>
            </w:tcBorders>
            <w:vAlign w:val="center"/>
            <w:hideMark/>
          </w:tcPr>
          <w:p w14:paraId="1CC273D3"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3" w:type="pct"/>
            <w:tcBorders>
              <w:top w:val="nil"/>
              <w:left w:val="nil"/>
              <w:bottom w:val="nil"/>
              <w:right w:val="single" w:sz="4" w:space="0" w:color="auto"/>
            </w:tcBorders>
            <w:shd w:val="clear" w:color="auto" w:fill="auto"/>
            <w:noWrap/>
            <w:vAlign w:val="bottom"/>
            <w:hideMark/>
          </w:tcPr>
          <w:p w14:paraId="6AE217C7" w14:textId="262B83D0"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3" w:type="pct"/>
            <w:tcBorders>
              <w:top w:val="nil"/>
              <w:left w:val="nil"/>
              <w:bottom w:val="nil"/>
              <w:right w:val="single" w:sz="4" w:space="0" w:color="auto"/>
            </w:tcBorders>
            <w:shd w:val="clear" w:color="auto" w:fill="auto"/>
            <w:noWrap/>
            <w:vAlign w:val="bottom"/>
            <w:hideMark/>
          </w:tcPr>
          <w:p w14:paraId="7EB71AFC" w14:textId="6E6C870B"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93" w:type="pct"/>
            <w:vMerge/>
            <w:tcBorders>
              <w:top w:val="nil"/>
              <w:left w:val="single" w:sz="4" w:space="0" w:color="auto"/>
              <w:bottom w:val="nil"/>
              <w:right w:val="single" w:sz="4" w:space="0" w:color="auto"/>
            </w:tcBorders>
            <w:vAlign w:val="center"/>
            <w:hideMark/>
          </w:tcPr>
          <w:p w14:paraId="519332C0"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5" w:type="pct"/>
            <w:vMerge/>
            <w:tcBorders>
              <w:top w:val="nil"/>
              <w:left w:val="single" w:sz="4" w:space="0" w:color="auto"/>
              <w:bottom w:val="nil"/>
              <w:right w:val="single" w:sz="4" w:space="0" w:color="auto"/>
            </w:tcBorders>
            <w:vAlign w:val="center"/>
            <w:hideMark/>
          </w:tcPr>
          <w:p w14:paraId="170EDDAC"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20" w:type="pct"/>
            <w:vMerge/>
            <w:tcBorders>
              <w:top w:val="nil"/>
              <w:left w:val="single" w:sz="4" w:space="0" w:color="auto"/>
              <w:bottom w:val="nil"/>
              <w:right w:val="single" w:sz="4" w:space="0" w:color="auto"/>
            </w:tcBorders>
            <w:vAlign w:val="center"/>
            <w:hideMark/>
          </w:tcPr>
          <w:p w14:paraId="305AD4DF"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3" w:type="pct"/>
            <w:tcBorders>
              <w:top w:val="single" w:sz="4" w:space="0" w:color="auto"/>
              <w:left w:val="nil"/>
              <w:bottom w:val="nil"/>
              <w:right w:val="single" w:sz="4" w:space="0" w:color="auto"/>
            </w:tcBorders>
            <w:shd w:val="clear" w:color="auto" w:fill="auto"/>
            <w:noWrap/>
            <w:vAlign w:val="bottom"/>
            <w:hideMark/>
          </w:tcPr>
          <w:p w14:paraId="27A52A22" w14:textId="5485B1F2"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3" w:type="pct"/>
            <w:tcBorders>
              <w:top w:val="single" w:sz="4" w:space="0" w:color="auto"/>
              <w:left w:val="nil"/>
              <w:bottom w:val="nil"/>
              <w:right w:val="single" w:sz="4" w:space="0" w:color="auto"/>
            </w:tcBorders>
            <w:shd w:val="clear" w:color="auto" w:fill="auto"/>
            <w:noWrap/>
            <w:vAlign w:val="bottom"/>
            <w:hideMark/>
          </w:tcPr>
          <w:p w14:paraId="064E19E5" w14:textId="280881FC"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93" w:type="pct"/>
            <w:vMerge/>
            <w:tcBorders>
              <w:top w:val="nil"/>
              <w:left w:val="single" w:sz="4" w:space="0" w:color="auto"/>
              <w:bottom w:val="nil"/>
              <w:right w:val="single" w:sz="4" w:space="0" w:color="auto"/>
            </w:tcBorders>
            <w:vAlign w:val="center"/>
            <w:hideMark/>
          </w:tcPr>
          <w:p w14:paraId="7D441ADD"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6" w:type="pct"/>
            <w:vMerge/>
            <w:tcBorders>
              <w:top w:val="nil"/>
              <w:left w:val="single" w:sz="4" w:space="0" w:color="auto"/>
              <w:bottom w:val="nil"/>
              <w:right w:val="single" w:sz="4" w:space="0" w:color="auto"/>
            </w:tcBorders>
            <w:vAlign w:val="center"/>
            <w:hideMark/>
          </w:tcPr>
          <w:p w14:paraId="38C784B9"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375" w:type="pct"/>
            <w:vMerge/>
            <w:tcBorders>
              <w:top w:val="nil"/>
              <w:left w:val="single" w:sz="4" w:space="0" w:color="auto"/>
              <w:bottom w:val="nil"/>
              <w:right w:val="single" w:sz="4" w:space="0" w:color="auto"/>
            </w:tcBorders>
            <w:vAlign w:val="center"/>
            <w:hideMark/>
          </w:tcPr>
          <w:p w14:paraId="593B9189"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3" w:type="pct"/>
            <w:tcBorders>
              <w:top w:val="nil"/>
              <w:left w:val="nil"/>
              <w:bottom w:val="nil"/>
              <w:right w:val="nil"/>
            </w:tcBorders>
            <w:shd w:val="clear" w:color="auto" w:fill="auto"/>
            <w:noWrap/>
            <w:vAlign w:val="bottom"/>
            <w:hideMark/>
          </w:tcPr>
          <w:p w14:paraId="5D4B16E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3" w:type="pct"/>
            <w:tcBorders>
              <w:top w:val="nil"/>
              <w:left w:val="single" w:sz="4" w:space="0" w:color="auto"/>
              <w:bottom w:val="nil"/>
              <w:right w:val="single" w:sz="4" w:space="0" w:color="auto"/>
            </w:tcBorders>
            <w:shd w:val="clear" w:color="auto" w:fill="auto"/>
            <w:noWrap/>
            <w:vAlign w:val="bottom"/>
            <w:hideMark/>
          </w:tcPr>
          <w:p w14:paraId="24BB59F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c>
          <w:tcPr>
            <w:tcW w:w="213" w:type="pct"/>
            <w:tcBorders>
              <w:top w:val="nil"/>
              <w:left w:val="nil"/>
              <w:bottom w:val="nil"/>
              <w:right w:val="nil"/>
            </w:tcBorders>
            <w:shd w:val="clear" w:color="auto" w:fill="auto"/>
            <w:noWrap/>
            <w:vAlign w:val="bottom"/>
            <w:hideMark/>
          </w:tcPr>
          <w:p w14:paraId="42781B3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4" w:type="pct"/>
            <w:tcBorders>
              <w:top w:val="nil"/>
              <w:left w:val="single" w:sz="4" w:space="0" w:color="auto"/>
              <w:bottom w:val="nil"/>
              <w:right w:val="single" w:sz="4" w:space="0" w:color="auto"/>
            </w:tcBorders>
            <w:shd w:val="clear" w:color="auto" w:fill="auto"/>
            <w:noWrap/>
            <w:vAlign w:val="bottom"/>
            <w:hideMark/>
          </w:tcPr>
          <w:p w14:paraId="14B92B2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r>
      <w:tr w:rsidR="00A022DF" w:rsidRPr="00E87E42" w14:paraId="5EF04E67" w14:textId="77777777" w:rsidTr="005839EF">
        <w:trPr>
          <w:trHeight w:val="227"/>
        </w:trPr>
        <w:tc>
          <w:tcPr>
            <w:tcW w:w="62" w:type="pct"/>
            <w:tcBorders>
              <w:top w:val="nil"/>
              <w:left w:val="single" w:sz="4" w:space="0" w:color="auto"/>
              <w:bottom w:val="single" w:sz="4" w:space="0" w:color="auto"/>
              <w:right w:val="nil"/>
            </w:tcBorders>
            <w:shd w:val="clear" w:color="auto" w:fill="auto"/>
            <w:noWrap/>
            <w:vAlign w:val="bottom"/>
            <w:hideMark/>
          </w:tcPr>
          <w:p w14:paraId="48F20E0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120" w:type="pct"/>
            <w:tcBorders>
              <w:top w:val="single" w:sz="4" w:space="0" w:color="auto"/>
              <w:left w:val="single" w:sz="4" w:space="0" w:color="auto"/>
              <w:bottom w:val="single" w:sz="4" w:space="0" w:color="808080"/>
              <w:right w:val="single" w:sz="4" w:space="0" w:color="auto"/>
            </w:tcBorders>
            <w:shd w:val="clear" w:color="auto" w:fill="auto"/>
            <w:noWrap/>
            <w:vAlign w:val="bottom"/>
            <w:hideMark/>
          </w:tcPr>
          <w:p w14:paraId="091186A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165</w:t>
            </w:r>
          </w:p>
        </w:tc>
        <w:tc>
          <w:tcPr>
            <w:tcW w:w="120" w:type="pct"/>
            <w:tcBorders>
              <w:top w:val="single" w:sz="4" w:space="0" w:color="auto"/>
              <w:left w:val="nil"/>
              <w:bottom w:val="single" w:sz="4" w:space="0" w:color="808080"/>
              <w:right w:val="single" w:sz="4" w:space="0" w:color="808080"/>
            </w:tcBorders>
            <w:shd w:val="clear" w:color="auto" w:fill="auto"/>
            <w:noWrap/>
            <w:vAlign w:val="bottom"/>
            <w:hideMark/>
          </w:tcPr>
          <w:p w14:paraId="00667EA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68</w:t>
            </w:r>
          </w:p>
        </w:tc>
        <w:tc>
          <w:tcPr>
            <w:tcW w:w="213" w:type="pct"/>
            <w:tcBorders>
              <w:top w:val="single" w:sz="4" w:space="0" w:color="auto"/>
              <w:left w:val="nil"/>
              <w:bottom w:val="single" w:sz="4" w:space="0" w:color="808080"/>
              <w:right w:val="single" w:sz="4" w:space="0" w:color="808080"/>
            </w:tcBorders>
            <w:shd w:val="clear" w:color="auto" w:fill="auto"/>
            <w:noWrap/>
            <w:vAlign w:val="bottom"/>
            <w:hideMark/>
          </w:tcPr>
          <w:p w14:paraId="7716381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95.77%</w:t>
            </w:r>
          </w:p>
        </w:tc>
        <w:tc>
          <w:tcPr>
            <w:tcW w:w="213" w:type="pct"/>
            <w:tcBorders>
              <w:top w:val="single" w:sz="4" w:space="0" w:color="auto"/>
              <w:left w:val="nil"/>
              <w:bottom w:val="single" w:sz="4" w:space="0" w:color="808080"/>
              <w:right w:val="single" w:sz="4" w:space="0" w:color="808080"/>
            </w:tcBorders>
            <w:shd w:val="clear" w:color="auto" w:fill="auto"/>
            <w:noWrap/>
            <w:vAlign w:val="bottom"/>
            <w:hideMark/>
          </w:tcPr>
          <w:p w14:paraId="2A72BF9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29.06%</w:t>
            </w:r>
          </w:p>
        </w:tc>
        <w:tc>
          <w:tcPr>
            <w:tcW w:w="164" w:type="pct"/>
            <w:tcBorders>
              <w:top w:val="single" w:sz="4" w:space="0" w:color="auto"/>
              <w:left w:val="nil"/>
              <w:bottom w:val="single" w:sz="4" w:space="0" w:color="808080"/>
              <w:right w:val="single" w:sz="4" w:space="0" w:color="808080"/>
            </w:tcBorders>
            <w:shd w:val="clear" w:color="auto" w:fill="auto"/>
            <w:noWrap/>
            <w:vAlign w:val="bottom"/>
            <w:hideMark/>
          </w:tcPr>
          <w:p w14:paraId="0F2E02F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29.47</w:t>
            </w:r>
          </w:p>
        </w:tc>
        <w:tc>
          <w:tcPr>
            <w:tcW w:w="165" w:type="pct"/>
            <w:tcBorders>
              <w:top w:val="single" w:sz="4" w:space="0" w:color="auto"/>
              <w:left w:val="nil"/>
              <w:bottom w:val="single" w:sz="4" w:space="0" w:color="808080"/>
              <w:right w:val="single" w:sz="4" w:space="0" w:color="auto"/>
            </w:tcBorders>
            <w:shd w:val="clear" w:color="auto" w:fill="auto"/>
            <w:noWrap/>
            <w:vAlign w:val="bottom"/>
            <w:hideMark/>
          </w:tcPr>
          <w:p w14:paraId="73348D2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29.47</w:t>
            </w:r>
          </w:p>
        </w:tc>
        <w:tc>
          <w:tcPr>
            <w:tcW w:w="91" w:type="pct"/>
            <w:tcBorders>
              <w:top w:val="single" w:sz="4" w:space="0" w:color="auto"/>
              <w:left w:val="nil"/>
              <w:bottom w:val="single" w:sz="4" w:space="0" w:color="808080"/>
              <w:right w:val="single" w:sz="4" w:space="0" w:color="808080"/>
            </w:tcBorders>
            <w:shd w:val="clear" w:color="auto" w:fill="auto"/>
            <w:noWrap/>
            <w:vAlign w:val="bottom"/>
            <w:hideMark/>
          </w:tcPr>
          <w:p w14:paraId="4217FFB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13" w:type="pct"/>
            <w:tcBorders>
              <w:top w:val="single" w:sz="4" w:space="0" w:color="auto"/>
              <w:left w:val="nil"/>
              <w:bottom w:val="single" w:sz="4" w:space="0" w:color="808080"/>
              <w:right w:val="single" w:sz="4" w:space="0" w:color="808080"/>
            </w:tcBorders>
            <w:shd w:val="clear" w:color="auto" w:fill="auto"/>
            <w:noWrap/>
            <w:vAlign w:val="bottom"/>
            <w:hideMark/>
          </w:tcPr>
          <w:p w14:paraId="2DB8D9C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2.82%</w:t>
            </w:r>
          </w:p>
        </w:tc>
        <w:tc>
          <w:tcPr>
            <w:tcW w:w="213" w:type="pct"/>
            <w:tcBorders>
              <w:top w:val="single" w:sz="4" w:space="0" w:color="auto"/>
              <w:left w:val="nil"/>
              <w:bottom w:val="single" w:sz="4" w:space="0" w:color="808080"/>
              <w:right w:val="single" w:sz="4" w:space="0" w:color="808080"/>
            </w:tcBorders>
            <w:shd w:val="clear" w:color="auto" w:fill="auto"/>
            <w:noWrap/>
            <w:vAlign w:val="bottom"/>
            <w:hideMark/>
          </w:tcPr>
          <w:p w14:paraId="2787952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13.33%</w:t>
            </w:r>
          </w:p>
        </w:tc>
        <w:tc>
          <w:tcPr>
            <w:tcW w:w="193" w:type="pct"/>
            <w:tcBorders>
              <w:top w:val="single" w:sz="4" w:space="0" w:color="auto"/>
              <w:left w:val="nil"/>
              <w:bottom w:val="single" w:sz="4" w:space="0" w:color="808080"/>
              <w:right w:val="single" w:sz="4" w:space="0" w:color="808080"/>
            </w:tcBorders>
            <w:shd w:val="clear" w:color="auto" w:fill="auto"/>
            <w:noWrap/>
            <w:vAlign w:val="bottom"/>
            <w:hideMark/>
          </w:tcPr>
          <w:p w14:paraId="1771447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4.47</w:t>
            </w:r>
          </w:p>
        </w:tc>
        <w:tc>
          <w:tcPr>
            <w:tcW w:w="165" w:type="pct"/>
            <w:tcBorders>
              <w:top w:val="single" w:sz="4" w:space="0" w:color="auto"/>
              <w:left w:val="nil"/>
              <w:bottom w:val="single" w:sz="4" w:space="0" w:color="808080"/>
              <w:right w:val="nil"/>
            </w:tcBorders>
            <w:shd w:val="clear" w:color="auto" w:fill="auto"/>
            <w:noWrap/>
            <w:vAlign w:val="bottom"/>
            <w:hideMark/>
          </w:tcPr>
          <w:p w14:paraId="6F5D7B6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1.45</w:t>
            </w:r>
          </w:p>
        </w:tc>
        <w:tc>
          <w:tcPr>
            <w:tcW w:w="91" w:type="pct"/>
            <w:tcBorders>
              <w:top w:val="single" w:sz="4" w:space="0" w:color="auto"/>
              <w:left w:val="single" w:sz="4" w:space="0" w:color="auto"/>
              <w:bottom w:val="single" w:sz="4" w:space="0" w:color="808080"/>
              <w:right w:val="single" w:sz="4" w:space="0" w:color="808080"/>
            </w:tcBorders>
            <w:shd w:val="clear" w:color="auto" w:fill="auto"/>
            <w:noWrap/>
            <w:vAlign w:val="bottom"/>
            <w:hideMark/>
          </w:tcPr>
          <w:p w14:paraId="7052F76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13" w:type="pct"/>
            <w:tcBorders>
              <w:top w:val="single" w:sz="4" w:space="0" w:color="auto"/>
              <w:left w:val="nil"/>
              <w:bottom w:val="single" w:sz="4" w:space="0" w:color="808080"/>
              <w:right w:val="single" w:sz="4" w:space="0" w:color="808080"/>
            </w:tcBorders>
            <w:shd w:val="clear" w:color="auto" w:fill="auto"/>
            <w:noWrap/>
            <w:vAlign w:val="bottom"/>
            <w:hideMark/>
          </w:tcPr>
          <w:p w14:paraId="39EA090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1.41%</w:t>
            </w:r>
          </w:p>
        </w:tc>
        <w:tc>
          <w:tcPr>
            <w:tcW w:w="213" w:type="pct"/>
            <w:tcBorders>
              <w:top w:val="single" w:sz="4" w:space="0" w:color="auto"/>
              <w:left w:val="nil"/>
              <w:bottom w:val="single" w:sz="4" w:space="0" w:color="808080"/>
              <w:right w:val="single" w:sz="4" w:space="0" w:color="808080"/>
            </w:tcBorders>
            <w:shd w:val="clear" w:color="auto" w:fill="auto"/>
            <w:noWrap/>
            <w:vAlign w:val="bottom"/>
            <w:hideMark/>
          </w:tcPr>
          <w:p w14:paraId="626A217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16.67%</w:t>
            </w:r>
          </w:p>
        </w:tc>
        <w:tc>
          <w:tcPr>
            <w:tcW w:w="193" w:type="pct"/>
            <w:tcBorders>
              <w:top w:val="single" w:sz="4" w:space="0" w:color="auto"/>
              <w:left w:val="nil"/>
              <w:bottom w:val="single" w:sz="4" w:space="0" w:color="808080"/>
              <w:right w:val="single" w:sz="4" w:space="0" w:color="808080"/>
            </w:tcBorders>
            <w:shd w:val="clear" w:color="auto" w:fill="auto"/>
            <w:noWrap/>
            <w:vAlign w:val="bottom"/>
            <w:hideMark/>
          </w:tcPr>
          <w:p w14:paraId="1C91F79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2.86</w:t>
            </w:r>
          </w:p>
        </w:tc>
        <w:tc>
          <w:tcPr>
            <w:tcW w:w="165" w:type="pct"/>
            <w:tcBorders>
              <w:top w:val="single" w:sz="4" w:space="0" w:color="auto"/>
              <w:left w:val="nil"/>
              <w:bottom w:val="single" w:sz="4" w:space="0" w:color="808080"/>
              <w:right w:val="single" w:sz="4" w:space="0" w:color="808080"/>
            </w:tcBorders>
            <w:shd w:val="clear" w:color="auto" w:fill="auto"/>
            <w:noWrap/>
            <w:vAlign w:val="bottom"/>
            <w:hideMark/>
          </w:tcPr>
          <w:p w14:paraId="26D357C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0.55</w:t>
            </w:r>
          </w:p>
        </w:tc>
        <w:tc>
          <w:tcPr>
            <w:tcW w:w="120" w:type="pct"/>
            <w:tcBorders>
              <w:top w:val="single" w:sz="4" w:space="0" w:color="auto"/>
              <w:left w:val="nil"/>
              <w:bottom w:val="single" w:sz="4" w:space="0" w:color="808080"/>
              <w:right w:val="single" w:sz="4" w:space="0" w:color="auto"/>
            </w:tcBorders>
            <w:shd w:val="clear" w:color="auto" w:fill="auto"/>
            <w:noWrap/>
            <w:vAlign w:val="bottom"/>
            <w:hideMark/>
          </w:tcPr>
          <w:p w14:paraId="14DA7E6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3" w:type="pct"/>
            <w:tcBorders>
              <w:top w:val="single" w:sz="4" w:space="0" w:color="auto"/>
              <w:left w:val="nil"/>
              <w:bottom w:val="single" w:sz="4" w:space="0" w:color="808080"/>
              <w:right w:val="single" w:sz="4" w:space="0" w:color="808080"/>
            </w:tcBorders>
            <w:shd w:val="clear" w:color="auto" w:fill="auto"/>
            <w:noWrap/>
            <w:vAlign w:val="bottom"/>
            <w:hideMark/>
          </w:tcPr>
          <w:p w14:paraId="1D2FEF7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3" w:type="pct"/>
            <w:tcBorders>
              <w:top w:val="single" w:sz="4" w:space="0" w:color="auto"/>
              <w:left w:val="nil"/>
              <w:bottom w:val="single" w:sz="4" w:space="0" w:color="808080"/>
              <w:right w:val="single" w:sz="4" w:space="0" w:color="808080"/>
            </w:tcBorders>
            <w:shd w:val="clear" w:color="auto" w:fill="auto"/>
            <w:noWrap/>
            <w:vAlign w:val="bottom"/>
            <w:hideMark/>
          </w:tcPr>
          <w:p w14:paraId="53035F7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3" w:type="pct"/>
            <w:tcBorders>
              <w:top w:val="single" w:sz="4" w:space="0" w:color="auto"/>
              <w:left w:val="nil"/>
              <w:bottom w:val="single" w:sz="4" w:space="0" w:color="808080"/>
              <w:right w:val="single" w:sz="4" w:space="0" w:color="808080"/>
            </w:tcBorders>
            <w:shd w:val="clear" w:color="auto" w:fill="auto"/>
            <w:noWrap/>
            <w:vAlign w:val="bottom"/>
            <w:hideMark/>
          </w:tcPr>
          <w:p w14:paraId="4372E00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6" w:type="pct"/>
            <w:tcBorders>
              <w:top w:val="single" w:sz="4" w:space="0" w:color="auto"/>
              <w:left w:val="nil"/>
              <w:bottom w:val="single" w:sz="4" w:space="0" w:color="808080"/>
              <w:right w:val="nil"/>
            </w:tcBorders>
            <w:shd w:val="clear" w:color="auto" w:fill="auto"/>
            <w:noWrap/>
            <w:vAlign w:val="bottom"/>
            <w:hideMark/>
          </w:tcPr>
          <w:p w14:paraId="290A41E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5" w:type="pct"/>
            <w:tcBorders>
              <w:top w:val="single" w:sz="4" w:space="0" w:color="auto"/>
              <w:left w:val="single" w:sz="4" w:space="0" w:color="auto"/>
              <w:bottom w:val="single" w:sz="4" w:space="0" w:color="808080"/>
              <w:right w:val="single" w:sz="4" w:space="0" w:color="auto"/>
            </w:tcBorders>
            <w:shd w:val="clear" w:color="auto" w:fill="auto"/>
            <w:noWrap/>
            <w:vAlign w:val="bottom"/>
            <w:hideMark/>
          </w:tcPr>
          <w:p w14:paraId="098F9D2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28.39</w:t>
            </w:r>
          </w:p>
        </w:tc>
        <w:tc>
          <w:tcPr>
            <w:tcW w:w="213" w:type="pct"/>
            <w:tcBorders>
              <w:top w:val="single" w:sz="4" w:space="0" w:color="auto"/>
              <w:left w:val="nil"/>
              <w:bottom w:val="single" w:sz="4" w:space="0" w:color="808080"/>
              <w:right w:val="single" w:sz="4" w:space="0" w:color="808080"/>
            </w:tcBorders>
            <w:shd w:val="clear" w:color="auto" w:fill="auto"/>
            <w:noWrap/>
            <w:vAlign w:val="bottom"/>
            <w:hideMark/>
          </w:tcPr>
          <w:p w14:paraId="658BBCC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27.31%</w:t>
            </w:r>
          </w:p>
        </w:tc>
        <w:tc>
          <w:tcPr>
            <w:tcW w:w="243" w:type="pct"/>
            <w:tcBorders>
              <w:top w:val="single" w:sz="4" w:space="0" w:color="auto"/>
              <w:left w:val="nil"/>
              <w:bottom w:val="single" w:sz="4" w:space="0" w:color="808080"/>
              <w:right w:val="single" w:sz="4" w:space="0" w:color="808080"/>
            </w:tcBorders>
            <w:shd w:val="clear" w:color="auto" w:fill="auto"/>
            <w:noWrap/>
            <w:vAlign w:val="bottom"/>
            <w:hideMark/>
          </w:tcPr>
          <w:p w14:paraId="3CD5E43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27.31%</w:t>
            </w:r>
          </w:p>
        </w:tc>
        <w:tc>
          <w:tcPr>
            <w:tcW w:w="213" w:type="pct"/>
            <w:tcBorders>
              <w:top w:val="single" w:sz="4" w:space="0" w:color="auto"/>
              <w:left w:val="nil"/>
              <w:bottom w:val="single" w:sz="4" w:space="0" w:color="808080"/>
              <w:right w:val="single" w:sz="4" w:space="0" w:color="808080"/>
            </w:tcBorders>
            <w:shd w:val="clear" w:color="auto" w:fill="auto"/>
            <w:noWrap/>
            <w:vAlign w:val="bottom"/>
            <w:hideMark/>
          </w:tcPr>
          <w:p w14:paraId="74A0646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35.18%</w:t>
            </w:r>
          </w:p>
        </w:tc>
        <w:tc>
          <w:tcPr>
            <w:tcW w:w="244" w:type="pct"/>
            <w:tcBorders>
              <w:top w:val="single" w:sz="4" w:space="0" w:color="auto"/>
              <w:left w:val="nil"/>
              <w:bottom w:val="single" w:sz="4" w:space="0" w:color="808080"/>
              <w:right w:val="single" w:sz="4" w:space="0" w:color="auto"/>
            </w:tcBorders>
            <w:shd w:val="clear" w:color="auto" w:fill="auto"/>
            <w:noWrap/>
            <w:vAlign w:val="bottom"/>
            <w:hideMark/>
          </w:tcPr>
          <w:p w14:paraId="483972A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35.18%</w:t>
            </w:r>
          </w:p>
        </w:tc>
      </w:tr>
      <w:tr w:rsidR="00A022DF" w:rsidRPr="00E87E42" w14:paraId="5A2E05F1" w14:textId="77777777" w:rsidTr="005839EF">
        <w:trPr>
          <w:trHeight w:val="227"/>
        </w:trPr>
        <w:tc>
          <w:tcPr>
            <w:tcW w:w="62" w:type="pct"/>
            <w:tcBorders>
              <w:top w:val="nil"/>
              <w:left w:val="single" w:sz="4" w:space="0" w:color="auto"/>
              <w:bottom w:val="single" w:sz="4" w:space="0" w:color="auto"/>
              <w:right w:val="nil"/>
            </w:tcBorders>
            <w:shd w:val="clear" w:color="auto" w:fill="auto"/>
            <w:noWrap/>
            <w:vAlign w:val="bottom"/>
            <w:hideMark/>
          </w:tcPr>
          <w:p w14:paraId="43FCA82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120" w:type="pct"/>
            <w:tcBorders>
              <w:top w:val="nil"/>
              <w:left w:val="single" w:sz="4" w:space="0" w:color="auto"/>
              <w:bottom w:val="single" w:sz="4" w:space="0" w:color="808080"/>
              <w:right w:val="single" w:sz="4" w:space="0" w:color="auto"/>
            </w:tcBorders>
            <w:shd w:val="clear" w:color="auto" w:fill="auto"/>
            <w:noWrap/>
            <w:vAlign w:val="bottom"/>
            <w:hideMark/>
          </w:tcPr>
          <w:p w14:paraId="4ECC894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228</w:t>
            </w:r>
          </w:p>
        </w:tc>
        <w:tc>
          <w:tcPr>
            <w:tcW w:w="120" w:type="pct"/>
            <w:tcBorders>
              <w:top w:val="nil"/>
              <w:left w:val="nil"/>
              <w:bottom w:val="single" w:sz="4" w:space="0" w:color="808080"/>
              <w:right w:val="single" w:sz="4" w:space="0" w:color="808080"/>
            </w:tcBorders>
            <w:shd w:val="clear" w:color="auto" w:fill="auto"/>
            <w:noWrap/>
            <w:vAlign w:val="bottom"/>
            <w:hideMark/>
          </w:tcPr>
          <w:p w14:paraId="17BA8AB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115</w:t>
            </w:r>
          </w:p>
        </w:tc>
        <w:tc>
          <w:tcPr>
            <w:tcW w:w="213" w:type="pct"/>
            <w:tcBorders>
              <w:top w:val="nil"/>
              <w:left w:val="nil"/>
              <w:bottom w:val="single" w:sz="4" w:space="0" w:color="808080"/>
              <w:right w:val="single" w:sz="4" w:space="0" w:color="808080"/>
            </w:tcBorders>
            <w:shd w:val="clear" w:color="auto" w:fill="auto"/>
            <w:noWrap/>
            <w:vAlign w:val="bottom"/>
            <w:hideMark/>
          </w:tcPr>
          <w:p w14:paraId="6A67300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93.50%</w:t>
            </w:r>
          </w:p>
        </w:tc>
        <w:tc>
          <w:tcPr>
            <w:tcW w:w="213" w:type="pct"/>
            <w:tcBorders>
              <w:top w:val="nil"/>
              <w:left w:val="nil"/>
              <w:bottom w:val="single" w:sz="4" w:space="0" w:color="808080"/>
              <w:right w:val="single" w:sz="4" w:space="0" w:color="808080"/>
            </w:tcBorders>
            <w:shd w:val="clear" w:color="auto" w:fill="auto"/>
            <w:noWrap/>
            <w:vAlign w:val="bottom"/>
            <w:hideMark/>
          </w:tcPr>
          <w:p w14:paraId="13A9FE7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49.15%</w:t>
            </w:r>
          </w:p>
        </w:tc>
        <w:tc>
          <w:tcPr>
            <w:tcW w:w="164" w:type="pct"/>
            <w:tcBorders>
              <w:top w:val="nil"/>
              <w:left w:val="nil"/>
              <w:bottom w:val="single" w:sz="4" w:space="0" w:color="808080"/>
              <w:right w:val="single" w:sz="4" w:space="0" w:color="808080"/>
            </w:tcBorders>
            <w:shd w:val="clear" w:color="auto" w:fill="auto"/>
            <w:noWrap/>
            <w:vAlign w:val="bottom"/>
            <w:hideMark/>
          </w:tcPr>
          <w:p w14:paraId="7B94F6F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64.07</w:t>
            </w:r>
          </w:p>
        </w:tc>
        <w:tc>
          <w:tcPr>
            <w:tcW w:w="165" w:type="pct"/>
            <w:tcBorders>
              <w:top w:val="nil"/>
              <w:left w:val="nil"/>
              <w:bottom w:val="single" w:sz="4" w:space="0" w:color="808080"/>
              <w:right w:val="single" w:sz="4" w:space="0" w:color="auto"/>
            </w:tcBorders>
            <w:shd w:val="clear" w:color="auto" w:fill="auto"/>
            <w:noWrap/>
            <w:vAlign w:val="bottom"/>
            <w:hideMark/>
          </w:tcPr>
          <w:p w14:paraId="1CD3881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64.07</w:t>
            </w:r>
          </w:p>
        </w:tc>
        <w:tc>
          <w:tcPr>
            <w:tcW w:w="91" w:type="pct"/>
            <w:tcBorders>
              <w:top w:val="nil"/>
              <w:left w:val="nil"/>
              <w:bottom w:val="single" w:sz="4" w:space="0" w:color="808080"/>
              <w:right w:val="single" w:sz="4" w:space="0" w:color="808080"/>
            </w:tcBorders>
            <w:shd w:val="clear" w:color="auto" w:fill="auto"/>
            <w:noWrap/>
            <w:vAlign w:val="bottom"/>
            <w:hideMark/>
          </w:tcPr>
          <w:p w14:paraId="7A17FDA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213" w:type="pct"/>
            <w:tcBorders>
              <w:top w:val="nil"/>
              <w:left w:val="nil"/>
              <w:bottom w:val="single" w:sz="4" w:space="0" w:color="808080"/>
              <w:right w:val="single" w:sz="4" w:space="0" w:color="808080"/>
            </w:tcBorders>
            <w:shd w:val="clear" w:color="auto" w:fill="auto"/>
            <w:noWrap/>
            <w:vAlign w:val="bottom"/>
            <w:hideMark/>
          </w:tcPr>
          <w:p w14:paraId="056B6EE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4.07%</w:t>
            </w:r>
          </w:p>
        </w:tc>
        <w:tc>
          <w:tcPr>
            <w:tcW w:w="213" w:type="pct"/>
            <w:tcBorders>
              <w:top w:val="nil"/>
              <w:left w:val="nil"/>
              <w:bottom w:val="single" w:sz="4" w:space="0" w:color="808080"/>
              <w:right w:val="single" w:sz="4" w:space="0" w:color="808080"/>
            </w:tcBorders>
            <w:shd w:val="clear" w:color="auto" w:fill="auto"/>
            <w:noWrap/>
            <w:vAlign w:val="bottom"/>
            <w:hideMark/>
          </w:tcPr>
          <w:p w14:paraId="058954A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33.33%</w:t>
            </w:r>
          </w:p>
        </w:tc>
        <w:tc>
          <w:tcPr>
            <w:tcW w:w="193" w:type="pct"/>
            <w:tcBorders>
              <w:top w:val="nil"/>
              <w:left w:val="nil"/>
              <w:bottom w:val="single" w:sz="4" w:space="0" w:color="808080"/>
              <w:right w:val="single" w:sz="4" w:space="0" w:color="808080"/>
            </w:tcBorders>
            <w:shd w:val="clear" w:color="auto" w:fill="auto"/>
            <w:noWrap/>
            <w:vAlign w:val="bottom"/>
            <w:hideMark/>
          </w:tcPr>
          <w:p w14:paraId="0080626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19.16</w:t>
            </w:r>
          </w:p>
        </w:tc>
        <w:tc>
          <w:tcPr>
            <w:tcW w:w="165" w:type="pct"/>
            <w:tcBorders>
              <w:top w:val="nil"/>
              <w:left w:val="nil"/>
              <w:bottom w:val="single" w:sz="4" w:space="0" w:color="808080"/>
              <w:right w:val="nil"/>
            </w:tcBorders>
            <w:shd w:val="clear" w:color="auto" w:fill="auto"/>
            <w:noWrap/>
            <w:vAlign w:val="bottom"/>
            <w:hideMark/>
          </w:tcPr>
          <w:p w14:paraId="584AFE6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6.22</w:t>
            </w:r>
          </w:p>
        </w:tc>
        <w:tc>
          <w:tcPr>
            <w:tcW w:w="91" w:type="pct"/>
            <w:tcBorders>
              <w:top w:val="nil"/>
              <w:left w:val="single" w:sz="4" w:space="0" w:color="auto"/>
              <w:bottom w:val="single" w:sz="4" w:space="0" w:color="808080"/>
              <w:right w:val="single" w:sz="4" w:space="0" w:color="808080"/>
            </w:tcBorders>
            <w:shd w:val="clear" w:color="auto" w:fill="auto"/>
            <w:noWrap/>
            <w:vAlign w:val="bottom"/>
            <w:hideMark/>
          </w:tcPr>
          <w:p w14:paraId="500F779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13" w:type="pct"/>
            <w:tcBorders>
              <w:top w:val="nil"/>
              <w:left w:val="nil"/>
              <w:bottom w:val="single" w:sz="4" w:space="0" w:color="808080"/>
              <w:right w:val="single" w:sz="4" w:space="0" w:color="808080"/>
            </w:tcBorders>
            <w:shd w:val="clear" w:color="auto" w:fill="auto"/>
            <w:noWrap/>
            <w:vAlign w:val="bottom"/>
            <w:hideMark/>
          </w:tcPr>
          <w:p w14:paraId="7C6C831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1.63%</w:t>
            </w:r>
          </w:p>
        </w:tc>
        <w:tc>
          <w:tcPr>
            <w:tcW w:w="213" w:type="pct"/>
            <w:tcBorders>
              <w:top w:val="nil"/>
              <w:left w:val="nil"/>
              <w:bottom w:val="single" w:sz="4" w:space="0" w:color="808080"/>
              <w:right w:val="single" w:sz="4" w:space="0" w:color="808080"/>
            </w:tcBorders>
            <w:shd w:val="clear" w:color="auto" w:fill="auto"/>
            <w:noWrap/>
            <w:vAlign w:val="bottom"/>
            <w:hideMark/>
          </w:tcPr>
          <w:p w14:paraId="69ED3CD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33.33%</w:t>
            </w:r>
          </w:p>
        </w:tc>
        <w:tc>
          <w:tcPr>
            <w:tcW w:w="193" w:type="pct"/>
            <w:tcBorders>
              <w:top w:val="nil"/>
              <w:left w:val="nil"/>
              <w:bottom w:val="single" w:sz="4" w:space="0" w:color="808080"/>
              <w:right w:val="single" w:sz="4" w:space="0" w:color="808080"/>
            </w:tcBorders>
            <w:shd w:val="clear" w:color="auto" w:fill="auto"/>
            <w:noWrap/>
            <w:vAlign w:val="bottom"/>
            <w:hideMark/>
          </w:tcPr>
          <w:p w14:paraId="4D44660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58.94</w:t>
            </w:r>
          </w:p>
        </w:tc>
        <w:tc>
          <w:tcPr>
            <w:tcW w:w="165" w:type="pct"/>
            <w:tcBorders>
              <w:top w:val="nil"/>
              <w:left w:val="nil"/>
              <w:bottom w:val="single" w:sz="4" w:space="0" w:color="808080"/>
              <w:right w:val="single" w:sz="4" w:space="0" w:color="808080"/>
            </w:tcBorders>
            <w:shd w:val="clear" w:color="auto" w:fill="auto"/>
            <w:noWrap/>
            <w:vAlign w:val="bottom"/>
            <w:hideMark/>
          </w:tcPr>
          <w:p w14:paraId="540A73B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11.41</w:t>
            </w:r>
          </w:p>
        </w:tc>
        <w:tc>
          <w:tcPr>
            <w:tcW w:w="120" w:type="pct"/>
            <w:tcBorders>
              <w:top w:val="nil"/>
              <w:left w:val="nil"/>
              <w:bottom w:val="single" w:sz="4" w:space="0" w:color="808080"/>
              <w:right w:val="single" w:sz="4" w:space="0" w:color="auto"/>
            </w:tcBorders>
            <w:shd w:val="clear" w:color="auto" w:fill="auto"/>
            <w:noWrap/>
            <w:vAlign w:val="bottom"/>
            <w:hideMark/>
          </w:tcPr>
          <w:p w14:paraId="3006A35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13" w:type="pct"/>
            <w:tcBorders>
              <w:top w:val="nil"/>
              <w:left w:val="nil"/>
              <w:bottom w:val="single" w:sz="4" w:space="0" w:color="808080"/>
              <w:right w:val="single" w:sz="4" w:space="0" w:color="808080"/>
            </w:tcBorders>
            <w:shd w:val="clear" w:color="auto" w:fill="auto"/>
            <w:noWrap/>
            <w:vAlign w:val="bottom"/>
            <w:hideMark/>
          </w:tcPr>
          <w:p w14:paraId="09B4918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0.81%</w:t>
            </w:r>
          </w:p>
        </w:tc>
        <w:tc>
          <w:tcPr>
            <w:tcW w:w="213" w:type="pct"/>
            <w:tcBorders>
              <w:top w:val="nil"/>
              <w:left w:val="nil"/>
              <w:bottom w:val="single" w:sz="4" w:space="0" w:color="808080"/>
              <w:right w:val="single" w:sz="4" w:space="0" w:color="808080"/>
            </w:tcBorders>
            <w:shd w:val="clear" w:color="auto" w:fill="auto"/>
            <w:noWrap/>
            <w:vAlign w:val="bottom"/>
            <w:hideMark/>
          </w:tcPr>
          <w:p w14:paraId="6F40A55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20.00%</w:t>
            </w:r>
          </w:p>
        </w:tc>
        <w:tc>
          <w:tcPr>
            <w:tcW w:w="193" w:type="pct"/>
            <w:tcBorders>
              <w:top w:val="nil"/>
              <w:left w:val="nil"/>
              <w:bottom w:val="single" w:sz="4" w:space="0" w:color="808080"/>
              <w:right w:val="single" w:sz="4" w:space="0" w:color="808080"/>
            </w:tcBorders>
            <w:shd w:val="clear" w:color="auto" w:fill="auto"/>
            <w:noWrap/>
            <w:vAlign w:val="bottom"/>
            <w:hideMark/>
          </w:tcPr>
          <w:p w14:paraId="1E14C42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0.81</w:t>
            </w:r>
          </w:p>
        </w:tc>
        <w:tc>
          <w:tcPr>
            <w:tcW w:w="166" w:type="pct"/>
            <w:tcBorders>
              <w:top w:val="nil"/>
              <w:left w:val="nil"/>
              <w:bottom w:val="single" w:sz="4" w:space="0" w:color="808080"/>
              <w:right w:val="nil"/>
            </w:tcBorders>
            <w:shd w:val="clear" w:color="auto" w:fill="auto"/>
            <w:noWrap/>
            <w:vAlign w:val="bottom"/>
            <w:hideMark/>
          </w:tcPr>
          <w:p w14:paraId="1DB56D8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0.11</w:t>
            </w:r>
          </w:p>
        </w:tc>
        <w:tc>
          <w:tcPr>
            <w:tcW w:w="375" w:type="pct"/>
            <w:tcBorders>
              <w:top w:val="nil"/>
              <w:left w:val="single" w:sz="4" w:space="0" w:color="auto"/>
              <w:bottom w:val="single" w:sz="4" w:space="0" w:color="808080"/>
              <w:right w:val="single" w:sz="4" w:space="0" w:color="auto"/>
            </w:tcBorders>
            <w:shd w:val="clear" w:color="auto" w:fill="auto"/>
            <w:noWrap/>
            <w:vAlign w:val="bottom"/>
            <w:hideMark/>
          </w:tcPr>
          <w:p w14:paraId="54377C5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61.64</w:t>
            </w:r>
          </w:p>
        </w:tc>
        <w:tc>
          <w:tcPr>
            <w:tcW w:w="213" w:type="pct"/>
            <w:tcBorders>
              <w:top w:val="nil"/>
              <w:left w:val="nil"/>
              <w:bottom w:val="single" w:sz="4" w:space="0" w:color="808080"/>
              <w:right w:val="single" w:sz="4" w:space="0" w:color="808080"/>
            </w:tcBorders>
            <w:shd w:val="clear" w:color="auto" w:fill="auto"/>
            <w:noWrap/>
            <w:vAlign w:val="bottom"/>
            <w:hideMark/>
          </w:tcPr>
          <w:p w14:paraId="6FAA7E4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47.31%</w:t>
            </w:r>
          </w:p>
        </w:tc>
        <w:tc>
          <w:tcPr>
            <w:tcW w:w="243" w:type="pct"/>
            <w:tcBorders>
              <w:top w:val="nil"/>
              <w:left w:val="nil"/>
              <w:bottom w:val="single" w:sz="4" w:space="0" w:color="808080"/>
              <w:right w:val="single" w:sz="4" w:space="0" w:color="808080"/>
            </w:tcBorders>
            <w:shd w:val="clear" w:color="auto" w:fill="auto"/>
            <w:noWrap/>
            <w:vAlign w:val="bottom"/>
            <w:hideMark/>
          </w:tcPr>
          <w:p w14:paraId="7ABA839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74.62%</w:t>
            </w:r>
          </w:p>
        </w:tc>
        <w:tc>
          <w:tcPr>
            <w:tcW w:w="213" w:type="pct"/>
            <w:tcBorders>
              <w:top w:val="nil"/>
              <w:left w:val="nil"/>
              <w:bottom w:val="single" w:sz="4" w:space="0" w:color="808080"/>
              <w:right w:val="single" w:sz="4" w:space="0" w:color="808080"/>
            </w:tcBorders>
            <w:shd w:val="clear" w:color="auto" w:fill="auto"/>
            <w:noWrap/>
            <w:vAlign w:val="bottom"/>
            <w:hideMark/>
          </w:tcPr>
          <w:p w14:paraId="60571AF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48.61%</w:t>
            </w:r>
          </w:p>
        </w:tc>
        <w:tc>
          <w:tcPr>
            <w:tcW w:w="244" w:type="pct"/>
            <w:tcBorders>
              <w:top w:val="nil"/>
              <w:left w:val="nil"/>
              <w:bottom w:val="single" w:sz="4" w:space="0" w:color="808080"/>
              <w:right w:val="single" w:sz="4" w:space="0" w:color="auto"/>
            </w:tcBorders>
            <w:shd w:val="clear" w:color="auto" w:fill="auto"/>
            <w:noWrap/>
            <w:vAlign w:val="bottom"/>
            <w:hideMark/>
          </w:tcPr>
          <w:p w14:paraId="08B31B6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83.80%</w:t>
            </w:r>
          </w:p>
        </w:tc>
      </w:tr>
      <w:tr w:rsidR="00A022DF" w:rsidRPr="00E87E42" w14:paraId="4A6E4800" w14:textId="77777777" w:rsidTr="005839EF">
        <w:trPr>
          <w:trHeight w:val="227"/>
        </w:trPr>
        <w:tc>
          <w:tcPr>
            <w:tcW w:w="62" w:type="pct"/>
            <w:tcBorders>
              <w:top w:val="nil"/>
              <w:left w:val="single" w:sz="4" w:space="0" w:color="auto"/>
              <w:bottom w:val="single" w:sz="4" w:space="0" w:color="auto"/>
              <w:right w:val="nil"/>
            </w:tcBorders>
            <w:shd w:val="clear" w:color="auto" w:fill="auto"/>
            <w:noWrap/>
            <w:vAlign w:val="bottom"/>
            <w:hideMark/>
          </w:tcPr>
          <w:p w14:paraId="32A6E71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120" w:type="pct"/>
            <w:tcBorders>
              <w:top w:val="nil"/>
              <w:left w:val="single" w:sz="4" w:space="0" w:color="auto"/>
              <w:bottom w:val="single" w:sz="4" w:space="0" w:color="808080"/>
              <w:right w:val="single" w:sz="4" w:space="0" w:color="auto"/>
            </w:tcBorders>
            <w:shd w:val="clear" w:color="auto" w:fill="auto"/>
            <w:noWrap/>
            <w:vAlign w:val="bottom"/>
            <w:hideMark/>
          </w:tcPr>
          <w:p w14:paraId="47FD00F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w:t>
            </w:r>
          </w:p>
        </w:tc>
        <w:tc>
          <w:tcPr>
            <w:tcW w:w="120" w:type="pct"/>
            <w:tcBorders>
              <w:top w:val="nil"/>
              <w:left w:val="nil"/>
              <w:bottom w:val="single" w:sz="4" w:space="0" w:color="808080"/>
              <w:right w:val="single" w:sz="4" w:space="0" w:color="808080"/>
            </w:tcBorders>
            <w:shd w:val="clear" w:color="auto" w:fill="auto"/>
            <w:noWrap/>
            <w:vAlign w:val="bottom"/>
            <w:hideMark/>
          </w:tcPr>
          <w:p w14:paraId="501B4E9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w:t>
            </w:r>
          </w:p>
        </w:tc>
        <w:tc>
          <w:tcPr>
            <w:tcW w:w="213" w:type="pct"/>
            <w:tcBorders>
              <w:top w:val="nil"/>
              <w:left w:val="nil"/>
              <w:bottom w:val="single" w:sz="4" w:space="0" w:color="808080"/>
              <w:right w:val="single" w:sz="4" w:space="0" w:color="808080"/>
            </w:tcBorders>
            <w:shd w:val="clear" w:color="auto" w:fill="auto"/>
            <w:noWrap/>
            <w:vAlign w:val="bottom"/>
            <w:hideMark/>
          </w:tcPr>
          <w:p w14:paraId="42A1B8B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86.67%</w:t>
            </w:r>
          </w:p>
        </w:tc>
        <w:tc>
          <w:tcPr>
            <w:tcW w:w="213" w:type="pct"/>
            <w:tcBorders>
              <w:top w:val="nil"/>
              <w:left w:val="nil"/>
              <w:bottom w:val="single" w:sz="4" w:space="0" w:color="808080"/>
              <w:right w:val="single" w:sz="4" w:space="0" w:color="808080"/>
            </w:tcBorders>
            <w:shd w:val="clear" w:color="auto" w:fill="auto"/>
            <w:noWrap/>
            <w:vAlign w:val="bottom"/>
            <w:hideMark/>
          </w:tcPr>
          <w:p w14:paraId="513711A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5.56%</w:t>
            </w:r>
          </w:p>
        </w:tc>
        <w:tc>
          <w:tcPr>
            <w:tcW w:w="164" w:type="pct"/>
            <w:tcBorders>
              <w:top w:val="nil"/>
              <w:left w:val="nil"/>
              <w:bottom w:val="single" w:sz="4" w:space="0" w:color="808080"/>
              <w:right w:val="single" w:sz="4" w:space="0" w:color="808080"/>
            </w:tcBorders>
            <w:shd w:val="clear" w:color="auto" w:fill="auto"/>
            <w:noWrap/>
            <w:vAlign w:val="bottom"/>
            <w:hideMark/>
          </w:tcPr>
          <w:p w14:paraId="48AC113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8.63</w:t>
            </w:r>
          </w:p>
        </w:tc>
        <w:tc>
          <w:tcPr>
            <w:tcW w:w="165" w:type="pct"/>
            <w:tcBorders>
              <w:top w:val="nil"/>
              <w:left w:val="nil"/>
              <w:bottom w:val="single" w:sz="4" w:space="0" w:color="808080"/>
              <w:right w:val="single" w:sz="4" w:space="0" w:color="auto"/>
            </w:tcBorders>
            <w:shd w:val="clear" w:color="auto" w:fill="auto"/>
            <w:noWrap/>
            <w:vAlign w:val="bottom"/>
            <w:hideMark/>
          </w:tcPr>
          <w:p w14:paraId="0C1D995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8.63</w:t>
            </w:r>
          </w:p>
        </w:tc>
        <w:tc>
          <w:tcPr>
            <w:tcW w:w="91" w:type="pct"/>
            <w:tcBorders>
              <w:top w:val="nil"/>
              <w:left w:val="nil"/>
              <w:bottom w:val="single" w:sz="4" w:space="0" w:color="808080"/>
              <w:right w:val="single" w:sz="4" w:space="0" w:color="808080"/>
            </w:tcBorders>
            <w:shd w:val="clear" w:color="auto" w:fill="auto"/>
            <w:noWrap/>
            <w:vAlign w:val="bottom"/>
            <w:hideMark/>
          </w:tcPr>
          <w:p w14:paraId="66906C1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13" w:type="pct"/>
            <w:tcBorders>
              <w:top w:val="nil"/>
              <w:left w:val="nil"/>
              <w:bottom w:val="single" w:sz="4" w:space="0" w:color="808080"/>
              <w:right w:val="single" w:sz="4" w:space="0" w:color="808080"/>
            </w:tcBorders>
            <w:shd w:val="clear" w:color="auto" w:fill="auto"/>
            <w:noWrap/>
            <w:vAlign w:val="bottom"/>
            <w:hideMark/>
          </w:tcPr>
          <w:p w14:paraId="4D8F346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13.33%</w:t>
            </w:r>
          </w:p>
        </w:tc>
        <w:tc>
          <w:tcPr>
            <w:tcW w:w="213" w:type="pct"/>
            <w:tcBorders>
              <w:top w:val="nil"/>
              <w:left w:val="nil"/>
              <w:bottom w:val="single" w:sz="4" w:space="0" w:color="808080"/>
              <w:right w:val="single" w:sz="4" w:space="0" w:color="808080"/>
            </w:tcBorders>
            <w:shd w:val="clear" w:color="auto" w:fill="auto"/>
            <w:noWrap/>
            <w:vAlign w:val="bottom"/>
            <w:hideMark/>
          </w:tcPr>
          <w:p w14:paraId="09DB086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13.33%</w:t>
            </w:r>
          </w:p>
        </w:tc>
        <w:tc>
          <w:tcPr>
            <w:tcW w:w="193" w:type="pct"/>
            <w:tcBorders>
              <w:top w:val="nil"/>
              <w:left w:val="nil"/>
              <w:bottom w:val="single" w:sz="4" w:space="0" w:color="808080"/>
              <w:right w:val="single" w:sz="4" w:space="0" w:color="808080"/>
            </w:tcBorders>
            <w:shd w:val="clear" w:color="auto" w:fill="auto"/>
            <w:noWrap/>
            <w:vAlign w:val="bottom"/>
            <w:hideMark/>
          </w:tcPr>
          <w:p w14:paraId="32DEF45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4.97</w:t>
            </w:r>
          </w:p>
        </w:tc>
        <w:tc>
          <w:tcPr>
            <w:tcW w:w="165" w:type="pct"/>
            <w:tcBorders>
              <w:top w:val="nil"/>
              <w:left w:val="nil"/>
              <w:bottom w:val="single" w:sz="4" w:space="0" w:color="808080"/>
              <w:right w:val="nil"/>
            </w:tcBorders>
            <w:shd w:val="clear" w:color="auto" w:fill="auto"/>
            <w:noWrap/>
            <w:vAlign w:val="bottom"/>
            <w:hideMark/>
          </w:tcPr>
          <w:p w14:paraId="2E51B1E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1.61</w:t>
            </w:r>
          </w:p>
        </w:tc>
        <w:tc>
          <w:tcPr>
            <w:tcW w:w="91" w:type="pct"/>
            <w:tcBorders>
              <w:top w:val="nil"/>
              <w:left w:val="single" w:sz="4" w:space="0" w:color="auto"/>
              <w:bottom w:val="single" w:sz="4" w:space="0" w:color="808080"/>
              <w:right w:val="single" w:sz="4" w:space="0" w:color="808080"/>
            </w:tcBorders>
            <w:shd w:val="clear" w:color="auto" w:fill="auto"/>
            <w:noWrap/>
            <w:vAlign w:val="bottom"/>
            <w:hideMark/>
          </w:tcPr>
          <w:p w14:paraId="0F220EF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3" w:type="pct"/>
            <w:tcBorders>
              <w:top w:val="nil"/>
              <w:left w:val="nil"/>
              <w:bottom w:val="single" w:sz="4" w:space="0" w:color="808080"/>
              <w:right w:val="single" w:sz="4" w:space="0" w:color="808080"/>
            </w:tcBorders>
            <w:shd w:val="clear" w:color="auto" w:fill="auto"/>
            <w:noWrap/>
            <w:vAlign w:val="bottom"/>
            <w:hideMark/>
          </w:tcPr>
          <w:p w14:paraId="28A591E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3" w:type="pct"/>
            <w:tcBorders>
              <w:top w:val="nil"/>
              <w:left w:val="nil"/>
              <w:bottom w:val="single" w:sz="4" w:space="0" w:color="808080"/>
              <w:right w:val="single" w:sz="4" w:space="0" w:color="808080"/>
            </w:tcBorders>
            <w:shd w:val="clear" w:color="auto" w:fill="auto"/>
            <w:noWrap/>
            <w:vAlign w:val="bottom"/>
            <w:hideMark/>
          </w:tcPr>
          <w:p w14:paraId="72DAC87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3" w:type="pct"/>
            <w:tcBorders>
              <w:top w:val="nil"/>
              <w:left w:val="nil"/>
              <w:bottom w:val="single" w:sz="4" w:space="0" w:color="808080"/>
              <w:right w:val="single" w:sz="4" w:space="0" w:color="808080"/>
            </w:tcBorders>
            <w:shd w:val="clear" w:color="auto" w:fill="auto"/>
            <w:noWrap/>
            <w:vAlign w:val="bottom"/>
            <w:hideMark/>
          </w:tcPr>
          <w:p w14:paraId="4E48977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nil"/>
              <w:left w:val="nil"/>
              <w:bottom w:val="single" w:sz="4" w:space="0" w:color="808080"/>
              <w:right w:val="single" w:sz="4" w:space="0" w:color="808080"/>
            </w:tcBorders>
            <w:shd w:val="clear" w:color="auto" w:fill="auto"/>
            <w:noWrap/>
            <w:vAlign w:val="bottom"/>
            <w:hideMark/>
          </w:tcPr>
          <w:p w14:paraId="51E80A0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20" w:type="pct"/>
            <w:tcBorders>
              <w:top w:val="nil"/>
              <w:left w:val="nil"/>
              <w:bottom w:val="single" w:sz="4" w:space="0" w:color="808080"/>
              <w:right w:val="single" w:sz="4" w:space="0" w:color="auto"/>
            </w:tcBorders>
            <w:shd w:val="clear" w:color="auto" w:fill="auto"/>
            <w:noWrap/>
            <w:vAlign w:val="bottom"/>
            <w:hideMark/>
          </w:tcPr>
          <w:p w14:paraId="4DD6495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3" w:type="pct"/>
            <w:tcBorders>
              <w:top w:val="nil"/>
              <w:left w:val="nil"/>
              <w:bottom w:val="single" w:sz="4" w:space="0" w:color="808080"/>
              <w:right w:val="single" w:sz="4" w:space="0" w:color="808080"/>
            </w:tcBorders>
            <w:shd w:val="clear" w:color="auto" w:fill="auto"/>
            <w:noWrap/>
            <w:vAlign w:val="bottom"/>
            <w:hideMark/>
          </w:tcPr>
          <w:p w14:paraId="30C7BC4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3" w:type="pct"/>
            <w:tcBorders>
              <w:top w:val="nil"/>
              <w:left w:val="nil"/>
              <w:bottom w:val="single" w:sz="4" w:space="0" w:color="808080"/>
              <w:right w:val="single" w:sz="4" w:space="0" w:color="808080"/>
            </w:tcBorders>
            <w:shd w:val="clear" w:color="auto" w:fill="auto"/>
            <w:noWrap/>
            <w:vAlign w:val="bottom"/>
            <w:hideMark/>
          </w:tcPr>
          <w:p w14:paraId="798E184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3" w:type="pct"/>
            <w:tcBorders>
              <w:top w:val="nil"/>
              <w:left w:val="nil"/>
              <w:bottom w:val="single" w:sz="4" w:space="0" w:color="808080"/>
              <w:right w:val="single" w:sz="4" w:space="0" w:color="808080"/>
            </w:tcBorders>
            <w:shd w:val="clear" w:color="auto" w:fill="auto"/>
            <w:noWrap/>
            <w:vAlign w:val="bottom"/>
            <w:hideMark/>
          </w:tcPr>
          <w:p w14:paraId="5B462FA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6" w:type="pct"/>
            <w:tcBorders>
              <w:top w:val="nil"/>
              <w:left w:val="nil"/>
              <w:bottom w:val="single" w:sz="4" w:space="0" w:color="808080"/>
              <w:right w:val="nil"/>
            </w:tcBorders>
            <w:shd w:val="clear" w:color="auto" w:fill="auto"/>
            <w:noWrap/>
            <w:vAlign w:val="bottom"/>
            <w:hideMark/>
          </w:tcPr>
          <w:p w14:paraId="2E9E63F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5" w:type="pct"/>
            <w:tcBorders>
              <w:top w:val="nil"/>
              <w:left w:val="single" w:sz="4" w:space="0" w:color="auto"/>
              <w:bottom w:val="single" w:sz="4" w:space="0" w:color="808080"/>
              <w:right w:val="single" w:sz="4" w:space="0" w:color="auto"/>
            </w:tcBorders>
            <w:shd w:val="clear" w:color="auto" w:fill="auto"/>
            <w:noWrap/>
            <w:vAlign w:val="bottom"/>
            <w:hideMark/>
          </w:tcPr>
          <w:p w14:paraId="0D6D0BB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8.14</w:t>
            </w:r>
          </w:p>
        </w:tc>
        <w:tc>
          <w:tcPr>
            <w:tcW w:w="213" w:type="pct"/>
            <w:tcBorders>
              <w:top w:val="nil"/>
              <w:left w:val="nil"/>
              <w:bottom w:val="single" w:sz="4" w:space="0" w:color="808080"/>
              <w:right w:val="single" w:sz="4" w:space="0" w:color="808080"/>
            </w:tcBorders>
            <w:shd w:val="clear" w:color="auto" w:fill="auto"/>
            <w:noWrap/>
            <w:vAlign w:val="bottom"/>
            <w:hideMark/>
          </w:tcPr>
          <w:p w14:paraId="2B66316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5.77%</w:t>
            </w:r>
          </w:p>
        </w:tc>
        <w:tc>
          <w:tcPr>
            <w:tcW w:w="243" w:type="pct"/>
            <w:tcBorders>
              <w:top w:val="nil"/>
              <w:left w:val="nil"/>
              <w:bottom w:val="single" w:sz="4" w:space="0" w:color="808080"/>
              <w:right w:val="single" w:sz="4" w:space="0" w:color="808080"/>
            </w:tcBorders>
            <w:shd w:val="clear" w:color="auto" w:fill="auto"/>
            <w:noWrap/>
            <w:vAlign w:val="bottom"/>
            <w:hideMark/>
          </w:tcPr>
          <w:p w14:paraId="0A8348A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80.38%</w:t>
            </w:r>
          </w:p>
        </w:tc>
        <w:tc>
          <w:tcPr>
            <w:tcW w:w="213" w:type="pct"/>
            <w:tcBorders>
              <w:top w:val="nil"/>
              <w:left w:val="nil"/>
              <w:bottom w:val="single" w:sz="4" w:space="0" w:color="808080"/>
              <w:right w:val="single" w:sz="4" w:space="0" w:color="808080"/>
            </w:tcBorders>
            <w:shd w:val="clear" w:color="auto" w:fill="auto"/>
            <w:noWrap/>
            <w:vAlign w:val="bottom"/>
            <w:hideMark/>
          </w:tcPr>
          <w:p w14:paraId="698682D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4.05%</w:t>
            </w:r>
          </w:p>
        </w:tc>
        <w:tc>
          <w:tcPr>
            <w:tcW w:w="244" w:type="pct"/>
            <w:tcBorders>
              <w:top w:val="nil"/>
              <w:left w:val="nil"/>
              <w:bottom w:val="single" w:sz="4" w:space="0" w:color="808080"/>
              <w:right w:val="single" w:sz="4" w:space="0" w:color="auto"/>
            </w:tcBorders>
            <w:shd w:val="clear" w:color="auto" w:fill="auto"/>
            <w:noWrap/>
            <w:vAlign w:val="bottom"/>
            <w:hideMark/>
          </w:tcPr>
          <w:p w14:paraId="68561B9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87.85%</w:t>
            </w:r>
          </w:p>
        </w:tc>
      </w:tr>
      <w:tr w:rsidR="00A022DF" w:rsidRPr="00E87E42" w14:paraId="1D71744F" w14:textId="77777777" w:rsidTr="005839EF">
        <w:trPr>
          <w:trHeight w:val="227"/>
        </w:trPr>
        <w:tc>
          <w:tcPr>
            <w:tcW w:w="62" w:type="pct"/>
            <w:tcBorders>
              <w:top w:val="nil"/>
              <w:left w:val="single" w:sz="4" w:space="0" w:color="auto"/>
              <w:bottom w:val="single" w:sz="4" w:space="0" w:color="auto"/>
              <w:right w:val="nil"/>
            </w:tcBorders>
            <w:shd w:val="clear" w:color="auto" w:fill="auto"/>
            <w:noWrap/>
            <w:vAlign w:val="bottom"/>
            <w:hideMark/>
          </w:tcPr>
          <w:p w14:paraId="03CD0C6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120" w:type="pct"/>
            <w:tcBorders>
              <w:top w:val="nil"/>
              <w:left w:val="single" w:sz="4" w:space="0" w:color="auto"/>
              <w:bottom w:val="single" w:sz="4" w:space="0" w:color="808080"/>
              <w:right w:val="single" w:sz="4" w:space="0" w:color="auto"/>
            </w:tcBorders>
            <w:shd w:val="clear" w:color="auto" w:fill="auto"/>
            <w:noWrap/>
            <w:vAlign w:val="bottom"/>
            <w:hideMark/>
          </w:tcPr>
          <w:p w14:paraId="6C61B48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51</w:t>
            </w:r>
          </w:p>
        </w:tc>
        <w:tc>
          <w:tcPr>
            <w:tcW w:w="120" w:type="pct"/>
            <w:tcBorders>
              <w:top w:val="nil"/>
              <w:left w:val="nil"/>
              <w:bottom w:val="single" w:sz="4" w:space="0" w:color="808080"/>
              <w:right w:val="single" w:sz="4" w:space="0" w:color="808080"/>
            </w:tcBorders>
            <w:shd w:val="clear" w:color="auto" w:fill="auto"/>
            <w:noWrap/>
            <w:vAlign w:val="bottom"/>
            <w:hideMark/>
          </w:tcPr>
          <w:p w14:paraId="7B580C4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36</w:t>
            </w:r>
          </w:p>
        </w:tc>
        <w:tc>
          <w:tcPr>
            <w:tcW w:w="213" w:type="pct"/>
            <w:tcBorders>
              <w:top w:val="nil"/>
              <w:left w:val="nil"/>
              <w:bottom w:val="single" w:sz="4" w:space="0" w:color="808080"/>
              <w:right w:val="single" w:sz="4" w:space="0" w:color="808080"/>
            </w:tcBorders>
            <w:shd w:val="clear" w:color="auto" w:fill="auto"/>
            <w:noWrap/>
            <w:vAlign w:val="bottom"/>
            <w:hideMark/>
          </w:tcPr>
          <w:p w14:paraId="7BDB698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75.00%</w:t>
            </w:r>
          </w:p>
        </w:tc>
        <w:tc>
          <w:tcPr>
            <w:tcW w:w="213" w:type="pct"/>
            <w:tcBorders>
              <w:top w:val="nil"/>
              <w:left w:val="nil"/>
              <w:bottom w:val="single" w:sz="4" w:space="0" w:color="808080"/>
              <w:right w:val="single" w:sz="4" w:space="0" w:color="808080"/>
            </w:tcBorders>
            <w:shd w:val="clear" w:color="auto" w:fill="auto"/>
            <w:noWrap/>
            <w:vAlign w:val="bottom"/>
            <w:hideMark/>
          </w:tcPr>
          <w:p w14:paraId="2B6CAF1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15.38%</w:t>
            </w:r>
          </w:p>
        </w:tc>
        <w:tc>
          <w:tcPr>
            <w:tcW w:w="164" w:type="pct"/>
            <w:tcBorders>
              <w:top w:val="nil"/>
              <w:left w:val="nil"/>
              <w:bottom w:val="single" w:sz="4" w:space="0" w:color="808080"/>
              <w:right w:val="single" w:sz="4" w:space="0" w:color="808080"/>
            </w:tcBorders>
            <w:shd w:val="clear" w:color="auto" w:fill="auto"/>
            <w:noWrap/>
            <w:vAlign w:val="bottom"/>
            <w:hideMark/>
          </w:tcPr>
          <w:p w14:paraId="03851A9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56.89</w:t>
            </w:r>
          </w:p>
        </w:tc>
        <w:tc>
          <w:tcPr>
            <w:tcW w:w="165" w:type="pct"/>
            <w:tcBorders>
              <w:top w:val="nil"/>
              <w:left w:val="nil"/>
              <w:bottom w:val="single" w:sz="4" w:space="0" w:color="808080"/>
              <w:right w:val="single" w:sz="4" w:space="0" w:color="auto"/>
            </w:tcBorders>
            <w:shd w:val="clear" w:color="auto" w:fill="auto"/>
            <w:noWrap/>
            <w:vAlign w:val="bottom"/>
            <w:hideMark/>
          </w:tcPr>
          <w:p w14:paraId="2459A63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56.89</w:t>
            </w:r>
          </w:p>
        </w:tc>
        <w:tc>
          <w:tcPr>
            <w:tcW w:w="91" w:type="pct"/>
            <w:tcBorders>
              <w:top w:val="nil"/>
              <w:left w:val="nil"/>
              <w:bottom w:val="single" w:sz="4" w:space="0" w:color="808080"/>
              <w:right w:val="single" w:sz="4" w:space="0" w:color="808080"/>
            </w:tcBorders>
            <w:shd w:val="clear" w:color="auto" w:fill="auto"/>
            <w:noWrap/>
            <w:vAlign w:val="bottom"/>
            <w:hideMark/>
          </w:tcPr>
          <w:p w14:paraId="1E49540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213" w:type="pct"/>
            <w:tcBorders>
              <w:top w:val="nil"/>
              <w:left w:val="nil"/>
              <w:bottom w:val="single" w:sz="4" w:space="0" w:color="808080"/>
              <w:right w:val="single" w:sz="4" w:space="0" w:color="808080"/>
            </w:tcBorders>
            <w:shd w:val="clear" w:color="auto" w:fill="auto"/>
            <w:noWrap/>
            <w:vAlign w:val="bottom"/>
            <w:hideMark/>
          </w:tcPr>
          <w:p w14:paraId="7E29938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10.42%</w:t>
            </w:r>
          </w:p>
        </w:tc>
        <w:tc>
          <w:tcPr>
            <w:tcW w:w="213" w:type="pct"/>
            <w:tcBorders>
              <w:top w:val="nil"/>
              <w:left w:val="nil"/>
              <w:bottom w:val="single" w:sz="4" w:space="0" w:color="808080"/>
              <w:right w:val="single" w:sz="4" w:space="0" w:color="808080"/>
            </w:tcBorders>
            <w:shd w:val="clear" w:color="auto" w:fill="auto"/>
            <w:noWrap/>
            <w:vAlign w:val="bottom"/>
            <w:hideMark/>
          </w:tcPr>
          <w:p w14:paraId="1C0D1C4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33.33%</w:t>
            </w:r>
          </w:p>
        </w:tc>
        <w:tc>
          <w:tcPr>
            <w:tcW w:w="193" w:type="pct"/>
            <w:tcBorders>
              <w:top w:val="nil"/>
              <w:left w:val="nil"/>
              <w:bottom w:val="single" w:sz="4" w:space="0" w:color="808080"/>
              <w:right w:val="single" w:sz="4" w:space="0" w:color="808080"/>
            </w:tcBorders>
            <w:shd w:val="clear" w:color="auto" w:fill="auto"/>
            <w:noWrap/>
            <w:vAlign w:val="bottom"/>
            <w:hideMark/>
          </w:tcPr>
          <w:p w14:paraId="3E0283D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138.18</w:t>
            </w:r>
          </w:p>
        </w:tc>
        <w:tc>
          <w:tcPr>
            <w:tcW w:w="165" w:type="pct"/>
            <w:tcBorders>
              <w:top w:val="nil"/>
              <w:left w:val="nil"/>
              <w:bottom w:val="single" w:sz="4" w:space="0" w:color="808080"/>
              <w:right w:val="nil"/>
            </w:tcBorders>
            <w:shd w:val="clear" w:color="auto" w:fill="auto"/>
            <w:noWrap/>
            <w:vAlign w:val="bottom"/>
            <w:hideMark/>
          </w:tcPr>
          <w:p w14:paraId="0189BEB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44.82</w:t>
            </w:r>
          </w:p>
        </w:tc>
        <w:tc>
          <w:tcPr>
            <w:tcW w:w="91" w:type="pct"/>
            <w:tcBorders>
              <w:top w:val="nil"/>
              <w:left w:val="single" w:sz="4" w:space="0" w:color="auto"/>
              <w:bottom w:val="single" w:sz="4" w:space="0" w:color="808080"/>
              <w:right w:val="single" w:sz="4" w:space="0" w:color="808080"/>
            </w:tcBorders>
            <w:shd w:val="clear" w:color="auto" w:fill="auto"/>
            <w:noWrap/>
            <w:vAlign w:val="bottom"/>
            <w:hideMark/>
          </w:tcPr>
          <w:p w14:paraId="1C65DE2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213" w:type="pct"/>
            <w:tcBorders>
              <w:top w:val="nil"/>
              <w:left w:val="nil"/>
              <w:bottom w:val="single" w:sz="4" w:space="0" w:color="808080"/>
              <w:right w:val="single" w:sz="4" w:space="0" w:color="808080"/>
            </w:tcBorders>
            <w:shd w:val="clear" w:color="auto" w:fill="auto"/>
            <w:noWrap/>
            <w:vAlign w:val="bottom"/>
            <w:hideMark/>
          </w:tcPr>
          <w:p w14:paraId="0B09359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6.25%</w:t>
            </w:r>
          </w:p>
        </w:tc>
        <w:tc>
          <w:tcPr>
            <w:tcW w:w="213" w:type="pct"/>
            <w:tcBorders>
              <w:top w:val="nil"/>
              <w:left w:val="nil"/>
              <w:bottom w:val="single" w:sz="4" w:space="0" w:color="808080"/>
              <w:right w:val="single" w:sz="4" w:space="0" w:color="808080"/>
            </w:tcBorders>
            <w:shd w:val="clear" w:color="auto" w:fill="auto"/>
            <w:noWrap/>
            <w:vAlign w:val="bottom"/>
            <w:hideMark/>
          </w:tcPr>
          <w:p w14:paraId="7B59037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50.00%</w:t>
            </w:r>
          </w:p>
        </w:tc>
        <w:tc>
          <w:tcPr>
            <w:tcW w:w="193" w:type="pct"/>
            <w:tcBorders>
              <w:top w:val="nil"/>
              <w:left w:val="nil"/>
              <w:bottom w:val="single" w:sz="4" w:space="0" w:color="808080"/>
              <w:right w:val="single" w:sz="4" w:space="0" w:color="808080"/>
            </w:tcBorders>
            <w:shd w:val="clear" w:color="auto" w:fill="auto"/>
            <w:noWrap/>
            <w:vAlign w:val="bottom"/>
            <w:hideMark/>
          </w:tcPr>
          <w:p w14:paraId="20E77B4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38.83</w:t>
            </w:r>
          </w:p>
        </w:tc>
        <w:tc>
          <w:tcPr>
            <w:tcW w:w="165" w:type="pct"/>
            <w:tcBorders>
              <w:top w:val="nil"/>
              <w:left w:val="nil"/>
              <w:bottom w:val="single" w:sz="4" w:space="0" w:color="808080"/>
              <w:right w:val="single" w:sz="4" w:space="0" w:color="808080"/>
            </w:tcBorders>
            <w:shd w:val="clear" w:color="auto" w:fill="auto"/>
            <w:noWrap/>
            <w:vAlign w:val="bottom"/>
            <w:hideMark/>
          </w:tcPr>
          <w:p w14:paraId="6B71697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7.51</w:t>
            </w:r>
          </w:p>
        </w:tc>
        <w:tc>
          <w:tcPr>
            <w:tcW w:w="120" w:type="pct"/>
            <w:tcBorders>
              <w:top w:val="nil"/>
              <w:left w:val="nil"/>
              <w:bottom w:val="single" w:sz="4" w:space="0" w:color="808080"/>
              <w:right w:val="single" w:sz="4" w:space="0" w:color="auto"/>
            </w:tcBorders>
            <w:shd w:val="clear" w:color="auto" w:fill="auto"/>
            <w:noWrap/>
            <w:vAlign w:val="bottom"/>
            <w:hideMark/>
          </w:tcPr>
          <w:p w14:paraId="78E82B8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213" w:type="pct"/>
            <w:tcBorders>
              <w:top w:val="nil"/>
              <w:left w:val="nil"/>
              <w:bottom w:val="single" w:sz="4" w:space="0" w:color="808080"/>
              <w:right w:val="single" w:sz="4" w:space="0" w:color="808080"/>
            </w:tcBorders>
            <w:shd w:val="clear" w:color="auto" w:fill="auto"/>
            <w:noWrap/>
            <w:vAlign w:val="bottom"/>
            <w:hideMark/>
          </w:tcPr>
          <w:p w14:paraId="7DDA116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8.33%</w:t>
            </w:r>
          </w:p>
        </w:tc>
        <w:tc>
          <w:tcPr>
            <w:tcW w:w="213" w:type="pct"/>
            <w:tcBorders>
              <w:top w:val="nil"/>
              <w:left w:val="nil"/>
              <w:bottom w:val="single" w:sz="4" w:space="0" w:color="808080"/>
              <w:right w:val="single" w:sz="4" w:space="0" w:color="808080"/>
            </w:tcBorders>
            <w:shd w:val="clear" w:color="auto" w:fill="auto"/>
            <w:noWrap/>
            <w:vAlign w:val="bottom"/>
            <w:hideMark/>
          </w:tcPr>
          <w:p w14:paraId="31DBCF3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80.00%</w:t>
            </w:r>
          </w:p>
        </w:tc>
        <w:tc>
          <w:tcPr>
            <w:tcW w:w="193" w:type="pct"/>
            <w:tcBorders>
              <w:top w:val="nil"/>
              <w:left w:val="nil"/>
              <w:bottom w:val="single" w:sz="4" w:space="0" w:color="808080"/>
              <w:right w:val="single" w:sz="4" w:space="0" w:color="808080"/>
            </w:tcBorders>
            <w:shd w:val="clear" w:color="auto" w:fill="auto"/>
            <w:noWrap/>
            <w:vAlign w:val="bottom"/>
            <w:hideMark/>
          </w:tcPr>
          <w:p w14:paraId="58A9C04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13.72</w:t>
            </w:r>
          </w:p>
        </w:tc>
        <w:tc>
          <w:tcPr>
            <w:tcW w:w="166" w:type="pct"/>
            <w:tcBorders>
              <w:top w:val="nil"/>
              <w:left w:val="nil"/>
              <w:bottom w:val="single" w:sz="4" w:space="0" w:color="808080"/>
              <w:right w:val="nil"/>
            </w:tcBorders>
            <w:shd w:val="clear" w:color="auto" w:fill="auto"/>
            <w:noWrap/>
            <w:vAlign w:val="bottom"/>
            <w:hideMark/>
          </w:tcPr>
          <w:p w14:paraId="0343612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1.87</w:t>
            </w:r>
          </w:p>
        </w:tc>
        <w:tc>
          <w:tcPr>
            <w:tcW w:w="375" w:type="pct"/>
            <w:tcBorders>
              <w:top w:val="nil"/>
              <w:left w:val="single" w:sz="4" w:space="0" w:color="auto"/>
              <w:bottom w:val="single" w:sz="4" w:space="0" w:color="808080"/>
              <w:right w:val="single" w:sz="4" w:space="0" w:color="auto"/>
            </w:tcBorders>
            <w:shd w:val="clear" w:color="auto" w:fill="auto"/>
            <w:noWrap/>
            <w:vAlign w:val="bottom"/>
            <w:hideMark/>
          </w:tcPr>
          <w:p w14:paraId="4AF3EA5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60.63</w:t>
            </w:r>
          </w:p>
        </w:tc>
        <w:tc>
          <w:tcPr>
            <w:tcW w:w="213" w:type="pct"/>
            <w:tcBorders>
              <w:top w:val="nil"/>
              <w:left w:val="nil"/>
              <w:bottom w:val="single" w:sz="4" w:space="0" w:color="808080"/>
              <w:right w:val="single" w:sz="4" w:space="0" w:color="808080"/>
            </w:tcBorders>
            <w:shd w:val="clear" w:color="auto" w:fill="auto"/>
            <w:noWrap/>
            <w:vAlign w:val="bottom"/>
            <w:hideMark/>
          </w:tcPr>
          <w:p w14:paraId="0A70FFA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18.46%</w:t>
            </w:r>
          </w:p>
        </w:tc>
        <w:tc>
          <w:tcPr>
            <w:tcW w:w="243" w:type="pct"/>
            <w:tcBorders>
              <w:top w:val="nil"/>
              <w:left w:val="nil"/>
              <w:bottom w:val="single" w:sz="4" w:space="0" w:color="808080"/>
              <w:right w:val="single" w:sz="4" w:space="0" w:color="808080"/>
            </w:tcBorders>
            <w:shd w:val="clear" w:color="auto" w:fill="auto"/>
            <w:noWrap/>
            <w:vAlign w:val="bottom"/>
            <w:hideMark/>
          </w:tcPr>
          <w:p w14:paraId="2C0C1BB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98.85%</w:t>
            </w:r>
          </w:p>
        </w:tc>
        <w:tc>
          <w:tcPr>
            <w:tcW w:w="213" w:type="pct"/>
            <w:tcBorders>
              <w:top w:val="nil"/>
              <w:left w:val="nil"/>
              <w:bottom w:val="single" w:sz="4" w:space="0" w:color="808080"/>
              <w:right w:val="single" w:sz="4" w:space="0" w:color="808080"/>
            </w:tcBorders>
            <w:shd w:val="clear" w:color="auto" w:fill="auto"/>
            <w:noWrap/>
            <w:vAlign w:val="bottom"/>
            <w:hideMark/>
          </w:tcPr>
          <w:p w14:paraId="6790B70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10.87%</w:t>
            </w:r>
          </w:p>
        </w:tc>
        <w:tc>
          <w:tcPr>
            <w:tcW w:w="244" w:type="pct"/>
            <w:tcBorders>
              <w:top w:val="nil"/>
              <w:left w:val="nil"/>
              <w:bottom w:val="single" w:sz="4" w:space="0" w:color="808080"/>
              <w:right w:val="single" w:sz="4" w:space="0" w:color="auto"/>
            </w:tcBorders>
            <w:shd w:val="clear" w:color="auto" w:fill="auto"/>
            <w:noWrap/>
            <w:vAlign w:val="bottom"/>
            <w:hideMark/>
          </w:tcPr>
          <w:p w14:paraId="35C9E56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98.72%</w:t>
            </w:r>
          </w:p>
        </w:tc>
      </w:tr>
      <w:tr w:rsidR="00A022DF" w:rsidRPr="00E87E42" w14:paraId="7CD1A5F1" w14:textId="77777777" w:rsidTr="005839EF">
        <w:trPr>
          <w:trHeight w:val="227"/>
        </w:trPr>
        <w:tc>
          <w:tcPr>
            <w:tcW w:w="62" w:type="pct"/>
            <w:tcBorders>
              <w:top w:val="nil"/>
              <w:left w:val="single" w:sz="4" w:space="0" w:color="auto"/>
              <w:bottom w:val="single" w:sz="4" w:space="0" w:color="auto"/>
              <w:right w:val="nil"/>
            </w:tcBorders>
            <w:shd w:val="clear" w:color="auto" w:fill="auto"/>
            <w:noWrap/>
            <w:vAlign w:val="bottom"/>
            <w:hideMark/>
          </w:tcPr>
          <w:p w14:paraId="2487CBC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120" w:type="pct"/>
            <w:tcBorders>
              <w:top w:val="nil"/>
              <w:left w:val="single" w:sz="4" w:space="0" w:color="auto"/>
              <w:bottom w:val="single" w:sz="4" w:space="0" w:color="auto"/>
              <w:right w:val="single" w:sz="4" w:space="0" w:color="auto"/>
            </w:tcBorders>
            <w:shd w:val="clear" w:color="auto" w:fill="auto"/>
            <w:noWrap/>
            <w:vAlign w:val="bottom"/>
            <w:hideMark/>
          </w:tcPr>
          <w:p w14:paraId="08A132F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w:t>
            </w:r>
          </w:p>
        </w:tc>
        <w:tc>
          <w:tcPr>
            <w:tcW w:w="120" w:type="pct"/>
            <w:tcBorders>
              <w:top w:val="nil"/>
              <w:left w:val="nil"/>
              <w:bottom w:val="single" w:sz="4" w:space="0" w:color="auto"/>
              <w:right w:val="single" w:sz="4" w:space="0" w:color="808080"/>
            </w:tcBorders>
            <w:shd w:val="clear" w:color="auto" w:fill="auto"/>
            <w:noWrap/>
            <w:vAlign w:val="bottom"/>
            <w:hideMark/>
          </w:tcPr>
          <w:p w14:paraId="2B2BEA0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213" w:type="pct"/>
            <w:tcBorders>
              <w:top w:val="nil"/>
              <w:left w:val="nil"/>
              <w:bottom w:val="single" w:sz="4" w:space="0" w:color="auto"/>
              <w:right w:val="single" w:sz="4" w:space="0" w:color="808080"/>
            </w:tcBorders>
            <w:shd w:val="clear" w:color="auto" w:fill="auto"/>
            <w:noWrap/>
            <w:vAlign w:val="bottom"/>
            <w:hideMark/>
          </w:tcPr>
          <w:p w14:paraId="4EBD8A9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66.67%</w:t>
            </w:r>
          </w:p>
        </w:tc>
        <w:tc>
          <w:tcPr>
            <w:tcW w:w="213" w:type="pct"/>
            <w:tcBorders>
              <w:top w:val="nil"/>
              <w:left w:val="nil"/>
              <w:bottom w:val="single" w:sz="4" w:space="0" w:color="auto"/>
              <w:right w:val="single" w:sz="4" w:space="0" w:color="808080"/>
            </w:tcBorders>
            <w:shd w:val="clear" w:color="auto" w:fill="auto"/>
            <w:noWrap/>
            <w:vAlign w:val="bottom"/>
            <w:hideMark/>
          </w:tcPr>
          <w:p w14:paraId="5879EB3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0.85%</w:t>
            </w:r>
          </w:p>
        </w:tc>
        <w:tc>
          <w:tcPr>
            <w:tcW w:w="164" w:type="pct"/>
            <w:tcBorders>
              <w:top w:val="nil"/>
              <w:left w:val="nil"/>
              <w:bottom w:val="single" w:sz="4" w:space="0" w:color="auto"/>
              <w:right w:val="single" w:sz="4" w:space="0" w:color="808080"/>
            </w:tcBorders>
            <w:shd w:val="clear" w:color="auto" w:fill="auto"/>
            <w:noWrap/>
            <w:vAlign w:val="bottom"/>
            <w:hideMark/>
          </w:tcPr>
          <w:p w14:paraId="58407CB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0.33</w:t>
            </w:r>
          </w:p>
        </w:tc>
        <w:tc>
          <w:tcPr>
            <w:tcW w:w="165" w:type="pct"/>
            <w:tcBorders>
              <w:top w:val="nil"/>
              <w:left w:val="nil"/>
              <w:bottom w:val="single" w:sz="4" w:space="0" w:color="auto"/>
              <w:right w:val="single" w:sz="4" w:space="0" w:color="auto"/>
            </w:tcBorders>
            <w:shd w:val="clear" w:color="auto" w:fill="auto"/>
            <w:noWrap/>
            <w:vAlign w:val="bottom"/>
            <w:hideMark/>
          </w:tcPr>
          <w:p w14:paraId="3CFD17A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0.33</w:t>
            </w:r>
          </w:p>
        </w:tc>
        <w:tc>
          <w:tcPr>
            <w:tcW w:w="91" w:type="pct"/>
            <w:tcBorders>
              <w:top w:val="nil"/>
              <w:left w:val="nil"/>
              <w:bottom w:val="single" w:sz="4" w:space="0" w:color="auto"/>
              <w:right w:val="single" w:sz="4" w:space="0" w:color="808080"/>
            </w:tcBorders>
            <w:shd w:val="clear" w:color="auto" w:fill="auto"/>
            <w:noWrap/>
            <w:vAlign w:val="bottom"/>
            <w:hideMark/>
          </w:tcPr>
          <w:p w14:paraId="54812AB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13" w:type="pct"/>
            <w:tcBorders>
              <w:top w:val="nil"/>
              <w:left w:val="nil"/>
              <w:bottom w:val="single" w:sz="4" w:space="0" w:color="auto"/>
              <w:right w:val="single" w:sz="4" w:space="0" w:color="808080"/>
            </w:tcBorders>
            <w:shd w:val="clear" w:color="auto" w:fill="auto"/>
            <w:noWrap/>
            <w:vAlign w:val="bottom"/>
            <w:hideMark/>
          </w:tcPr>
          <w:p w14:paraId="7A50D8D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33.33%</w:t>
            </w:r>
          </w:p>
        </w:tc>
        <w:tc>
          <w:tcPr>
            <w:tcW w:w="213" w:type="pct"/>
            <w:tcBorders>
              <w:top w:val="nil"/>
              <w:left w:val="nil"/>
              <w:bottom w:val="single" w:sz="4" w:space="0" w:color="auto"/>
              <w:right w:val="single" w:sz="4" w:space="0" w:color="808080"/>
            </w:tcBorders>
            <w:shd w:val="clear" w:color="auto" w:fill="auto"/>
            <w:noWrap/>
            <w:vAlign w:val="bottom"/>
            <w:hideMark/>
          </w:tcPr>
          <w:p w14:paraId="0A9C987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6.67%</w:t>
            </w:r>
          </w:p>
        </w:tc>
        <w:tc>
          <w:tcPr>
            <w:tcW w:w="193" w:type="pct"/>
            <w:tcBorders>
              <w:top w:val="nil"/>
              <w:left w:val="nil"/>
              <w:bottom w:val="single" w:sz="4" w:space="0" w:color="auto"/>
              <w:right w:val="single" w:sz="4" w:space="0" w:color="808080"/>
            </w:tcBorders>
            <w:shd w:val="clear" w:color="auto" w:fill="auto"/>
            <w:noWrap/>
            <w:vAlign w:val="bottom"/>
            <w:hideMark/>
          </w:tcPr>
          <w:p w14:paraId="3490C7C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0.30</w:t>
            </w:r>
          </w:p>
        </w:tc>
        <w:tc>
          <w:tcPr>
            <w:tcW w:w="165" w:type="pct"/>
            <w:tcBorders>
              <w:top w:val="nil"/>
              <w:left w:val="nil"/>
              <w:bottom w:val="single" w:sz="4" w:space="0" w:color="auto"/>
              <w:right w:val="nil"/>
            </w:tcBorders>
            <w:shd w:val="clear" w:color="auto" w:fill="auto"/>
            <w:noWrap/>
            <w:vAlign w:val="bottom"/>
            <w:hideMark/>
          </w:tcPr>
          <w:p w14:paraId="314D9F0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0.10</w:t>
            </w:r>
          </w:p>
        </w:tc>
        <w:tc>
          <w:tcPr>
            <w:tcW w:w="91" w:type="pct"/>
            <w:tcBorders>
              <w:top w:val="nil"/>
              <w:left w:val="single" w:sz="4" w:space="0" w:color="auto"/>
              <w:bottom w:val="single" w:sz="4" w:space="0" w:color="auto"/>
              <w:right w:val="single" w:sz="4" w:space="0" w:color="808080"/>
            </w:tcBorders>
            <w:shd w:val="clear" w:color="auto" w:fill="auto"/>
            <w:noWrap/>
            <w:vAlign w:val="bottom"/>
            <w:hideMark/>
          </w:tcPr>
          <w:p w14:paraId="09DB633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3" w:type="pct"/>
            <w:tcBorders>
              <w:top w:val="nil"/>
              <w:left w:val="nil"/>
              <w:bottom w:val="single" w:sz="4" w:space="0" w:color="auto"/>
              <w:right w:val="single" w:sz="4" w:space="0" w:color="808080"/>
            </w:tcBorders>
            <w:shd w:val="clear" w:color="auto" w:fill="auto"/>
            <w:noWrap/>
            <w:vAlign w:val="bottom"/>
            <w:hideMark/>
          </w:tcPr>
          <w:p w14:paraId="4079A58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3" w:type="pct"/>
            <w:tcBorders>
              <w:top w:val="nil"/>
              <w:left w:val="nil"/>
              <w:bottom w:val="single" w:sz="4" w:space="0" w:color="auto"/>
              <w:right w:val="single" w:sz="4" w:space="0" w:color="808080"/>
            </w:tcBorders>
            <w:shd w:val="clear" w:color="auto" w:fill="auto"/>
            <w:noWrap/>
            <w:vAlign w:val="bottom"/>
            <w:hideMark/>
          </w:tcPr>
          <w:p w14:paraId="15D0B5A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3" w:type="pct"/>
            <w:tcBorders>
              <w:top w:val="nil"/>
              <w:left w:val="nil"/>
              <w:bottom w:val="single" w:sz="4" w:space="0" w:color="auto"/>
              <w:right w:val="single" w:sz="4" w:space="0" w:color="808080"/>
            </w:tcBorders>
            <w:shd w:val="clear" w:color="auto" w:fill="auto"/>
            <w:noWrap/>
            <w:vAlign w:val="bottom"/>
            <w:hideMark/>
          </w:tcPr>
          <w:p w14:paraId="02D6116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nil"/>
              <w:left w:val="nil"/>
              <w:bottom w:val="single" w:sz="4" w:space="0" w:color="auto"/>
              <w:right w:val="single" w:sz="4" w:space="0" w:color="808080"/>
            </w:tcBorders>
            <w:shd w:val="clear" w:color="auto" w:fill="auto"/>
            <w:noWrap/>
            <w:vAlign w:val="bottom"/>
            <w:hideMark/>
          </w:tcPr>
          <w:p w14:paraId="696568D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20" w:type="pct"/>
            <w:tcBorders>
              <w:top w:val="nil"/>
              <w:left w:val="nil"/>
              <w:bottom w:val="single" w:sz="4" w:space="0" w:color="auto"/>
              <w:right w:val="single" w:sz="4" w:space="0" w:color="auto"/>
            </w:tcBorders>
            <w:shd w:val="clear" w:color="auto" w:fill="auto"/>
            <w:noWrap/>
            <w:vAlign w:val="bottom"/>
            <w:hideMark/>
          </w:tcPr>
          <w:p w14:paraId="7272E4B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3" w:type="pct"/>
            <w:tcBorders>
              <w:top w:val="nil"/>
              <w:left w:val="nil"/>
              <w:bottom w:val="single" w:sz="4" w:space="0" w:color="auto"/>
              <w:right w:val="single" w:sz="4" w:space="0" w:color="808080"/>
            </w:tcBorders>
            <w:shd w:val="clear" w:color="auto" w:fill="auto"/>
            <w:noWrap/>
            <w:vAlign w:val="bottom"/>
            <w:hideMark/>
          </w:tcPr>
          <w:p w14:paraId="3CBCC8D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3" w:type="pct"/>
            <w:tcBorders>
              <w:top w:val="nil"/>
              <w:left w:val="nil"/>
              <w:bottom w:val="single" w:sz="4" w:space="0" w:color="auto"/>
              <w:right w:val="single" w:sz="4" w:space="0" w:color="808080"/>
            </w:tcBorders>
            <w:shd w:val="clear" w:color="auto" w:fill="auto"/>
            <w:noWrap/>
            <w:vAlign w:val="bottom"/>
            <w:hideMark/>
          </w:tcPr>
          <w:p w14:paraId="3172FA0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3" w:type="pct"/>
            <w:tcBorders>
              <w:top w:val="nil"/>
              <w:left w:val="nil"/>
              <w:bottom w:val="single" w:sz="4" w:space="0" w:color="auto"/>
              <w:right w:val="single" w:sz="4" w:space="0" w:color="808080"/>
            </w:tcBorders>
            <w:shd w:val="clear" w:color="auto" w:fill="auto"/>
            <w:noWrap/>
            <w:vAlign w:val="bottom"/>
            <w:hideMark/>
          </w:tcPr>
          <w:p w14:paraId="22EF221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6" w:type="pct"/>
            <w:tcBorders>
              <w:top w:val="nil"/>
              <w:left w:val="nil"/>
              <w:bottom w:val="single" w:sz="4" w:space="0" w:color="auto"/>
              <w:right w:val="nil"/>
            </w:tcBorders>
            <w:shd w:val="clear" w:color="auto" w:fill="auto"/>
            <w:noWrap/>
            <w:vAlign w:val="bottom"/>
            <w:hideMark/>
          </w:tcPr>
          <w:p w14:paraId="4AFC42C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375" w:type="pct"/>
            <w:tcBorders>
              <w:top w:val="nil"/>
              <w:left w:val="single" w:sz="4" w:space="0" w:color="auto"/>
              <w:bottom w:val="single" w:sz="4" w:space="0" w:color="auto"/>
              <w:right w:val="single" w:sz="4" w:space="0" w:color="auto"/>
            </w:tcBorders>
            <w:shd w:val="clear" w:color="auto" w:fill="auto"/>
            <w:noWrap/>
            <w:vAlign w:val="bottom"/>
            <w:hideMark/>
          </w:tcPr>
          <w:p w14:paraId="4A9B4F8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0.32</w:t>
            </w:r>
          </w:p>
        </w:tc>
        <w:tc>
          <w:tcPr>
            <w:tcW w:w="213" w:type="pct"/>
            <w:tcBorders>
              <w:top w:val="nil"/>
              <w:left w:val="nil"/>
              <w:bottom w:val="single" w:sz="4" w:space="0" w:color="auto"/>
              <w:right w:val="single" w:sz="4" w:space="0" w:color="808080"/>
            </w:tcBorders>
            <w:shd w:val="clear" w:color="auto" w:fill="auto"/>
            <w:noWrap/>
            <w:vAlign w:val="bottom"/>
            <w:hideMark/>
          </w:tcPr>
          <w:p w14:paraId="4347739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1.15%</w:t>
            </w:r>
          </w:p>
        </w:tc>
        <w:tc>
          <w:tcPr>
            <w:tcW w:w="243" w:type="pct"/>
            <w:tcBorders>
              <w:top w:val="nil"/>
              <w:left w:val="nil"/>
              <w:bottom w:val="single" w:sz="4" w:space="0" w:color="auto"/>
              <w:right w:val="single" w:sz="4" w:space="0" w:color="808080"/>
            </w:tcBorders>
            <w:shd w:val="clear" w:color="auto" w:fill="auto"/>
            <w:noWrap/>
            <w:vAlign w:val="bottom"/>
            <w:hideMark/>
          </w:tcPr>
          <w:p w14:paraId="272B525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13" w:type="pct"/>
            <w:tcBorders>
              <w:top w:val="nil"/>
              <w:left w:val="nil"/>
              <w:bottom w:val="single" w:sz="4" w:space="0" w:color="auto"/>
              <w:right w:val="single" w:sz="4" w:space="0" w:color="808080"/>
            </w:tcBorders>
            <w:shd w:val="clear" w:color="auto" w:fill="auto"/>
            <w:noWrap/>
            <w:vAlign w:val="bottom"/>
            <w:hideMark/>
          </w:tcPr>
          <w:p w14:paraId="440364B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1.28%</w:t>
            </w:r>
          </w:p>
        </w:tc>
        <w:tc>
          <w:tcPr>
            <w:tcW w:w="244" w:type="pct"/>
            <w:tcBorders>
              <w:top w:val="nil"/>
              <w:left w:val="nil"/>
              <w:bottom w:val="single" w:sz="4" w:space="0" w:color="auto"/>
              <w:right w:val="single" w:sz="4" w:space="0" w:color="auto"/>
            </w:tcBorders>
            <w:shd w:val="clear" w:color="auto" w:fill="auto"/>
            <w:noWrap/>
            <w:vAlign w:val="bottom"/>
            <w:hideMark/>
          </w:tcPr>
          <w:p w14:paraId="513BC3C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r>
      <w:tr w:rsidR="00A022DF" w:rsidRPr="00E87E42" w14:paraId="4E0D65F6" w14:textId="77777777" w:rsidTr="005839EF">
        <w:trPr>
          <w:trHeight w:val="227"/>
        </w:trPr>
        <w:tc>
          <w:tcPr>
            <w:tcW w:w="3712" w:type="pct"/>
            <w:gridSpan w:val="22"/>
            <w:tcBorders>
              <w:top w:val="nil"/>
              <w:left w:val="single" w:sz="4" w:space="0" w:color="auto"/>
              <w:bottom w:val="single" w:sz="4" w:space="0" w:color="auto"/>
              <w:right w:val="nil"/>
            </w:tcBorders>
            <w:shd w:val="clear" w:color="auto" w:fill="auto"/>
            <w:noWrap/>
            <w:vAlign w:val="bottom"/>
          </w:tcPr>
          <w:p w14:paraId="11D7FECC" w14:textId="77777777" w:rsidR="00A022DF" w:rsidRPr="00E87E42" w:rsidRDefault="00A022DF" w:rsidP="00A022DF">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Total weighted area damage</w:t>
            </w:r>
          </w:p>
        </w:tc>
        <w:tc>
          <w:tcPr>
            <w:tcW w:w="375" w:type="pct"/>
            <w:tcBorders>
              <w:top w:val="nil"/>
              <w:left w:val="single" w:sz="4" w:space="0" w:color="auto"/>
              <w:bottom w:val="single" w:sz="4" w:space="0" w:color="auto"/>
              <w:right w:val="single" w:sz="4" w:space="0" w:color="auto"/>
            </w:tcBorders>
            <w:shd w:val="clear" w:color="auto" w:fill="auto"/>
            <w:noWrap/>
            <w:vAlign w:val="bottom"/>
          </w:tcPr>
          <w:p w14:paraId="26568F7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48.58</w:t>
            </w:r>
          </w:p>
        </w:tc>
        <w:tc>
          <w:tcPr>
            <w:tcW w:w="913" w:type="pct"/>
            <w:gridSpan w:val="4"/>
            <w:tcBorders>
              <w:top w:val="nil"/>
              <w:left w:val="nil"/>
              <w:bottom w:val="single" w:sz="4" w:space="0" w:color="auto"/>
              <w:right w:val="single" w:sz="4" w:space="0" w:color="auto"/>
            </w:tcBorders>
            <w:shd w:val="clear" w:color="auto" w:fill="auto"/>
            <w:noWrap/>
            <w:vAlign w:val="bottom"/>
          </w:tcPr>
          <w:p w14:paraId="61CB4470" w14:textId="77777777" w:rsidR="00A022DF" w:rsidRPr="00E87E42" w:rsidRDefault="00A022DF" w:rsidP="00A022DF">
            <w:pPr>
              <w:spacing w:after="0" w:line="240" w:lineRule="auto"/>
              <w:jc w:val="center"/>
              <w:rPr>
                <w:rFonts w:eastAsia="Times New Roman"/>
                <w:color w:val="000000"/>
                <w:sz w:val="16"/>
                <w:szCs w:val="16"/>
                <w:lang w:eastAsia="en-GB"/>
              </w:rPr>
            </w:pPr>
          </w:p>
        </w:tc>
      </w:tr>
      <w:tr w:rsidR="00A022DF" w:rsidRPr="00E87E42" w14:paraId="14B6EE16" w14:textId="77777777" w:rsidTr="005839EF">
        <w:trPr>
          <w:trHeight w:val="227"/>
        </w:trPr>
        <w:tc>
          <w:tcPr>
            <w:tcW w:w="62" w:type="pct"/>
            <w:tcBorders>
              <w:top w:val="nil"/>
              <w:left w:val="nil"/>
              <w:bottom w:val="nil"/>
              <w:right w:val="nil"/>
            </w:tcBorders>
            <w:shd w:val="clear" w:color="auto" w:fill="auto"/>
            <w:noWrap/>
            <w:vAlign w:val="bottom"/>
            <w:hideMark/>
          </w:tcPr>
          <w:p w14:paraId="730D7012" w14:textId="77777777" w:rsidR="00A022DF" w:rsidRPr="00E87E42" w:rsidRDefault="00A022DF" w:rsidP="00A022DF">
            <w:pPr>
              <w:spacing w:after="0" w:line="240" w:lineRule="auto"/>
              <w:jc w:val="center"/>
              <w:rPr>
                <w:rFonts w:eastAsia="Times New Roman"/>
                <w:color w:val="000000"/>
                <w:sz w:val="16"/>
                <w:szCs w:val="16"/>
                <w:lang w:eastAsia="en-GB"/>
              </w:rPr>
            </w:pPr>
          </w:p>
        </w:tc>
        <w:tc>
          <w:tcPr>
            <w:tcW w:w="4938" w:type="pct"/>
            <w:gridSpan w:val="26"/>
            <w:tcBorders>
              <w:top w:val="nil"/>
              <w:left w:val="single" w:sz="4" w:space="0" w:color="auto"/>
              <w:bottom w:val="single" w:sz="4" w:space="0" w:color="auto"/>
              <w:right w:val="single" w:sz="4" w:space="0" w:color="000000"/>
            </w:tcBorders>
            <w:shd w:val="clear" w:color="auto" w:fill="auto"/>
            <w:noWrap/>
            <w:vAlign w:val="bottom"/>
            <w:hideMark/>
          </w:tcPr>
          <w:p w14:paraId="65915D58" w14:textId="77777777" w:rsidR="00A022DF" w:rsidRPr="00E87E42" w:rsidRDefault="00A022DF" w:rsidP="00A022DF">
            <w:pPr>
              <w:spacing w:after="0" w:line="240" w:lineRule="auto"/>
              <w:jc w:val="center"/>
              <w:rPr>
                <w:rFonts w:eastAsia="Times New Roman"/>
                <w:b/>
                <w:bCs/>
                <w:color w:val="000000"/>
                <w:sz w:val="16"/>
                <w:szCs w:val="16"/>
                <w:u w:val="single"/>
                <w:lang w:eastAsia="en-GB"/>
              </w:rPr>
            </w:pPr>
            <w:r w:rsidRPr="00E87E42">
              <w:rPr>
                <w:rFonts w:eastAsia="Times New Roman"/>
                <w:b/>
                <w:bCs/>
                <w:color w:val="000000"/>
                <w:sz w:val="16"/>
                <w:szCs w:val="16"/>
                <w:u w:val="single"/>
                <w:lang w:eastAsia="en-GB"/>
              </w:rPr>
              <w:t xml:space="preserve">No Sprinklers - Area damage </w:t>
            </w:r>
            <w:r w:rsidRPr="00E87E42">
              <w:rPr>
                <w:rFonts w:eastAsia="Times New Roman"/>
                <w:b/>
                <w:color w:val="000000"/>
                <w:sz w:val="16"/>
                <w:szCs w:val="16"/>
                <w:u w:val="single"/>
                <w:lang w:eastAsia="en-GB"/>
              </w:rPr>
              <w:t>m</w:t>
            </w:r>
            <w:r w:rsidRPr="00E87E42">
              <w:rPr>
                <w:rFonts w:eastAsia="Times New Roman"/>
                <w:b/>
                <w:color w:val="000000"/>
                <w:sz w:val="16"/>
                <w:szCs w:val="16"/>
                <w:u w:val="single"/>
                <w:vertAlign w:val="superscript"/>
                <w:lang w:eastAsia="en-GB"/>
              </w:rPr>
              <w:t>2</w:t>
            </w:r>
          </w:p>
        </w:tc>
      </w:tr>
      <w:tr w:rsidR="00A022DF" w:rsidRPr="00E87E42" w14:paraId="472B6526" w14:textId="77777777" w:rsidTr="005839EF">
        <w:trPr>
          <w:trHeight w:val="227"/>
        </w:trPr>
        <w:tc>
          <w:tcPr>
            <w:tcW w:w="62" w:type="pct"/>
            <w:tcBorders>
              <w:top w:val="nil"/>
              <w:left w:val="nil"/>
              <w:bottom w:val="nil"/>
              <w:right w:val="nil"/>
            </w:tcBorders>
            <w:shd w:val="clear" w:color="auto" w:fill="auto"/>
            <w:noWrap/>
            <w:vAlign w:val="bottom"/>
            <w:hideMark/>
          </w:tcPr>
          <w:p w14:paraId="48D871CC" w14:textId="77777777" w:rsidR="00A022DF" w:rsidRPr="00E87E42" w:rsidRDefault="00A022DF" w:rsidP="00A022DF">
            <w:pPr>
              <w:spacing w:after="0" w:line="240" w:lineRule="auto"/>
              <w:jc w:val="center"/>
              <w:rPr>
                <w:rFonts w:eastAsia="Times New Roman"/>
                <w:b/>
                <w:bCs/>
                <w:color w:val="000000"/>
                <w:sz w:val="16"/>
                <w:szCs w:val="16"/>
                <w:u w:val="single"/>
                <w:lang w:eastAsia="en-GB"/>
              </w:rPr>
            </w:pPr>
          </w:p>
        </w:tc>
        <w:tc>
          <w:tcPr>
            <w:tcW w:w="120" w:type="pct"/>
            <w:vMerge w:val="restart"/>
            <w:tcBorders>
              <w:top w:val="nil"/>
              <w:left w:val="single" w:sz="4" w:space="0" w:color="auto"/>
              <w:bottom w:val="nil"/>
              <w:right w:val="single" w:sz="4" w:space="0" w:color="auto"/>
            </w:tcBorders>
            <w:shd w:val="clear" w:color="auto" w:fill="auto"/>
            <w:noWrap/>
            <w:vAlign w:val="center"/>
            <w:hideMark/>
          </w:tcPr>
          <w:p w14:paraId="3292749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w:t>
            </w:r>
          </w:p>
        </w:tc>
        <w:tc>
          <w:tcPr>
            <w:tcW w:w="875"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37901B73" w14:textId="77777777"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Minor</w:t>
            </w:r>
          </w:p>
        </w:tc>
        <w:tc>
          <w:tcPr>
            <w:tcW w:w="875"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2E79ED02" w14:textId="77777777"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Significantly</w:t>
            </w:r>
          </w:p>
        </w:tc>
        <w:tc>
          <w:tcPr>
            <w:tcW w:w="875"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16864497" w14:textId="77777777"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Heavy</w:t>
            </w:r>
          </w:p>
        </w:tc>
        <w:tc>
          <w:tcPr>
            <w:tcW w:w="905"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380206AF" w14:textId="77777777" w:rsidR="00A022DF" w:rsidRPr="00E87E42" w:rsidRDefault="00A022DF" w:rsidP="00A022DF">
            <w:pPr>
              <w:spacing w:after="0" w:line="240" w:lineRule="auto"/>
              <w:jc w:val="center"/>
              <w:rPr>
                <w:rFonts w:eastAsia="Times New Roman"/>
                <w:i/>
                <w:iCs/>
                <w:color w:val="000000"/>
                <w:sz w:val="16"/>
                <w:szCs w:val="16"/>
                <w:lang w:eastAsia="en-GB"/>
              </w:rPr>
            </w:pPr>
            <w:r w:rsidRPr="00E87E42">
              <w:rPr>
                <w:rFonts w:eastAsia="Times New Roman"/>
                <w:i/>
                <w:iCs/>
                <w:color w:val="000000"/>
                <w:sz w:val="16"/>
                <w:szCs w:val="16"/>
                <w:lang w:eastAsia="en-GB"/>
              </w:rPr>
              <w:t>Extreme</w:t>
            </w:r>
          </w:p>
        </w:tc>
        <w:tc>
          <w:tcPr>
            <w:tcW w:w="375" w:type="pct"/>
            <w:vMerge w:val="restart"/>
            <w:tcBorders>
              <w:top w:val="nil"/>
              <w:left w:val="single" w:sz="4" w:space="0" w:color="auto"/>
              <w:bottom w:val="nil"/>
              <w:right w:val="single" w:sz="4" w:space="0" w:color="auto"/>
            </w:tcBorders>
            <w:shd w:val="clear" w:color="auto" w:fill="auto"/>
            <w:noWrap/>
            <w:vAlign w:val="center"/>
            <w:hideMark/>
          </w:tcPr>
          <w:p w14:paraId="40C73965" w14:textId="77777777" w:rsidR="00A022DF" w:rsidRPr="00E87E42" w:rsidRDefault="00A022DF" w:rsidP="00A022D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 xml:space="preserve">Weighted area </w:t>
            </w:r>
          </w:p>
          <w:p w14:paraId="35F1BF05" w14:textId="77777777" w:rsidR="00A022DF" w:rsidRPr="00E87E42" w:rsidRDefault="00A022DF" w:rsidP="00A022DF">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damage</w:t>
            </w:r>
          </w:p>
          <w:p w14:paraId="1639E8C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456" w:type="pct"/>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46A4CCF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5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B5857C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F+U</w:t>
            </w:r>
          </w:p>
        </w:tc>
      </w:tr>
      <w:tr w:rsidR="00A022DF" w:rsidRPr="00E87E42" w14:paraId="01EFC548" w14:textId="77777777" w:rsidTr="005839EF">
        <w:trPr>
          <w:trHeight w:val="227"/>
        </w:trPr>
        <w:tc>
          <w:tcPr>
            <w:tcW w:w="62" w:type="pct"/>
            <w:tcBorders>
              <w:top w:val="nil"/>
              <w:left w:val="nil"/>
              <w:bottom w:val="nil"/>
              <w:right w:val="nil"/>
            </w:tcBorders>
            <w:shd w:val="clear" w:color="auto" w:fill="auto"/>
            <w:noWrap/>
            <w:vAlign w:val="bottom"/>
            <w:hideMark/>
          </w:tcPr>
          <w:p w14:paraId="66D43B11" w14:textId="77777777" w:rsidR="00A022DF" w:rsidRPr="00E87E42" w:rsidRDefault="00A022DF" w:rsidP="00A022DF">
            <w:pPr>
              <w:spacing w:after="0" w:line="240" w:lineRule="auto"/>
              <w:jc w:val="center"/>
              <w:rPr>
                <w:rFonts w:eastAsia="Times New Roman"/>
                <w:color w:val="000000"/>
                <w:sz w:val="16"/>
                <w:szCs w:val="16"/>
                <w:lang w:eastAsia="en-GB"/>
              </w:rPr>
            </w:pPr>
          </w:p>
        </w:tc>
        <w:tc>
          <w:tcPr>
            <w:tcW w:w="120" w:type="pct"/>
            <w:vMerge/>
            <w:tcBorders>
              <w:top w:val="nil"/>
              <w:left w:val="single" w:sz="4" w:space="0" w:color="auto"/>
              <w:bottom w:val="nil"/>
              <w:right w:val="single" w:sz="4" w:space="0" w:color="auto"/>
            </w:tcBorders>
            <w:vAlign w:val="center"/>
            <w:hideMark/>
          </w:tcPr>
          <w:p w14:paraId="76EAFA53"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20" w:type="pct"/>
            <w:vMerge w:val="restart"/>
            <w:tcBorders>
              <w:top w:val="nil"/>
              <w:left w:val="single" w:sz="4" w:space="0" w:color="auto"/>
              <w:bottom w:val="nil"/>
              <w:right w:val="nil"/>
            </w:tcBorders>
            <w:shd w:val="clear" w:color="auto" w:fill="auto"/>
            <w:noWrap/>
            <w:vAlign w:val="center"/>
            <w:hideMark/>
          </w:tcPr>
          <w:p w14:paraId="2F924BB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6FBE9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64" w:type="pct"/>
            <w:vMerge w:val="restart"/>
            <w:tcBorders>
              <w:top w:val="nil"/>
              <w:left w:val="single" w:sz="4" w:space="0" w:color="auto"/>
              <w:bottom w:val="nil"/>
              <w:right w:val="single" w:sz="4" w:space="0" w:color="auto"/>
            </w:tcBorders>
            <w:shd w:val="clear" w:color="auto" w:fill="auto"/>
            <w:noWrap/>
            <w:vAlign w:val="center"/>
            <w:hideMark/>
          </w:tcPr>
          <w:p w14:paraId="4BEE89A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1923C8B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5" w:type="pct"/>
            <w:vMerge w:val="restart"/>
            <w:tcBorders>
              <w:top w:val="nil"/>
              <w:left w:val="single" w:sz="4" w:space="0" w:color="auto"/>
              <w:bottom w:val="nil"/>
              <w:right w:val="single" w:sz="4" w:space="0" w:color="auto"/>
            </w:tcBorders>
            <w:shd w:val="clear" w:color="auto" w:fill="auto"/>
            <w:noWrap/>
            <w:vAlign w:val="center"/>
            <w:hideMark/>
          </w:tcPr>
          <w:p w14:paraId="0CD8411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5F46E28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91" w:type="pct"/>
            <w:vMerge w:val="restart"/>
            <w:tcBorders>
              <w:top w:val="nil"/>
              <w:left w:val="single" w:sz="4" w:space="0" w:color="auto"/>
              <w:bottom w:val="nil"/>
              <w:right w:val="single" w:sz="4" w:space="0" w:color="auto"/>
            </w:tcBorders>
            <w:shd w:val="clear" w:color="auto" w:fill="auto"/>
            <w:noWrap/>
            <w:vAlign w:val="center"/>
            <w:hideMark/>
          </w:tcPr>
          <w:p w14:paraId="3D6E467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6"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4A91234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93" w:type="pct"/>
            <w:vMerge w:val="restart"/>
            <w:tcBorders>
              <w:top w:val="nil"/>
              <w:left w:val="single" w:sz="4" w:space="0" w:color="auto"/>
              <w:bottom w:val="nil"/>
              <w:right w:val="single" w:sz="4" w:space="0" w:color="auto"/>
            </w:tcBorders>
            <w:shd w:val="clear" w:color="auto" w:fill="auto"/>
            <w:noWrap/>
            <w:vAlign w:val="center"/>
            <w:hideMark/>
          </w:tcPr>
          <w:p w14:paraId="3D027C6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236A9A8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5" w:type="pct"/>
            <w:vMerge w:val="restart"/>
            <w:tcBorders>
              <w:top w:val="nil"/>
              <w:left w:val="single" w:sz="4" w:space="0" w:color="auto"/>
              <w:bottom w:val="nil"/>
              <w:right w:val="single" w:sz="4" w:space="0" w:color="auto"/>
            </w:tcBorders>
            <w:shd w:val="clear" w:color="auto" w:fill="auto"/>
            <w:noWrap/>
            <w:vAlign w:val="center"/>
            <w:hideMark/>
          </w:tcPr>
          <w:p w14:paraId="4BB758E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53DB702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91" w:type="pct"/>
            <w:vMerge w:val="restart"/>
            <w:tcBorders>
              <w:top w:val="nil"/>
              <w:left w:val="single" w:sz="4" w:space="0" w:color="auto"/>
              <w:bottom w:val="nil"/>
              <w:right w:val="single" w:sz="4" w:space="0" w:color="auto"/>
            </w:tcBorders>
            <w:shd w:val="clear" w:color="auto" w:fill="auto"/>
            <w:noWrap/>
            <w:vAlign w:val="center"/>
            <w:hideMark/>
          </w:tcPr>
          <w:p w14:paraId="246ABC9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6"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DD1FC0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93" w:type="pct"/>
            <w:vMerge w:val="restart"/>
            <w:tcBorders>
              <w:top w:val="nil"/>
              <w:left w:val="single" w:sz="4" w:space="0" w:color="auto"/>
              <w:bottom w:val="nil"/>
              <w:right w:val="single" w:sz="4" w:space="0" w:color="auto"/>
            </w:tcBorders>
            <w:shd w:val="clear" w:color="auto" w:fill="auto"/>
            <w:noWrap/>
            <w:vAlign w:val="center"/>
            <w:hideMark/>
          </w:tcPr>
          <w:p w14:paraId="6BBF104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1BDF7AC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5" w:type="pct"/>
            <w:vMerge w:val="restart"/>
            <w:tcBorders>
              <w:top w:val="nil"/>
              <w:left w:val="single" w:sz="4" w:space="0" w:color="auto"/>
              <w:bottom w:val="nil"/>
              <w:right w:val="single" w:sz="4" w:space="0" w:color="auto"/>
            </w:tcBorders>
            <w:shd w:val="clear" w:color="auto" w:fill="auto"/>
            <w:noWrap/>
            <w:vAlign w:val="center"/>
            <w:hideMark/>
          </w:tcPr>
          <w:p w14:paraId="67763D8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3E23029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20" w:type="pct"/>
            <w:vMerge w:val="restart"/>
            <w:tcBorders>
              <w:top w:val="nil"/>
              <w:left w:val="single" w:sz="4" w:space="0" w:color="auto"/>
              <w:bottom w:val="nil"/>
              <w:right w:val="single" w:sz="4" w:space="0" w:color="auto"/>
            </w:tcBorders>
            <w:shd w:val="clear" w:color="auto" w:fill="auto"/>
            <w:noWrap/>
            <w:vAlign w:val="center"/>
            <w:hideMark/>
          </w:tcPr>
          <w:p w14:paraId="60281F1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F</w:t>
            </w:r>
          </w:p>
        </w:tc>
        <w:tc>
          <w:tcPr>
            <w:tcW w:w="426" w:type="pct"/>
            <w:gridSpan w:val="2"/>
            <w:tcBorders>
              <w:top w:val="single" w:sz="4" w:space="0" w:color="auto"/>
              <w:left w:val="nil"/>
              <w:bottom w:val="nil"/>
              <w:right w:val="single" w:sz="4" w:space="0" w:color="000000"/>
            </w:tcBorders>
            <w:shd w:val="clear" w:color="auto" w:fill="auto"/>
            <w:noWrap/>
            <w:vAlign w:val="bottom"/>
            <w:hideMark/>
          </w:tcPr>
          <w:p w14:paraId="7E3CCDC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w:t>
            </w:r>
          </w:p>
        </w:tc>
        <w:tc>
          <w:tcPr>
            <w:tcW w:w="193" w:type="pct"/>
            <w:vMerge w:val="restart"/>
            <w:tcBorders>
              <w:top w:val="nil"/>
              <w:left w:val="single" w:sz="4" w:space="0" w:color="auto"/>
              <w:bottom w:val="nil"/>
              <w:right w:val="single" w:sz="4" w:space="0" w:color="auto"/>
            </w:tcBorders>
            <w:shd w:val="clear" w:color="auto" w:fill="auto"/>
            <w:noWrap/>
            <w:vAlign w:val="center"/>
            <w:hideMark/>
          </w:tcPr>
          <w:p w14:paraId="7DB0309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Av. </w:t>
            </w:r>
          </w:p>
          <w:p w14:paraId="6B464D6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166" w:type="pct"/>
            <w:vMerge w:val="restart"/>
            <w:tcBorders>
              <w:top w:val="nil"/>
              <w:left w:val="single" w:sz="4" w:space="0" w:color="auto"/>
              <w:bottom w:val="nil"/>
              <w:right w:val="single" w:sz="4" w:space="0" w:color="auto"/>
            </w:tcBorders>
            <w:shd w:val="clear" w:color="auto" w:fill="auto"/>
            <w:noWrap/>
            <w:vAlign w:val="center"/>
            <w:hideMark/>
          </w:tcPr>
          <w:p w14:paraId="03145C3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p w14:paraId="3F2142F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m</w:t>
            </w:r>
            <w:r w:rsidRPr="00E87E42">
              <w:rPr>
                <w:rFonts w:eastAsia="Times New Roman"/>
                <w:color w:val="000000"/>
                <w:sz w:val="16"/>
                <w:szCs w:val="16"/>
                <w:vertAlign w:val="superscript"/>
                <w:lang w:eastAsia="en-GB"/>
              </w:rPr>
              <w:t>2</w:t>
            </w:r>
          </w:p>
        </w:tc>
        <w:tc>
          <w:tcPr>
            <w:tcW w:w="375" w:type="pct"/>
            <w:vMerge/>
            <w:tcBorders>
              <w:top w:val="nil"/>
              <w:left w:val="single" w:sz="4" w:space="0" w:color="auto"/>
              <w:bottom w:val="nil"/>
              <w:right w:val="single" w:sz="4" w:space="0" w:color="auto"/>
            </w:tcBorders>
            <w:vAlign w:val="center"/>
            <w:hideMark/>
          </w:tcPr>
          <w:p w14:paraId="7A134ABC"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456" w:type="pct"/>
            <w:gridSpan w:val="2"/>
            <w:vMerge/>
            <w:tcBorders>
              <w:top w:val="single" w:sz="4" w:space="0" w:color="auto"/>
              <w:left w:val="single" w:sz="4" w:space="0" w:color="auto"/>
              <w:bottom w:val="single" w:sz="4" w:space="0" w:color="000000"/>
              <w:right w:val="nil"/>
            </w:tcBorders>
            <w:vAlign w:val="center"/>
            <w:hideMark/>
          </w:tcPr>
          <w:p w14:paraId="5126FDF0"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457" w:type="pct"/>
            <w:gridSpan w:val="2"/>
            <w:vMerge/>
            <w:tcBorders>
              <w:top w:val="single" w:sz="4" w:space="0" w:color="auto"/>
              <w:left w:val="single" w:sz="4" w:space="0" w:color="auto"/>
              <w:bottom w:val="single" w:sz="4" w:space="0" w:color="000000"/>
              <w:right w:val="single" w:sz="4" w:space="0" w:color="000000"/>
            </w:tcBorders>
            <w:vAlign w:val="center"/>
            <w:hideMark/>
          </w:tcPr>
          <w:p w14:paraId="5FE8D2E7" w14:textId="77777777" w:rsidR="00A022DF" w:rsidRPr="00E87E42" w:rsidRDefault="00A022DF" w:rsidP="00A022DF">
            <w:pPr>
              <w:spacing w:after="0" w:line="240" w:lineRule="auto"/>
              <w:jc w:val="left"/>
              <w:rPr>
                <w:rFonts w:eastAsia="Times New Roman"/>
                <w:color w:val="000000"/>
                <w:sz w:val="16"/>
                <w:szCs w:val="16"/>
                <w:lang w:eastAsia="en-GB"/>
              </w:rPr>
            </w:pPr>
          </w:p>
        </w:tc>
      </w:tr>
      <w:tr w:rsidR="00AD472B" w:rsidRPr="00E87E42" w14:paraId="2CC4D191" w14:textId="77777777" w:rsidTr="00A446AC">
        <w:trPr>
          <w:trHeight w:val="227"/>
        </w:trPr>
        <w:tc>
          <w:tcPr>
            <w:tcW w:w="62" w:type="pct"/>
            <w:tcBorders>
              <w:top w:val="nil"/>
              <w:left w:val="nil"/>
              <w:bottom w:val="single" w:sz="4" w:space="0" w:color="auto"/>
              <w:right w:val="single" w:sz="4" w:space="0" w:color="auto"/>
            </w:tcBorders>
            <w:shd w:val="clear" w:color="auto" w:fill="auto"/>
            <w:noWrap/>
            <w:vAlign w:val="bottom"/>
            <w:hideMark/>
          </w:tcPr>
          <w:p w14:paraId="66701B1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w:t>
            </w:r>
          </w:p>
        </w:tc>
        <w:tc>
          <w:tcPr>
            <w:tcW w:w="120" w:type="pct"/>
            <w:vMerge/>
            <w:tcBorders>
              <w:top w:val="nil"/>
              <w:left w:val="single" w:sz="4" w:space="0" w:color="auto"/>
              <w:bottom w:val="nil"/>
              <w:right w:val="single" w:sz="4" w:space="0" w:color="auto"/>
            </w:tcBorders>
            <w:vAlign w:val="center"/>
            <w:hideMark/>
          </w:tcPr>
          <w:p w14:paraId="75CB590E"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20" w:type="pct"/>
            <w:vMerge/>
            <w:tcBorders>
              <w:top w:val="nil"/>
              <w:left w:val="single" w:sz="4" w:space="0" w:color="auto"/>
              <w:bottom w:val="nil"/>
              <w:right w:val="nil"/>
            </w:tcBorders>
            <w:vAlign w:val="center"/>
            <w:hideMark/>
          </w:tcPr>
          <w:p w14:paraId="152464ED"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3" w:type="pct"/>
            <w:tcBorders>
              <w:top w:val="nil"/>
              <w:left w:val="single" w:sz="4" w:space="0" w:color="auto"/>
              <w:bottom w:val="nil"/>
              <w:right w:val="single" w:sz="4" w:space="0" w:color="auto"/>
            </w:tcBorders>
            <w:shd w:val="clear" w:color="auto" w:fill="auto"/>
            <w:noWrap/>
            <w:vAlign w:val="bottom"/>
            <w:hideMark/>
          </w:tcPr>
          <w:p w14:paraId="30408EDF" w14:textId="696F57B1"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3" w:type="pct"/>
            <w:tcBorders>
              <w:top w:val="nil"/>
              <w:left w:val="nil"/>
              <w:bottom w:val="nil"/>
              <w:right w:val="single" w:sz="4" w:space="0" w:color="auto"/>
            </w:tcBorders>
            <w:shd w:val="clear" w:color="auto" w:fill="auto"/>
            <w:noWrap/>
            <w:vAlign w:val="bottom"/>
            <w:hideMark/>
          </w:tcPr>
          <w:p w14:paraId="37B5D262" w14:textId="6F841583"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64" w:type="pct"/>
            <w:vMerge/>
            <w:tcBorders>
              <w:top w:val="nil"/>
              <w:left w:val="single" w:sz="4" w:space="0" w:color="auto"/>
              <w:bottom w:val="nil"/>
              <w:right w:val="single" w:sz="4" w:space="0" w:color="auto"/>
            </w:tcBorders>
            <w:vAlign w:val="center"/>
            <w:hideMark/>
          </w:tcPr>
          <w:p w14:paraId="5554DD7B"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5" w:type="pct"/>
            <w:vMerge/>
            <w:tcBorders>
              <w:top w:val="nil"/>
              <w:left w:val="single" w:sz="4" w:space="0" w:color="auto"/>
              <w:bottom w:val="nil"/>
              <w:right w:val="single" w:sz="4" w:space="0" w:color="auto"/>
            </w:tcBorders>
            <w:vAlign w:val="center"/>
            <w:hideMark/>
          </w:tcPr>
          <w:p w14:paraId="33C19665"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91" w:type="pct"/>
            <w:vMerge/>
            <w:tcBorders>
              <w:top w:val="nil"/>
              <w:left w:val="single" w:sz="4" w:space="0" w:color="auto"/>
              <w:bottom w:val="nil"/>
              <w:right w:val="single" w:sz="4" w:space="0" w:color="auto"/>
            </w:tcBorders>
            <w:vAlign w:val="center"/>
            <w:hideMark/>
          </w:tcPr>
          <w:p w14:paraId="24B36AF3"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3" w:type="pct"/>
            <w:tcBorders>
              <w:top w:val="nil"/>
              <w:left w:val="nil"/>
              <w:bottom w:val="nil"/>
              <w:right w:val="single" w:sz="4" w:space="0" w:color="auto"/>
            </w:tcBorders>
            <w:shd w:val="clear" w:color="auto" w:fill="auto"/>
            <w:noWrap/>
            <w:vAlign w:val="bottom"/>
            <w:hideMark/>
          </w:tcPr>
          <w:p w14:paraId="121A9FFB" w14:textId="393A383A"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3" w:type="pct"/>
            <w:tcBorders>
              <w:top w:val="nil"/>
              <w:left w:val="nil"/>
              <w:bottom w:val="nil"/>
              <w:right w:val="single" w:sz="4" w:space="0" w:color="auto"/>
            </w:tcBorders>
            <w:shd w:val="clear" w:color="auto" w:fill="auto"/>
            <w:noWrap/>
            <w:vAlign w:val="bottom"/>
            <w:hideMark/>
          </w:tcPr>
          <w:p w14:paraId="22782066" w14:textId="098BE9CE"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93" w:type="pct"/>
            <w:vMerge/>
            <w:tcBorders>
              <w:top w:val="nil"/>
              <w:left w:val="single" w:sz="4" w:space="0" w:color="auto"/>
              <w:bottom w:val="nil"/>
              <w:right w:val="single" w:sz="4" w:space="0" w:color="auto"/>
            </w:tcBorders>
            <w:vAlign w:val="center"/>
            <w:hideMark/>
          </w:tcPr>
          <w:p w14:paraId="757FB614"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5" w:type="pct"/>
            <w:vMerge/>
            <w:tcBorders>
              <w:top w:val="nil"/>
              <w:left w:val="single" w:sz="4" w:space="0" w:color="auto"/>
              <w:bottom w:val="nil"/>
              <w:right w:val="single" w:sz="4" w:space="0" w:color="auto"/>
            </w:tcBorders>
            <w:vAlign w:val="center"/>
            <w:hideMark/>
          </w:tcPr>
          <w:p w14:paraId="3F7912FA"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91" w:type="pct"/>
            <w:vMerge/>
            <w:tcBorders>
              <w:top w:val="nil"/>
              <w:left w:val="single" w:sz="4" w:space="0" w:color="auto"/>
              <w:bottom w:val="nil"/>
              <w:right w:val="single" w:sz="4" w:space="0" w:color="auto"/>
            </w:tcBorders>
            <w:vAlign w:val="center"/>
            <w:hideMark/>
          </w:tcPr>
          <w:p w14:paraId="22D9E873"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3" w:type="pct"/>
            <w:tcBorders>
              <w:top w:val="nil"/>
              <w:left w:val="nil"/>
              <w:bottom w:val="nil"/>
              <w:right w:val="single" w:sz="4" w:space="0" w:color="auto"/>
            </w:tcBorders>
            <w:shd w:val="clear" w:color="auto" w:fill="auto"/>
            <w:noWrap/>
            <w:vAlign w:val="bottom"/>
            <w:hideMark/>
          </w:tcPr>
          <w:p w14:paraId="1CB73F46" w14:textId="57954A6B"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3" w:type="pct"/>
            <w:tcBorders>
              <w:top w:val="nil"/>
              <w:left w:val="nil"/>
              <w:bottom w:val="nil"/>
              <w:right w:val="single" w:sz="4" w:space="0" w:color="auto"/>
            </w:tcBorders>
            <w:shd w:val="clear" w:color="auto" w:fill="auto"/>
            <w:noWrap/>
            <w:vAlign w:val="bottom"/>
            <w:hideMark/>
          </w:tcPr>
          <w:p w14:paraId="3D031C73" w14:textId="1554C8C2"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93" w:type="pct"/>
            <w:vMerge/>
            <w:tcBorders>
              <w:top w:val="nil"/>
              <w:left w:val="single" w:sz="4" w:space="0" w:color="auto"/>
              <w:bottom w:val="nil"/>
              <w:right w:val="single" w:sz="4" w:space="0" w:color="auto"/>
            </w:tcBorders>
            <w:vAlign w:val="center"/>
            <w:hideMark/>
          </w:tcPr>
          <w:p w14:paraId="3B672E36"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5" w:type="pct"/>
            <w:vMerge/>
            <w:tcBorders>
              <w:top w:val="nil"/>
              <w:left w:val="single" w:sz="4" w:space="0" w:color="auto"/>
              <w:bottom w:val="nil"/>
              <w:right w:val="single" w:sz="4" w:space="0" w:color="auto"/>
            </w:tcBorders>
            <w:vAlign w:val="center"/>
            <w:hideMark/>
          </w:tcPr>
          <w:p w14:paraId="00649D92"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20" w:type="pct"/>
            <w:vMerge/>
            <w:tcBorders>
              <w:top w:val="nil"/>
              <w:left w:val="single" w:sz="4" w:space="0" w:color="auto"/>
              <w:bottom w:val="nil"/>
              <w:right w:val="single" w:sz="4" w:space="0" w:color="auto"/>
            </w:tcBorders>
            <w:vAlign w:val="center"/>
            <w:hideMark/>
          </w:tcPr>
          <w:p w14:paraId="2EFD9640"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3" w:type="pct"/>
            <w:tcBorders>
              <w:top w:val="single" w:sz="4" w:space="0" w:color="auto"/>
              <w:left w:val="nil"/>
              <w:bottom w:val="nil"/>
              <w:right w:val="single" w:sz="4" w:space="0" w:color="auto"/>
            </w:tcBorders>
            <w:shd w:val="clear" w:color="auto" w:fill="auto"/>
            <w:noWrap/>
            <w:vAlign w:val="bottom"/>
            <w:hideMark/>
          </w:tcPr>
          <w:p w14:paraId="5179CF2C" w14:textId="70A684CE"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S </w:t>
            </w:r>
            <w:r w:rsidRPr="00E87E42">
              <w:rPr>
                <w:rFonts w:ascii="Arial" w:eastAsia="Times New Roman" w:hAnsi="Arial" w:cs="Arial"/>
                <w:color w:val="000000"/>
                <w:sz w:val="16"/>
                <w:szCs w:val="16"/>
                <w:lang w:eastAsia="en-GB"/>
              </w:rPr>
              <w:t>→</w:t>
            </w:r>
          </w:p>
        </w:tc>
        <w:tc>
          <w:tcPr>
            <w:tcW w:w="213" w:type="pct"/>
            <w:tcBorders>
              <w:top w:val="single" w:sz="4" w:space="0" w:color="auto"/>
              <w:left w:val="nil"/>
              <w:bottom w:val="nil"/>
              <w:right w:val="single" w:sz="4" w:space="0" w:color="auto"/>
            </w:tcBorders>
            <w:shd w:val="clear" w:color="auto" w:fill="auto"/>
            <w:noWrap/>
            <w:vAlign w:val="bottom"/>
            <w:hideMark/>
          </w:tcPr>
          <w:p w14:paraId="490D9C82" w14:textId="3F41B3DE"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xml:space="preserve">D </w:t>
            </w:r>
            <w:r w:rsidRPr="00E87E42">
              <w:rPr>
                <w:rFonts w:ascii="Arial" w:eastAsia="Times New Roman" w:hAnsi="Arial" w:cs="Arial"/>
                <w:color w:val="000000"/>
                <w:sz w:val="16"/>
                <w:szCs w:val="16"/>
                <w:lang w:eastAsia="en-GB"/>
              </w:rPr>
              <w:t>↓</w:t>
            </w:r>
          </w:p>
        </w:tc>
        <w:tc>
          <w:tcPr>
            <w:tcW w:w="193" w:type="pct"/>
            <w:vMerge/>
            <w:tcBorders>
              <w:top w:val="nil"/>
              <w:left w:val="single" w:sz="4" w:space="0" w:color="auto"/>
              <w:bottom w:val="nil"/>
              <w:right w:val="single" w:sz="4" w:space="0" w:color="auto"/>
            </w:tcBorders>
            <w:vAlign w:val="center"/>
            <w:hideMark/>
          </w:tcPr>
          <w:p w14:paraId="2A39F2AE"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166" w:type="pct"/>
            <w:vMerge/>
            <w:tcBorders>
              <w:top w:val="nil"/>
              <w:left w:val="single" w:sz="4" w:space="0" w:color="auto"/>
              <w:bottom w:val="nil"/>
              <w:right w:val="single" w:sz="4" w:space="0" w:color="auto"/>
            </w:tcBorders>
            <w:vAlign w:val="center"/>
            <w:hideMark/>
          </w:tcPr>
          <w:p w14:paraId="0C1FD3AF"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375" w:type="pct"/>
            <w:vMerge/>
            <w:tcBorders>
              <w:top w:val="nil"/>
              <w:left w:val="single" w:sz="4" w:space="0" w:color="auto"/>
              <w:bottom w:val="nil"/>
              <w:right w:val="single" w:sz="4" w:space="0" w:color="auto"/>
            </w:tcBorders>
            <w:vAlign w:val="center"/>
            <w:hideMark/>
          </w:tcPr>
          <w:p w14:paraId="3C088537" w14:textId="77777777" w:rsidR="00A022DF" w:rsidRPr="00E87E42" w:rsidRDefault="00A022DF" w:rsidP="00A022DF">
            <w:pPr>
              <w:spacing w:after="0" w:line="240" w:lineRule="auto"/>
              <w:jc w:val="left"/>
              <w:rPr>
                <w:rFonts w:eastAsia="Times New Roman"/>
                <w:color w:val="000000"/>
                <w:sz w:val="16"/>
                <w:szCs w:val="16"/>
                <w:lang w:eastAsia="en-GB"/>
              </w:rPr>
            </w:pPr>
          </w:p>
        </w:tc>
        <w:tc>
          <w:tcPr>
            <w:tcW w:w="213" w:type="pct"/>
            <w:tcBorders>
              <w:top w:val="nil"/>
              <w:left w:val="nil"/>
              <w:bottom w:val="nil"/>
              <w:right w:val="nil"/>
            </w:tcBorders>
            <w:shd w:val="clear" w:color="auto" w:fill="auto"/>
            <w:noWrap/>
            <w:vAlign w:val="bottom"/>
            <w:hideMark/>
          </w:tcPr>
          <w:p w14:paraId="2DEB620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3" w:type="pct"/>
            <w:tcBorders>
              <w:top w:val="nil"/>
              <w:left w:val="single" w:sz="4" w:space="0" w:color="auto"/>
              <w:bottom w:val="nil"/>
              <w:right w:val="single" w:sz="4" w:space="0" w:color="auto"/>
            </w:tcBorders>
            <w:shd w:val="clear" w:color="auto" w:fill="auto"/>
            <w:noWrap/>
            <w:vAlign w:val="bottom"/>
            <w:hideMark/>
          </w:tcPr>
          <w:p w14:paraId="3A1B7DB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c>
          <w:tcPr>
            <w:tcW w:w="213" w:type="pct"/>
            <w:tcBorders>
              <w:top w:val="nil"/>
              <w:left w:val="nil"/>
              <w:bottom w:val="nil"/>
              <w:right w:val="nil"/>
            </w:tcBorders>
            <w:shd w:val="clear" w:color="auto" w:fill="auto"/>
            <w:noWrap/>
            <w:vAlign w:val="bottom"/>
            <w:hideMark/>
          </w:tcPr>
          <w:p w14:paraId="4BB33FB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w:t>
            </w:r>
          </w:p>
        </w:tc>
        <w:tc>
          <w:tcPr>
            <w:tcW w:w="244" w:type="pct"/>
            <w:tcBorders>
              <w:top w:val="nil"/>
              <w:left w:val="single" w:sz="4" w:space="0" w:color="auto"/>
              <w:bottom w:val="nil"/>
              <w:right w:val="single" w:sz="4" w:space="0" w:color="auto"/>
            </w:tcBorders>
            <w:shd w:val="clear" w:color="auto" w:fill="auto"/>
            <w:noWrap/>
            <w:vAlign w:val="bottom"/>
            <w:hideMark/>
          </w:tcPr>
          <w:p w14:paraId="369FD54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Cum</w:t>
            </w:r>
          </w:p>
        </w:tc>
      </w:tr>
      <w:tr w:rsidR="00A022DF" w:rsidRPr="00E87E42" w14:paraId="13B27F6A" w14:textId="77777777" w:rsidTr="005839EF">
        <w:trPr>
          <w:trHeight w:val="227"/>
        </w:trPr>
        <w:tc>
          <w:tcPr>
            <w:tcW w:w="62" w:type="pct"/>
            <w:tcBorders>
              <w:top w:val="nil"/>
              <w:left w:val="single" w:sz="4" w:space="0" w:color="auto"/>
              <w:bottom w:val="single" w:sz="4" w:space="0" w:color="auto"/>
              <w:right w:val="nil"/>
            </w:tcBorders>
            <w:shd w:val="clear" w:color="auto" w:fill="auto"/>
            <w:noWrap/>
            <w:vAlign w:val="bottom"/>
            <w:hideMark/>
          </w:tcPr>
          <w:p w14:paraId="15A86EE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120" w:type="pct"/>
            <w:tcBorders>
              <w:top w:val="single" w:sz="4" w:space="0" w:color="auto"/>
              <w:left w:val="single" w:sz="4" w:space="0" w:color="auto"/>
              <w:bottom w:val="single" w:sz="4" w:space="0" w:color="808080"/>
              <w:right w:val="single" w:sz="4" w:space="0" w:color="auto"/>
            </w:tcBorders>
            <w:shd w:val="clear" w:color="auto" w:fill="auto"/>
            <w:noWrap/>
            <w:vAlign w:val="bottom"/>
            <w:hideMark/>
          </w:tcPr>
          <w:p w14:paraId="79B496B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221</w:t>
            </w:r>
          </w:p>
        </w:tc>
        <w:tc>
          <w:tcPr>
            <w:tcW w:w="120" w:type="pct"/>
            <w:tcBorders>
              <w:top w:val="single" w:sz="4" w:space="0" w:color="auto"/>
              <w:left w:val="nil"/>
              <w:bottom w:val="single" w:sz="4" w:space="0" w:color="808080"/>
              <w:right w:val="single" w:sz="4" w:space="0" w:color="808080"/>
            </w:tcBorders>
            <w:shd w:val="clear" w:color="auto" w:fill="auto"/>
            <w:noWrap/>
            <w:vAlign w:val="bottom"/>
            <w:hideMark/>
          </w:tcPr>
          <w:p w14:paraId="20061CA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151</w:t>
            </w:r>
          </w:p>
        </w:tc>
        <w:tc>
          <w:tcPr>
            <w:tcW w:w="213" w:type="pct"/>
            <w:tcBorders>
              <w:top w:val="single" w:sz="4" w:space="0" w:color="auto"/>
              <w:left w:val="nil"/>
              <w:bottom w:val="single" w:sz="4" w:space="0" w:color="808080"/>
              <w:right w:val="single" w:sz="4" w:space="0" w:color="808080"/>
            </w:tcBorders>
            <w:shd w:val="clear" w:color="auto" w:fill="auto"/>
            <w:noWrap/>
            <w:vAlign w:val="bottom"/>
            <w:hideMark/>
          </w:tcPr>
          <w:p w14:paraId="258530F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87.79%</w:t>
            </w:r>
          </w:p>
        </w:tc>
        <w:tc>
          <w:tcPr>
            <w:tcW w:w="213" w:type="pct"/>
            <w:tcBorders>
              <w:top w:val="single" w:sz="4" w:space="0" w:color="auto"/>
              <w:left w:val="nil"/>
              <w:bottom w:val="single" w:sz="4" w:space="0" w:color="808080"/>
              <w:right w:val="single" w:sz="4" w:space="0" w:color="808080"/>
            </w:tcBorders>
            <w:shd w:val="clear" w:color="auto" w:fill="auto"/>
            <w:noWrap/>
            <w:vAlign w:val="bottom"/>
            <w:hideMark/>
          </w:tcPr>
          <w:p w14:paraId="01B463D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27.66%</w:t>
            </w:r>
          </w:p>
        </w:tc>
        <w:tc>
          <w:tcPr>
            <w:tcW w:w="164" w:type="pct"/>
            <w:tcBorders>
              <w:top w:val="single" w:sz="4" w:space="0" w:color="auto"/>
              <w:left w:val="nil"/>
              <w:bottom w:val="single" w:sz="4" w:space="0" w:color="808080"/>
              <w:right w:val="single" w:sz="4" w:space="0" w:color="808080"/>
            </w:tcBorders>
            <w:shd w:val="clear" w:color="auto" w:fill="auto"/>
            <w:noWrap/>
            <w:vAlign w:val="bottom"/>
            <w:hideMark/>
          </w:tcPr>
          <w:p w14:paraId="0066654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16.79</w:t>
            </w:r>
          </w:p>
        </w:tc>
        <w:tc>
          <w:tcPr>
            <w:tcW w:w="165" w:type="pct"/>
            <w:tcBorders>
              <w:top w:val="single" w:sz="4" w:space="0" w:color="auto"/>
              <w:left w:val="nil"/>
              <w:bottom w:val="single" w:sz="4" w:space="0" w:color="808080"/>
              <w:right w:val="nil"/>
            </w:tcBorders>
            <w:shd w:val="clear" w:color="auto" w:fill="auto"/>
            <w:noWrap/>
            <w:vAlign w:val="bottom"/>
            <w:hideMark/>
          </w:tcPr>
          <w:p w14:paraId="7349180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16.79</w:t>
            </w:r>
          </w:p>
        </w:tc>
        <w:tc>
          <w:tcPr>
            <w:tcW w:w="91" w:type="pct"/>
            <w:tcBorders>
              <w:top w:val="single" w:sz="4" w:space="0" w:color="auto"/>
              <w:left w:val="single" w:sz="4" w:space="0" w:color="auto"/>
              <w:bottom w:val="single" w:sz="4" w:space="0" w:color="808080"/>
              <w:right w:val="single" w:sz="4" w:space="0" w:color="808080"/>
            </w:tcBorders>
            <w:shd w:val="clear" w:color="auto" w:fill="auto"/>
            <w:noWrap/>
            <w:vAlign w:val="bottom"/>
            <w:hideMark/>
          </w:tcPr>
          <w:p w14:paraId="562BF2A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w:t>
            </w:r>
          </w:p>
        </w:tc>
        <w:tc>
          <w:tcPr>
            <w:tcW w:w="213" w:type="pct"/>
            <w:tcBorders>
              <w:top w:val="single" w:sz="4" w:space="0" w:color="auto"/>
              <w:left w:val="nil"/>
              <w:bottom w:val="single" w:sz="4" w:space="0" w:color="808080"/>
              <w:right w:val="single" w:sz="4" w:space="0" w:color="808080"/>
            </w:tcBorders>
            <w:shd w:val="clear" w:color="auto" w:fill="auto"/>
            <w:noWrap/>
            <w:vAlign w:val="bottom"/>
            <w:hideMark/>
          </w:tcPr>
          <w:p w14:paraId="6F097F3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5.81%</w:t>
            </w:r>
          </w:p>
        </w:tc>
        <w:tc>
          <w:tcPr>
            <w:tcW w:w="213" w:type="pct"/>
            <w:tcBorders>
              <w:top w:val="single" w:sz="4" w:space="0" w:color="auto"/>
              <w:left w:val="nil"/>
              <w:bottom w:val="single" w:sz="4" w:space="0" w:color="808080"/>
              <w:right w:val="single" w:sz="4" w:space="0" w:color="808080"/>
            </w:tcBorders>
            <w:shd w:val="clear" w:color="auto" w:fill="auto"/>
            <w:noWrap/>
            <w:vAlign w:val="bottom"/>
            <w:hideMark/>
          </w:tcPr>
          <w:p w14:paraId="5A62F6F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7.25%</w:t>
            </w:r>
          </w:p>
        </w:tc>
        <w:tc>
          <w:tcPr>
            <w:tcW w:w="193" w:type="pct"/>
            <w:tcBorders>
              <w:top w:val="single" w:sz="4" w:space="0" w:color="auto"/>
              <w:left w:val="nil"/>
              <w:bottom w:val="single" w:sz="4" w:space="0" w:color="808080"/>
              <w:right w:val="single" w:sz="4" w:space="0" w:color="808080"/>
            </w:tcBorders>
            <w:shd w:val="clear" w:color="auto" w:fill="auto"/>
            <w:noWrap/>
            <w:vAlign w:val="bottom"/>
            <w:hideMark/>
          </w:tcPr>
          <w:p w14:paraId="21A9376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11.90</w:t>
            </w:r>
          </w:p>
        </w:tc>
        <w:tc>
          <w:tcPr>
            <w:tcW w:w="165" w:type="pct"/>
            <w:tcBorders>
              <w:top w:val="single" w:sz="4" w:space="0" w:color="auto"/>
              <w:left w:val="nil"/>
              <w:bottom w:val="single" w:sz="4" w:space="0" w:color="808080"/>
              <w:right w:val="single" w:sz="4" w:space="0" w:color="auto"/>
            </w:tcBorders>
            <w:shd w:val="clear" w:color="auto" w:fill="auto"/>
            <w:noWrap/>
            <w:vAlign w:val="bottom"/>
            <w:hideMark/>
          </w:tcPr>
          <w:p w14:paraId="73BE28F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3.86</w:t>
            </w:r>
          </w:p>
        </w:tc>
        <w:tc>
          <w:tcPr>
            <w:tcW w:w="91" w:type="pct"/>
            <w:tcBorders>
              <w:top w:val="single" w:sz="4" w:space="0" w:color="auto"/>
              <w:left w:val="nil"/>
              <w:bottom w:val="single" w:sz="4" w:space="0" w:color="808080"/>
              <w:right w:val="single" w:sz="4" w:space="0" w:color="808080"/>
            </w:tcBorders>
            <w:shd w:val="clear" w:color="auto" w:fill="auto"/>
            <w:noWrap/>
            <w:vAlign w:val="bottom"/>
            <w:hideMark/>
          </w:tcPr>
          <w:p w14:paraId="6135F2A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213" w:type="pct"/>
            <w:tcBorders>
              <w:top w:val="single" w:sz="4" w:space="0" w:color="auto"/>
              <w:left w:val="nil"/>
              <w:bottom w:val="single" w:sz="4" w:space="0" w:color="808080"/>
              <w:right w:val="single" w:sz="4" w:space="0" w:color="808080"/>
            </w:tcBorders>
            <w:shd w:val="clear" w:color="auto" w:fill="auto"/>
            <w:noWrap/>
            <w:vAlign w:val="bottom"/>
            <w:hideMark/>
          </w:tcPr>
          <w:p w14:paraId="6DA9EA2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213" w:type="pct"/>
            <w:tcBorders>
              <w:top w:val="single" w:sz="4" w:space="0" w:color="auto"/>
              <w:left w:val="nil"/>
              <w:bottom w:val="single" w:sz="4" w:space="0" w:color="808080"/>
              <w:right w:val="single" w:sz="4" w:space="0" w:color="808080"/>
            </w:tcBorders>
            <w:shd w:val="clear" w:color="auto" w:fill="auto"/>
            <w:noWrap/>
            <w:vAlign w:val="bottom"/>
            <w:hideMark/>
          </w:tcPr>
          <w:p w14:paraId="2A89721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93" w:type="pct"/>
            <w:tcBorders>
              <w:top w:val="single" w:sz="4" w:space="0" w:color="auto"/>
              <w:left w:val="nil"/>
              <w:bottom w:val="single" w:sz="4" w:space="0" w:color="808080"/>
              <w:right w:val="single" w:sz="4" w:space="0" w:color="808080"/>
            </w:tcBorders>
            <w:shd w:val="clear" w:color="auto" w:fill="auto"/>
            <w:noWrap/>
            <w:vAlign w:val="bottom"/>
            <w:hideMark/>
          </w:tcPr>
          <w:p w14:paraId="75EB1A4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65" w:type="pct"/>
            <w:tcBorders>
              <w:top w:val="single" w:sz="4" w:space="0" w:color="auto"/>
              <w:left w:val="nil"/>
              <w:bottom w:val="single" w:sz="4" w:space="0" w:color="808080"/>
              <w:right w:val="nil"/>
            </w:tcBorders>
            <w:shd w:val="clear" w:color="auto" w:fill="auto"/>
            <w:noWrap/>
            <w:vAlign w:val="bottom"/>
            <w:hideMark/>
          </w:tcPr>
          <w:p w14:paraId="575CC10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120" w:type="pct"/>
            <w:tcBorders>
              <w:top w:val="single" w:sz="4" w:space="0" w:color="auto"/>
              <w:left w:val="single" w:sz="4" w:space="0" w:color="auto"/>
              <w:bottom w:val="single" w:sz="4" w:space="0" w:color="808080"/>
              <w:right w:val="single" w:sz="4" w:space="0" w:color="808080"/>
            </w:tcBorders>
            <w:shd w:val="clear" w:color="auto" w:fill="auto"/>
            <w:noWrap/>
            <w:vAlign w:val="bottom"/>
            <w:hideMark/>
          </w:tcPr>
          <w:p w14:paraId="1C67223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w:t>
            </w:r>
          </w:p>
        </w:tc>
        <w:tc>
          <w:tcPr>
            <w:tcW w:w="213" w:type="pct"/>
            <w:tcBorders>
              <w:top w:val="single" w:sz="4" w:space="0" w:color="auto"/>
              <w:left w:val="nil"/>
              <w:bottom w:val="single" w:sz="4" w:space="0" w:color="808080"/>
              <w:right w:val="single" w:sz="4" w:space="0" w:color="808080"/>
            </w:tcBorders>
            <w:shd w:val="clear" w:color="auto" w:fill="auto"/>
            <w:noWrap/>
            <w:vAlign w:val="bottom"/>
            <w:hideMark/>
          </w:tcPr>
          <w:p w14:paraId="3B98293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6.40%</w:t>
            </w:r>
          </w:p>
        </w:tc>
        <w:tc>
          <w:tcPr>
            <w:tcW w:w="213" w:type="pct"/>
            <w:tcBorders>
              <w:top w:val="single" w:sz="4" w:space="0" w:color="auto"/>
              <w:left w:val="nil"/>
              <w:bottom w:val="single" w:sz="4" w:space="0" w:color="808080"/>
              <w:right w:val="single" w:sz="4" w:space="0" w:color="808080"/>
            </w:tcBorders>
            <w:shd w:val="clear" w:color="auto" w:fill="auto"/>
            <w:noWrap/>
            <w:vAlign w:val="bottom"/>
            <w:hideMark/>
          </w:tcPr>
          <w:p w14:paraId="5771F44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5.70%</w:t>
            </w:r>
          </w:p>
        </w:tc>
        <w:tc>
          <w:tcPr>
            <w:tcW w:w="193" w:type="pct"/>
            <w:tcBorders>
              <w:top w:val="single" w:sz="4" w:space="0" w:color="auto"/>
              <w:left w:val="nil"/>
              <w:bottom w:val="single" w:sz="4" w:space="0" w:color="808080"/>
              <w:right w:val="single" w:sz="4" w:space="0" w:color="808080"/>
            </w:tcBorders>
            <w:shd w:val="clear" w:color="auto" w:fill="auto"/>
            <w:noWrap/>
            <w:vAlign w:val="bottom"/>
            <w:hideMark/>
          </w:tcPr>
          <w:p w14:paraId="49B524B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9.07</w:t>
            </w:r>
          </w:p>
        </w:tc>
        <w:tc>
          <w:tcPr>
            <w:tcW w:w="166" w:type="pct"/>
            <w:tcBorders>
              <w:top w:val="single" w:sz="4" w:space="0" w:color="auto"/>
              <w:left w:val="nil"/>
              <w:bottom w:val="single" w:sz="4" w:space="0" w:color="808080"/>
              <w:right w:val="single" w:sz="4" w:space="0" w:color="auto"/>
            </w:tcBorders>
            <w:shd w:val="clear" w:color="auto" w:fill="auto"/>
            <w:noWrap/>
            <w:vAlign w:val="bottom"/>
            <w:hideMark/>
          </w:tcPr>
          <w:p w14:paraId="454DF03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1.24</w:t>
            </w:r>
          </w:p>
        </w:tc>
        <w:tc>
          <w:tcPr>
            <w:tcW w:w="375" w:type="pct"/>
            <w:tcBorders>
              <w:top w:val="single" w:sz="4" w:space="0" w:color="auto"/>
              <w:left w:val="nil"/>
              <w:bottom w:val="single" w:sz="4" w:space="0" w:color="808080"/>
              <w:right w:val="single" w:sz="4" w:space="0" w:color="auto"/>
            </w:tcBorders>
            <w:shd w:val="clear" w:color="auto" w:fill="auto"/>
            <w:noWrap/>
            <w:vAlign w:val="bottom"/>
            <w:hideMark/>
          </w:tcPr>
          <w:p w14:paraId="5A05849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16.01</w:t>
            </w:r>
          </w:p>
        </w:tc>
        <w:tc>
          <w:tcPr>
            <w:tcW w:w="213" w:type="pct"/>
            <w:tcBorders>
              <w:top w:val="single" w:sz="4" w:space="0" w:color="auto"/>
              <w:left w:val="nil"/>
              <w:bottom w:val="single" w:sz="4" w:space="0" w:color="808080"/>
              <w:right w:val="single" w:sz="4" w:space="0" w:color="808080"/>
            </w:tcBorders>
            <w:shd w:val="clear" w:color="auto" w:fill="auto"/>
            <w:noWrap/>
            <w:vAlign w:val="bottom"/>
            <w:hideMark/>
          </w:tcPr>
          <w:p w14:paraId="20BC4C1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17.53%</w:t>
            </w:r>
          </w:p>
        </w:tc>
        <w:tc>
          <w:tcPr>
            <w:tcW w:w="243" w:type="pct"/>
            <w:tcBorders>
              <w:top w:val="single" w:sz="4" w:space="0" w:color="auto"/>
              <w:left w:val="nil"/>
              <w:bottom w:val="single" w:sz="4" w:space="0" w:color="808080"/>
              <w:right w:val="single" w:sz="4" w:space="0" w:color="808080"/>
            </w:tcBorders>
            <w:shd w:val="clear" w:color="auto" w:fill="auto"/>
            <w:noWrap/>
            <w:vAlign w:val="bottom"/>
            <w:hideMark/>
          </w:tcPr>
          <w:p w14:paraId="72BF701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17.53%</w:t>
            </w:r>
          </w:p>
        </w:tc>
        <w:tc>
          <w:tcPr>
            <w:tcW w:w="213" w:type="pct"/>
            <w:tcBorders>
              <w:top w:val="single" w:sz="4" w:space="0" w:color="auto"/>
              <w:left w:val="nil"/>
              <w:bottom w:val="single" w:sz="4" w:space="0" w:color="808080"/>
              <w:right w:val="single" w:sz="4" w:space="0" w:color="808080"/>
            </w:tcBorders>
            <w:shd w:val="clear" w:color="auto" w:fill="auto"/>
            <w:noWrap/>
            <w:vAlign w:val="bottom"/>
            <w:hideMark/>
          </w:tcPr>
          <w:p w14:paraId="353BC72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24.07%</w:t>
            </w:r>
          </w:p>
        </w:tc>
        <w:tc>
          <w:tcPr>
            <w:tcW w:w="244" w:type="pct"/>
            <w:tcBorders>
              <w:top w:val="single" w:sz="4" w:space="0" w:color="auto"/>
              <w:left w:val="nil"/>
              <w:bottom w:val="single" w:sz="4" w:space="0" w:color="808080"/>
              <w:right w:val="single" w:sz="4" w:space="0" w:color="auto"/>
            </w:tcBorders>
            <w:shd w:val="clear" w:color="auto" w:fill="auto"/>
            <w:noWrap/>
            <w:vAlign w:val="bottom"/>
            <w:hideMark/>
          </w:tcPr>
          <w:p w14:paraId="5153B77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24.07%</w:t>
            </w:r>
          </w:p>
        </w:tc>
      </w:tr>
      <w:tr w:rsidR="00A022DF" w:rsidRPr="00E87E42" w14:paraId="7210A4F0" w14:textId="77777777" w:rsidTr="005839EF">
        <w:trPr>
          <w:trHeight w:val="227"/>
        </w:trPr>
        <w:tc>
          <w:tcPr>
            <w:tcW w:w="62" w:type="pct"/>
            <w:tcBorders>
              <w:top w:val="nil"/>
              <w:left w:val="single" w:sz="4" w:space="0" w:color="auto"/>
              <w:bottom w:val="single" w:sz="4" w:space="0" w:color="auto"/>
              <w:right w:val="nil"/>
            </w:tcBorders>
            <w:shd w:val="clear" w:color="auto" w:fill="auto"/>
            <w:noWrap/>
            <w:vAlign w:val="bottom"/>
            <w:hideMark/>
          </w:tcPr>
          <w:p w14:paraId="41CED2E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120" w:type="pct"/>
            <w:tcBorders>
              <w:top w:val="nil"/>
              <w:left w:val="single" w:sz="4" w:space="0" w:color="auto"/>
              <w:bottom w:val="single" w:sz="4" w:space="0" w:color="808080"/>
              <w:right w:val="single" w:sz="4" w:space="0" w:color="auto"/>
            </w:tcBorders>
            <w:shd w:val="clear" w:color="auto" w:fill="auto"/>
            <w:noWrap/>
            <w:vAlign w:val="bottom"/>
            <w:hideMark/>
          </w:tcPr>
          <w:p w14:paraId="367E007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337</w:t>
            </w:r>
          </w:p>
        </w:tc>
        <w:tc>
          <w:tcPr>
            <w:tcW w:w="120" w:type="pct"/>
            <w:tcBorders>
              <w:top w:val="nil"/>
              <w:left w:val="nil"/>
              <w:bottom w:val="single" w:sz="4" w:space="0" w:color="808080"/>
              <w:right w:val="single" w:sz="4" w:space="0" w:color="808080"/>
            </w:tcBorders>
            <w:shd w:val="clear" w:color="auto" w:fill="auto"/>
            <w:noWrap/>
            <w:vAlign w:val="bottom"/>
            <w:hideMark/>
          </w:tcPr>
          <w:p w14:paraId="1AE4F4E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230</w:t>
            </w:r>
          </w:p>
        </w:tc>
        <w:tc>
          <w:tcPr>
            <w:tcW w:w="213" w:type="pct"/>
            <w:tcBorders>
              <w:top w:val="nil"/>
              <w:left w:val="nil"/>
              <w:bottom w:val="single" w:sz="4" w:space="0" w:color="808080"/>
              <w:right w:val="single" w:sz="4" w:space="0" w:color="808080"/>
            </w:tcBorders>
            <w:shd w:val="clear" w:color="auto" w:fill="auto"/>
            <w:noWrap/>
            <w:vAlign w:val="bottom"/>
            <w:hideMark/>
          </w:tcPr>
          <w:p w14:paraId="5C941EA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81.56%</w:t>
            </w:r>
          </w:p>
        </w:tc>
        <w:tc>
          <w:tcPr>
            <w:tcW w:w="213" w:type="pct"/>
            <w:tcBorders>
              <w:top w:val="nil"/>
              <w:left w:val="nil"/>
              <w:bottom w:val="single" w:sz="4" w:space="0" w:color="808080"/>
              <w:right w:val="single" w:sz="4" w:space="0" w:color="808080"/>
            </w:tcBorders>
            <w:shd w:val="clear" w:color="auto" w:fill="auto"/>
            <w:noWrap/>
            <w:vAlign w:val="bottom"/>
            <w:hideMark/>
          </w:tcPr>
          <w:p w14:paraId="3969CE1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42.12%</w:t>
            </w:r>
          </w:p>
        </w:tc>
        <w:tc>
          <w:tcPr>
            <w:tcW w:w="164" w:type="pct"/>
            <w:tcBorders>
              <w:top w:val="nil"/>
              <w:left w:val="nil"/>
              <w:bottom w:val="single" w:sz="4" w:space="0" w:color="808080"/>
              <w:right w:val="single" w:sz="4" w:space="0" w:color="808080"/>
            </w:tcBorders>
            <w:shd w:val="clear" w:color="auto" w:fill="auto"/>
            <w:noWrap/>
            <w:vAlign w:val="bottom"/>
            <w:hideMark/>
          </w:tcPr>
          <w:p w14:paraId="2B14B3E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35.34</w:t>
            </w:r>
          </w:p>
        </w:tc>
        <w:tc>
          <w:tcPr>
            <w:tcW w:w="165" w:type="pct"/>
            <w:tcBorders>
              <w:top w:val="nil"/>
              <w:left w:val="nil"/>
              <w:bottom w:val="single" w:sz="4" w:space="0" w:color="808080"/>
              <w:right w:val="nil"/>
            </w:tcBorders>
            <w:shd w:val="clear" w:color="auto" w:fill="auto"/>
            <w:noWrap/>
            <w:vAlign w:val="bottom"/>
            <w:hideMark/>
          </w:tcPr>
          <w:p w14:paraId="54478E4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35.34</w:t>
            </w:r>
          </w:p>
        </w:tc>
        <w:tc>
          <w:tcPr>
            <w:tcW w:w="91" w:type="pct"/>
            <w:tcBorders>
              <w:top w:val="nil"/>
              <w:left w:val="single" w:sz="4" w:space="0" w:color="auto"/>
              <w:bottom w:val="single" w:sz="4" w:space="0" w:color="808080"/>
              <w:right w:val="single" w:sz="4" w:space="0" w:color="808080"/>
            </w:tcBorders>
            <w:shd w:val="clear" w:color="auto" w:fill="auto"/>
            <w:noWrap/>
            <w:vAlign w:val="bottom"/>
            <w:hideMark/>
          </w:tcPr>
          <w:p w14:paraId="582AD57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36</w:t>
            </w:r>
          </w:p>
        </w:tc>
        <w:tc>
          <w:tcPr>
            <w:tcW w:w="213" w:type="pct"/>
            <w:tcBorders>
              <w:top w:val="nil"/>
              <w:left w:val="nil"/>
              <w:bottom w:val="single" w:sz="4" w:space="0" w:color="808080"/>
              <w:right w:val="single" w:sz="4" w:space="0" w:color="808080"/>
            </w:tcBorders>
            <w:shd w:val="clear" w:color="auto" w:fill="auto"/>
            <w:noWrap/>
            <w:vAlign w:val="bottom"/>
            <w:hideMark/>
          </w:tcPr>
          <w:p w14:paraId="7E4C50F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12.77%</w:t>
            </w:r>
          </w:p>
        </w:tc>
        <w:tc>
          <w:tcPr>
            <w:tcW w:w="213" w:type="pct"/>
            <w:tcBorders>
              <w:top w:val="nil"/>
              <w:left w:val="nil"/>
              <w:bottom w:val="single" w:sz="4" w:space="0" w:color="808080"/>
              <w:right w:val="single" w:sz="4" w:space="0" w:color="808080"/>
            </w:tcBorders>
            <w:shd w:val="clear" w:color="auto" w:fill="auto"/>
            <w:noWrap/>
            <w:vAlign w:val="bottom"/>
            <w:hideMark/>
          </w:tcPr>
          <w:p w14:paraId="50CAA43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26.09%</w:t>
            </w:r>
          </w:p>
        </w:tc>
        <w:tc>
          <w:tcPr>
            <w:tcW w:w="193" w:type="pct"/>
            <w:tcBorders>
              <w:top w:val="nil"/>
              <w:left w:val="nil"/>
              <w:bottom w:val="single" w:sz="4" w:space="0" w:color="808080"/>
              <w:right w:val="single" w:sz="4" w:space="0" w:color="808080"/>
            </w:tcBorders>
            <w:shd w:val="clear" w:color="auto" w:fill="auto"/>
            <w:noWrap/>
            <w:vAlign w:val="bottom"/>
            <w:hideMark/>
          </w:tcPr>
          <w:p w14:paraId="090AAA5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29.24</w:t>
            </w:r>
          </w:p>
        </w:tc>
        <w:tc>
          <w:tcPr>
            <w:tcW w:w="165" w:type="pct"/>
            <w:tcBorders>
              <w:top w:val="nil"/>
              <w:left w:val="nil"/>
              <w:bottom w:val="single" w:sz="4" w:space="0" w:color="808080"/>
              <w:right w:val="single" w:sz="4" w:space="0" w:color="auto"/>
            </w:tcBorders>
            <w:shd w:val="clear" w:color="auto" w:fill="auto"/>
            <w:noWrap/>
            <w:vAlign w:val="bottom"/>
            <w:hideMark/>
          </w:tcPr>
          <w:p w14:paraId="7934EB8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9.48</w:t>
            </w:r>
          </w:p>
        </w:tc>
        <w:tc>
          <w:tcPr>
            <w:tcW w:w="91" w:type="pct"/>
            <w:tcBorders>
              <w:top w:val="nil"/>
              <w:left w:val="nil"/>
              <w:bottom w:val="single" w:sz="4" w:space="0" w:color="808080"/>
              <w:right w:val="single" w:sz="4" w:space="0" w:color="808080"/>
            </w:tcBorders>
            <w:shd w:val="clear" w:color="auto" w:fill="auto"/>
            <w:noWrap/>
            <w:vAlign w:val="bottom"/>
            <w:hideMark/>
          </w:tcPr>
          <w:p w14:paraId="7E3D38F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w:t>
            </w:r>
          </w:p>
        </w:tc>
        <w:tc>
          <w:tcPr>
            <w:tcW w:w="213" w:type="pct"/>
            <w:tcBorders>
              <w:top w:val="nil"/>
              <w:left w:val="nil"/>
              <w:bottom w:val="single" w:sz="4" w:space="0" w:color="808080"/>
              <w:right w:val="single" w:sz="4" w:space="0" w:color="808080"/>
            </w:tcBorders>
            <w:shd w:val="clear" w:color="auto" w:fill="auto"/>
            <w:noWrap/>
            <w:vAlign w:val="bottom"/>
            <w:hideMark/>
          </w:tcPr>
          <w:p w14:paraId="0DBE62B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4.26%</w:t>
            </w:r>
          </w:p>
        </w:tc>
        <w:tc>
          <w:tcPr>
            <w:tcW w:w="213" w:type="pct"/>
            <w:tcBorders>
              <w:top w:val="nil"/>
              <w:left w:val="nil"/>
              <w:bottom w:val="single" w:sz="4" w:space="0" w:color="808080"/>
              <w:right w:val="single" w:sz="4" w:space="0" w:color="808080"/>
            </w:tcBorders>
            <w:shd w:val="clear" w:color="auto" w:fill="auto"/>
            <w:noWrap/>
            <w:vAlign w:val="bottom"/>
            <w:hideMark/>
          </w:tcPr>
          <w:p w14:paraId="5BDE1FB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11.54%</w:t>
            </w:r>
          </w:p>
        </w:tc>
        <w:tc>
          <w:tcPr>
            <w:tcW w:w="193" w:type="pct"/>
            <w:tcBorders>
              <w:top w:val="nil"/>
              <w:left w:val="nil"/>
              <w:bottom w:val="single" w:sz="4" w:space="0" w:color="808080"/>
              <w:right w:val="single" w:sz="4" w:space="0" w:color="808080"/>
            </w:tcBorders>
            <w:shd w:val="clear" w:color="auto" w:fill="auto"/>
            <w:noWrap/>
            <w:vAlign w:val="bottom"/>
            <w:hideMark/>
          </w:tcPr>
          <w:p w14:paraId="73734E0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19.37</w:t>
            </w:r>
          </w:p>
        </w:tc>
        <w:tc>
          <w:tcPr>
            <w:tcW w:w="165" w:type="pct"/>
            <w:tcBorders>
              <w:top w:val="nil"/>
              <w:left w:val="nil"/>
              <w:bottom w:val="single" w:sz="4" w:space="0" w:color="808080"/>
              <w:right w:val="nil"/>
            </w:tcBorders>
            <w:shd w:val="clear" w:color="auto" w:fill="auto"/>
            <w:noWrap/>
            <w:vAlign w:val="bottom"/>
            <w:hideMark/>
          </w:tcPr>
          <w:p w14:paraId="298626C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3.75</w:t>
            </w:r>
          </w:p>
        </w:tc>
        <w:tc>
          <w:tcPr>
            <w:tcW w:w="120" w:type="pct"/>
            <w:tcBorders>
              <w:top w:val="nil"/>
              <w:left w:val="single" w:sz="4" w:space="0" w:color="auto"/>
              <w:bottom w:val="single" w:sz="4" w:space="0" w:color="808080"/>
              <w:right w:val="single" w:sz="4" w:space="0" w:color="808080"/>
            </w:tcBorders>
            <w:shd w:val="clear" w:color="auto" w:fill="auto"/>
            <w:noWrap/>
            <w:vAlign w:val="bottom"/>
            <w:hideMark/>
          </w:tcPr>
          <w:p w14:paraId="1A89B8D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213" w:type="pct"/>
            <w:tcBorders>
              <w:top w:val="nil"/>
              <w:left w:val="nil"/>
              <w:bottom w:val="single" w:sz="4" w:space="0" w:color="808080"/>
              <w:right w:val="single" w:sz="4" w:space="0" w:color="808080"/>
            </w:tcBorders>
            <w:shd w:val="clear" w:color="auto" w:fill="auto"/>
            <w:noWrap/>
            <w:vAlign w:val="bottom"/>
            <w:hideMark/>
          </w:tcPr>
          <w:p w14:paraId="308409A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1.42%</w:t>
            </w:r>
          </w:p>
        </w:tc>
        <w:tc>
          <w:tcPr>
            <w:tcW w:w="213" w:type="pct"/>
            <w:tcBorders>
              <w:top w:val="nil"/>
              <w:left w:val="nil"/>
              <w:bottom w:val="single" w:sz="4" w:space="0" w:color="808080"/>
              <w:right w:val="single" w:sz="4" w:space="0" w:color="808080"/>
            </w:tcBorders>
            <w:shd w:val="clear" w:color="auto" w:fill="auto"/>
            <w:noWrap/>
            <w:vAlign w:val="bottom"/>
            <w:hideMark/>
          </w:tcPr>
          <w:p w14:paraId="54745DA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2.07%</w:t>
            </w:r>
          </w:p>
        </w:tc>
        <w:tc>
          <w:tcPr>
            <w:tcW w:w="193" w:type="pct"/>
            <w:tcBorders>
              <w:top w:val="nil"/>
              <w:left w:val="nil"/>
              <w:bottom w:val="single" w:sz="4" w:space="0" w:color="808080"/>
              <w:right w:val="single" w:sz="4" w:space="0" w:color="808080"/>
            </w:tcBorders>
            <w:shd w:val="clear" w:color="auto" w:fill="auto"/>
            <w:noWrap/>
            <w:vAlign w:val="bottom"/>
            <w:hideMark/>
          </w:tcPr>
          <w:p w14:paraId="0F39E32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3.73</w:t>
            </w:r>
          </w:p>
        </w:tc>
        <w:tc>
          <w:tcPr>
            <w:tcW w:w="166" w:type="pct"/>
            <w:tcBorders>
              <w:top w:val="nil"/>
              <w:left w:val="nil"/>
              <w:bottom w:val="single" w:sz="4" w:space="0" w:color="808080"/>
              <w:right w:val="single" w:sz="4" w:space="0" w:color="auto"/>
            </w:tcBorders>
            <w:shd w:val="clear" w:color="auto" w:fill="auto"/>
            <w:noWrap/>
            <w:vAlign w:val="bottom"/>
            <w:hideMark/>
          </w:tcPr>
          <w:p w14:paraId="3ACB2E7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0.51</w:t>
            </w:r>
          </w:p>
        </w:tc>
        <w:tc>
          <w:tcPr>
            <w:tcW w:w="375" w:type="pct"/>
            <w:tcBorders>
              <w:top w:val="nil"/>
              <w:left w:val="nil"/>
              <w:bottom w:val="single" w:sz="4" w:space="0" w:color="808080"/>
              <w:right w:val="single" w:sz="4" w:space="0" w:color="auto"/>
            </w:tcBorders>
            <w:shd w:val="clear" w:color="auto" w:fill="auto"/>
            <w:noWrap/>
            <w:vAlign w:val="bottom"/>
            <w:hideMark/>
          </w:tcPr>
          <w:p w14:paraId="1FC1B3D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33.43</w:t>
            </w:r>
          </w:p>
        </w:tc>
        <w:tc>
          <w:tcPr>
            <w:tcW w:w="213" w:type="pct"/>
            <w:tcBorders>
              <w:top w:val="nil"/>
              <w:left w:val="nil"/>
              <w:bottom w:val="single" w:sz="4" w:space="0" w:color="808080"/>
              <w:right w:val="single" w:sz="4" w:space="0" w:color="808080"/>
            </w:tcBorders>
            <w:shd w:val="clear" w:color="auto" w:fill="auto"/>
            <w:noWrap/>
            <w:vAlign w:val="bottom"/>
            <w:hideMark/>
          </w:tcPr>
          <w:p w14:paraId="651E071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28.75%</w:t>
            </w:r>
          </w:p>
        </w:tc>
        <w:tc>
          <w:tcPr>
            <w:tcW w:w="243" w:type="pct"/>
            <w:tcBorders>
              <w:top w:val="nil"/>
              <w:left w:val="nil"/>
              <w:bottom w:val="single" w:sz="4" w:space="0" w:color="808080"/>
              <w:right w:val="single" w:sz="4" w:space="0" w:color="808080"/>
            </w:tcBorders>
            <w:shd w:val="clear" w:color="auto" w:fill="auto"/>
            <w:noWrap/>
            <w:vAlign w:val="bottom"/>
            <w:hideMark/>
          </w:tcPr>
          <w:p w14:paraId="4C01F29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46.28%</w:t>
            </w:r>
          </w:p>
        </w:tc>
        <w:tc>
          <w:tcPr>
            <w:tcW w:w="213" w:type="pct"/>
            <w:tcBorders>
              <w:top w:val="nil"/>
              <w:left w:val="nil"/>
              <w:bottom w:val="single" w:sz="4" w:space="0" w:color="808080"/>
              <w:right w:val="single" w:sz="4" w:space="0" w:color="808080"/>
            </w:tcBorders>
            <w:shd w:val="clear" w:color="auto" w:fill="auto"/>
            <w:noWrap/>
            <w:vAlign w:val="bottom"/>
            <w:hideMark/>
          </w:tcPr>
          <w:p w14:paraId="01C4556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36.71%</w:t>
            </w:r>
          </w:p>
        </w:tc>
        <w:tc>
          <w:tcPr>
            <w:tcW w:w="244" w:type="pct"/>
            <w:tcBorders>
              <w:top w:val="nil"/>
              <w:left w:val="nil"/>
              <w:bottom w:val="single" w:sz="4" w:space="0" w:color="808080"/>
              <w:right w:val="single" w:sz="4" w:space="0" w:color="auto"/>
            </w:tcBorders>
            <w:shd w:val="clear" w:color="auto" w:fill="auto"/>
            <w:noWrap/>
            <w:vAlign w:val="bottom"/>
            <w:hideMark/>
          </w:tcPr>
          <w:p w14:paraId="640D6CB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60.78%</w:t>
            </w:r>
          </w:p>
        </w:tc>
      </w:tr>
      <w:tr w:rsidR="00A022DF" w:rsidRPr="00E87E42" w14:paraId="12294CD5" w14:textId="77777777" w:rsidTr="005839EF">
        <w:trPr>
          <w:trHeight w:val="227"/>
        </w:trPr>
        <w:tc>
          <w:tcPr>
            <w:tcW w:w="62" w:type="pct"/>
            <w:tcBorders>
              <w:top w:val="nil"/>
              <w:left w:val="single" w:sz="4" w:space="0" w:color="auto"/>
              <w:bottom w:val="single" w:sz="4" w:space="0" w:color="auto"/>
              <w:right w:val="nil"/>
            </w:tcBorders>
            <w:shd w:val="clear" w:color="auto" w:fill="auto"/>
            <w:noWrap/>
            <w:vAlign w:val="bottom"/>
            <w:hideMark/>
          </w:tcPr>
          <w:p w14:paraId="039470B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120" w:type="pct"/>
            <w:tcBorders>
              <w:top w:val="nil"/>
              <w:left w:val="single" w:sz="4" w:space="0" w:color="auto"/>
              <w:bottom w:val="single" w:sz="4" w:space="0" w:color="808080"/>
              <w:right w:val="single" w:sz="4" w:space="0" w:color="auto"/>
            </w:tcBorders>
            <w:shd w:val="clear" w:color="auto" w:fill="auto"/>
            <w:noWrap/>
            <w:vAlign w:val="bottom"/>
            <w:hideMark/>
          </w:tcPr>
          <w:p w14:paraId="70B4FB1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62</w:t>
            </w:r>
          </w:p>
        </w:tc>
        <w:tc>
          <w:tcPr>
            <w:tcW w:w="120" w:type="pct"/>
            <w:tcBorders>
              <w:top w:val="nil"/>
              <w:left w:val="nil"/>
              <w:bottom w:val="single" w:sz="4" w:space="0" w:color="808080"/>
              <w:right w:val="single" w:sz="4" w:space="0" w:color="808080"/>
            </w:tcBorders>
            <w:shd w:val="clear" w:color="auto" w:fill="auto"/>
            <w:noWrap/>
            <w:vAlign w:val="bottom"/>
            <w:hideMark/>
          </w:tcPr>
          <w:p w14:paraId="6A12712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w:t>
            </w:r>
          </w:p>
        </w:tc>
        <w:tc>
          <w:tcPr>
            <w:tcW w:w="213" w:type="pct"/>
            <w:tcBorders>
              <w:top w:val="nil"/>
              <w:left w:val="nil"/>
              <w:bottom w:val="single" w:sz="4" w:space="0" w:color="808080"/>
              <w:right w:val="single" w:sz="4" w:space="0" w:color="808080"/>
            </w:tcBorders>
            <w:shd w:val="clear" w:color="auto" w:fill="auto"/>
            <w:noWrap/>
            <w:vAlign w:val="bottom"/>
            <w:hideMark/>
          </w:tcPr>
          <w:p w14:paraId="608CF66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51.52%</w:t>
            </w:r>
          </w:p>
        </w:tc>
        <w:tc>
          <w:tcPr>
            <w:tcW w:w="213" w:type="pct"/>
            <w:tcBorders>
              <w:top w:val="nil"/>
              <w:left w:val="nil"/>
              <w:bottom w:val="single" w:sz="4" w:space="0" w:color="808080"/>
              <w:right w:val="single" w:sz="4" w:space="0" w:color="808080"/>
            </w:tcBorders>
            <w:shd w:val="clear" w:color="auto" w:fill="auto"/>
            <w:noWrap/>
            <w:vAlign w:val="bottom"/>
            <w:hideMark/>
          </w:tcPr>
          <w:p w14:paraId="1AD5E7E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6.23%</w:t>
            </w:r>
          </w:p>
        </w:tc>
        <w:tc>
          <w:tcPr>
            <w:tcW w:w="164" w:type="pct"/>
            <w:tcBorders>
              <w:top w:val="nil"/>
              <w:left w:val="nil"/>
              <w:bottom w:val="single" w:sz="4" w:space="0" w:color="808080"/>
              <w:right w:val="single" w:sz="4" w:space="0" w:color="808080"/>
            </w:tcBorders>
            <w:shd w:val="clear" w:color="auto" w:fill="auto"/>
            <w:noWrap/>
            <w:vAlign w:val="bottom"/>
            <w:hideMark/>
          </w:tcPr>
          <w:p w14:paraId="1B2F110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49.68</w:t>
            </w:r>
          </w:p>
        </w:tc>
        <w:tc>
          <w:tcPr>
            <w:tcW w:w="165" w:type="pct"/>
            <w:tcBorders>
              <w:top w:val="nil"/>
              <w:left w:val="nil"/>
              <w:bottom w:val="single" w:sz="4" w:space="0" w:color="808080"/>
              <w:right w:val="nil"/>
            </w:tcBorders>
            <w:shd w:val="clear" w:color="auto" w:fill="auto"/>
            <w:noWrap/>
            <w:vAlign w:val="bottom"/>
            <w:hideMark/>
          </w:tcPr>
          <w:p w14:paraId="77AD915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49.68</w:t>
            </w:r>
          </w:p>
        </w:tc>
        <w:tc>
          <w:tcPr>
            <w:tcW w:w="91" w:type="pct"/>
            <w:tcBorders>
              <w:top w:val="nil"/>
              <w:left w:val="single" w:sz="4" w:space="0" w:color="auto"/>
              <w:bottom w:val="single" w:sz="4" w:space="0" w:color="808080"/>
              <w:right w:val="single" w:sz="4" w:space="0" w:color="808080"/>
            </w:tcBorders>
            <w:shd w:val="clear" w:color="auto" w:fill="auto"/>
            <w:noWrap/>
            <w:vAlign w:val="bottom"/>
            <w:hideMark/>
          </w:tcPr>
          <w:p w14:paraId="58AD6EE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w:t>
            </w:r>
          </w:p>
        </w:tc>
        <w:tc>
          <w:tcPr>
            <w:tcW w:w="213" w:type="pct"/>
            <w:tcBorders>
              <w:top w:val="nil"/>
              <w:left w:val="nil"/>
              <w:bottom w:val="single" w:sz="4" w:space="0" w:color="808080"/>
              <w:right w:val="single" w:sz="4" w:space="0" w:color="808080"/>
            </w:tcBorders>
            <w:shd w:val="clear" w:color="auto" w:fill="auto"/>
            <w:noWrap/>
            <w:vAlign w:val="bottom"/>
            <w:hideMark/>
          </w:tcPr>
          <w:p w14:paraId="1083711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31.82%</w:t>
            </w:r>
          </w:p>
        </w:tc>
        <w:tc>
          <w:tcPr>
            <w:tcW w:w="213" w:type="pct"/>
            <w:tcBorders>
              <w:top w:val="nil"/>
              <w:left w:val="nil"/>
              <w:bottom w:val="single" w:sz="4" w:space="0" w:color="808080"/>
              <w:right w:val="single" w:sz="4" w:space="0" w:color="808080"/>
            </w:tcBorders>
            <w:shd w:val="clear" w:color="auto" w:fill="auto"/>
            <w:noWrap/>
            <w:vAlign w:val="bottom"/>
            <w:hideMark/>
          </w:tcPr>
          <w:p w14:paraId="1D96B13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15.22%</w:t>
            </w:r>
          </w:p>
        </w:tc>
        <w:tc>
          <w:tcPr>
            <w:tcW w:w="193" w:type="pct"/>
            <w:tcBorders>
              <w:top w:val="nil"/>
              <w:left w:val="nil"/>
              <w:bottom w:val="single" w:sz="4" w:space="0" w:color="808080"/>
              <w:right w:val="single" w:sz="4" w:space="0" w:color="808080"/>
            </w:tcBorders>
            <w:shd w:val="clear" w:color="auto" w:fill="auto"/>
            <w:noWrap/>
            <w:vAlign w:val="bottom"/>
            <w:hideMark/>
          </w:tcPr>
          <w:p w14:paraId="391A2CE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17.83</w:t>
            </w:r>
          </w:p>
        </w:tc>
        <w:tc>
          <w:tcPr>
            <w:tcW w:w="165" w:type="pct"/>
            <w:tcBorders>
              <w:top w:val="nil"/>
              <w:left w:val="nil"/>
              <w:bottom w:val="single" w:sz="4" w:space="0" w:color="808080"/>
              <w:right w:val="single" w:sz="4" w:space="0" w:color="auto"/>
            </w:tcBorders>
            <w:shd w:val="clear" w:color="auto" w:fill="auto"/>
            <w:noWrap/>
            <w:vAlign w:val="bottom"/>
            <w:hideMark/>
          </w:tcPr>
          <w:p w14:paraId="3C3884A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5.78</w:t>
            </w:r>
          </w:p>
        </w:tc>
        <w:tc>
          <w:tcPr>
            <w:tcW w:w="91" w:type="pct"/>
            <w:tcBorders>
              <w:top w:val="nil"/>
              <w:left w:val="nil"/>
              <w:bottom w:val="single" w:sz="4" w:space="0" w:color="808080"/>
              <w:right w:val="single" w:sz="4" w:space="0" w:color="808080"/>
            </w:tcBorders>
            <w:shd w:val="clear" w:color="auto" w:fill="auto"/>
            <w:noWrap/>
            <w:vAlign w:val="bottom"/>
            <w:hideMark/>
          </w:tcPr>
          <w:p w14:paraId="5F4627D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w:t>
            </w:r>
          </w:p>
        </w:tc>
        <w:tc>
          <w:tcPr>
            <w:tcW w:w="213" w:type="pct"/>
            <w:tcBorders>
              <w:top w:val="nil"/>
              <w:left w:val="nil"/>
              <w:bottom w:val="single" w:sz="4" w:space="0" w:color="808080"/>
              <w:right w:val="single" w:sz="4" w:space="0" w:color="808080"/>
            </w:tcBorders>
            <w:shd w:val="clear" w:color="auto" w:fill="auto"/>
            <w:noWrap/>
            <w:vAlign w:val="bottom"/>
            <w:hideMark/>
          </w:tcPr>
          <w:p w14:paraId="2172C11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9.09%</w:t>
            </w:r>
          </w:p>
        </w:tc>
        <w:tc>
          <w:tcPr>
            <w:tcW w:w="213" w:type="pct"/>
            <w:tcBorders>
              <w:top w:val="nil"/>
              <w:left w:val="nil"/>
              <w:bottom w:val="single" w:sz="4" w:space="0" w:color="808080"/>
              <w:right w:val="single" w:sz="4" w:space="0" w:color="808080"/>
            </w:tcBorders>
            <w:shd w:val="clear" w:color="auto" w:fill="auto"/>
            <w:noWrap/>
            <w:vAlign w:val="bottom"/>
            <w:hideMark/>
          </w:tcPr>
          <w:p w14:paraId="4A66575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5.77%</w:t>
            </w:r>
          </w:p>
        </w:tc>
        <w:tc>
          <w:tcPr>
            <w:tcW w:w="193" w:type="pct"/>
            <w:tcBorders>
              <w:top w:val="nil"/>
              <w:left w:val="nil"/>
              <w:bottom w:val="single" w:sz="4" w:space="0" w:color="808080"/>
              <w:right w:val="single" w:sz="4" w:space="0" w:color="808080"/>
            </w:tcBorders>
            <w:shd w:val="clear" w:color="auto" w:fill="auto"/>
            <w:noWrap/>
            <w:vAlign w:val="bottom"/>
            <w:hideMark/>
          </w:tcPr>
          <w:p w14:paraId="5332539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10.45</w:t>
            </w:r>
          </w:p>
        </w:tc>
        <w:tc>
          <w:tcPr>
            <w:tcW w:w="165" w:type="pct"/>
            <w:tcBorders>
              <w:top w:val="nil"/>
              <w:left w:val="nil"/>
              <w:bottom w:val="single" w:sz="4" w:space="0" w:color="808080"/>
              <w:right w:val="nil"/>
            </w:tcBorders>
            <w:shd w:val="clear" w:color="auto" w:fill="auto"/>
            <w:noWrap/>
            <w:vAlign w:val="bottom"/>
            <w:hideMark/>
          </w:tcPr>
          <w:p w14:paraId="4CBE9D2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2.02</w:t>
            </w:r>
          </w:p>
        </w:tc>
        <w:tc>
          <w:tcPr>
            <w:tcW w:w="120" w:type="pct"/>
            <w:tcBorders>
              <w:top w:val="nil"/>
              <w:left w:val="single" w:sz="4" w:space="0" w:color="auto"/>
              <w:bottom w:val="single" w:sz="4" w:space="0" w:color="808080"/>
              <w:right w:val="single" w:sz="4" w:space="0" w:color="808080"/>
            </w:tcBorders>
            <w:shd w:val="clear" w:color="auto" w:fill="auto"/>
            <w:noWrap/>
            <w:vAlign w:val="bottom"/>
            <w:hideMark/>
          </w:tcPr>
          <w:p w14:paraId="479FC95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213" w:type="pct"/>
            <w:tcBorders>
              <w:top w:val="nil"/>
              <w:left w:val="nil"/>
              <w:bottom w:val="single" w:sz="4" w:space="0" w:color="808080"/>
              <w:right w:val="single" w:sz="4" w:space="0" w:color="808080"/>
            </w:tcBorders>
            <w:shd w:val="clear" w:color="auto" w:fill="auto"/>
            <w:noWrap/>
            <w:vAlign w:val="bottom"/>
            <w:hideMark/>
          </w:tcPr>
          <w:p w14:paraId="57FB14B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7.58%</w:t>
            </w:r>
          </w:p>
        </w:tc>
        <w:tc>
          <w:tcPr>
            <w:tcW w:w="213" w:type="pct"/>
            <w:tcBorders>
              <w:top w:val="nil"/>
              <w:left w:val="nil"/>
              <w:bottom w:val="single" w:sz="4" w:space="0" w:color="808080"/>
              <w:right w:val="single" w:sz="4" w:space="0" w:color="808080"/>
            </w:tcBorders>
            <w:shd w:val="clear" w:color="auto" w:fill="auto"/>
            <w:noWrap/>
            <w:vAlign w:val="bottom"/>
            <w:hideMark/>
          </w:tcPr>
          <w:p w14:paraId="5655DC8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2.59%</w:t>
            </w:r>
          </w:p>
        </w:tc>
        <w:tc>
          <w:tcPr>
            <w:tcW w:w="193" w:type="pct"/>
            <w:tcBorders>
              <w:top w:val="nil"/>
              <w:left w:val="nil"/>
              <w:bottom w:val="single" w:sz="4" w:space="0" w:color="808080"/>
              <w:right w:val="single" w:sz="4" w:space="0" w:color="808080"/>
            </w:tcBorders>
            <w:shd w:val="clear" w:color="auto" w:fill="auto"/>
            <w:noWrap/>
            <w:vAlign w:val="bottom"/>
            <w:hideMark/>
          </w:tcPr>
          <w:p w14:paraId="36FB495E"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7.42</w:t>
            </w:r>
          </w:p>
        </w:tc>
        <w:tc>
          <w:tcPr>
            <w:tcW w:w="166" w:type="pct"/>
            <w:tcBorders>
              <w:top w:val="nil"/>
              <w:left w:val="nil"/>
              <w:bottom w:val="single" w:sz="4" w:space="0" w:color="808080"/>
              <w:right w:val="single" w:sz="4" w:space="0" w:color="auto"/>
            </w:tcBorders>
            <w:shd w:val="clear" w:color="auto" w:fill="auto"/>
            <w:noWrap/>
            <w:vAlign w:val="bottom"/>
            <w:hideMark/>
          </w:tcPr>
          <w:p w14:paraId="613A78C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1.01</w:t>
            </w:r>
          </w:p>
        </w:tc>
        <w:tc>
          <w:tcPr>
            <w:tcW w:w="375" w:type="pct"/>
            <w:tcBorders>
              <w:top w:val="nil"/>
              <w:left w:val="nil"/>
              <w:bottom w:val="single" w:sz="4" w:space="0" w:color="808080"/>
              <w:right w:val="single" w:sz="4" w:space="0" w:color="auto"/>
            </w:tcBorders>
            <w:shd w:val="clear" w:color="auto" w:fill="auto"/>
            <w:noWrap/>
            <w:vAlign w:val="bottom"/>
            <w:hideMark/>
          </w:tcPr>
          <w:p w14:paraId="1B3978F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32.77</w:t>
            </w:r>
          </w:p>
        </w:tc>
        <w:tc>
          <w:tcPr>
            <w:tcW w:w="213" w:type="pct"/>
            <w:tcBorders>
              <w:top w:val="nil"/>
              <w:left w:val="nil"/>
              <w:bottom w:val="single" w:sz="4" w:space="0" w:color="808080"/>
              <w:right w:val="single" w:sz="4" w:space="0" w:color="808080"/>
            </w:tcBorders>
            <w:shd w:val="clear" w:color="auto" w:fill="auto"/>
            <w:noWrap/>
            <w:vAlign w:val="bottom"/>
            <w:hideMark/>
          </w:tcPr>
          <w:p w14:paraId="06E348F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6.73%</w:t>
            </w:r>
          </w:p>
        </w:tc>
        <w:tc>
          <w:tcPr>
            <w:tcW w:w="243" w:type="pct"/>
            <w:tcBorders>
              <w:top w:val="nil"/>
              <w:left w:val="nil"/>
              <w:bottom w:val="single" w:sz="4" w:space="0" w:color="808080"/>
              <w:right w:val="single" w:sz="4" w:space="0" w:color="808080"/>
            </w:tcBorders>
            <w:shd w:val="clear" w:color="auto" w:fill="auto"/>
            <w:noWrap/>
            <w:vAlign w:val="bottom"/>
            <w:hideMark/>
          </w:tcPr>
          <w:p w14:paraId="587226E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53.01%</w:t>
            </w:r>
          </w:p>
        </w:tc>
        <w:tc>
          <w:tcPr>
            <w:tcW w:w="213" w:type="pct"/>
            <w:tcBorders>
              <w:top w:val="nil"/>
              <w:left w:val="nil"/>
              <w:bottom w:val="single" w:sz="4" w:space="0" w:color="808080"/>
              <w:right w:val="single" w:sz="4" w:space="0" w:color="808080"/>
            </w:tcBorders>
            <w:shd w:val="clear" w:color="auto" w:fill="auto"/>
            <w:noWrap/>
            <w:vAlign w:val="bottom"/>
            <w:hideMark/>
          </w:tcPr>
          <w:p w14:paraId="2E4A841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6.75%</w:t>
            </w:r>
          </w:p>
        </w:tc>
        <w:tc>
          <w:tcPr>
            <w:tcW w:w="244" w:type="pct"/>
            <w:tcBorders>
              <w:top w:val="nil"/>
              <w:left w:val="nil"/>
              <w:bottom w:val="single" w:sz="4" w:space="0" w:color="808080"/>
              <w:right w:val="single" w:sz="4" w:space="0" w:color="auto"/>
            </w:tcBorders>
            <w:shd w:val="clear" w:color="auto" w:fill="auto"/>
            <w:noWrap/>
            <w:vAlign w:val="bottom"/>
            <w:hideMark/>
          </w:tcPr>
          <w:p w14:paraId="7BB9637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67.54%</w:t>
            </w:r>
          </w:p>
        </w:tc>
      </w:tr>
      <w:tr w:rsidR="00A022DF" w:rsidRPr="00E87E42" w14:paraId="587CCBFF" w14:textId="77777777" w:rsidTr="005839EF">
        <w:trPr>
          <w:trHeight w:val="227"/>
        </w:trPr>
        <w:tc>
          <w:tcPr>
            <w:tcW w:w="62" w:type="pct"/>
            <w:tcBorders>
              <w:top w:val="nil"/>
              <w:left w:val="single" w:sz="4" w:space="0" w:color="auto"/>
              <w:bottom w:val="single" w:sz="4" w:space="0" w:color="auto"/>
              <w:right w:val="nil"/>
            </w:tcBorders>
            <w:shd w:val="clear" w:color="auto" w:fill="auto"/>
            <w:noWrap/>
            <w:vAlign w:val="bottom"/>
            <w:hideMark/>
          </w:tcPr>
          <w:p w14:paraId="55754C3D"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120" w:type="pct"/>
            <w:tcBorders>
              <w:top w:val="nil"/>
              <w:left w:val="single" w:sz="4" w:space="0" w:color="auto"/>
              <w:bottom w:val="single" w:sz="4" w:space="0" w:color="808080"/>
              <w:right w:val="single" w:sz="4" w:space="0" w:color="auto"/>
            </w:tcBorders>
            <w:shd w:val="clear" w:color="auto" w:fill="auto"/>
            <w:noWrap/>
            <w:vAlign w:val="bottom"/>
            <w:hideMark/>
          </w:tcPr>
          <w:p w14:paraId="0FFA973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254</w:t>
            </w:r>
          </w:p>
        </w:tc>
        <w:tc>
          <w:tcPr>
            <w:tcW w:w="120" w:type="pct"/>
            <w:tcBorders>
              <w:top w:val="nil"/>
              <w:left w:val="nil"/>
              <w:bottom w:val="single" w:sz="4" w:space="0" w:color="808080"/>
              <w:right w:val="single" w:sz="4" w:space="0" w:color="808080"/>
            </w:tcBorders>
            <w:shd w:val="clear" w:color="auto" w:fill="auto"/>
            <w:noWrap/>
            <w:vAlign w:val="bottom"/>
            <w:hideMark/>
          </w:tcPr>
          <w:p w14:paraId="1B88687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124</w:t>
            </w:r>
          </w:p>
        </w:tc>
        <w:tc>
          <w:tcPr>
            <w:tcW w:w="213" w:type="pct"/>
            <w:tcBorders>
              <w:top w:val="nil"/>
              <w:left w:val="nil"/>
              <w:bottom w:val="single" w:sz="4" w:space="0" w:color="808080"/>
              <w:right w:val="single" w:sz="4" w:space="0" w:color="808080"/>
            </w:tcBorders>
            <w:shd w:val="clear" w:color="auto" w:fill="auto"/>
            <w:noWrap/>
            <w:vAlign w:val="bottom"/>
            <w:hideMark/>
          </w:tcPr>
          <w:p w14:paraId="5B1C28E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29.81%</w:t>
            </w:r>
          </w:p>
        </w:tc>
        <w:tc>
          <w:tcPr>
            <w:tcW w:w="213" w:type="pct"/>
            <w:tcBorders>
              <w:top w:val="nil"/>
              <w:left w:val="nil"/>
              <w:bottom w:val="single" w:sz="4" w:space="0" w:color="808080"/>
              <w:right w:val="single" w:sz="4" w:space="0" w:color="808080"/>
            </w:tcBorders>
            <w:shd w:val="clear" w:color="auto" w:fill="auto"/>
            <w:noWrap/>
            <w:vAlign w:val="bottom"/>
            <w:hideMark/>
          </w:tcPr>
          <w:p w14:paraId="625AA61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22.71%</w:t>
            </w:r>
          </w:p>
        </w:tc>
        <w:tc>
          <w:tcPr>
            <w:tcW w:w="164" w:type="pct"/>
            <w:tcBorders>
              <w:top w:val="nil"/>
              <w:left w:val="nil"/>
              <w:bottom w:val="single" w:sz="4" w:space="0" w:color="808080"/>
              <w:right w:val="single" w:sz="4" w:space="0" w:color="808080"/>
            </w:tcBorders>
            <w:shd w:val="clear" w:color="auto" w:fill="auto"/>
            <w:noWrap/>
            <w:vAlign w:val="bottom"/>
            <w:hideMark/>
          </w:tcPr>
          <w:p w14:paraId="4AA2E80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10.52</w:t>
            </w:r>
          </w:p>
        </w:tc>
        <w:tc>
          <w:tcPr>
            <w:tcW w:w="165" w:type="pct"/>
            <w:tcBorders>
              <w:top w:val="nil"/>
              <w:left w:val="nil"/>
              <w:bottom w:val="single" w:sz="4" w:space="0" w:color="808080"/>
              <w:right w:val="nil"/>
            </w:tcBorders>
            <w:shd w:val="clear" w:color="auto" w:fill="auto"/>
            <w:noWrap/>
            <w:vAlign w:val="bottom"/>
            <w:hideMark/>
          </w:tcPr>
          <w:p w14:paraId="66ACDB7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10.52</w:t>
            </w:r>
          </w:p>
        </w:tc>
        <w:tc>
          <w:tcPr>
            <w:tcW w:w="91" w:type="pct"/>
            <w:tcBorders>
              <w:top w:val="nil"/>
              <w:left w:val="single" w:sz="4" w:space="0" w:color="auto"/>
              <w:bottom w:val="single" w:sz="4" w:space="0" w:color="808080"/>
              <w:right w:val="single" w:sz="4" w:space="0" w:color="808080"/>
            </w:tcBorders>
            <w:shd w:val="clear" w:color="auto" w:fill="auto"/>
            <w:noWrap/>
            <w:vAlign w:val="bottom"/>
            <w:hideMark/>
          </w:tcPr>
          <w:p w14:paraId="106C4C8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67</w:t>
            </w:r>
          </w:p>
        </w:tc>
        <w:tc>
          <w:tcPr>
            <w:tcW w:w="213" w:type="pct"/>
            <w:tcBorders>
              <w:top w:val="nil"/>
              <w:left w:val="nil"/>
              <w:bottom w:val="single" w:sz="4" w:space="0" w:color="808080"/>
              <w:right w:val="single" w:sz="4" w:space="0" w:color="808080"/>
            </w:tcBorders>
            <w:shd w:val="clear" w:color="auto" w:fill="auto"/>
            <w:noWrap/>
            <w:vAlign w:val="bottom"/>
            <w:hideMark/>
          </w:tcPr>
          <w:p w14:paraId="25C0D14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16.11%</w:t>
            </w:r>
          </w:p>
        </w:tc>
        <w:tc>
          <w:tcPr>
            <w:tcW w:w="213" w:type="pct"/>
            <w:tcBorders>
              <w:top w:val="nil"/>
              <w:left w:val="nil"/>
              <w:bottom w:val="single" w:sz="4" w:space="0" w:color="808080"/>
              <w:right w:val="single" w:sz="4" w:space="0" w:color="808080"/>
            </w:tcBorders>
            <w:shd w:val="clear" w:color="auto" w:fill="auto"/>
            <w:noWrap/>
            <w:vAlign w:val="bottom"/>
            <w:hideMark/>
          </w:tcPr>
          <w:p w14:paraId="712867E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48.55%</w:t>
            </w:r>
          </w:p>
        </w:tc>
        <w:tc>
          <w:tcPr>
            <w:tcW w:w="193" w:type="pct"/>
            <w:tcBorders>
              <w:top w:val="nil"/>
              <w:left w:val="nil"/>
              <w:bottom w:val="single" w:sz="4" w:space="0" w:color="808080"/>
              <w:right w:val="single" w:sz="4" w:space="0" w:color="808080"/>
            </w:tcBorders>
            <w:shd w:val="clear" w:color="auto" w:fill="auto"/>
            <w:noWrap/>
            <w:vAlign w:val="bottom"/>
            <w:hideMark/>
          </w:tcPr>
          <w:p w14:paraId="3626F91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74.57</w:t>
            </w:r>
          </w:p>
        </w:tc>
        <w:tc>
          <w:tcPr>
            <w:tcW w:w="165" w:type="pct"/>
            <w:tcBorders>
              <w:top w:val="nil"/>
              <w:left w:val="nil"/>
              <w:bottom w:val="single" w:sz="4" w:space="0" w:color="808080"/>
              <w:right w:val="single" w:sz="4" w:space="0" w:color="auto"/>
            </w:tcBorders>
            <w:shd w:val="clear" w:color="auto" w:fill="auto"/>
            <w:noWrap/>
            <w:vAlign w:val="bottom"/>
            <w:hideMark/>
          </w:tcPr>
          <w:p w14:paraId="102E97B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24.19</w:t>
            </w:r>
          </w:p>
        </w:tc>
        <w:tc>
          <w:tcPr>
            <w:tcW w:w="91" w:type="pct"/>
            <w:tcBorders>
              <w:top w:val="nil"/>
              <w:left w:val="nil"/>
              <w:bottom w:val="single" w:sz="4" w:space="0" w:color="808080"/>
              <w:right w:val="single" w:sz="4" w:space="0" w:color="808080"/>
            </w:tcBorders>
            <w:shd w:val="clear" w:color="auto" w:fill="auto"/>
            <w:noWrap/>
            <w:vAlign w:val="bottom"/>
            <w:hideMark/>
          </w:tcPr>
          <w:p w14:paraId="667DF47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85</w:t>
            </w:r>
          </w:p>
        </w:tc>
        <w:tc>
          <w:tcPr>
            <w:tcW w:w="213" w:type="pct"/>
            <w:tcBorders>
              <w:top w:val="nil"/>
              <w:left w:val="nil"/>
              <w:bottom w:val="single" w:sz="4" w:space="0" w:color="808080"/>
              <w:right w:val="single" w:sz="4" w:space="0" w:color="808080"/>
            </w:tcBorders>
            <w:shd w:val="clear" w:color="auto" w:fill="auto"/>
            <w:noWrap/>
            <w:vAlign w:val="bottom"/>
            <w:hideMark/>
          </w:tcPr>
          <w:p w14:paraId="0918FFB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20.43%</w:t>
            </w:r>
          </w:p>
        </w:tc>
        <w:tc>
          <w:tcPr>
            <w:tcW w:w="213" w:type="pct"/>
            <w:tcBorders>
              <w:top w:val="nil"/>
              <w:left w:val="nil"/>
              <w:bottom w:val="single" w:sz="4" w:space="0" w:color="808080"/>
              <w:right w:val="single" w:sz="4" w:space="0" w:color="808080"/>
            </w:tcBorders>
            <w:shd w:val="clear" w:color="auto" w:fill="auto"/>
            <w:noWrap/>
            <w:vAlign w:val="bottom"/>
            <w:hideMark/>
          </w:tcPr>
          <w:p w14:paraId="1F16813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81.73%</w:t>
            </w:r>
          </w:p>
        </w:tc>
        <w:tc>
          <w:tcPr>
            <w:tcW w:w="193" w:type="pct"/>
            <w:tcBorders>
              <w:top w:val="nil"/>
              <w:left w:val="nil"/>
              <w:bottom w:val="single" w:sz="4" w:space="0" w:color="808080"/>
              <w:right w:val="single" w:sz="4" w:space="0" w:color="808080"/>
            </w:tcBorders>
            <w:shd w:val="clear" w:color="auto" w:fill="auto"/>
            <w:noWrap/>
            <w:vAlign w:val="bottom"/>
            <w:hideMark/>
          </w:tcPr>
          <w:p w14:paraId="3D69141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300.41</w:t>
            </w:r>
          </w:p>
        </w:tc>
        <w:tc>
          <w:tcPr>
            <w:tcW w:w="165" w:type="pct"/>
            <w:tcBorders>
              <w:top w:val="nil"/>
              <w:left w:val="nil"/>
              <w:bottom w:val="single" w:sz="4" w:space="0" w:color="808080"/>
              <w:right w:val="nil"/>
            </w:tcBorders>
            <w:shd w:val="clear" w:color="auto" w:fill="auto"/>
            <w:noWrap/>
            <w:vAlign w:val="bottom"/>
            <w:hideMark/>
          </w:tcPr>
          <w:p w14:paraId="0334BE2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58.14</w:t>
            </w:r>
          </w:p>
        </w:tc>
        <w:tc>
          <w:tcPr>
            <w:tcW w:w="120" w:type="pct"/>
            <w:tcBorders>
              <w:top w:val="nil"/>
              <w:left w:val="single" w:sz="4" w:space="0" w:color="auto"/>
              <w:bottom w:val="single" w:sz="4" w:space="0" w:color="808080"/>
              <w:right w:val="single" w:sz="4" w:space="0" w:color="808080"/>
            </w:tcBorders>
            <w:shd w:val="clear" w:color="auto" w:fill="auto"/>
            <w:noWrap/>
            <w:vAlign w:val="bottom"/>
            <w:hideMark/>
          </w:tcPr>
          <w:p w14:paraId="196EB09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140</w:t>
            </w:r>
          </w:p>
        </w:tc>
        <w:tc>
          <w:tcPr>
            <w:tcW w:w="213" w:type="pct"/>
            <w:tcBorders>
              <w:top w:val="nil"/>
              <w:left w:val="nil"/>
              <w:bottom w:val="single" w:sz="4" w:space="0" w:color="808080"/>
              <w:right w:val="single" w:sz="4" w:space="0" w:color="808080"/>
            </w:tcBorders>
            <w:shd w:val="clear" w:color="auto" w:fill="auto"/>
            <w:noWrap/>
            <w:vAlign w:val="bottom"/>
            <w:hideMark/>
          </w:tcPr>
          <w:p w14:paraId="46783D1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33.65%</w:t>
            </w:r>
          </w:p>
        </w:tc>
        <w:tc>
          <w:tcPr>
            <w:tcW w:w="213" w:type="pct"/>
            <w:tcBorders>
              <w:top w:val="nil"/>
              <w:left w:val="nil"/>
              <w:bottom w:val="single" w:sz="4" w:space="0" w:color="808080"/>
              <w:right w:val="single" w:sz="4" w:space="0" w:color="808080"/>
            </w:tcBorders>
            <w:shd w:val="clear" w:color="auto" w:fill="auto"/>
            <w:noWrap/>
            <w:vAlign w:val="bottom"/>
            <w:hideMark/>
          </w:tcPr>
          <w:p w14:paraId="0DCD3FE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72.54%</w:t>
            </w:r>
          </w:p>
        </w:tc>
        <w:tc>
          <w:tcPr>
            <w:tcW w:w="193" w:type="pct"/>
            <w:tcBorders>
              <w:top w:val="nil"/>
              <w:left w:val="nil"/>
              <w:bottom w:val="single" w:sz="4" w:space="0" w:color="808080"/>
              <w:right w:val="single" w:sz="4" w:space="0" w:color="808080"/>
            </w:tcBorders>
            <w:shd w:val="clear" w:color="auto" w:fill="auto"/>
            <w:noWrap/>
            <w:vAlign w:val="bottom"/>
            <w:hideMark/>
          </w:tcPr>
          <w:p w14:paraId="1618530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341.46</w:t>
            </w:r>
          </w:p>
        </w:tc>
        <w:tc>
          <w:tcPr>
            <w:tcW w:w="166" w:type="pct"/>
            <w:tcBorders>
              <w:top w:val="nil"/>
              <w:left w:val="nil"/>
              <w:bottom w:val="single" w:sz="4" w:space="0" w:color="808080"/>
              <w:right w:val="single" w:sz="4" w:space="0" w:color="auto"/>
            </w:tcBorders>
            <w:shd w:val="clear" w:color="auto" w:fill="auto"/>
            <w:noWrap/>
            <w:vAlign w:val="bottom"/>
            <w:hideMark/>
          </w:tcPr>
          <w:p w14:paraId="3E355D6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46.56</w:t>
            </w:r>
          </w:p>
        </w:tc>
        <w:tc>
          <w:tcPr>
            <w:tcW w:w="375" w:type="pct"/>
            <w:tcBorders>
              <w:top w:val="nil"/>
              <w:left w:val="nil"/>
              <w:bottom w:val="single" w:sz="4" w:space="0" w:color="808080"/>
              <w:right w:val="single" w:sz="4" w:space="0" w:color="auto"/>
            </w:tcBorders>
            <w:shd w:val="clear" w:color="auto" w:fill="auto"/>
            <w:noWrap/>
            <w:vAlign w:val="bottom"/>
            <w:hideMark/>
          </w:tcPr>
          <w:p w14:paraId="204C0A1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191.44</w:t>
            </w:r>
          </w:p>
        </w:tc>
        <w:tc>
          <w:tcPr>
            <w:tcW w:w="213" w:type="pct"/>
            <w:tcBorders>
              <w:top w:val="nil"/>
              <w:left w:val="nil"/>
              <w:bottom w:val="single" w:sz="4" w:space="0" w:color="808080"/>
              <w:right w:val="single" w:sz="4" w:space="0" w:color="808080"/>
            </w:tcBorders>
            <w:shd w:val="clear" w:color="auto" w:fill="auto"/>
            <w:noWrap/>
            <w:vAlign w:val="bottom"/>
            <w:hideMark/>
          </w:tcPr>
          <w:p w14:paraId="202AC7A7"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42.41%</w:t>
            </w:r>
          </w:p>
        </w:tc>
        <w:tc>
          <w:tcPr>
            <w:tcW w:w="243" w:type="pct"/>
            <w:tcBorders>
              <w:top w:val="nil"/>
              <w:left w:val="nil"/>
              <w:bottom w:val="single" w:sz="4" w:space="0" w:color="808080"/>
              <w:right w:val="single" w:sz="4" w:space="0" w:color="808080"/>
            </w:tcBorders>
            <w:shd w:val="clear" w:color="auto" w:fill="auto"/>
            <w:noWrap/>
            <w:vAlign w:val="bottom"/>
            <w:hideMark/>
          </w:tcPr>
          <w:p w14:paraId="243A223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95.41%</w:t>
            </w:r>
          </w:p>
        </w:tc>
        <w:tc>
          <w:tcPr>
            <w:tcW w:w="213" w:type="pct"/>
            <w:tcBorders>
              <w:top w:val="nil"/>
              <w:left w:val="nil"/>
              <w:bottom w:val="single" w:sz="4" w:space="0" w:color="808080"/>
              <w:right w:val="single" w:sz="4" w:space="0" w:color="808080"/>
            </w:tcBorders>
            <w:shd w:val="clear" w:color="auto" w:fill="auto"/>
            <w:noWrap/>
            <w:vAlign w:val="bottom"/>
            <w:hideMark/>
          </w:tcPr>
          <w:p w14:paraId="653F7BE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27.67%</w:t>
            </w:r>
          </w:p>
        </w:tc>
        <w:tc>
          <w:tcPr>
            <w:tcW w:w="244" w:type="pct"/>
            <w:tcBorders>
              <w:top w:val="nil"/>
              <w:left w:val="nil"/>
              <w:bottom w:val="single" w:sz="4" w:space="0" w:color="808080"/>
              <w:right w:val="single" w:sz="4" w:space="0" w:color="auto"/>
            </w:tcBorders>
            <w:shd w:val="clear" w:color="auto" w:fill="auto"/>
            <w:noWrap/>
            <w:vAlign w:val="bottom"/>
            <w:hideMark/>
          </w:tcPr>
          <w:p w14:paraId="4F82658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95.21%</w:t>
            </w:r>
          </w:p>
        </w:tc>
      </w:tr>
      <w:tr w:rsidR="00A022DF" w:rsidRPr="00E87E42" w14:paraId="034B8309" w14:textId="77777777" w:rsidTr="005839EF">
        <w:trPr>
          <w:trHeight w:val="227"/>
        </w:trPr>
        <w:tc>
          <w:tcPr>
            <w:tcW w:w="62" w:type="pct"/>
            <w:tcBorders>
              <w:top w:val="nil"/>
              <w:left w:val="single" w:sz="4" w:space="0" w:color="auto"/>
              <w:bottom w:val="single" w:sz="4" w:space="0" w:color="auto"/>
              <w:right w:val="nil"/>
            </w:tcBorders>
            <w:shd w:val="clear" w:color="auto" w:fill="auto"/>
            <w:noWrap/>
            <w:vAlign w:val="bottom"/>
            <w:hideMark/>
          </w:tcPr>
          <w:p w14:paraId="46AAD01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120" w:type="pct"/>
            <w:tcBorders>
              <w:top w:val="nil"/>
              <w:left w:val="single" w:sz="4" w:space="0" w:color="auto"/>
              <w:bottom w:val="single" w:sz="4" w:space="0" w:color="auto"/>
              <w:right w:val="single" w:sz="4" w:space="0" w:color="auto"/>
            </w:tcBorders>
            <w:shd w:val="clear" w:color="auto" w:fill="auto"/>
            <w:noWrap/>
            <w:vAlign w:val="bottom"/>
            <w:hideMark/>
          </w:tcPr>
          <w:p w14:paraId="21FD4BF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44</w:t>
            </w:r>
          </w:p>
        </w:tc>
        <w:tc>
          <w:tcPr>
            <w:tcW w:w="120" w:type="pct"/>
            <w:tcBorders>
              <w:top w:val="nil"/>
              <w:left w:val="nil"/>
              <w:bottom w:val="single" w:sz="4" w:space="0" w:color="auto"/>
              <w:right w:val="single" w:sz="4" w:space="0" w:color="808080"/>
            </w:tcBorders>
            <w:shd w:val="clear" w:color="auto" w:fill="auto"/>
            <w:noWrap/>
            <w:vAlign w:val="bottom"/>
            <w:hideMark/>
          </w:tcPr>
          <w:p w14:paraId="0D57D4C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w:t>
            </w:r>
          </w:p>
        </w:tc>
        <w:tc>
          <w:tcPr>
            <w:tcW w:w="213" w:type="pct"/>
            <w:tcBorders>
              <w:top w:val="nil"/>
              <w:left w:val="nil"/>
              <w:bottom w:val="single" w:sz="4" w:space="0" w:color="auto"/>
              <w:right w:val="single" w:sz="4" w:space="0" w:color="808080"/>
            </w:tcBorders>
            <w:shd w:val="clear" w:color="auto" w:fill="auto"/>
            <w:noWrap/>
            <w:vAlign w:val="bottom"/>
            <w:hideMark/>
          </w:tcPr>
          <w:p w14:paraId="7D8B1A9A"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15.56%</w:t>
            </w:r>
          </w:p>
        </w:tc>
        <w:tc>
          <w:tcPr>
            <w:tcW w:w="213" w:type="pct"/>
            <w:tcBorders>
              <w:top w:val="nil"/>
              <w:left w:val="nil"/>
              <w:bottom w:val="single" w:sz="4" w:space="0" w:color="auto"/>
              <w:right w:val="single" w:sz="4" w:space="0" w:color="808080"/>
            </w:tcBorders>
            <w:shd w:val="clear" w:color="auto" w:fill="auto"/>
            <w:noWrap/>
            <w:vAlign w:val="bottom"/>
            <w:hideMark/>
          </w:tcPr>
          <w:p w14:paraId="5C888240"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1.28%</w:t>
            </w:r>
          </w:p>
        </w:tc>
        <w:tc>
          <w:tcPr>
            <w:tcW w:w="164" w:type="pct"/>
            <w:tcBorders>
              <w:top w:val="nil"/>
              <w:left w:val="nil"/>
              <w:bottom w:val="single" w:sz="4" w:space="0" w:color="auto"/>
              <w:right w:val="single" w:sz="4" w:space="0" w:color="808080"/>
            </w:tcBorders>
            <w:shd w:val="clear" w:color="auto" w:fill="auto"/>
            <w:noWrap/>
            <w:vAlign w:val="bottom"/>
            <w:hideMark/>
          </w:tcPr>
          <w:p w14:paraId="7BF9B84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0.36</w:t>
            </w:r>
          </w:p>
        </w:tc>
        <w:tc>
          <w:tcPr>
            <w:tcW w:w="165" w:type="pct"/>
            <w:tcBorders>
              <w:top w:val="nil"/>
              <w:left w:val="nil"/>
              <w:bottom w:val="single" w:sz="4" w:space="0" w:color="auto"/>
              <w:right w:val="nil"/>
            </w:tcBorders>
            <w:shd w:val="clear" w:color="auto" w:fill="auto"/>
            <w:noWrap/>
            <w:vAlign w:val="bottom"/>
            <w:hideMark/>
          </w:tcPr>
          <w:p w14:paraId="361F4C4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0.36</w:t>
            </w:r>
          </w:p>
        </w:tc>
        <w:tc>
          <w:tcPr>
            <w:tcW w:w="91" w:type="pct"/>
            <w:tcBorders>
              <w:top w:val="nil"/>
              <w:left w:val="single" w:sz="4" w:space="0" w:color="auto"/>
              <w:bottom w:val="single" w:sz="4" w:space="0" w:color="auto"/>
              <w:right w:val="single" w:sz="4" w:space="0" w:color="808080"/>
            </w:tcBorders>
            <w:shd w:val="clear" w:color="auto" w:fill="auto"/>
            <w:noWrap/>
            <w:vAlign w:val="bottom"/>
            <w:hideMark/>
          </w:tcPr>
          <w:p w14:paraId="69BDA9D6"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213" w:type="pct"/>
            <w:tcBorders>
              <w:top w:val="nil"/>
              <w:left w:val="nil"/>
              <w:bottom w:val="single" w:sz="4" w:space="0" w:color="auto"/>
              <w:right w:val="single" w:sz="4" w:space="0" w:color="808080"/>
            </w:tcBorders>
            <w:shd w:val="clear" w:color="auto" w:fill="auto"/>
            <w:noWrap/>
            <w:vAlign w:val="bottom"/>
            <w:hideMark/>
          </w:tcPr>
          <w:p w14:paraId="2C296E7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8.89%</w:t>
            </w:r>
          </w:p>
        </w:tc>
        <w:tc>
          <w:tcPr>
            <w:tcW w:w="213" w:type="pct"/>
            <w:tcBorders>
              <w:top w:val="nil"/>
              <w:left w:val="nil"/>
              <w:bottom w:val="single" w:sz="4" w:space="0" w:color="auto"/>
              <w:right w:val="single" w:sz="4" w:space="0" w:color="808080"/>
            </w:tcBorders>
            <w:shd w:val="clear" w:color="auto" w:fill="auto"/>
            <w:noWrap/>
            <w:vAlign w:val="bottom"/>
            <w:hideMark/>
          </w:tcPr>
          <w:p w14:paraId="4C802233"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2.90%</w:t>
            </w:r>
          </w:p>
        </w:tc>
        <w:tc>
          <w:tcPr>
            <w:tcW w:w="193" w:type="pct"/>
            <w:tcBorders>
              <w:top w:val="nil"/>
              <w:left w:val="nil"/>
              <w:bottom w:val="single" w:sz="4" w:space="0" w:color="auto"/>
              <w:right w:val="single" w:sz="4" w:space="0" w:color="808080"/>
            </w:tcBorders>
            <w:shd w:val="clear" w:color="auto" w:fill="auto"/>
            <w:noWrap/>
            <w:vAlign w:val="bottom"/>
            <w:hideMark/>
          </w:tcPr>
          <w:p w14:paraId="6AACDD3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8.30</w:t>
            </w:r>
          </w:p>
        </w:tc>
        <w:tc>
          <w:tcPr>
            <w:tcW w:w="165" w:type="pct"/>
            <w:tcBorders>
              <w:top w:val="nil"/>
              <w:left w:val="nil"/>
              <w:bottom w:val="single" w:sz="4" w:space="0" w:color="auto"/>
              <w:right w:val="single" w:sz="4" w:space="0" w:color="auto"/>
            </w:tcBorders>
            <w:shd w:val="clear" w:color="auto" w:fill="auto"/>
            <w:noWrap/>
            <w:vAlign w:val="bottom"/>
            <w:hideMark/>
          </w:tcPr>
          <w:p w14:paraId="04B0376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2.69</w:t>
            </w:r>
          </w:p>
        </w:tc>
        <w:tc>
          <w:tcPr>
            <w:tcW w:w="91" w:type="pct"/>
            <w:tcBorders>
              <w:top w:val="nil"/>
              <w:left w:val="nil"/>
              <w:bottom w:val="single" w:sz="4" w:space="0" w:color="auto"/>
              <w:right w:val="single" w:sz="4" w:space="0" w:color="808080"/>
            </w:tcBorders>
            <w:shd w:val="clear" w:color="auto" w:fill="auto"/>
            <w:noWrap/>
            <w:vAlign w:val="bottom"/>
            <w:hideMark/>
          </w:tcPr>
          <w:p w14:paraId="774AB79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213" w:type="pct"/>
            <w:tcBorders>
              <w:top w:val="nil"/>
              <w:left w:val="nil"/>
              <w:bottom w:val="single" w:sz="4" w:space="0" w:color="auto"/>
              <w:right w:val="single" w:sz="4" w:space="0" w:color="808080"/>
            </w:tcBorders>
            <w:shd w:val="clear" w:color="auto" w:fill="auto"/>
            <w:noWrap/>
            <w:vAlign w:val="bottom"/>
            <w:hideMark/>
          </w:tcPr>
          <w:p w14:paraId="0871429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2.22%</w:t>
            </w:r>
          </w:p>
        </w:tc>
        <w:tc>
          <w:tcPr>
            <w:tcW w:w="213" w:type="pct"/>
            <w:tcBorders>
              <w:top w:val="nil"/>
              <w:left w:val="nil"/>
              <w:bottom w:val="single" w:sz="4" w:space="0" w:color="auto"/>
              <w:right w:val="single" w:sz="4" w:space="0" w:color="808080"/>
            </w:tcBorders>
            <w:shd w:val="clear" w:color="auto" w:fill="auto"/>
            <w:noWrap/>
            <w:vAlign w:val="bottom"/>
            <w:hideMark/>
          </w:tcPr>
          <w:p w14:paraId="7C15747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0.96%</w:t>
            </w:r>
          </w:p>
        </w:tc>
        <w:tc>
          <w:tcPr>
            <w:tcW w:w="193" w:type="pct"/>
            <w:tcBorders>
              <w:top w:val="nil"/>
              <w:left w:val="nil"/>
              <w:bottom w:val="single" w:sz="4" w:space="0" w:color="auto"/>
              <w:right w:val="single" w:sz="4" w:space="0" w:color="808080"/>
            </w:tcBorders>
            <w:shd w:val="clear" w:color="auto" w:fill="auto"/>
            <w:noWrap/>
            <w:vAlign w:val="bottom"/>
            <w:hideMark/>
          </w:tcPr>
          <w:p w14:paraId="5E2328D1"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2.00</w:t>
            </w:r>
          </w:p>
        </w:tc>
        <w:tc>
          <w:tcPr>
            <w:tcW w:w="165" w:type="pct"/>
            <w:tcBorders>
              <w:top w:val="nil"/>
              <w:left w:val="nil"/>
              <w:bottom w:val="single" w:sz="4" w:space="0" w:color="auto"/>
              <w:right w:val="nil"/>
            </w:tcBorders>
            <w:shd w:val="clear" w:color="auto" w:fill="auto"/>
            <w:noWrap/>
            <w:vAlign w:val="bottom"/>
            <w:hideMark/>
          </w:tcPr>
          <w:p w14:paraId="05E1BD5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0.39</w:t>
            </w:r>
          </w:p>
        </w:tc>
        <w:tc>
          <w:tcPr>
            <w:tcW w:w="120" w:type="pct"/>
            <w:tcBorders>
              <w:top w:val="nil"/>
              <w:left w:val="single" w:sz="4" w:space="0" w:color="auto"/>
              <w:bottom w:val="single" w:sz="4" w:space="0" w:color="auto"/>
              <w:right w:val="single" w:sz="4" w:space="0" w:color="808080"/>
            </w:tcBorders>
            <w:shd w:val="clear" w:color="auto" w:fill="auto"/>
            <w:noWrap/>
            <w:vAlign w:val="bottom"/>
            <w:hideMark/>
          </w:tcPr>
          <w:p w14:paraId="402A275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w:t>
            </w:r>
          </w:p>
        </w:tc>
        <w:tc>
          <w:tcPr>
            <w:tcW w:w="213" w:type="pct"/>
            <w:tcBorders>
              <w:top w:val="nil"/>
              <w:left w:val="nil"/>
              <w:bottom w:val="single" w:sz="4" w:space="0" w:color="auto"/>
              <w:right w:val="single" w:sz="4" w:space="0" w:color="808080"/>
            </w:tcBorders>
            <w:shd w:val="clear" w:color="auto" w:fill="auto"/>
            <w:noWrap/>
            <w:vAlign w:val="bottom"/>
            <w:hideMark/>
          </w:tcPr>
          <w:p w14:paraId="2C3357C5"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73.33%</w:t>
            </w:r>
          </w:p>
        </w:tc>
        <w:tc>
          <w:tcPr>
            <w:tcW w:w="213" w:type="pct"/>
            <w:tcBorders>
              <w:top w:val="nil"/>
              <w:left w:val="nil"/>
              <w:bottom w:val="single" w:sz="4" w:space="0" w:color="auto"/>
              <w:right w:val="single" w:sz="4" w:space="0" w:color="808080"/>
            </w:tcBorders>
            <w:shd w:val="clear" w:color="auto" w:fill="auto"/>
            <w:noWrap/>
            <w:vAlign w:val="bottom"/>
            <w:hideMark/>
          </w:tcPr>
          <w:p w14:paraId="48BAF86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17.10%</w:t>
            </w:r>
          </w:p>
        </w:tc>
        <w:tc>
          <w:tcPr>
            <w:tcW w:w="193" w:type="pct"/>
            <w:tcBorders>
              <w:top w:val="nil"/>
              <w:left w:val="nil"/>
              <w:bottom w:val="single" w:sz="4" w:space="0" w:color="auto"/>
              <w:right w:val="single" w:sz="4" w:space="0" w:color="808080"/>
            </w:tcBorders>
            <w:shd w:val="clear" w:color="auto" w:fill="auto"/>
            <w:noWrap/>
            <w:vAlign w:val="bottom"/>
            <w:hideMark/>
          </w:tcPr>
          <w:p w14:paraId="47D79CF2"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44.57</w:t>
            </w:r>
          </w:p>
        </w:tc>
        <w:tc>
          <w:tcPr>
            <w:tcW w:w="166" w:type="pct"/>
            <w:tcBorders>
              <w:top w:val="nil"/>
              <w:left w:val="nil"/>
              <w:bottom w:val="single" w:sz="4" w:space="0" w:color="auto"/>
              <w:right w:val="single" w:sz="4" w:space="0" w:color="auto"/>
            </w:tcBorders>
            <w:shd w:val="clear" w:color="auto" w:fill="auto"/>
            <w:noWrap/>
            <w:vAlign w:val="bottom"/>
            <w:hideMark/>
          </w:tcPr>
          <w:p w14:paraId="35ACC57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6.08</w:t>
            </w:r>
          </w:p>
        </w:tc>
        <w:tc>
          <w:tcPr>
            <w:tcW w:w="375" w:type="pct"/>
            <w:tcBorders>
              <w:top w:val="nil"/>
              <w:left w:val="nil"/>
              <w:bottom w:val="single" w:sz="4" w:space="0" w:color="auto"/>
              <w:right w:val="single" w:sz="4" w:space="0" w:color="auto"/>
            </w:tcBorders>
            <w:shd w:val="clear" w:color="auto" w:fill="auto"/>
            <w:noWrap/>
            <w:vAlign w:val="bottom"/>
            <w:hideMark/>
          </w:tcPr>
          <w:p w14:paraId="4020EA28"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33.52</w:t>
            </w:r>
          </w:p>
        </w:tc>
        <w:tc>
          <w:tcPr>
            <w:tcW w:w="213" w:type="pct"/>
            <w:tcBorders>
              <w:top w:val="nil"/>
              <w:left w:val="nil"/>
              <w:bottom w:val="single" w:sz="4" w:space="0" w:color="auto"/>
              <w:right w:val="single" w:sz="4" w:space="0" w:color="808080"/>
            </w:tcBorders>
            <w:shd w:val="clear" w:color="auto" w:fill="auto"/>
            <w:noWrap/>
            <w:vAlign w:val="bottom"/>
            <w:hideMark/>
          </w:tcPr>
          <w:p w14:paraId="49C3DEA4"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4.59%</w:t>
            </w:r>
          </w:p>
        </w:tc>
        <w:tc>
          <w:tcPr>
            <w:tcW w:w="243" w:type="pct"/>
            <w:tcBorders>
              <w:top w:val="nil"/>
              <w:left w:val="nil"/>
              <w:bottom w:val="single" w:sz="4" w:space="0" w:color="auto"/>
              <w:right w:val="single" w:sz="4" w:space="0" w:color="808080"/>
            </w:tcBorders>
            <w:shd w:val="clear" w:color="auto" w:fill="auto"/>
            <w:noWrap/>
            <w:vAlign w:val="bottom"/>
            <w:hideMark/>
          </w:tcPr>
          <w:p w14:paraId="7A4118CF"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c>
          <w:tcPr>
            <w:tcW w:w="213" w:type="pct"/>
            <w:tcBorders>
              <w:top w:val="nil"/>
              <w:left w:val="nil"/>
              <w:bottom w:val="single" w:sz="4" w:space="0" w:color="auto"/>
              <w:right w:val="single" w:sz="4" w:space="0" w:color="808080"/>
            </w:tcBorders>
            <w:shd w:val="clear" w:color="auto" w:fill="auto"/>
            <w:noWrap/>
            <w:vAlign w:val="bottom"/>
            <w:hideMark/>
          </w:tcPr>
          <w:p w14:paraId="2E61B83C"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4.79%</w:t>
            </w:r>
          </w:p>
        </w:tc>
        <w:tc>
          <w:tcPr>
            <w:tcW w:w="244" w:type="pct"/>
            <w:tcBorders>
              <w:top w:val="nil"/>
              <w:left w:val="nil"/>
              <w:bottom w:val="single" w:sz="4" w:space="0" w:color="auto"/>
              <w:right w:val="single" w:sz="4" w:space="0" w:color="auto"/>
            </w:tcBorders>
            <w:shd w:val="clear" w:color="auto" w:fill="auto"/>
            <w:noWrap/>
            <w:vAlign w:val="bottom"/>
            <w:hideMark/>
          </w:tcPr>
          <w:p w14:paraId="75E59329"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100.00%</w:t>
            </w:r>
          </w:p>
        </w:tc>
      </w:tr>
      <w:tr w:rsidR="00A022DF" w:rsidRPr="00E87E42" w14:paraId="0604DD2E" w14:textId="77777777" w:rsidTr="005839EF">
        <w:trPr>
          <w:trHeight w:val="227"/>
        </w:trPr>
        <w:tc>
          <w:tcPr>
            <w:tcW w:w="3712" w:type="pct"/>
            <w:gridSpan w:val="22"/>
            <w:tcBorders>
              <w:top w:val="single" w:sz="4" w:space="0" w:color="auto"/>
              <w:left w:val="single" w:sz="4" w:space="0" w:color="auto"/>
              <w:bottom w:val="single" w:sz="4" w:space="0" w:color="auto"/>
              <w:right w:val="single" w:sz="4" w:space="0" w:color="auto"/>
            </w:tcBorders>
            <w:shd w:val="clear" w:color="auto" w:fill="auto"/>
            <w:noWrap/>
            <w:vAlign w:val="bottom"/>
          </w:tcPr>
          <w:p w14:paraId="02EE9C8E" w14:textId="77777777" w:rsidR="00A022DF" w:rsidRPr="00E87E42" w:rsidRDefault="00A022DF" w:rsidP="00A022DF">
            <w:pPr>
              <w:spacing w:after="0" w:line="240" w:lineRule="auto"/>
              <w:jc w:val="right"/>
              <w:rPr>
                <w:rFonts w:eastAsia="Times New Roman"/>
                <w:color w:val="000000"/>
                <w:sz w:val="16"/>
                <w:szCs w:val="16"/>
                <w:lang w:eastAsia="en-GB"/>
              </w:rPr>
            </w:pPr>
            <w:r w:rsidRPr="00E87E42">
              <w:rPr>
                <w:rFonts w:eastAsia="Times New Roman"/>
                <w:color w:val="000000"/>
                <w:sz w:val="16"/>
                <w:szCs w:val="16"/>
                <w:lang w:eastAsia="en-GB"/>
              </w:rPr>
              <w:t>Total weighted area damage</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F8B47B" w14:textId="77777777" w:rsidR="00A022DF" w:rsidRPr="00E87E42" w:rsidRDefault="00A022DF" w:rsidP="00A022DF">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97.34</w:t>
            </w:r>
          </w:p>
        </w:tc>
        <w:tc>
          <w:tcPr>
            <w:tcW w:w="913"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308255" w14:textId="77777777" w:rsidR="00A022DF" w:rsidRPr="00E87E42" w:rsidRDefault="00A022DF" w:rsidP="00A022DF">
            <w:pPr>
              <w:spacing w:after="0" w:line="240" w:lineRule="auto"/>
              <w:jc w:val="center"/>
              <w:rPr>
                <w:rFonts w:eastAsia="Times New Roman"/>
                <w:color w:val="000000"/>
                <w:sz w:val="16"/>
                <w:szCs w:val="16"/>
                <w:lang w:eastAsia="en-GB"/>
              </w:rPr>
            </w:pPr>
          </w:p>
        </w:tc>
      </w:tr>
    </w:tbl>
    <w:p w14:paraId="57557212" w14:textId="79D60B5F" w:rsidR="00A05EDB" w:rsidRPr="00E87E42" w:rsidRDefault="00A05EDB" w:rsidP="008A55B5">
      <w:pPr>
        <w:spacing w:after="0" w:line="240" w:lineRule="auto"/>
        <w:jc w:val="left"/>
        <w:rPr>
          <w:i/>
          <w:iCs/>
          <w:sz w:val="20"/>
          <w:szCs w:val="18"/>
        </w:rPr>
        <w:sectPr w:rsidR="00A05EDB" w:rsidRPr="00E87E42" w:rsidSect="005617C3">
          <w:pgSz w:w="16840" w:h="11907" w:orient="landscape" w:code="9"/>
          <w:pgMar w:top="618" w:right="1418" w:bottom="748" w:left="1077" w:header="567" w:footer="567" w:gutter="284"/>
          <w:cols w:space="454"/>
          <w:docGrid w:linePitch="360"/>
        </w:sectPr>
      </w:pPr>
    </w:p>
    <w:p w14:paraId="1643AB9D" w14:textId="0246ADC6" w:rsidR="00A27212" w:rsidRPr="00E87E42" w:rsidRDefault="00A27212" w:rsidP="005617C3">
      <w:pPr>
        <w:pStyle w:val="Caption"/>
      </w:pPr>
      <w:bookmarkStart w:id="66" w:name="_Ref517775743"/>
      <w:r w:rsidRPr="00E87E42">
        <w:lastRenderedPageBreak/>
        <w:t xml:space="preserve">Table </w:t>
      </w:r>
      <w:r w:rsidR="00BC5ED7" w:rsidRPr="00E87E42">
        <w:rPr>
          <w:noProof/>
        </w:rPr>
        <w:fldChar w:fldCharType="begin"/>
      </w:r>
      <w:r w:rsidR="00BC5ED7" w:rsidRPr="00E87E42">
        <w:rPr>
          <w:noProof/>
        </w:rPr>
        <w:instrText xml:space="preserve"> SEQ Table \* ROMAN\n </w:instrText>
      </w:r>
      <w:r w:rsidR="00BC5ED7" w:rsidRPr="00E87E42">
        <w:rPr>
          <w:noProof/>
        </w:rPr>
        <w:fldChar w:fldCharType="separate"/>
      </w:r>
      <w:r w:rsidR="009F6872">
        <w:rPr>
          <w:noProof/>
        </w:rPr>
        <w:t>VI</w:t>
      </w:r>
      <w:r w:rsidR="00BC5ED7" w:rsidRPr="00E87E42">
        <w:rPr>
          <w:noProof/>
        </w:rPr>
        <w:fldChar w:fldCharType="end"/>
      </w:r>
      <w:bookmarkEnd w:id="66"/>
      <w:r w:rsidRPr="00E87E42">
        <w:t>: Table A.7 Frequency distribution of area damage in terms of number of fires in Retail premises, PD 7974-7 vs USA fire statistics</w:t>
      </w:r>
    </w:p>
    <w:tbl>
      <w:tblPr>
        <w:tblW w:w="0" w:type="auto"/>
        <w:tblLook w:val="04A0" w:firstRow="1" w:lastRow="0" w:firstColumn="1" w:lastColumn="0" w:noHBand="0" w:noVBand="1"/>
      </w:tblPr>
      <w:tblGrid>
        <w:gridCol w:w="1116"/>
        <w:gridCol w:w="660"/>
        <w:gridCol w:w="1624"/>
        <w:gridCol w:w="660"/>
        <w:gridCol w:w="1624"/>
        <w:gridCol w:w="660"/>
        <w:gridCol w:w="1624"/>
        <w:gridCol w:w="660"/>
        <w:gridCol w:w="1624"/>
      </w:tblGrid>
      <w:tr w:rsidR="00A27212" w:rsidRPr="00E87E42" w14:paraId="4C9F2D62" w14:textId="77777777" w:rsidTr="00A27212">
        <w:trPr>
          <w:trHeight w:val="170"/>
        </w:trPr>
        <w:tc>
          <w:tcPr>
            <w:tcW w:w="0" w:type="auto"/>
            <w:tcBorders>
              <w:top w:val="nil"/>
              <w:left w:val="nil"/>
              <w:bottom w:val="nil"/>
              <w:right w:val="nil"/>
            </w:tcBorders>
            <w:shd w:val="clear" w:color="auto" w:fill="auto"/>
            <w:noWrap/>
            <w:vAlign w:val="bottom"/>
            <w:hideMark/>
          </w:tcPr>
          <w:p w14:paraId="3D1B7529" w14:textId="77777777" w:rsidR="00A27212" w:rsidRPr="00E87E42" w:rsidRDefault="00A27212" w:rsidP="00A27212">
            <w:pPr>
              <w:spacing w:after="0" w:line="240" w:lineRule="auto"/>
              <w:jc w:val="left"/>
              <w:rPr>
                <w:rFonts w:eastAsia="Times New Roman"/>
                <w:sz w:val="16"/>
                <w:szCs w:val="16"/>
                <w:lang w:eastAsia="en-GB"/>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A788A" w14:textId="77777777" w:rsidR="00A27212" w:rsidRPr="00E87E42" w:rsidRDefault="00A27212" w:rsidP="00A27212">
            <w:pPr>
              <w:spacing w:after="0" w:line="240" w:lineRule="auto"/>
              <w:jc w:val="center"/>
              <w:rPr>
                <w:rFonts w:eastAsia="Times New Roman"/>
                <w:b/>
                <w:color w:val="000000"/>
                <w:sz w:val="16"/>
                <w:szCs w:val="16"/>
                <w:u w:val="single"/>
                <w:lang w:eastAsia="en-GB"/>
              </w:rPr>
            </w:pPr>
            <w:r w:rsidRPr="00E87E42">
              <w:rPr>
                <w:rFonts w:eastAsia="Times New Roman"/>
                <w:b/>
                <w:color w:val="000000"/>
                <w:sz w:val="16"/>
                <w:szCs w:val="16"/>
                <w:u w:val="single"/>
                <w:lang w:eastAsia="en-GB"/>
              </w:rPr>
              <w:t>Assembly or Sales Areas (Group of people)</w:t>
            </w:r>
          </w:p>
        </w:tc>
      </w:tr>
      <w:tr w:rsidR="00A27212" w:rsidRPr="00E87E42" w14:paraId="2A312F09" w14:textId="77777777" w:rsidTr="00A27212">
        <w:trPr>
          <w:trHeight w:val="170"/>
        </w:trPr>
        <w:tc>
          <w:tcPr>
            <w:tcW w:w="0" w:type="auto"/>
            <w:tcBorders>
              <w:top w:val="nil"/>
              <w:left w:val="nil"/>
              <w:bottom w:val="nil"/>
              <w:right w:val="nil"/>
            </w:tcBorders>
            <w:shd w:val="clear" w:color="auto" w:fill="auto"/>
            <w:noWrap/>
            <w:vAlign w:val="bottom"/>
            <w:hideMark/>
          </w:tcPr>
          <w:p w14:paraId="119CEDFC" w14:textId="77777777" w:rsidR="00A27212" w:rsidRPr="00E87E42" w:rsidRDefault="00A27212" w:rsidP="00A27212">
            <w:pPr>
              <w:spacing w:after="0" w:line="240" w:lineRule="auto"/>
              <w:jc w:val="center"/>
              <w:rPr>
                <w:rFonts w:eastAsia="Times New Roman"/>
                <w:color w:val="000000"/>
                <w:sz w:val="16"/>
                <w:szCs w:val="16"/>
                <w:lang w:eastAsia="en-GB"/>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286CE" w14:textId="77777777" w:rsidR="00A27212" w:rsidRPr="00E87E42" w:rsidRDefault="00A27212" w:rsidP="00A2721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Sprinklers</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7ADA77C1" w14:textId="77777777" w:rsidR="00A27212" w:rsidRPr="00E87E42" w:rsidRDefault="00A27212" w:rsidP="00A2721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No sprinklers</w:t>
            </w:r>
          </w:p>
        </w:tc>
      </w:tr>
      <w:tr w:rsidR="00A27212" w:rsidRPr="00E87E42" w14:paraId="49CC84E1" w14:textId="77777777" w:rsidTr="00A27212">
        <w:trPr>
          <w:trHeight w:val="170"/>
        </w:trPr>
        <w:tc>
          <w:tcPr>
            <w:tcW w:w="0" w:type="auto"/>
            <w:tcBorders>
              <w:top w:val="nil"/>
              <w:left w:val="nil"/>
              <w:bottom w:val="nil"/>
              <w:right w:val="nil"/>
            </w:tcBorders>
            <w:shd w:val="clear" w:color="auto" w:fill="auto"/>
            <w:noWrap/>
            <w:vAlign w:val="bottom"/>
            <w:hideMark/>
          </w:tcPr>
          <w:p w14:paraId="3BE632ED" w14:textId="77777777" w:rsidR="00A27212" w:rsidRPr="00E87E42" w:rsidRDefault="00A27212" w:rsidP="00A27212">
            <w:pPr>
              <w:spacing w:after="0" w:line="240" w:lineRule="auto"/>
              <w:jc w:val="center"/>
              <w:rPr>
                <w:rFonts w:eastAsia="Times New Roman"/>
                <w:color w:val="000000"/>
                <w:sz w:val="16"/>
                <w:szCs w:val="16"/>
                <w:lang w:eastAsia="en-GB"/>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C92F4"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 7974-7</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3DE60D8"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 data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536463D"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 7974-7</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E317117"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 data</w:t>
            </w:r>
          </w:p>
        </w:tc>
      </w:tr>
      <w:tr w:rsidR="00A27212" w:rsidRPr="00E87E42" w14:paraId="201A9ECD" w14:textId="77777777" w:rsidTr="00A27212">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27997"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Area damage (m</w:t>
            </w:r>
            <w:r w:rsidRPr="00E87E42">
              <w:rPr>
                <w:rFonts w:eastAsia="Times New Roman"/>
                <w:color w:val="000000"/>
                <w:sz w:val="16"/>
                <w:szCs w:val="16"/>
                <w:vertAlign w:val="superscript"/>
                <w:lang w:eastAsia="en-GB"/>
              </w:rPr>
              <w:t>2</w:t>
            </w:r>
            <w:r w:rsidRPr="00E87E42">
              <w:rPr>
                <w:rFonts w:eastAsia="Times New Roman"/>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4DCF652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n of fires</w:t>
            </w:r>
          </w:p>
        </w:tc>
        <w:tc>
          <w:tcPr>
            <w:tcW w:w="0" w:type="auto"/>
            <w:tcBorders>
              <w:top w:val="nil"/>
              <w:left w:val="nil"/>
              <w:bottom w:val="single" w:sz="4" w:space="0" w:color="auto"/>
              <w:right w:val="single" w:sz="4" w:space="0" w:color="auto"/>
            </w:tcBorders>
            <w:shd w:val="clear" w:color="auto" w:fill="auto"/>
            <w:noWrap/>
            <w:vAlign w:val="bottom"/>
            <w:hideMark/>
          </w:tcPr>
          <w:p w14:paraId="28678393"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fire exceeding upper limit</w:t>
            </w:r>
          </w:p>
        </w:tc>
        <w:tc>
          <w:tcPr>
            <w:tcW w:w="0" w:type="auto"/>
            <w:tcBorders>
              <w:top w:val="nil"/>
              <w:left w:val="nil"/>
              <w:bottom w:val="single" w:sz="4" w:space="0" w:color="auto"/>
              <w:right w:val="single" w:sz="4" w:space="0" w:color="auto"/>
            </w:tcBorders>
            <w:shd w:val="clear" w:color="auto" w:fill="auto"/>
            <w:noWrap/>
            <w:vAlign w:val="bottom"/>
            <w:hideMark/>
          </w:tcPr>
          <w:p w14:paraId="262F570D"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n of fires</w:t>
            </w:r>
          </w:p>
        </w:tc>
        <w:tc>
          <w:tcPr>
            <w:tcW w:w="0" w:type="auto"/>
            <w:tcBorders>
              <w:top w:val="nil"/>
              <w:left w:val="nil"/>
              <w:bottom w:val="single" w:sz="4" w:space="0" w:color="auto"/>
              <w:right w:val="single" w:sz="4" w:space="0" w:color="auto"/>
            </w:tcBorders>
            <w:shd w:val="clear" w:color="auto" w:fill="auto"/>
            <w:noWrap/>
            <w:vAlign w:val="bottom"/>
            <w:hideMark/>
          </w:tcPr>
          <w:p w14:paraId="012B4D7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fire exceeding upper limit</w:t>
            </w:r>
          </w:p>
        </w:tc>
        <w:tc>
          <w:tcPr>
            <w:tcW w:w="0" w:type="auto"/>
            <w:tcBorders>
              <w:top w:val="nil"/>
              <w:left w:val="nil"/>
              <w:bottom w:val="single" w:sz="4" w:space="0" w:color="auto"/>
              <w:right w:val="single" w:sz="4" w:space="0" w:color="auto"/>
            </w:tcBorders>
            <w:shd w:val="clear" w:color="auto" w:fill="auto"/>
            <w:noWrap/>
            <w:vAlign w:val="bottom"/>
            <w:hideMark/>
          </w:tcPr>
          <w:p w14:paraId="75487DFD"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n of fires</w:t>
            </w:r>
          </w:p>
        </w:tc>
        <w:tc>
          <w:tcPr>
            <w:tcW w:w="0" w:type="auto"/>
            <w:tcBorders>
              <w:top w:val="nil"/>
              <w:left w:val="nil"/>
              <w:bottom w:val="single" w:sz="4" w:space="0" w:color="auto"/>
              <w:right w:val="single" w:sz="4" w:space="0" w:color="auto"/>
            </w:tcBorders>
            <w:shd w:val="clear" w:color="auto" w:fill="auto"/>
            <w:noWrap/>
            <w:vAlign w:val="bottom"/>
            <w:hideMark/>
          </w:tcPr>
          <w:p w14:paraId="79163AF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fire exceeding upper limit</w:t>
            </w:r>
          </w:p>
        </w:tc>
        <w:tc>
          <w:tcPr>
            <w:tcW w:w="0" w:type="auto"/>
            <w:tcBorders>
              <w:top w:val="nil"/>
              <w:left w:val="nil"/>
              <w:bottom w:val="single" w:sz="4" w:space="0" w:color="auto"/>
              <w:right w:val="single" w:sz="4" w:space="0" w:color="auto"/>
            </w:tcBorders>
            <w:shd w:val="clear" w:color="auto" w:fill="auto"/>
            <w:noWrap/>
            <w:vAlign w:val="bottom"/>
            <w:hideMark/>
          </w:tcPr>
          <w:p w14:paraId="64E1C676"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n of fires</w:t>
            </w:r>
          </w:p>
        </w:tc>
        <w:tc>
          <w:tcPr>
            <w:tcW w:w="0" w:type="auto"/>
            <w:tcBorders>
              <w:top w:val="nil"/>
              <w:left w:val="nil"/>
              <w:bottom w:val="single" w:sz="4" w:space="0" w:color="auto"/>
              <w:right w:val="single" w:sz="4" w:space="0" w:color="auto"/>
            </w:tcBorders>
            <w:shd w:val="clear" w:color="auto" w:fill="auto"/>
            <w:noWrap/>
            <w:vAlign w:val="bottom"/>
            <w:hideMark/>
          </w:tcPr>
          <w:p w14:paraId="448792E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fire exceeding upper limit</w:t>
            </w:r>
          </w:p>
        </w:tc>
      </w:tr>
      <w:tr w:rsidR="00A27212" w:rsidRPr="00E87E42" w14:paraId="1B870F9F"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384AE8E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 and under</w:t>
            </w:r>
          </w:p>
        </w:tc>
        <w:tc>
          <w:tcPr>
            <w:tcW w:w="0" w:type="auto"/>
            <w:tcBorders>
              <w:top w:val="nil"/>
              <w:left w:val="nil"/>
              <w:bottom w:val="nil"/>
              <w:right w:val="nil"/>
            </w:tcBorders>
            <w:shd w:val="clear" w:color="auto" w:fill="auto"/>
            <w:noWrap/>
            <w:vAlign w:val="bottom"/>
            <w:hideMark/>
          </w:tcPr>
          <w:p w14:paraId="2CD4C16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154</w:t>
            </w:r>
          </w:p>
        </w:tc>
        <w:tc>
          <w:tcPr>
            <w:tcW w:w="0" w:type="auto"/>
            <w:tcBorders>
              <w:top w:val="nil"/>
              <w:left w:val="nil"/>
              <w:bottom w:val="nil"/>
              <w:right w:val="single" w:sz="4" w:space="0" w:color="auto"/>
            </w:tcBorders>
            <w:shd w:val="clear" w:color="auto" w:fill="auto"/>
            <w:noWrap/>
            <w:vAlign w:val="bottom"/>
            <w:hideMark/>
          </w:tcPr>
          <w:p w14:paraId="790B5E35"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30.9%</w:t>
            </w:r>
          </w:p>
        </w:tc>
        <w:tc>
          <w:tcPr>
            <w:tcW w:w="0" w:type="auto"/>
            <w:tcBorders>
              <w:top w:val="nil"/>
              <w:left w:val="nil"/>
              <w:bottom w:val="nil"/>
              <w:right w:val="nil"/>
            </w:tcBorders>
            <w:shd w:val="clear" w:color="auto" w:fill="auto"/>
            <w:noWrap/>
            <w:vAlign w:val="bottom"/>
            <w:hideMark/>
          </w:tcPr>
          <w:p w14:paraId="442A0B65"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37</w:t>
            </w:r>
          </w:p>
        </w:tc>
        <w:tc>
          <w:tcPr>
            <w:tcW w:w="0" w:type="auto"/>
            <w:tcBorders>
              <w:top w:val="nil"/>
              <w:left w:val="nil"/>
              <w:bottom w:val="nil"/>
              <w:right w:val="nil"/>
            </w:tcBorders>
            <w:shd w:val="clear" w:color="auto" w:fill="auto"/>
            <w:noWrap/>
            <w:vAlign w:val="bottom"/>
            <w:hideMark/>
          </w:tcPr>
          <w:p w14:paraId="1C03EA26"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40.32%</w:t>
            </w:r>
          </w:p>
        </w:tc>
        <w:tc>
          <w:tcPr>
            <w:tcW w:w="0" w:type="auto"/>
            <w:tcBorders>
              <w:top w:val="nil"/>
              <w:left w:val="single" w:sz="4" w:space="0" w:color="auto"/>
              <w:bottom w:val="nil"/>
              <w:right w:val="nil"/>
            </w:tcBorders>
            <w:shd w:val="clear" w:color="auto" w:fill="auto"/>
            <w:noWrap/>
            <w:vAlign w:val="bottom"/>
            <w:hideMark/>
          </w:tcPr>
          <w:p w14:paraId="5D3A8015"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4197</w:t>
            </w:r>
          </w:p>
        </w:tc>
        <w:tc>
          <w:tcPr>
            <w:tcW w:w="0" w:type="auto"/>
            <w:tcBorders>
              <w:top w:val="nil"/>
              <w:left w:val="nil"/>
              <w:bottom w:val="nil"/>
              <w:right w:val="single" w:sz="4" w:space="0" w:color="auto"/>
            </w:tcBorders>
            <w:shd w:val="clear" w:color="auto" w:fill="auto"/>
            <w:noWrap/>
            <w:vAlign w:val="bottom"/>
            <w:hideMark/>
          </w:tcPr>
          <w:p w14:paraId="28507C06"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48.9%</w:t>
            </w:r>
          </w:p>
        </w:tc>
        <w:tc>
          <w:tcPr>
            <w:tcW w:w="0" w:type="auto"/>
            <w:tcBorders>
              <w:top w:val="nil"/>
              <w:left w:val="nil"/>
              <w:bottom w:val="nil"/>
              <w:right w:val="nil"/>
            </w:tcBorders>
            <w:shd w:val="clear" w:color="auto" w:fill="auto"/>
            <w:noWrap/>
            <w:vAlign w:val="bottom"/>
            <w:hideMark/>
          </w:tcPr>
          <w:p w14:paraId="32B2B637"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38</w:t>
            </w:r>
          </w:p>
        </w:tc>
        <w:tc>
          <w:tcPr>
            <w:tcW w:w="0" w:type="auto"/>
            <w:tcBorders>
              <w:top w:val="nil"/>
              <w:left w:val="nil"/>
              <w:bottom w:val="nil"/>
              <w:right w:val="single" w:sz="4" w:space="0" w:color="auto"/>
            </w:tcBorders>
            <w:shd w:val="clear" w:color="auto" w:fill="auto"/>
            <w:noWrap/>
            <w:vAlign w:val="bottom"/>
            <w:hideMark/>
          </w:tcPr>
          <w:p w14:paraId="0D05332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58.24%</w:t>
            </w:r>
          </w:p>
        </w:tc>
      </w:tr>
      <w:tr w:rsidR="00A27212" w:rsidRPr="00E87E42" w14:paraId="005978CE"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276EF4B2"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w:t>
            </w:r>
          </w:p>
        </w:tc>
        <w:tc>
          <w:tcPr>
            <w:tcW w:w="0" w:type="auto"/>
            <w:tcBorders>
              <w:top w:val="nil"/>
              <w:left w:val="nil"/>
              <w:bottom w:val="nil"/>
              <w:right w:val="nil"/>
            </w:tcBorders>
            <w:shd w:val="clear" w:color="auto" w:fill="auto"/>
            <w:noWrap/>
            <w:vAlign w:val="bottom"/>
            <w:hideMark/>
          </w:tcPr>
          <w:p w14:paraId="66AE1166"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37</w:t>
            </w:r>
          </w:p>
        </w:tc>
        <w:tc>
          <w:tcPr>
            <w:tcW w:w="0" w:type="auto"/>
            <w:tcBorders>
              <w:top w:val="nil"/>
              <w:left w:val="nil"/>
              <w:bottom w:val="nil"/>
              <w:right w:val="single" w:sz="4" w:space="0" w:color="auto"/>
            </w:tcBorders>
            <w:shd w:val="clear" w:color="auto" w:fill="auto"/>
            <w:noWrap/>
            <w:vAlign w:val="bottom"/>
            <w:hideMark/>
          </w:tcPr>
          <w:p w14:paraId="3EDE73D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14.3%</w:t>
            </w:r>
          </w:p>
        </w:tc>
        <w:tc>
          <w:tcPr>
            <w:tcW w:w="0" w:type="auto"/>
            <w:tcBorders>
              <w:top w:val="nil"/>
              <w:left w:val="nil"/>
              <w:bottom w:val="nil"/>
              <w:right w:val="nil"/>
            </w:tcBorders>
            <w:shd w:val="clear" w:color="auto" w:fill="auto"/>
            <w:noWrap/>
            <w:vAlign w:val="bottom"/>
            <w:hideMark/>
          </w:tcPr>
          <w:p w14:paraId="770F97C9"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14:paraId="2C3EE432"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40.32%</w:t>
            </w:r>
          </w:p>
        </w:tc>
        <w:tc>
          <w:tcPr>
            <w:tcW w:w="0" w:type="auto"/>
            <w:tcBorders>
              <w:top w:val="nil"/>
              <w:left w:val="single" w:sz="4" w:space="0" w:color="auto"/>
              <w:bottom w:val="nil"/>
              <w:right w:val="nil"/>
            </w:tcBorders>
            <w:shd w:val="clear" w:color="auto" w:fill="auto"/>
            <w:noWrap/>
            <w:vAlign w:val="bottom"/>
            <w:hideMark/>
          </w:tcPr>
          <w:p w14:paraId="03C5147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1987</w:t>
            </w:r>
          </w:p>
        </w:tc>
        <w:tc>
          <w:tcPr>
            <w:tcW w:w="0" w:type="auto"/>
            <w:tcBorders>
              <w:top w:val="nil"/>
              <w:left w:val="nil"/>
              <w:bottom w:val="nil"/>
              <w:right w:val="single" w:sz="4" w:space="0" w:color="auto"/>
            </w:tcBorders>
            <w:shd w:val="clear" w:color="auto" w:fill="auto"/>
            <w:noWrap/>
            <w:vAlign w:val="bottom"/>
            <w:hideMark/>
          </w:tcPr>
          <w:p w14:paraId="3AAF5CA5"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24.6%</w:t>
            </w:r>
          </w:p>
        </w:tc>
        <w:tc>
          <w:tcPr>
            <w:tcW w:w="0" w:type="auto"/>
            <w:tcBorders>
              <w:top w:val="nil"/>
              <w:left w:val="nil"/>
              <w:bottom w:val="nil"/>
              <w:right w:val="nil"/>
            </w:tcBorders>
            <w:shd w:val="clear" w:color="auto" w:fill="auto"/>
            <w:noWrap/>
            <w:vAlign w:val="bottom"/>
            <w:hideMark/>
          </w:tcPr>
          <w:p w14:paraId="7481F4FD"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single" w:sz="4" w:space="0" w:color="auto"/>
            </w:tcBorders>
            <w:shd w:val="clear" w:color="auto" w:fill="auto"/>
            <w:noWrap/>
            <w:vAlign w:val="bottom"/>
            <w:hideMark/>
          </w:tcPr>
          <w:p w14:paraId="38A07FF4"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58.24%</w:t>
            </w:r>
          </w:p>
        </w:tc>
      </w:tr>
      <w:tr w:rsidR="00A27212" w:rsidRPr="00E87E42" w14:paraId="58DDF278"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037C1D0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5-9</w:t>
            </w:r>
          </w:p>
        </w:tc>
        <w:tc>
          <w:tcPr>
            <w:tcW w:w="0" w:type="auto"/>
            <w:tcBorders>
              <w:top w:val="nil"/>
              <w:left w:val="nil"/>
              <w:bottom w:val="nil"/>
              <w:right w:val="nil"/>
            </w:tcBorders>
            <w:shd w:val="clear" w:color="auto" w:fill="auto"/>
            <w:noWrap/>
            <w:vAlign w:val="bottom"/>
            <w:hideMark/>
          </w:tcPr>
          <w:p w14:paraId="4B7347A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w:t>
            </w:r>
          </w:p>
        </w:tc>
        <w:tc>
          <w:tcPr>
            <w:tcW w:w="0" w:type="auto"/>
            <w:tcBorders>
              <w:top w:val="nil"/>
              <w:left w:val="nil"/>
              <w:bottom w:val="nil"/>
              <w:right w:val="single" w:sz="4" w:space="0" w:color="auto"/>
            </w:tcBorders>
            <w:shd w:val="clear" w:color="auto" w:fill="auto"/>
            <w:noWrap/>
            <w:vAlign w:val="bottom"/>
            <w:hideMark/>
          </w:tcPr>
          <w:p w14:paraId="208FAD6A"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10.3%</w:t>
            </w:r>
          </w:p>
        </w:tc>
        <w:tc>
          <w:tcPr>
            <w:tcW w:w="0" w:type="auto"/>
            <w:tcBorders>
              <w:top w:val="nil"/>
              <w:left w:val="nil"/>
              <w:bottom w:val="nil"/>
              <w:right w:val="nil"/>
            </w:tcBorders>
            <w:shd w:val="clear" w:color="auto" w:fill="auto"/>
            <w:noWrap/>
            <w:vAlign w:val="bottom"/>
            <w:hideMark/>
          </w:tcPr>
          <w:p w14:paraId="42FC788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14:paraId="6AA79AC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40.32%</w:t>
            </w:r>
          </w:p>
        </w:tc>
        <w:tc>
          <w:tcPr>
            <w:tcW w:w="0" w:type="auto"/>
            <w:tcBorders>
              <w:top w:val="nil"/>
              <w:left w:val="single" w:sz="4" w:space="0" w:color="auto"/>
              <w:bottom w:val="nil"/>
              <w:right w:val="nil"/>
            </w:tcBorders>
            <w:shd w:val="clear" w:color="auto" w:fill="auto"/>
            <w:noWrap/>
            <w:vAlign w:val="bottom"/>
            <w:hideMark/>
          </w:tcPr>
          <w:p w14:paraId="3AEA44D9"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619</w:t>
            </w:r>
          </w:p>
        </w:tc>
        <w:tc>
          <w:tcPr>
            <w:tcW w:w="0" w:type="auto"/>
            <w:tcBorders>
              <w:top w:val="nil"/>
              <w:left w:val="nil"/>
              <w:bottom w:val="nil"/>
              <w:right w:val="single" w:sz="4" w:space="0" w:color="auto"/>
            </w:tcBorders>
            <w:shd w:val="clear" w:color="auto" w:fill="auto"/>
            <w:noWrap/>
            <w:vAlign w:val="bottom"/>
            <w:hideMark/>
          </w:tcPr>
          <w:p w14:paraId="48601046"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17.1%</w:t>
            </w:r>
          </w:p>
        </w:tc>
        <w:tc>
          <w:tcPr>
            <w:tcW w:w="0" w:type="auto"/>
            <w:tcBorders>
              <w:top w:val="nil"/>
              <w:left w:val="nil"/>
              <w:bottom w:val="nil"/>
              <w:right w:val="nil"/>
            </w:tcBorders>
            <w:shd w:val="clear" w:color="auto" w:fill="auto"/>
            <w:noWrap/>
            <w:vAlign w:val="bottom"/>
            <w:hideMark/>
          </w:tcPr>
          <w:p w14:paraId="285D264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0" w:type="auto"/>
            <w:tcBorders>
              <w:top w:val="nil"/>
              <w:left w:val="nil"/>
              <w:bottom w:val="nil"/>
              <w:right w:val="single" w:sz="4" w:space="0" w:color="auto"/>
            </w:tcBorders>
            <w:shd w:val="clear" w:color="auto" w:fill="auto"/>
            <w:noWrap/>
            <w:vAlign w:val="bottom"/>
            <w:hideMark/>
          </w:tcPr>
          <w:p w14:paraId="1892F56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56.04%</w:t>
            </w:r>
          </w:p>
        </w:tc>
      </w:tr>
      <w:tr w:rsidR="00A27212" w:rsidRPr="00E87E42" w14:paraId="6DFFC810"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55ABD55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10-19</w:t>
            </w:r>
          </w:p>
        </w:tc>
        <w:tc>
          <w:tcPr>
            <w:tcW w:w="0" w:type="auto"/>
            <w:tcBorders>
              <w:top w:val="nil"/>
              <w:left w:val="nil"/>
              <w:bottom w:val="nil"/>
              <w:right w:val="nil"/>
            </w:tcBorders>
            <w:shd w:val="clear" w:color="auto" w:fill="auto"/>
            <w:noWrap/>
            <w:vAlign w:val="bottom"/>
            <w:hideMark/>
          </w:tcPr>
          <w:p w14:paraId="3C23313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w:t>
            </w:r>
          </w:p>
        </w:tc>
        <w:tc>
          <w:tcPr>
            <w:tcW w:w="0" w:type="auto"/>
            <w:tcBorders>
              <w:top w:val="nil"/>
              <w:left w:val="nil"/>
              <w:bottom w:val="nil"/>
              <w:right w:val="single" w:sz="4" w:space="0" w:color="auto"/>
            </w:tcBorders>
            <w:shd w:val="clear" w:color="auto" w:fill="auto"/>
            <w:noWrap/>
            <w:vAlign w:val="bottom"/>
            <w:hideMark/>
          </w:tcPr>
          <w:p w14:paraId="2D24961A"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4.5%</w:t>
            </w:r>
          </w:p>
        </w:tc>
        <w:tc>
          <w:tcPr>
            <w:tcW w:w="0" w:type="auto"/>
            <w:tcBorders>
              <w:top w:val="nil"/>
              <w:left w:val="nil"/>
              <w:bottom w:val="nil"/>
              <w:right w:val="nil"/>
            </w:tcBorders>
            <w:shd w:val="clear" w:color="auto" w:fill="auto"/>
            <w:noWrap/>
            <w:vAlign w:val="bottom"/>
            <w:hideMark/>
          </w:tcPr>
          <w:p w14:paraId="6F9F2BF9"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14:paraId="4866E91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40.32%</w:t>
            </w:r>
          </w:p>
        </w:tc>
        <w:tc>
          <w:tcPr>
            <w:tcW w:w="0" w:type="auto"/>
            <w:tcBorders>
              <w:top w:val="nil"/>
              <w:left w:val="single" w:sz="4" w:space="0" w:color="auto"/>
              <w:bottom w:val="nil"/>
              <w:right w:val="nil"/>
            </w:tcBorders>
            <w:shd w:val="clear" w:color="auto" w:fill="auto"/>
            <w:noWrap/>
            <w:vAlign w:val="bottom"/>
            <w:hideMark/>
          </w:tcPr>
          <w:p w14:paraId="2F080386"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463</w:t>
            </w:r>
          </w:p>
        </w:tc>
        <w:tc>
          <w:tcPr>
            <w:tcW w:w="0" w:type="auto"/>
            <w:tcBorders>
              <w:top w:val="nil"/>
              <w:left w:val="nil"/>
              <w:bottom w:val="nil"/>
              <w:right w:val="single" w:sz="4" w:space="0" w:color="auto"/>
            </w:tcBorders>
            <w:shd w:val="clear" w:color="auto" w:fill="auto"/>
            <w:noWrap/>
            <w:vAlign w:val="bottom"/>
            <w:hideMark/>
          </w:tcPr>
          <w:p w14:paraId="617BF70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11.5%</w:t>
            </w:r>
          </w:p>
        </w:tc>
        <w:tc>
          <w:tcPr>
            <w:tcW w:w="0" w:type="auto"/>
            <w:tcBorders>
              <w:top w:val="nil"/>
              <w:left w:val="nil"/>
              <w:bottom w:val="nil"/>
              <w:right w:val="nil"/>
            </w:tcBorders>
            <w:shd w:val="clear" w:color="auto" w:fill="auto"/>
            <w:noWrap/>
            <w:vAlign w:val="bottom"/>
            <w:hideMark/>
          </w:tcPr>
          <w:p w14:paraId="6BC1C9F2"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0" w:type="auto"/>
            <w:tcBorders>
              <w:top w:val="nil"/>
              <w:left w:val="nil"/>
              <w:bottom w:val="nil"/>
              <w:right w:val="single" w:sz="4" w:space="0" w:color="auto"/>
            </w:tcBorders>
            <w:shd w:val="clear" w:color="auto" w:fill="auto"/>
            <w:noWrap/>
            <w:vAlign w:val="bottom"/>
            <w:hideMark/>
          </w:tcPr>
          <w:p w14:paraId="046D3E68"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53.85%</w:t>
            </w:r>
          </w:p>
        </w:tc>
      </w:tr>
      <w:tr w:rsidR="00A27212" w:rsidRPr="00E87E42" w14:paraId="63831190"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08AAF51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20-49</w:t>
            </w:r>
          </w:p>
        </w:tc>
        <w:tc>
          <w:tcPr>
            <w:tcW w:w="0" w:type="auto"/>
            <w:tcBorders>
              <w:top w:val="nil"/>
              <w:left w:val="nil"/>
              <w:bottom w:val="nil"/>
              <w:right w:val="nil"/>
            </w:tcBorders>
            <w:shd w:val="clear" w:color="auto" w:fill="auto"/>
            <w:noWrap/>
            <w:vAlign w:val="bottom"/>
            <w:hideMark/>
          </w:tcPr>
          <w:p w14:paraId="21884C58"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w:t>
            </w:r>
          </w:p>
        </w:tc>
        <w:tc>
          <w:tcPr>
            <w:tcW w:w="0" w:type="auto"/>
            <w:tcBorders>
              <w:top w:val="nil"/>
              <w:left w:val="nil"/>
              <w:bottom w:val="nil"/>
              <w:right w:val="single" w:sz="4" w:space="0" w:color="auto"/>
            </w:tcBorders>
            <w:shd w:val="clear" w:color="auto" w:fill="auto"/>
            <w:noWrap/>
            <w:vAlign w:val="bottom"/>
            <w:hideMark/>
          </w:tcPr>
          <w:p w14:paraId="04E5842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w:t>
            </w:r>
          </w:p>
        </w:tc>
        <w:tc>
          <w:tcPr>
            <w:tcW w:w="0" w:type="auto"/>
            <w:tcBorders>
              <w:top w:val="nil"/>
              <w:left w:val="nil"/>
              <w:bottom w:val="nil"/>
              <w:right w:val="nil"/>
            </w:tcBorders>
            <w:shd w:val="clear" w:color="auto" w:fill="auto"/>
            <w:noWrap/>
            <w:vAlign w:val="bottom"/>
            <w:hideMark/>
          </w:tcPr>
          <w:p w14:paraId="740C21EF"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0" w:type="auto"/>
            <w:tcBorders>
              <w:top w:val="nil"/>
              <w:left w:val="nil"/>
              <w:bottom w:val="nil"/>
              <w:right w:val="nil"/>
            </w:tcBorders>
            <w:shd w:val="clear" w:color="auto" w:fill="auto"/>
            <w:noWrap/>
            <w:vAlign w:val="bottom"/>
            <w:hideMark/>
          </w:tcPr>
          <w:p w14:paraId="107ED67F"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37.10%</w:t>
            </w:r>
          </w:p>
        </w:tc>
        <w:tc>
          <w:tcPr>
            <w:tcW w:w="0" w:type="auto"/>
            <w:tcBorders>
              <w:top w:val="nil"/>
              <w:left w:val="single" w:sz="4" w:space="0" w:color="auto"/>
              <w:bottom w:val="nil"/>
              <w:right w:val="nil"/>
            </w:tcBorders>
            <w:shd w:val="clear" w:color="auto" w:fill="auto"/>
            <w:noWrap/>
            <w:vAlign w:val="bottom"/>
            <w:hideMark/>
          </w:tcPr>
          <w:p w14:paraId="6CF78599"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430</w:t>
            </w:r>
          </w:p>
        </w:tc>
        <w:tc>
          <w:tcPr>
            <w:tcW w:w="0" w:type="auto"/>
            <w:tcBorders>
              <w:top w:val="nil"/>
              <w:left w:val="nil"/>
              <w:bottom w:val="nil"/>
              <w:right w:val="single" w:sz="4" w:space="0" w:color="auto"/>
            </w:tcBorders>
            <w:shd w:val="clear" w:color="auto" w:fill="auto"/>
            <w:noWrap/>
            <w:vAlign w:val="bottom"/>
            <w:hideMark/>
          </w:tcPr>
          <w:p w14:paraId="6ECD3903"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6.2%</w:t>
            </w:r>
          </w:p>
        </w:tc>
        <w:tc>
          <w:tcPr>
            <w:tcW w:w="0" w:type="auto"/>
            <w:tcBorders>
              <w:top w:val="nil"/>
              <w:left w:val="nil"/>
              <w:bottom w:val="nil"/>
              <w:right w:val="nil"/>
            </w:tcBorders>
            <w:shd w:val="clear" w:color="auto" w:fill="auto"/>
            <w:noWrap/>
            <w:vAlign w:val="bottom"/>
            <w:hideMark/>
          </w:tcPr>
          <w:p w14:paraId="521120C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w:t>
            </w:r>
          </w:p>
        </w:tc>
        <w:tc>
          <w:tcPr>
            <w:tcW w:w="0" w:type="auto"/>
            <w:tcBorders>
              <w:top w:val="nil"/>
              <w:left w:val="nil"/>
              <w:bottom w:val="nil"/>
              <w:right w:val="single" w:sz="4" w:space="0" w:color="auto"/>
            </w:tcBorders>
            <w:shd w:val="clear" w:color="auto" w:fill="auto"/>
            <w:noWrap/>
            <w:vAlign w:val="bottom"/>
            <w:hideMark/>
          </w:tcPr>
          <w:p w14:paraId="762423E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40.66%</w:t>
            </w:r>
          </w:p>
        </w:tc>
      </w:tr>
      <w:tr w:rsidR="00A27212" w:rsidRPr="00E87E42" w14:paraId="6ABE0ED6"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3645B2D4"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50-99</w:t>
            </w:r>
          </w:p>
        </w:tc>
        <w:tc>
          <w:tcPr>
            <w:tcW w:w="0" w:type="auto"/>
            <w:tcBorders>
              <w:top w:val="nil"/>
              <w:left w:val="nil"/>
              <w:bottom w:val="nil"/>
              <w:right w:val="nil"/>
            </w:tcBorders>
            <w:shd w:val="clear" w:color="auto" w:fill="auto"/>
            <w:noWrap/>
            <w:vAlign w:val="bottom"/>
            <w:hideMark/>
          </w:tcPr>
          <w:p w14:paraId="2AEA4FF9"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0" w:type="auto"/>
            <w:tcBorders>
              <w:top w:val="nil"/>
              <w:left w:val="nil"/>
              <w:bottom w:val="nil"/>
              <w:right w:val="single" w:sz="4" w:space="0" w:color="auto"/>
            </w:tcBorders>
            <w:shd w:val="clear" w:color="auto" w:fill="auto"/>
            <w:noWrap/>
            <w:vAlign w:val="bottom"/>
            <w:hideMark/>
          </w:tcPr>
          <w:p w14:paraId="7A0ADEF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nil"/>
              <w:right w:val="nil"/>
            </w:tcBorders>
            <w:shd w:val="clear" w:color="auto" w:fill="auto"/>
            <w:noWrap/>
            <w:vAlign w:val="bottom"/>
            <w:hideMark/>
          </w:tcPr>
          <w:p w14:paraId="0E17BB7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14:paraId="3F7E8324"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30.65%</w:t>
            </w:r>
          </w:p>
        </w:tc>
        <w:tc>
          <w:tcPr>
            <w:tcW w:w="0" w:type="auto"/>
            <w:tcBorders>
              <w:top w:val="nil"/>
              <w:left w:val="single" w:sz="4" w:space="0" w:color="auto"/>
              <w:bottom w:val="nil"/>
              <w:right w:val="nil"/>
            </w:tcBorders>
            <w:shd w:val="clear" w:color="auto" w:fill="auto"/>
            <w:noWrap/>
            <w:vAlign w:val="bottom"/>
            <w:hideMark/>
          </w:tcPr>
          <w:p w14:paraId="7379D28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221</w:t>
            </w:r>
          </w:p>
        </w:tc>
        <w:tc>
          <w:tcPr>
            <w:tcW w:w="0" w:type="auto"/>
            <w:tcBorders>
              <w:top w:val="nil"/>
              <w:left w:val="nil"/>
              <w:bottom w:val="nil"/>
              <w:right w:val="single" w:sz="4" w:space="0" w:color="auto"/>
            </w:tcBorders>
            <w:shd w:val="clear" w:color="auto" w:fill="auto"/>
            <w:noWrap/>
            <w:vAlign w:val="bottom"/>
            <w:hideMark/>
          </w:tcPr>
          <w:p w14:paraId="238F0FDD"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3.5%</w:t>
            </w:r>
          </w:p>
        </w:tc>
        <w:tc>
          <w:tcPr>
            <w:tcW w:w="0" w:type="auto"/>
            <w:tcBorders>
              <w:top w:val="nil"/>
              <w:left w:val="nil"/>
              <w:bottom w:val="nil"/>
              <w:right w:val="nil"/>
            </w:tcBorders>
            <w:shd w:val="clear" w:color="auto" w:fill="auto"/>
            <w:noWrap/>
            <w:vAlign w:val="bottom"/>
            <w:hideMark/>
          </w:tcPr>
          <w:p w14:paraId="4260646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w:t>
            </w:r>
          </w:p>
        </w:tc>
        <w:tc>
          <w:tcPr>
            <w:tcW w:w="0" w:type="auto"/>
            <w:tcBorders>
              <w:top w:val="nil"/>
              <w:left w:val="nil"/>
              <w:bottom w:val="nil"/>
              <w:right w:val="single" w:sz="4" w:space="0" w:color="auto"/>
            </w:tcBorders>
            <w:shd w:val="clear" w:color="auto" w:fill="auto"/>
            <w:noWrap/>
            <w:vAlign w:val="bottom"/>
            <w:hideMark/>
          </w:tcPr>
          <w:p w14:paraId="06F7C7F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28.57%</w:t>
            </w:r>
          </w:p>
        </w:tc>
      </w:tr>
      <w:tr w:rsidR="00A27212" w:rsidRPr="00E87E42" w14:paraId="4B123DA0"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184C20F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100-199</w:t>
            </w:r>
          </w:p>
        </w:tc>
        <w:tc>
          <w:tcPr>
            <w:tcW w:w="0" w:type="auto"/>
            <w:tcBorders>
              <w:top w:val="nil"/>
              <w:left w:val="nil"/>
              <w:bottom w:val="nil"/>
              <w:right w:val="nil"/>
            </w:tcBorders>
            <w:shd w:val="clear" w:color="auto" w:fill="auto"/>
            <w:noWrap/>
            <w:vAlign w:val="bottom"/>
            <w:hideMark/>
          </w:tcPr>
          <w:p w14:paraId="3B99EC9D"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single" w:sz="4" w:space="0" w:color="auto"/>
            </w:tcBorders>
            <w:shd w:val="clear" w:color="auto" w:fill="auto"/>
            <w:noWrap/>
            <w:vAlign w:val="bottom"/>
            <w:hideMark/>
          </w:tcPr>
          <w:p w14:paraId="1B171C0D"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nil"/>
              <w:right w:val="nil"/>
            </w:tcBorders>
            <w:shd w:val="clear" w:color="auto" w:fill="auto"/>
            <w:noWrap/>
            <w:vAlign w:val="bottom"/>
            <w:hideMark/>
          </w:tcPr>
          <w:p w14:paraId="609BF078"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0" w:type="auto"/>
            <w:tcBorders>
              <w:top w:val="nil"/>
              <w:left w:val="nil"/>
              <w:bottom w:val="nil"/>
              <w:right w:val="nil"/>
            </w:tcBorders>
            <w:shd w:val="clear" w:color="auto" w:fill="auto"/>
            <w:noWrap/>
            <w:vAlign w:val="bottom"/>
            <w:hideMark/>
          </w:tcPr>
          <w:p w14:paraId="59650BF3"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25.81%</w:t>
            </w:r>
          </w:p>
        </w:tc>
        <w:tc>
          <w:tcPr>
            <w:tcW w:w="0" w:type="auto"/>
            <w:tcBorders>
              <w:top w:val="nil"/>
              <w:left w:val="single" w:sz="4" w:space="0" w:color="auto"/>
              <w:bottom w:val="nil"/>
              <w:right w:val="nil"/>
            </w:tcBorders>
            <w:shd w:val="clear" w:color="auto" w:fill="auto"/>
            <w:noWrap/>
            <w:vAlign w:val="bottom"/>
            <w:hideMark/>
          </w:tcPr>
          <w:p w14:paraId="148859BF"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127</w:t>
            </w:r>
          </w:p>
        </w:tc>
        <w:tc>
          <w:tcPr>
            <w:tcW w:w="0" w:type="auto"/>
            <w:tcBorders>
              <w:top w:val="nil"/>
              <w:left w:val="nil"/>
              <w:bottom w:val="nil"/>
              <w:right w:val="single" w:sz="4" w:space="0" w:color="auto"/>
            </w:tcBorders>
            <w:shd w:val="clear" w:color="auto" w:fill="auto"/>
            <w:noWrap/>
            <w:vAlign w:val="bottom"/>
            <w:hideMark/>
          </w:tcPr>
          <w:p w14:paraId="4DE7C083"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w:t>
            </w:r>
          </w:p>
        </w:tc>
        <w:tc>
          <w:tcPr>
            <w:tcW w:w="0" w:type="auto"/>
            <w:tcBorders>
              <w:top w:val="nil"/>
              <w:left w:val="nil"/>
              <w:bottom w:val="nil"/>
              <w:right w:val="nil"/>
            </w:tcBorders>
            <w:shd w:val="clear" w:color="auto" w:fill="auto"/>
            <w:noWrap/>
            <w:vAlign w:val="bottom"/>
            <w:hideMark/>
          </w:tcPr>
          <w:p w14:paraId="4ED15069"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w:t>
            </w:r>
          </w:p>
        </w:tc>
        <w:tc>
          <w:tcPr>
            <w:tcW w:w="0" w:type="auto"/>
            <w:tcBorders>
              <w:top w:val="nil"/>
              <w:left w:val="nil"/>
              <w:bottom w:val="nil"/>
              <w:right w:val="single" w:sz="4" w:space="0" w:color="auto"/>
            </w:tcBorders>
            <w:shd w:val="clear" w:color="auto" w:fill="auto"/>
            <w:noWrap/>
            <w:vAlign w:val="bottom"/>
            <w:hideMark/>
          </w:tcPr>
          <w:p w14:paraId="4F06986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21.98%</w:t>
            </w:r>
          </w:p>
        </w:tc>
      </w:tr>
      <w:tr w:rsidR="00A27212" w:rsidRPr="00E87E42" w14:paraId="70594940"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15D30D87"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200-499</w:t>
            </w:r>
          </w:p>
        </w:tc>
        <w:tc>
          <w:tcPr>
            <w:tcW w:w="0" w:type="auto"/>
            <w:tcBorders>
              <w:top w:val="nil"/>
              <w:left w:val="nil"/>
              <w:bottom w:val="nil"/>
              <w:right w:val="nil"/>
            </w:tcBorders>
            <w:shd w:val="clear" w:color="auto" w:fill="auto"/>
            <w:noWrap/>
            <w:vAlign w:val="bottom"/>
            <w:hideMark/>
          </w:tcPr>
          <w:p w14:paraId="5CBAA4D2"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single" w:sz="4" w:space="0" w:color="auto"/>
            </w:tcBorders>
            <w:shd w:val="clear" w:color="auto" w:fill="auto"/>
            <w:noWrap/>
            <w:vAlign w:val="bottom"/>
            <w:hideMark/>
          </w:tcPr>
          <w:p w14:paraId="7F51EFA4"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nil"/>
              <w:right w:val="nil"/>
            </w:tcBorders>
            <w:shd w:val="clear" w:color="auto" w:fill="auto"/>
            <w:noWrap/>
            <w:vAlign w:val="bottom"/>
            <w:hideMark/>
          </w:tcPr>
          <w:p w14:paraId="0563613D"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w:t>
            </w:r>
          </w:p>
        </w:tc>
        <w:tc>
          <w:tcPr>
            <w:tcW w:w="0" w:type="auto"/>
            <w:tcBorders>
              <w:top w:val="nil"/>
              <w:left w:val="nil"/>
              <w:bottom w:val="nil"/>
              <w:right w:val="nil"/>
            </w:tcBorders>
            <w:shd w:val="clear" w:color="auto" w:fill="auto"/>
            <w:noWrap/>
            <w:vAlign w:val="bottom"/>
            <w:hideMark/>
          </w:tcPr>
          <w:p w14:paraId="509621F9"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16.13%</w:t>
            </w:r>
          </w:p>
        </w:tc>
        <w:tc>
          <w:tcPr>
            <w:tcW w:w="0" w:type="auto"/>
            <w:tcBorders>
              <w:top w:val="nil"/>
              <w:left w:val="single" w:sz="4" w:space="0" w:color="auto"/>
              <w:bottom w:val="nil"/>
              <w:right w:val="nil"/>
            </w:tcBorders>
            <w:shd w:val="clear" w:color="auto" w:fill="auto"/>
            <w:noWrap/>
            <w:vAlign w:val="bottom"/>
            <w:hideMark/>
          </w:tcPr>
          <w:p w14:paraId="2AA22BD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w:t>
            </w:r>
          </w:p>
        </w:tc>
        <w:tc>
          <w:tcPr>
            <w:tcW w:w="0" w:type="auto"/>
            <w:tcBorders>
              <w:top w:val="nil"/>
              <w:left w:val="nil"/>
              <w:bottom w:val="nil"/>
              <w:right w:val="single" w:sz="4" w:space="0" w:color="auto"/>
            </w:tcBorders>
            <w:shd w:val="clear" w:color="auto" w:fill="auto"/>
            <w:noWrap/>
            <w:vAlign w:val="bottom"/>
            <w:hideMark/>
          </w:tcPr>
          <w:p w14:paraId="2A79B865"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0.8%</w:t>
            </w:r>
          </w:p>
        </w:tc>
        <w:tc>
          <w:tcPr>
            <w:tcW w:w="0" w:type="auto"/>
            <w:tcBorders>
              <w:top w:val="nil"/>
              <w:left w:val="nil"/>
              <w:bottom w:val="nil"/>
              <w:right w:val="nil"/>
            </w:tcBorders>
            <w:shd w:val="clear" w:color="auto" w:fill="auto"/>
            <w:noWrap/>
            <w:vAlign w:val="bottom"/>
            <w:hideMark/>
          </w:tcPr>
          <w:p w14:paraId="1AA3BEE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w:t>
            </w:r>
          </w:p>
        </w:tc>
        <w:tc>
          <w:tcPr>
            <w:tcW w:w="0" w:type="auto"/>
            <w:tcBorders>
              <w:top w:val="nil"/>
              <w:left w:val="nil"/>
              <w:bottom w:val="nil"/>
              <w:right w:val="single" w:sz="4" w:space="0" w:color="auto"/>
            </w:tcBorders>
            <w:shd w:val="clear" w:color="auto" w:fill="auto"/>
            <w:noWrap/>
            <w:vAlign w:val="bottom"/>
            <w:hideMark/>
          </w:tcPr>
          <w:p w14:paraId="16DE7C75"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6.59%</w:t>
            </w:r>
          </w:p>
        </w:tc>
      </w:tr>
      <w:tr w:rsidR="00A27212" w:rsidRPr="00E87E42" w14:paraId="0D62E0B1"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2C5C17A9"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500-999</w:t>
            </w:r>
          </w:p>
        </w:tc>
        <w:tc>
          <w:tcPr>
            <w:tcW w:w="0" w:type="auto"/>
            <w:tcBorders>
              <w:top w:val="nil"/>
              <w:left w:val="nil"/>
              <w:bottom w:val="nil"/>
              <w:right w:val="nil"/>
            </w:tcBorders>
            <w:shd w:val="clear" w:color="auto" w:fill="auto"/>
            <w:noWrap/>
            <w:vAlign w:val="bottom"/>
            <w:hideMark/>
          </w:tcPr>
          <w:p w14:paraId="6404682A"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single" w:sz="4" w:space="0" w:color="auto"/>
            </w:tcBorders>
            <w:shd w:val="clear" w:color="auto" w:fill="auto"/>
            <w:noWrap/>
            <w:vAlign w:val="bottom"/>
            <w:hideMark/>
          </w:tcPr>
          <w:p w14:paraId="181CEED3"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nil"/>
              <w:right w:val="nil"/>
            </w:tcBorders>
            <w:shd w:val="clear" w:color="auto" w:fill="auto"/>
            <w:noWrap/>
            <w:vAlign w:val="bottom"/>
            <w:hideMark/>
          </w:tcPr>
          <w:p w14:paraId="2902C6C8"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14:paraId="6A90ADF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16.13%</w:t>
            </w:r>
          </w:p>
        </w:tc>
        <w:tc>
          <w:tcPr>
            <w:tcW w:w="0" w:type="auto"/>
            <w:tcBorders>
              <w:top w:val="nil"/>
              <w:left w:val="single" w:sz="4" w:space="0" w:color="auto"/>
              <w:bottom w:val="nil"/>
              <w:right w:val="nil"/>
            </w:tcBorders>
            <w:shd w:val="clear" w:color="auto" w:fill="auto"/>
            <w:noWrap/>
            <w:vAlign w:val="bottom"/>
            <w:hideMark/>
          </w:tcPr>
          <w:p w14:paraId="4B6F99C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w:t>
            </w:r>
          </w:p>
        </w:tc>
        <w:tc>
          <w:tcPr>
            <w:tcW w:w="0" w:type="auto"/>
            <w:tcBorders>
              <w:top w:val="nil"/>
              <w:left w:val="nil"/>
              <w:bottom w:val="nil"/>
              <w:right w:val="single" w:sz="4" w:space="0" w:color="auto"/>
            </w:tcBorders>
            <w:shd w:val="clear" w:color="auto" w:fill="auto"/>
            <w:noWrap/>
            <w:vAlign w:val="bottom"/>
            <w:hideMark/>
          </w:tcPr>
          <w:p w14:paraId="136A4899"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0.4%</w:t>
            </w:r>
          </w:p>
        </w:tc>
        <w:tc>
          <w:tcPr>
            <w:tcW w:w="0" w:type="auto"/>
            <w:tcBorders>
              <w:top w:val="nil"/>
              <w:left w:val="nil"/>
              <w:bottom w:val="nil"/>
              <w:right w:val="nil"/>
            </w:tcBorders>
            <w:shd w:val="clear" w:color="auto" w:fill="auto"/>
            <w:noWrap/>
            <w:vAlign w:val="bottom"/>
            <w:hideMark/>
          </w:tcPr>
          <w:p w14:paraId="6F6FD3FF"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0" w:type="auto"/>
            <w:tcBorders>
              <w:top w:val="nil"/>
              <w:left w:val="nil"/>
              <w:bottom w:val="nil"/>
              <w:right w:val="single" w:sz="4" w:space="0" w:color="auto"/>
            </w:tcBorders>
            <w:shd w:val="clear" w:color="auto" w:fill="auto"/>
            <w:noWrap/>
            <w:vAlign w:val="bottom"/>
            <w:hideMark/>
          </w:tcPr>
          <w:p w14:paraId="3024C33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4.40%</w:t>
            </w:r>
          </w:p>
        </w:tc>
      </w:tr>
      <w:tr w:rsidR="00A27212" w:rsidRPr="00E87E42" w14:paraId="6F746776" w14:textId="77777777" w:rsidTr="00A2721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529E8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 and above</w:t>
            </w:r>
          </w:p>
        </w:tc>
        <w:tc>
          <w:tcPr>
            <w:tcW w:w="0" w:type="auto"/>
            <w:tcBorders>
              <w:top w:val="nil"/>
              <w:left w:val="nil"/>
              <w:bottom w:val="single" w:sz="4" w:space="0" w:color="auto"/>
              <w:right w:val="nil"/>
            </w:tcBorders>
            <w:shd w:val="clear" w:color="auto" w:fill="auto"/>
            <w:noWrap/>
            <w:vAlign w:val="bottom"/>
            <w:hideMark/>
          </w:tcPr>
          <w:p w14:paraId="6D9750D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bottom"/>
            <w:hideMark/>
          </w:tcPr>
          <w:p w14:paraId="6104443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single" w:sz="4" w:space="0" w:color="auto"/>
              <w:right w:val="nil"/>
            </w:tcBorders>
            <w:shd w:val="clear" w:color="auto" w:fill="auto"/>
            <w:noWrap/>
            <w:vAlign w:val="bottom"/>
            <w:hideMark/>
          </w:tcPr>
          <w:p w14:paraId="7BBA7142"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w:t>
            </w:r>
          </w:p>
        </w:tc>
        <w:tc>
          <w:tcPr>
            <w:tcW w:w="0" w:type="auto"/>
            <w:tcBorders>
              <w:top w:val="nil"/>
              <w:left w:val="nil"/>
              <w:bottom w:val="single" w:sz="4" w:space="0" w:color="auto"/>
              <w:right w:val="nil"/>
            </w:tcBorders>
            <w:shd w:val="clear" w:color="auto" w:fill="auto"/>
            <w:noWrap/>
            <w:vAlign w:val="bottom"/>
            <w:hideMark/>
          </w:tcPr>
          <w:p w14:paraId="3A97EB69"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0" w:type="auto"/>
            <w:tcBorders>
              <w:top w:val="nil"/>
              <w:left w:val="single" w:sz="4" w:space="0" w:color="auto"/>
              <w:bottom w:val="single" w:sz="4" w:space="0" w:color="auto"/>
              <w:right w:val="nil"/>
            </w:tcBorders>
            <w:shd w:val="clear" w:color="auto" w:fill="auto"/>
            <w:noWrap/>
            <w:vAlign w:val="bottom"/>
            <w:hideMark/>
          </w:tcPr>
          <w:p w14:paraId="712EED7D"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w:t>
            </w:r>
          </w:p>
        </w:tc>
        <w:tc>
          <w:tcPr>
            <w:tcW w:w="0" w:type="auto"/>
            <w:tcBorders>
              <w:top w:val="nil"/>
              <w:left w:val="nil"/>
              <w:bottom w:val="single" w:sz="4" w:space="0" w:color="auto"/>
              <w:right w:val="single" w:sz="4" w:space="0" w:color="auto"/>
            </w:tcBorders>
            <w:shd w:val="clear" w:color="auto" w:fill="auto"/>
            <w:noWrap/>
            <w:vAlign w:val="bottom"/>
            <w:hideMark/>
          </w:tcPr>
          <w:p w14:paraId="3059C627"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single" w:sz="4" w:space="0" w:color="auto"/>
              <w:right w:val="nil"/>
            </w:tcBorders>
            <w:shd w:val="clear" w:color="auto" w:fill="auto"/>
            <w:noWrap/>
            <w:vAlign w:val="bottom"/>
            <w:hideMark/>
          </w:tcPr>
          <w:p w14:paraId="7F1395D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0" w:type="auto"/>
            <w:tcBorders>
              <w:top w:val="nil"/>
              <w:left w:val="nil"/>
              <w:bottom w:val="single" w:sz="4" w:space="0" w:color="auto"/>
              <w:right w:val="single" w:sz="4" w:space="0" w:color="auto"/>
            </w:tcBorders>
            <w:shd w:val="clear" w:color="auto" w:fill="auto"/>
            <w:noWrap/>
            <w:vAlign w:val="bottom"/>
            <w:hideMark/>
          </w:tcPr>
          <w:p w14:paraId="2D674FFD"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r>
      <w:tr w:rsidR="00A27212" w:rsidRPr="00E87E42" w14:paraId="55EF1DEE" w14:textId="77777777" w:rsidTr="00A27212">
        <w:trPr>
          <w:trHeight w:val="170"/>
        </w:trPr>
        <w:tc>
          <w:tcPr>
            <w:tcW w:w="0" w:type="auto"/>
            <w:tcBorders>
              <w:top w:val="nil"/>
              <w:left w:val="nil"/>
              <w:bottom w:val="nil"/>
              <w:right w:val="nil"/>
            </w:tcBorders>
            <w:shd w:val="clear" w:color="auto" w:fill="auto"/>
            <w:noWrap/>
            <w:vAlign w:val="bottom"/>
            <w:hideMark/>
          </w:tcPr>
          <w:p w14:paraId="5FB20FCD" w14:textId="77777777" w:rsidR="00A27212" w:rsidRPr="00E87E42" w:rsidRDefault="00A27212" w:rsidP="00A27212">
            <w:pPr>
              <w:spacing w:after="0" w:line="240" w:lineRule="auto"/>
              <w:jc w:val="center"/>
              <w:rPr>
                <w:rFonts w:eastAsia="Times New Roman"/>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000000" w:fill="FF0000"/>
            <w:noWrap/>
            <w:vAlign w:val="bottom"/>
            <w:hideMark/>
          </w:tcPr>
          <w:p w14:paraId="4D152814"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223</w:t>
            </w:r>
          </w:p>
        </w:tc>
        <w:tc>
          <w:tcPr>
            <w:tcW w:w="0" w:type="auto"/>
            <w:tcBorders>
              <w:top w:val="nil"/>
              <w:left w:val="nil"/>
              <w:bottom w:val="nil"/>
              <w:right w:val="nil"/>
            </w:tcBorders>
            <w:shd w:val="clear" w:color="auto" w:fill="auto"/>
            <w:noWrap/>
            <w:vAlign w:val="bottom"/>
            <w:hideMark/>
          </w:tcPr>
          <w:p w14:paraId="3FAF63BA" w14:textId="77777777" w:rsidR="00A27212" w:rsidRPr="00E87E42" w:rsidRDefault="00A27212" w:rsidP="00A27212">
            <w:pPr>
              <w:spacing w:after="0" w:line="240" w:lineRule="auto"/>
              <w:jc w:val="center"/>
              <w:rPr>
                <w:rFonts w:eastAsia="Times New Roman"/>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91B5F4"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62</w:t>
            </w:r>
          </w:p>
        </w:tc>
        <w:tc>
          <w:tcPr>
            <w:tcW w:w="0" w:type="auto"/>
            <w:tcBorders>
              <w:top w:val="nil"/>
              <w:left w:val="nil"/>
              <w:bottom w:val="nil"/>
              <w:right w:val="nil"/>
            </w:tcBorders>
            <w:shd w:val="clear" w:color="auto" w:fill="auto"/>
            <w:noWrap/>
            <w:vAlign w:val="bottom"/>
            <w:hideMark/>
          </w:tcPr>
          <w:p w14:paraId="5EFE343F" w14:textId="77777777" w:rsidR="00A27212" w:rsidRPr="00E87E42" w:rsidRDefault="00A27212" w:rsidP="00A27212">
            <w:pPr>
              <w:spacing w:after="0" w:line="240" w:lineRule="auto"/>
              <w:jc w:val="center"/>
              <w:rPr>
                <w:rFonts w:eastAsia="Times New Roman"/>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273039"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8207</w:t>
            </w:r>
          </w:p>
        </w:tc>
        <w:tc>
          <w:tcPr>
            <w:tcW w:w="0" w:type="auto"/>
            <w:tcBorders>
              <w:top w:val="nil"/>
              <w:left w:val="nil"/>
              <w:bottom w:val="nil"/>
              <w:right w:val="nil"/>
            </w:tcBorders>
            <w:shd w:val="clear" w:color="auto" w:fill="auto"/>
            <w:noWrap/>
            <w:vAlign w:val="bottom"/>
            <w:hideMark/>
          </w:tcPr>
          <w:p w14:paraId="4F71E4A8" w14:textId="77777777" w:rsidR="00A27212" w:rsidRPr="00E87E42" w:rsidRDefault="00A27212" w:rsidP="00A27212">
            <w:pPr>
              <w:spacing w:after="0" w:line="240" w:lineRule="auto"/>
              <w:jc w:val="center"/>
              <w:rPr>
                <w:rFonts w:eastAsia="Times New Roman"/>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5DD4B9"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91</w:t>
            </w:r>
          </w:p>
        </w:tc>
        <w:tc>
          <w:tcPr>
            <w:tcW w:w="0" w:type="auto"/>
            <w:tcBorders>
              <w:top w:val="nil"/>
              <w:left w:val="nil"/>
              <w:bottom w:val="nil"/>
              <w:right w:val="nil"/>
            </w:tcBorders>
            <w:shd w:val="clear" w:color="auto" w:fill="auto"/>
            <w:noWrap/>
            <w:vAlign w:val="bottom"/>
            <w:hideMark/>
          </w:tcPr>
          <w:p w14:paraId="2DB6B94A" w14:textId="77777777" w:rsidR="00A27212" w:rsidRPr="00E87E42" w:rsidRDefault="00A27212" w:rsidP="00A27212">
            <w:pPr>
              <w:spacing w:after="0" w:line="240" w:lineRule="auto"/>
              <w:jc w:val="center"/>
              <w:rPr>
                <w:rFonts w:eastAsia="Times New Roman"/>
                <w:color w:val="000000"/>
                <w:sz w:val="16"/>
                <w:szCs w:val="16"/>
                <w:lang w:eastAsia="en-GB"/>
              </w:rPr>
            </w:pPr>
          </w:p>
        </w:tc>
      </w:tr>
      <w:tr w:rsidR="00A27212" w:rsidRPr="00E87E42" w14:paraId="45CBEB20" w14:textId="77777777" w:rsidTr="00A27212">
        <w:trPr>
          <w:trHeight w:val="170"/>
        </w:trPr>
        <w:tc>
          <w:tcPr>
            <w:tcW w:w="0" w:type="auto"/>
            <w:tcBorders>
              <w:top w:val="nil"/>
              <w:left w:val="nil"/>
              <w:bottom w:val="nil"/>
              <w:right w:val="nil"/>
            </w:tcBorders>
            <w:shd w:val="clear" w:color="auto" w:fill="auto"/>
            <w:noWrap/>
            <w:vAlign w:val="bottom"/>
            <w:hideMark/>
          </w:tcPr>
          <w:p w14:paraId="515C0954" w14:textId="77777777" w:rsidR="00A27212" w:rsidRPr="00E87E42" w:rsidRDefault="00A27212" w:rsidP="00A27212">
            <w:pPr>
              <w:spacing w:after="0" w:line="240" w:lineRule="auto"/>
              <w:jc w:val="center"/>
              <w:rPr>
                <w:rFonts w:eastAsia="Times New Roman"/>
                <w:sz w:val="16"/>
                <w:szCs w:val="16"/>
                <w:lang w:eastAsia="en-GB"/>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EBB7F" w14:textId="77777777" w:rsidR="00A27212" w:rsidRPr="00E87E42" w:rsidRDefault="00A27212" w:rsidP="00A27212">
            <w:pPr>
              <w:spacing w:after="0" w:line="240" w:lineRule="auto"/>
              <w:jc w:val="center"/>
              <w:rPr>
                <w:rFonts w:eastAsia="Times New Roman"/>
                <w:b/>
                <w:color w:val="000000"/>
                <w:sz w:val="16"/>
                <w:szCs w:val="16"/>
                <w:u w:val="single"/>
                <w:lang w:eastAsia="en-GB"/>
              </w:rPr>
            </w:pPr>
            <w:r w:rsidRPr="00E87E42">
              <w:rPr>
                <w:rFonts w:eastAsia="Times New Roman"/>
                <w:b/>
                <w:color w:val="000000"/>
                <w:sz w:val="16"/>
                <w:szCs w:val="16"/>
                <w:u w:val="single"/>
                <w:lang w:eastAsia="en-GB"/>
              </w:rPr>
              <w:t>Storage Areas</w:t>
            </w:r>
          </w:p>
        </w:tc>
      </w:tr>
      <w:tr w:rsidR="00A27212" w:rsidRPr="00E87E42" w14:paraId="32541C94" w14:textId="77777777" w:rsidTr="00A27212">
        <w:trPr>
          <w:trHeight w:val="170"/>
        </w:trPr>
        <w:tc>
          <w:tcPr>
            <w:tcW w:w="0" w:type="auto"/>
            <w:tcBorders>
              <w:top w:val="nil"/>
              <w:left w:val="nil"/>
              <w:bottom w:val="nil"/>
              <w:right w:val="nil"/>
            </w:tcBorders>
            <w:shd w:val="clear" w:color="auto" w:fill="auto"/>
            <w:noWrap/>
            <w:vAlign w:val="bottom"/>
            <w:hideMark/>
          </w:tcPr>
          <w:p w14:paraId="3B080B5C" w14:textId="77777777" w:rsidR="00A27212" w:rsidRPr="00E87E42" w:rsidRDefault="00A27212" w:rsidP="00A27212">
            <w:pPr>
              <w:spacing w:after="0" w:line="240" w:lineRule="auto"/>
              <w:jc w:val="center"/>
              <w:rPr>
                <w:rFonts w:eastAsia="Times New Roman"/>
                <w:color w:val="000000"/>
                <w:sz w:val="16"/>
                <w:szCs w:val="16"/>
                <w:lang w:eastAsia="en-GB"/>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88F01" w14:textId="77777777" w:rsidR="00A27212" w:rsidRPr="00E87E42" w:rsidRDefault="00A27212" w:rsidP="00A2721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Sprinklers</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6382F73F" w14:textId="77777777" w:rsidR="00A27212" w:rsidRPr="00E87E42" w:rsidRDefault="00A27212" w:rsidP="00A2721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No sprinklers</w:t>
            </w:r>
          </w:p>
        </w:tc>
      </w:tr>
      <w:tr w:rsidR="00A27212" w:rsidRPr="00E87E42" w14:paraId="3009A698" w14:textId="77777777" w:rsidTr="00A27212">
        <w:trPr>
          <w:trHeight w:val="170"/>
        </w:trPr>
        <w:tc>
          <w:tcPr>
            <w:tcW w:w="0" w:type="auto"/>
            <w:tcBorders>
              <w:top w:val="nil"/>
              <w:left w:val="nil"/>
              <w:bottom w:val="nil"/>
              <w:right w:val="nil"/>
            </w:tcBorders>
            <w:shd w:val="clear" w:color="auto" w:fill="auto"/>
            <w:noWrap/>
            <w:vAlign w:val="bottom"/>
            <w:hideMark/>
          </w:tcPr>
          <w:p w14:paraId="5FD93ACC" w14:textId="77777777" w:rsidR="00A27212" w:rsidRPr="00E87E42" w:rsidRDefault="00A27212" w:rsidP="00A27212">
            <w:pPr>
              <w:spacing w:after="0" w:line="240" w:lineRule="auto"/>
              <w:jc w:val="center"/>
              <w:rPr>
                <w:rFonts w:eastAsia="Times New Roman"/>
                <w:color w:val="000000"/>
                <w:sz w:val="16"/>
                <w:szCs w:val="16"/>
                <w:lang w:eastAsia="en-GB"/>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1869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 7974-7</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4843613"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 data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F1B6917"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 7974-7</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99B90A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 data</w:t>
            </w:r>
          </w:p>
        </w:tc>
      </w:tr>
      <w:tr w:rsidR="00A27212" w:rsidRPr="00E87E42" w14:paraId="1EE3F4EA" w14:textId="77777777" w:rsidTr="00A27212">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8F114"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Area damage (m</w:t>
            </w:r>
            <w:r w:rsidRPr="00E87E42">
              <w:rPr>
                <w:rFonts w:eastAsia="Times New Roman"/>
                <w:color w:val="000000"/>
                <w:sz w:val="16"/>
                <w:szCs w:val="16"/>
                <w:vertAlign w:val="superscript"/>
                <w:lang w:eastAsia="en-GB"/>
              </w:rPr>
              <w:t>2</w:t>
            </w:r>
            <w:r w:rsidRPr="00E87E42">
              <w:rPr>
                <w:rFonts w:eastAsia="Times New Roman"/>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725580A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n of fires</w:t>
            </w:r>
          </w:p>
        </w:tc>
        <w:tc>
          <w:tcPr>
            <w:tcW w:w="0" w:type="auto"/>
            <w:tcBorders>
              <w:top w:val="nil"/>
              <w:left w:val="nil"/>
              <w:bottom w:val="single" w:sz="4" w:space="0" w:color="auto"/>
              <w:right w:val="single" w:sz="4" w:space="0" w:color="auto"/>
            </w:tcBorders>
            <w:shd w:val="clear" w:color="auto" w:fill="auto"/>
            <w:noWrap/>
            <w:vAlign w:val="bottom"/>
            <w:hideMark/>
          </w:tcPr>
          <w:p w14:paraId="55347DC6"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fire exceeding upper limit</w:t>
            </w:r>
          </w:p>
        </w:tc>
        <w:tc>
          <w:tcPr>
            <w:tcW w:w="0" w:type="auto"/>
            <w:tcBorders>
              <w:top w:val="nil"/>
              <w:left w:val="nil"/>
              <w:bottom w:val="single" w:sz="4" w:space="0" w:color="auto"/>
              <w:right w:val="single" w:sz="4" w:space="0" w:color="auto"/>
            </w:tcBorders>
            <w:shd w:val="clear" w:color="auto" w:fill="auto"/>
            <w:noWrap/>
            <w:vAlign w:val="bottom"/>
            <w:hideMark/>
          </w:tcPr>
          <w:p w14:paraId="59C9F45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n of fires</w:t>
            </w:r>
          </w:p>
        </w:tc>
        <w:tc>
          <w:tcPr>
            <w:tcW w:w="0" w:type="auto"/>
            <w:tcBorders>
              <w:top w:val="nil"/>
              <w:left w:val="nil"/>
              <w:bottom w:val="single" w:sz="4" w:space="0" w:color="auto"/>
              <w:right w:val="single" w:sz="4" w:space="0" w:color="auto"/>
            </w:tcBorders>
            <w:shd w:val="clear" w:color="auto" w:fill="auto"/>
            <w:noWrap/>
            <w:vAlign w:val="bottom"/>
            <w:hideMark/>
          </w:tcPr>
          <w:p w14:paraId="33AE83A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fire exceeding upper limit</w:t>
            </w:r>
          </w:p>
        </w:tc>
        <w:tc>
          <w:tcPr>
            <w:tcW w:w="0" w:type="auto"/>
            <w:tcBorders>
              <w:top w:val="nil"/>
              <w:left w:val="nil"/>
              <w:bottom w:val="single" w:sz="4" w:space="0" w:color="auto"/>
              <w:right w:val="single" w:sz="4" w:space="0" w:color="auto"/>
            </w:tcBorders>
            <w:shd w:val="clear" w:color="auto" w:fill="auto"/>
            <w:noWrap/>
            <w:vAlign w:val="bottom"/>
            <w:hideMark/>
          </w:tcPr>
          <w:p w14:paraId="48FE1275"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n of fires</w:t>
            </w:r>
          </w:p>
        </w:tc>
        <w:tc>
          <w:tcPr>
            <w:tcW w:w="0" w:type="auto"/>
            <w:tcBorders>
              <w:top w:val="nil"/>
              <w:left w:val="nil"/>
              <w:bottom w:val="single" w:sz="4" w:space="0" w:color="auto"/>
              <w:right w:val="single" w:sz="4" w:space="0" w:color="auto"/>
            </w:tcBorders>
            <w:shd w:val="clear" w:color="auto" w:fill="auto"/>
            <w:noWrap/>
            <w:vAlign w:val="bottom"/>
            <w:hideMark/>
          </w:tcPr>
          <w:p w14:paraId="5616FC74"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fire exceeding upper limit</w:t>
            </w:r>
          </w:p>
        </w:tc>
        <w:tc>
          <w:tcPr>
            <w:tcW w:w="0" w:type="auto"/>
            <w:tcBorders>
              <w:top w:val="nil"/>
              <w:left w:val="nil"/>
              <w:bottom w:val="single" w:sz="4" w:space="0" w:color="auto"/>
              <w:right w:val="single" w:sz="4" w:space="0" w:color="auto"/>
            </w:tcBorders>
            <w:shd w:val="clear" w:color="auto" w:fill="auto"/>
            <w:noWrap/>
            <w:vAlign w:val="bottom"/>
            <w:hideMark/>
          </w:tcPr>
          <w:p w14:paraId="4ADFC1D6"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n of fires</w:t>
            </w:r>
          </w:p>
        </w:tc>
        <w:tc>
          <w:tcPr>
            <w:tcW w:w="0" w:type="auto"/>
            <w:tcBorders>
              <w:top w:val="nil"/>
              <w:left w:val="nil"/>
              <w:bottom w:val="single" w:sz="4" w:space="0" w:color="auto"/>
              <w:right w:val="single" w:sz="4" w:space="0" w:color="auto"/>
            </w:tcBorders>
            <w:shd w:val="clear" w:color="auto" w:fill="auto"/>
            <w:noWrap/>
            <w:vAlign w:val="bottom"/>
            <w:hideMark/>
          </w:tcPr>
          <w:p w14:paraId="051C0477"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fire exceeding upper limit</w:t>
            </w:r>
          </w:p>
        </w:tc>
      </w:tr>
      <w:tr w:rsidR="00A27212" w:rsidRPr="00E87E42" w14:paraId="294E443C"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2A378AE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 and under</w:t>
            </w:r>
          </w:p>
        </w:tc>
        <w:tc>
          <w:tcPr>
            <w:tcW w:w="0" w:type="auto"/>
            <w:tcBorders>
              <w:top w:val="nil"/>
              <w:left w:val="nil"/>
              <w:bottom w:val="nil"/>
              <w:right w:val="nil"/>
            </w:tcBorders>
            <w:shd w:val="clear" w:color="auto" w:fill="auto"/>
            <w:noWrap/>
            <w:vAlign w:val="bottom"/>
            <w:hideMark/>
          </w:tcPr>
          <w:p w14:paraId="2FD7935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261</w:t>
            </w:r>
          </w:p>
        </w:tc>
        <w:tc>
          <w:tcPr>
            <w:tcW w:w="0" w:type="auto"/>
            <w:tcBorders>
              <w:top w:val="nil"/>
              <w:left w:val="nil"/>
              <w:bottom w:val="nil"/>
              <w:right w:val="single" w:sz="4" w:space="0" w:color="auto"/>
            </w:tcBorders>
            <w:shd w:val="clear" w:color="auto" w:fill="auto"/>
            <w:noWrap/>
            <w:vAlign w:val="bottom"/>
            <w:hideMark/>
          </w:tcPr>
          <w:p w14:paraId="7C3CFE0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26.3%</w:t>
            </w:r>
          </w:p>
        </w:tc>
        <w:tc>
          <w:tcPr>
            <w:tcW w:w="0" w:type="auto"/>
            <w:tcBorders>
              <w:top w:val="nil"/>
              <w:left w:val="nil"/>
              <w:bottom w:val="nil"/>
              <w:right w:val="nil"/>
            </w:tcBorders>
            <w:shd w:val="clear" w:color="auto" w:fill="auto"/>
            <w:noWrap/>
            <w:vAlign w:val="bottom"/>
            <w:hideMark/>
          </w:tcPr>
          <w:p w14:paraId="4AEAF317"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65</w:t>
            </w:r>
          </w:p>
        </w:tc>
        <w:tc>
          <w:tcPr>
            <w:tcW w:w="0" w:type="auto"/>
            <w:tcBorders>
              <w:top w:val="nil"/>
              <w:left w:val="nil"/>
              <w:bottom w:val="nil"/>
              <w:right w:val="nil"/>
            </w:tcBorders>
            <w:shd w:val="clear" w:color="auto" w:fill="auto"/>
            <w:noWrap/>
            <w:vAlign w:val="bottom"/>
            <w:hideMark/>
          </w:tcPr>
          <w:p w14:paraId="327CA66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30.11%</w:t>
            </w:r>
          </w:p>
        </w:tc>
        <w:tc>
          <w:tcPr>
            <w:tcW w:w="0" w:type="auto"/>
            <w:tcBorders>
              <w:top w:val="nil"/>
              <w:left w:val="single" w:sz="4" w:space="0" w:color="auto"/>
              <w:bottom w:val="nil"/>
              <w:right w:val="nil"/>
            </w:tcBorders>
            <w:shd w:val="clear" w:color="auto" w:fill="auto"/>
            <w:noWrap/>
            <w:vAlign w:val="bottom"/>
            <w:hideMark/>
          </w:tcPr>
          <w:p w14:paraId="730795BA"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1679</w:t>
            </w:r>
          </w:p>
        </w:tc>
        <w:tc>
          <w:tcPr>
            <w:tcW w:w="0" w:type="auto"/>
            <w:tcBorders>
              <w:top w:val="nil"/>
              <w:left w:val="nil"/>
              <w:bottom w:val="nil"/>
              <w:right w:val="single" w:sz="4" w:space="0" w:color="auto"/>
            </w:tcBorders>
            <w:shd w:val="clear" w:color="auto" w:fill="auto"/>
            <w:noWrap/>
            <w:vAlign w:val="bottom"/>
            <w:hideMark/>
          </w:tcPr>
          <w:p w14:paraId="0507ED25"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67.4%</w:t>
            </w:r>
          </w:p>
        </w:tc>
        <w:tc>
          <w:tcPr>
            <w:tcW w:w="0" w:type="auto"/>
            <w:tcBorders>
              <w:top w:val="nil"/>
              <w:left w:val="nil"/>
              <w:bottom w:val="nil"/>
              <w:right w:val="nil"/>
            </w:tcBorders>
            <w:shd w:val="clear" w:color="auto" w:fill="auto"/>
            <w:noWrap/>
            <w:vAlign w:val="bottom"/>
            <w:hideMark/>
          </w:tcPr>
          <w:p w14:paraId="1C215F9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93</w:t>
            </w:r>
          </w:p>
        </w:tc>
        <w:tc>
          <w:tcPr>
            <w:tcW w:w="0" w:type="auto"/>
            <w:tcBorders>
              <w:top w:val="nil"/>
              <w:left w:val="nil"/>
              <w:bottom w:val="nil"/>
              <w:right w:val="single" w:sz="4" w:space="0" w:color="auto"/>
            </w:tcBorders>
            <w:shd w:val="clear" w:color="auto" w:fill="auto"/>
            <w:noWrap/>
            <w:vAlign w:val="bottom"/>
            <w:hideMark/>
          </w:tcPr>
          <w:p w14:paraId="475BD6DA"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58.85%</w:t>
            </w:r>
          </w:p>
        </w:tc>
      </w:tr>
      <w:tr w:rsidR="00A27212" w:rsidRPr="00E87E42" w14:paraId="45C04D75"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3A9C7FDF"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w:t>
            </w:r>
          </w:p>
        </w:tc>
        <w:tc>
          <w:tcPr>
            <w:tcW w:w="0" w:type="auto"/>
            <w:tcBorders>
              <w:top w:val="nil"/>
              <w:left w:val="nil"/>
              <w:bottom w:val="nil"/>
              <w:right w:val="nil"/>
            </w:tcBorders>
            <w:shd w:val="clear" w:color="auto" w:fill="auto"/>
            <w:noWrap/>
            <w:vAlign w:val="bottom"/>
            <w:hideMark/>
          </w:tcPr>
          <w:p w14:paraId="20E2723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51</w:t>
            </w:r>
          </w:p>
        </w:tc>
        <w:tc>
          <w:tcPr>
            <w:tcW w:w="0" w:type="auto"/>
            <w:tcBorders>
              <w:top w:val="nil"/>
              <w:left w:val="nil"/>
              <w:bottom w:val="nil"/>
              <w:right w:val="single" w:sz="4" w:space="0" w:color="auto"/>
            </w:tcBorders>
            <w:shd w:val="clear" w:color="auto" w:fill="auto"/>
            <w:noWrap/>
            <w:vAlign w:val="bottom"/>
            <w:hideMark/>
          </w:tcPr>
          <w:p w14:paraId="2A439606"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11.9%</w:t>
            </w:r>
          </w:p>
        </w:tc>
        <w:tc>
          <w:tcPr>
            <w:tcW w:w="0" w:type="auto"/>
            <w:tcBorders>
              <w:top w:val="nil"/>
              <w:left w:val="nil"/>
              <w:bottom w:val="nil"/>
              <w:right w:val="nil"/>
            </w:tcBorders>
            <w:shd w:val="clear" w:color="auto" w:fill="auto"/>
            <w:noWrap/>
            <w:vAlign w:val="bottom"/>
            <w:hideMark/>
          </w:tcPr>
          <w:p w14:paraId="7DDF1DF2"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0" w:type="auto"/>
            <w:tcBorders>
              <w:top w:val="nil"/>
              <w:left w:val="nil"/>
              <w:bottom w:val="nil"/>
              <w:right w:val="nil"/>
            </w:tcBorders>
            <w:shd w:val="clear" w:color="auto" w:fill="auto"/>
            <w:noWrap/>
            <w:vAlign w:val="bottom"/>
            <w:hideMark/>
          </w:tcPr>
          <w:p w14:paraId="738CCED6"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29.03%</w:t>
            </w:r>
          </w:p>
        </w:tc>
        <w:tc>
          <w:tcPr>
            <w:tcW w:w="0" w:type="auto"/>
            <w:tcBorders>
              <w:top w:val="nil"/>
              <w:left w:val="single" w:sz="4" w:space="0" w:color="auto"/>
              <w:bottom w:val="nil"/>
              <w:right w:val="nil"/>
            </w:tcBorders>
            <w:shd w:val="clear" w:color="auto" w:fill="auto"/>
            <w:noWrap/>
            <w:vAlign w:val="bottom"/>
            <w:hideMark/>
          </w:tcPr>
          <w:p w14:paraId="7BE7E6B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1306</w:t>
            </w:r>
          </w:p>
        </w:tc>
        <w:tc>
          <w:tcPr>
            <w:tcW w:w="0" w:type="auto"/>
            <w:tcBorders>
              <w:top w:val="nil"/>
              <w:left w:val="nil"/>
              <w:bottom w:val="nil"/>
              <w:right w:val="single" w:sz="4" w:space="0" w:color="auto"/>
            </w:tcBorders>
            <w:shd w:val="clear" w:color="auto" w:fill="auto"/>
            <w:noWrap/>
            <w:vAlign w:val="bottom"/>
            <w:hideMark/>
          </w:tcPr>
          <w:p w14:paraId="0A8C02B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42.0%</w:t>
            </w:r>
          </w:p>
        </w:tc>
        <w:tc>
          <w:tcPr>
            <w:tcW w:w="0" w:type="auto"/>
            <w:tcBorders>
              <w:top w:val="nil"/>
              <w:left w:val="nil"/>
              <w:bottom w:val="nil"/>
              <w:right w:val="nil"/>
            </w:tcBorders>
            <w:shd w:val="clear" w:color="auto" w:fill="auto"/>
            <w:noWrap/>
            <w:vAlign w:val="bottom"/>
            <w:hideMark/>
          </w:tcPr>
          <w:p w14:paraId="38519594"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0" w:type="auto"/>
            <w:tcBorders>
              <w:top w:val="nil"/>
              <w:left w:val="nil"/>
              <w:bottom w:val="nil"/>
              <w:right w:val="single" w:sz="4" w:space="0" w:color="auto"/>
            </w:tcBorders>
            <w:shd w:val="clear" w:color="auto" w:fill="auto"/>
            <w:noWrap/>
            <w:vAlign w:val="bottom"/>
            <w:hideMark/>
          </w:tcPr>
          <w:p w14:paraId="2CE419D8"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57.96%</w:t>
            </w:r>
          </w:p>
        </w:tc>
      </w:tr>
      <w:tr w:rsidR="00A27212" w:rsidRPr="00E87E42" w14:paraId="7B435C3F"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7D68611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5-9</w:t>
            </w:r>
          </w:p>
        </w:tc>
        <w:tc>
          <w:tcPr>
            <w:tcW w:w="0" w:type="auto"/>
            <w:tcBorders>
              <w:top w:val="nil"/>
              <w:left w:val="nil"/>
              <w:bottom w:val="nil"/>
              <w:right w:val="nil"/>
            </w:tcBorders>
            <w:shd w:val="clear" w:color="auto" w:fill="auto"/>
            <w:noWrap/>
            <w:vAlign w:val="bottom"/>
            <w:hideMark/>
          </w:tcPr>
          <w:p w14:paraId="286266AF"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w:t>
            </w:r>
          </w:p>
        </w:tc>
        <w:tc>
          <w:tcPr>
            <w:tcW w:w="0" w:type="auto"/>
            <w:tcBorders>
              <w:top w:val="nil"/>
              <w:left w:val="nil"/>
              <w:bottom w:val="nil"/>
              <w:right w:val="single" w:sz="4" w:space="0" w:color="auto"/>
            </w:tcBorders>
            <w:shd w:val="clear" w:color="auto" w:fill="auto"/>
            <w:noWrap/>
            <w:vAlign w:val="bottom"/>
            <w:hideMark/>
          </w:tcPr>
          <w:p w14:paraId="620A169F"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5.6%</w:t>
            </w:r>
          </w:p>
        </w:tc>
        <w:tc>
          <w:tcPr>
            <w:tcW w:w="0" w:type="auto"/>
            <w:tcBorders>
              <w:top w:val="nil"/>
              <w:left w:val="nil"/>
              <w:bottom w:val="nil"/>
              <w:right w:val="nil"/>
            </w:tcBorders>
            <w:shd w:val="clear" w:color="auto" w:fill="auto"/>
            <w:noWrap/>
            <w:vAlign w:val="bottom"/>
            <w:hideMark/>
          </w:tcPr>
          <w:p w14:paraId="3812C3C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14:paraId="42EE7AD8"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29.03%</w:t>
            </w:r>
          </w:p>
        </w:tc>
        <w:tc>
          <w:tcPr>
            <w:tcW w:w="0" w:type="auto"/>
            <w:tcBorders>
              <w:top w:val="nil"/>
              <w:left w:val="single" w:sz="4" w:space="0" w:color="auto"/>
              <w:bottom w:val="nil"/>
              <w:right w:val="nil"/>
            </w:tcBorders>
            <w:shd w:val="clear" w:color="auto" w:fill="auto"/>
            <w:noWrap/>
            <w:vAlign w:val="bottom"/>
            <w:hideMark/>
          </w:tcPr>
          <w:p w14:paraId="51EB9579"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722</w:t>
            </w:r>
          </w:p>
        </w:tc>
        <w:tc>
          <w:tcPr>
            <w:tcW w:w="0" w:type="auto"/>
            <w:tcBorders>
              <w:top w:val="nil"/>
              <w:left w:val="nil"/>
              <w:bottom w:val="nil"/>
              <w:right w:val="single" w:sz="4" w:space="0" w:color="auto"/>
            </w:tcBorders>
            <w:shd w:val="clear" w:color="auto" w:fill="auto"/>
            <w:noWrap/>
            <w:vAlign w:val="bottom"/>
            <w:hideMark/>
          </w:tcPr>
          <w:p w14:paraId="55D2171A"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27.9%</w:t>
            </w:r>
          </w:p>
        </w:tc>
        <w:tc>
          <w:tcPr>
            <w:tcW w:w="0" w:type="auto"/>
            <w:tcBorders>
              <w:top w:val="nil"/>
              <w:left w:val="nil"/>
              <w:bottom w:val="nil"/>
              <w:right w:val="nil"/>
            </w:tcBorders>
            <w:shd w:val="clear" w:color="auto" w:fill="auto"/>
            <w:noWrap/>
            <w:vAlign w:val="bottom"/>
            <w:hideMark/>
          </w:tcPr>
          <w:p w14:paraId="77CD199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0" w:type="auto"/>
            <w:tcBorders>
              <w:top w:val="nil"/>
              <w:left w:val="nil"/>
              <w:bottom w:val="nil"/>
              <w:right w:val="single" w:sz="4" w:space="0" w:color="auto"/>
            </w:tcBorders>
            <w:shd w:val="clear" w:color="auto" w:fill="auto"/>
            <w:noWrap/>
            <w:vAlign w:val="bottom"/>
            <w:hideMark/>
          </w:tcPr>
          <w:p w14:paraId="125C555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55.75%</w:t>
            </w:r>
          </w:p>
        </w:tc>
      </w:tr>
      <w:tr w:rsidR="00A27212" w:rsidRPr="00E87E42" w14:paraId="23024A8D"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6236D512"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10-19</w:t>
            </w:r>
          </w:p>
        </w:tc>
        <w:tc>
          <w:tcPr>
            <w:tcW w:w="0" w:type="auto"/>
            <w:tcBorders>
              <w:top w:val="nil"/>
              <w:left w:val="nil"/>
              <w:bottom w:val="nil"/>
              <w:right w:val="nil"/>
            </w:tcBorders>
            <w:shd w:val="clear" w:color="auto" w:fill="auto"/>
            <w:noWrap/>
            <w:vAlign w:val="bottom"/>
            <w:hideMark/>
          </w:tcPr>
          <w:p w14:paraId="6C98FADD"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w:t>
            </w:r>
          </w:p>
        </w:tc>
        <w:tc>
          <w:tcPr>
            <w:tcW w:w="0" w:type="auto"/>
            <w:tcBorders>
              <w:top w:val="nil"/>
              <w:left w:val="nil"/>
              <w:bottom w:val="nil"/>
              <w:right w:val="single" w:sz="4" w:space="0" w:color="auto"/>
            </w:tcBorders>
            <w:shd w:val="clear" w:color="auto" w:fill="auto"/>
            <w:noWrap/>
            <w:vAlign w:val="bottom"/>
            <w:hideMark/>
          </w:tcPr>
          <w:p w14:paraId="43DCDCA2"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w:t>
            </w:r>
          </w:p>
        </w:tc>
        <w:tc>
          <w:tcPr>
            <w:tcW w:w="0" w:type="auto"/>
            <w:tcBorders>
              <w:top w:val="nil"/>
              <w:left w:val="nil"/>
              <w:bottom w:val="nil"/>
              <w:right w:val="nil"/>
            </w:tcBorders>
            <w:shd w:val="clear" w:color="auto" w:fill="auto"/>
            <w:noWrap/>
            <w:vAlign w:val="bottom"/>
            <w:hideMark/>
          </w:tcPr>
          <w:p w14:paraId="0B08FF82"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nil"/>
            </w:tcBorders>
            <w:shd w:val="clear" w:color="auto" w:fill="auto"/>
            <w:noWrap/>
            <w:vAlign w:val="bottom"/>
            <w:hideMark/>
          </w:tcPr>
          <w:p w14:paraId="733ECAB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29.03%</w:t>
            </w:r>
          </w:p>
        </w:tc>
        <w:tc>
          <w:tcPr>
            <w:tcW w:w="0" w:type="auto"/>
            <w:tcBorders>
              <w:top w:val="nil"/>
              <w:left w:val="single" w:sz="4" w:space="0" w:color="auto"/>
              <w:bottom w:val="nil"/>
              <w:right w:val="nil"/>
            </w:tcBorders>
            <w:shd w:val="clear" w:color="auto" w:fill="auto"/>
            <w:noWrap/>
            <w:vAlign w:val="bottom"/>
            <w:hideMark/>
          </w:tcPr>
          <w:p w14:paraId="4AF46417"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543</w:t>
            </w:r>
          </w:p>
        </w:tc>
        <w:tc>
          <w:tcPr>
            <w:tcW w:w="0" w:type="auto"/>
            <w:tcBorders>
              <w:top w:val="nil"/>
              <w:left w:val="nil"/>
              <w:bottom w:val="nil"/>
              <w:right w:val="single" w:sz="4" w:space="0" w:color="auto"/>
            </w:tcBorders>
            <w:shd w:val="clear" w:color="auto" w:fill="auto"/>
            <w:noWrap/>
            <w:vAlign w:val="bottom"/>
            <w:hideMark/>
          </w:tcPr>
          <w:p w14:paraId="1CB09F73"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17.4%</w:t>
            </w:r>
          </w:p>
        </w:tc>
        <w:tc>
          <w:tcPr>
            <w:tcW w:w="0" w:type="auto"/>
            <w:tcBorders>
              <w:top w:val="nil"/>
              <w:left w:val="nil"/>
              <w:bottom w:val="nil"/>
              <w:right w:val="nil"/>
            </w:tcBorders>
            <w:shd w:val="clear" w:color="auto" w:fill="auto"/>
            <w:noWrap/>
            <w:vAlign w:val="bottom"/>
            <w:hideMark/>
          </w:tcPr>
          <w:p w14:paraId="3EE1B12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w:t>
            </w:r>
          </w:p>
        </w:tc>
        <w:tc>
          <w:tcPr>
            <w:tcW w:w="0" w:type="auto"/>
            <w:tcBorders>
              <w:top w:val="nil"/>
              <w:left w:val="nil"/>
              <w:bottom w:val="nil"/>
              <w:right w:val="single" w:sz="4" w:space="0" w:color="auto"/>
            </w:tcBorders>
            <w:shd w:val="clear" w:color="auto" w:fill="auto"/>
            <w:noWrap/>
            <w:vAlign w:val="bottom"/>
            <w:hideMark/>
          </w:tcPr>
          <w:p w14:paraId="73551B39"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51.77%</w:t>
            </w:r>
          </w:p>
        </w:tc>
      </w:tr>
      <w:tr w:rsidR="00A27212" w:rsidRPr="00E87E42" w14:paraId="48E3A92B"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29F2CBF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20-49</w:t>
            </w:r>
          </w:p>
        </w:tc>
        <w:tc>
          <w:tcPr>
            <w:tcW w:w="0" w:type="auto"/>
            <w:tcBorders>
              <w:top w:val="nil"/>
              <w:left w:val="nil"/>
              <w:bottom w:val="nil"/>
              <w:right w:val="nil"/>
            </w:tcBorders>
            <w:shd w:val="clear" w:color="auto" w:fill="auto"/>
            <w:noWrap/>
            <w:vAlign w:val="bottom"/>
            <w:hideMark/>
          </w:tcPr>
          <w:p w14:paraId="62881DF8"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w:t>
            </w:r>
          </w:p>
        </w:tc>
        <w:tc>
          <w:tcPr>
            <w:tcW w:w="0" w:type="auto"/>
            <w:tcBorders>
              <w:top w:val="nil"/>
              <w:left w:val="nil"/>
              <w:bottom w:val="nil"/>
              <w:right w:val="single" w:sz="4" w:space="0" w:color="auto"/>
            </w:tcBorders>
            <w:shd w:val="clear" w:color="auto" w:fill="auto"/>
            <w:noWrap/>
            <w:vAlign w:val="bottom"/>
            <w:hideMark/>
          </w:tcPr>
          <w:p w14:paraId="1AF29F5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0.8%</w:t>
            </w:r>
          </w:p>
        </w:tc>
        <w:tc>
          <w:tcPr>
            <w:tcW w:w="0" w:type="auto"/>
            <w:tcBorders>
              <w:top w:val="nil"/>
              <w:left w:val="nil"/>
              <w:bottom w:val="nil"/>
              <w:right w:val="nil"/>
            </w:tcBorders>
            <w:shd w:val="clear" w:color="auto" w:fill="auto"/>
            <w:noWrap/>
            <w:vAlign w:val="bottom"/>
            <w:hideMark/>
          </w:tcPr>
          <w:p w14:paraId="68D89EA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0" w:type="auto"/>
            <w:tcBorders>
              <w:top w:val="nil"/>
              <w:left w:val="nil"/>
              <w:bottom w:val="nil"/>
              <w:right w:val="nil"/>
            </w:tcBorders>
            <w:shd w:val="clear" w:color="auto" w:fill="auto"/>
            <w:noWrap/>
            <w:vAlign w:val="bottom"/>
            <w:hideMark/>
          </w:tcPr>
          <w:p w14:paraId="594C68A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25.81%</w:t>
            </w:r>
          </w:p>
        </w:tc>
        <w:tc>
          <w:tcPr>
            <w:tcW w:w="0" w:type="auto"/>
            <w:tcBorders>
              <w:top w:val="nil"/>
              <w:left w:val="single" w:sz="4" w:space="0" w:color="auto"/>
              <w:bottom w:val="nil"/>
              <w:right w:val="nil"/>
            </w:tcBorders>
            <w:shd w:val="clear" w:color="auto" w:fill="auto"/>
            <w:noWrap/>
            <w:vAlign w:val="bottom"/>
            <w:hideMark/>
          </w:tcPr>
          <w:p w14:paraId="6356C626"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476</w:t>
            </w:r>
          </w:p>
        </w:tc>
        <w:tc>
          <w:tcPr>
            <w:tcW w:w="0" w:type="auto"/>
            <w:tcBorders>
              <w:top w:val="nil"/>
              <w:left w:val="nil"/>
              <w:bottom w:val="nil"/>
              <w:right w:val="single" w:sz="4" w:space="0" w:color="auto"/>
            </w:tcBorders>
            <w:shd w:val="clear" w:color="auto" w:fill="auto"/>
            <w:noWrap/>
            <w:vAlign w:val="bottom"/>
            <w:hideMark/>
          </w:tcPr>
          <w:p w14:paraId="12FC7B98"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8.1%</w:t>
            </w:r>
          </w:p>
        </w:tc>
        <w:tc>
          <w:tcPr>
            <w:tcW w:w="0" w:type="auto"/>
            <w:tcBorders>
              <w:top w:val="nil"/>
              <w:left w:val="nil"/>
              <w:bottom w:val="nil"/>
              <w:right w:val="nil"/>
            </w:tcBorders>
            <w:shd w:val="clear" w:color="auto" w:fill="auto"/>
            <w:noWrap/>
            <w:vAlign w:val="bottom"/>
            <w:hideMark/>
          </w:tcPr>
          <w:p w14:paraId="7B1E3D3F"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w:t>
            </w:r>
          </w:p>
        </w:tc>
        <w:tc>
          <w:tcPr>
            <w:tcW w:w="0" w:type="auto"/>
            <w:tcBorders>
              <w:top w:val="nil"/>
              <w:left w:val="nil"/>
              <w:bottom w:val="nil"/>
              <w:right w:val="single" w:sz="4" w:space="0" w:color="auto"/>
            </w:tcBorders>
            <w:shd w:val="clear" w:color="auto" w:fill="auto"/>
            <w:noWrap/>
            <w:vAlign w:val="bottom"/>
            <w:hideMark/>
          </w:tcPr>
          <w:p w14:paraId="5220A195"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42.48%</w:t>
            </w:r>
          </w:p>
        </w:tc>
      </w:tr>
      <w:tr w:rsidR="00A27212" w:rsidRPr="00E87E42" w14:paraId="7F09CA9B"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60DDC0D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50-99</w:t>
            </w:r>
          </w:p>
        </w:tc>
        <w:tc>
          <w:tcPr>
            <w:tcW w:w="0" w:type="auto"/>
            <w:tcBorders>
              <w:top w:val="nil"/>
              <w:left w:val="nil"/>
              <w:bottom w:val="nil"/>
              <w:right w:val="nil"/>
            </w:tcBorders>
            <w:shd w:val="clear" w:color="auto" w:fill="auto"/>
            <w:noWrap/>
            <w:vAlign w:val="bottom"/>
            <w:hideMark/>
          </w:tcPr>
          <w:p w14:paraId="363CF438"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w:t>
            </w:r>
          </w:p>
        </w:tc>
        <w:tc>
          <w:tcPr>
            <w:tcW w:w="0" w:type="auto"/>
            <w:tcBorders>
              <w:top w:val="nil"/>
              <w:left w:val="nil"/>
              <w:bottom w:val="nil"/>
              <w:right w:val="single" w:sz="4" w:space="0" w:color="auto"/>
            </w:tcBorders>
            <w:shd w:val="clear" w:color="auto" w:fill="auto"/>
            <w:noWrap/>
            <w:vAlign w:val="bottom"/>
            <w:hideMark/>
          </w:tcPr>
          <w:p w14:paraId="5B71CD93"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0.6%</w:t>
            </w:r>
          </w:p>
        </w:tc>
        <w:tc>
          <w:tcPr>
            <w:tcW w:w="0" w:type="auto"/>
            <w:tcBorders>
              <w:top w:val="nil"/>
              <w:left w:val="nil"/>
              <w:bottom w:val="nil"/>
              <w:right w:val="nil"/>
            </w:tcBorders>
            <w:shd w:val="clear" w:color="auto" w:fill="auto"/>
            <w:noWrap/>
            <w:vAlign w:val="bottom"/>
            <w:hideMark/>
          </w:tcPr>
          <w:p w14:paraId="37E87A5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0" w:type="auto"/>
            <w:tcBorders>
              <w:top w:val="nil"/>
              <w:left w:val="nil"/>
              <w:bottom w:val="nil"/>
              <w:right w:val="nil"/>
            </w:tcBorders>
            <w:shd w:val="clear" w:color="auto" w:fill="auto"/>
            <w:noWrap/>
            <w:vAlign w:val="bottom"/>
            <w:hideMark/>
          </w:tcPr>
          <w:p w14:paraId="6CA916D7"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23.66%</w:t>
            </w:r>
          </w:p>
        </w:tc>
        <w:tc>
          <w:tcPr>
            <w:tcW w:w="0" w:type="auto"/>
            <w:tcBorders>
              <w:top w:val="nil"/>
              <w:left w:val="single" w:sz="4" w:space="0" w:color="auto"/>
              <w:bottom w:val="nil"/>
              <w:right w:val="nil"/>
            </w:tcBorders>
            <w:shd w:val="clear" w:color="auto" w:fill="auto"/>
            <w:noWrap/>
            <w:vAlign w:val="bottom"/>
            <w:hideMark/>
          </w:tcPr>
          <w:p w14:paraId="2DDE36C2"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177</w:t>
            </w:r>
          </w:p>
        </w:tc>
        <w:tc>
          <w:tcPr>
            <w:tcW w:w="0" w:type="auto"/>
            <w:tcBorders>
              <w:top w:val="nil"/>
              <w:left w:val="nil"/>
              <w:bottom w:val="nil"/>
              <w:right w:val="single" w:sz="4" w:space="0" w:color="auto"/>
            </w:tcBorders>
            <w:shd w:val="clear" w:color="auto" w:fill="auto"/>
            <w:noWrap/>
            <w:vAlign w:val="bottom"/>
            <w:hideMark/>
          </w:tcPr>
          <w:p w14:paraId="40E785A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4.7%</w:t>
            </w:r>
          </w:p>
        </w:tc>
        <w:tc>
          <w:tcPr>
            <w:tcW w:w="0" w:type="auto"/>
            <w:tcBorders>
              <w:top w:val="nil"/>
              <w:left w:val="nil"/>
              <w:bottom w:val="nil"/>
              <w:right w:val="nil"/>
            </w:tcBorders>
            <w:shd w:val="clear" w:color="auto" w:fill="auto"/>
            <w:noWrap/>
            <w:vAlign w:val="bottom"/>
            <w:hideMark/>
          </w:tcPr>
          <w:p w14:paraId="0CFFDF1F"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w:t>
            </w:r>
          </w:p>
        </w:tc>
        <w:tc>
          <w:tcPr>
            <w:tcW w:w="0" w:type="auto"/>
            <w:tcBorders>
              <w:top w:val="nil"/>
              <w:left w:val="nil"/>
              <w:bottom w:val="nil"/>
              <w:right w:val="single" w:sz="4" w:space="0" w:color="auto"/>
            </w:tcBorders>
            <w:shd w:val="clear" w:color="auto" w:fill="auto"/>
            <w:noWrap/>
            <w:vAlign w:val="bottom"/>
            <w:hideMark/>
          </w:tcPr>
          <w:p w14:paraId="4F1F4E4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31.86%</w:t>
            </w:r>
          </w:p>
        </w:tc>
      </w:tr>
      <w:tr w:rsidR="00A27212" w:rsidRPr="00E87E42" w14:paraId="2597339C"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35AEA8F3"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100-199</w:t>
            </w:r>
          </w:p>
        </w:tc>
        <w:tc>
          <w:tcPr>
            <w:tcW w:w="0" w:type="auto"/>
            <w:tcBorders>
              <w:top w:val="nil"/>
              <w:left w:val="nil"/>
              <w:bottom w:val="nil"/>
              <w:right w:val="nil"/>
            </w:tcBorders>
            <w:shd w:val="clear" w:color="auto" w:fill="auto"/>
            <w:noWrap/>
            <w:vAlign w:val="bottom"/>
            <w:hideMark/>
          </w:tcPr>
          <w:p w14:paraId="089449DF"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single" w:sz="4" w:space="0" w:color="auto"/>
            </w:tcBorders>
            <w:shd w:val="clear" w:color="auto" w:fill="auto"/>
            <w:noWrap/>
            <w:vAlign w:val="bottom"/>
            <w:hideMark/>
          </w:tcPr>
          <w:p w14:paraId="3BE2B073"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0.6%</w:t>
            </w:r>
          </w:p>
        </w:tc>
        <w:tc>
          <w:tcPr>
            <w:tcW w:w="0" w:type="auto"/>
            <w:tcBorders>
              <w:top w:val="nil"/>
              <w:left w:val="nil"/>
              <w:bottom w:val="nil"/>
              <w:right w:val="nil"/>
            </w:tcBorders>
            <w:shd w:val="clear" w:color="auto" w:fill="auto"/>
            <w:noWrap/>
            <w:vAlign w:val="bottom"/>
            <w:hideMark/>
          </w:tcPr>
          <w:p w14:paraId="02980DB6"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w:t>
            </w:r>
          </w:p>
        </w:tc>
        <w:tc>
          <w:tcPr>
            <w:tcW w:w="0" w:type="auto"/>
            <w:tcBorders>
              <w:top w:val="nil"/>
              <w:left w:val="nil"/>
              <w:bottom w:val="nil"/>
              <w:right w:val="nil"/>
            </w:tcBorders>
            <w:shd w:val="clear" w:color="auto" w:fill="auto"/>
            <w:noWrap/>
            <w:vAlign w:val="bottom"/>
            <w:hideMark/>
          </w:tcPr>
          <w:p w14:paraId="1E52C21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17.20%</w:t>
            </w:r>
          </w:p>
        </w:tc>
        <w:tc>
          <w:tcPr>
            <w:tcW w:w="0" w:type="auto"/>
            <w:tcBorders>
              <w:top w:val="nil"/>
              <w:left w:val="single" w:sz="4" w:space="0" w:color="auto"/>
              <w:bottom w:val="nil"/>
              <w:right w:val="nil"/>
            </w:tcBorders>
            <w:shd w:val="clear" w:color="auto" w:fill="auto"/>
            <w:noWrap/>
            <w:vAlign w:val="bottom"/>
            <w:hideMark/>
          </w:tcPr>
          <w:p w14:paraId="67ED481F"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116</w:t>
            </w:r>
          </w:p>
        </w:tc>
        <w:tc>
          <w:tcPr>
            <w:tcW w:w="0" w:type="auto"/>
            <w:tcBorders>
              <w:top w:val="nil"/>
              <w:left w:val="nil"/>
              <w:bottom w:val="nil"/>
              <w:right w:val="single" w:sz="4" w:space="0" w:color="auto"/>
            </w:tcBorders>
            <w:shd w:val="clear" w:color="auto" w:fill="auto"/>
            <w:noWrap/>
            <w:vAlign w:val="bottom"/>
            <w:hideMark/>
          </w:tcPr>
          <w:p w14:paraId="14F4B497"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w:t>
            </w:r>
          </w:p>
        </w:tc>
        <w:tc>
          <w:tcPr>
            <w:tcW w:w="0" w:type="auto"/>
            <w:tcBorders>
              <w:top w:val="nil"/>
              <w:left w:val="nil"/>
              <w:bottom w:val="nil"/>
              <w:right w:val="nil"/>
            </w:tcBorders>
            <w:shd w:val="clear" w:color="auto" w:fill="auto"/>
            <w:noWrap/>
            <w:vAlign w:val="bottom"/>
            <w:hideMark/>
          </w:tcPr>
          <w:p w14:paraId="0AC0CAD8"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w:t>
            </w:r>
          </w:p>
        </w:tc>
        <w:tc>
          <w:tcPr>
            <w:tcW w:w="0" w:type="auto"/>
            <w:tcBorders>
              <w:top w:val="nil"/>
              <w:left w:val="nil"/>
              <w:bottom w:val="nil"/>
              <w:right w:val="single" w:sz="4" w:space="0" w:color="auto"/>
            </w:tcBorders>
            <w:shd w:val="clear" w:color="auto" w:fill="auto"/>
            <w:noWrap/>
            <w:vAlign w:val="bottom"/>
            <w:hideMark/>
          </w:tcPr>
          <w:p w14:paraId="2132669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21.68%</w:t>
            </w:r>
          </w:p>
        </w:tc>
      </w:tr>
      <w:tr w:rsidR="00A27212" w:rsidRPr="00E87E42" w14:paraId="5B5660DA"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34A39F58"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200-499</w:t>
            </w:r>
          </w:p>
        </w:tc>
        <w:tc>
          <w:tcPr>
            <w:tcW w:w="0" w:type="auto"/>
            <w:tcBorders>
              <w:top w:val="nil"/>
              <w:left w:val="nil"/>
              <w:bottom w:val="nil"/>
              <w:right w:val="nil"/>
            </w:tcBorders>
            <w:shd w:val="clear" w:color="auto" w:fill="auto"/>
            <w:noWrap/>
            <w:vAlign w:val="bottom"/>
            <w:hideMark/>
          </w:tcPr>
          <w:p w14:paraId="0424CB3D"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0" w:type="auto"/>
            <w:tcBorders>
              <w:top w:val="nil"/>
              <w:left w:val="nil"/>
              <w:bottom w:val="nil"/>
              <w:right w:val="single" w:sz="4" w:space="0" w:color="auto"/>
            </w:tcBorders>
            <w:shd w:val="clear" w:color="auto" w:fill="auto"/>
            <w:noWrap/>
            <w:vAlign w:val="bottom"/>
            <w:hideMark/>
          </w:tcPr>
          <w:p w14:paraId="12959597"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nil"/>
              <w:right w:val="nil"/>
            </w:tcBorders>
            <w:shd w:val="clear" w:color="auto" w:fill="auto"/>
            <w:noWrap/>
            <w:vAlign w:val="bottom"/>
            <w:hideMark/>
          </w:tcPr>
          <w:p w14:paraId="0F987EB3"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14:paraId="68415F62"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12.90%</w:t>
            </w:r>
          </w:p>
        </w:tc>
        <w:tc>
          <w:tcPr>
            <w:tcW w:w="0" w:type="auto"/>
            <w:tcBorders>
              <w:top w:val="nil"/>
              <w:left w:val="single" w:sz="4" w:space="0" w:color="auto"/>
              <w:bottom w:val="nil"/>
              <w:right w:val="nil"/>
            </w:tcBorders>
            <w:shd w:val="clear" w:color="auto" w:fill="auto"/>
            <w:noWrap/>
            <w:vAlign w:val="bottom"/>
            <w:hideMark/>
          </w:tcPr>
          <w:p w14:paraId="2EF521F2"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74</w:t>
            </w:r>
          </w:p>
        </w:tc>
        <w:tc>
          <w:tcPr>
            <w:tcW w:w="0" w:type="auto"/>
            <w:tcBorders>
              <w:top w:val="nil"/>
              <w:left w:val="nil"/>
              <w:bottom w:val="nil"/>
              <w:right w:val="single" w:sz="4" w:space="0" w:color="auto"/>
            </w:tcBorders>
            <w:shd w:val="clear" w:color="auto" w:fill="auto"/>
            <w:noWrap/>
            <w:vAlign w:val="bottom"/>
            <w:hideMark/>
          </w:tcPr>
          <w:p w14:paraId="0D24179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w:t>
            </w:r>
          </w:p>
        </w:tc>
        <w:tc>
          <w:tcPr>
            <w:tcW w:w="0" w:type="auto"/>
            <w:tcBorders>
              <w:top w:val="nil"/>
              <w:left w:val="nil"/>
              <w:bottom w:val="nil"/>
              <w:right w:val="nil"/>
            </w:tcBorders>
            <w:shd w:val="clear" w:color="auto" w:fill="auto"/>
            <w:noWrap/>
            <w:vAlign w:val="bottom"/>
            <w:hideMark/>
          </w:tcPr>
          <w:p w14:paraId="3CAA7538"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28</w:t>
            </w:r>
          </w:p>
        </w:tc>
        <w:tc>
          <w:tcPr>
            <w:tcW w:w="0" w:type="auto"/>
            <w:tcBorders>
              <w:top w:val="nil"/>
              <w:left w:val="nil"/>
              <w:bottom w:val="nil"/>
              <w:right w:val="single" w:sz="4" w:space="0" w:color="auto"/>
            </w:tcBorders>
            <w:shd w:val="clear" w:color="auto" w:fill="auto"/>
            <w:noWrap/>
            <w:vAlign w:val="bottom"/>
            <w:hideMark/>
          </w:tcPr>
          <w:p w14:paraId="725FAC0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9.29%</w:t>
            </w:r>
          </w:p>
        </w:tc>
      </w:tr>
      <w:tr w:rsidR="00A27212" w:rsidRPr="00E87E42" w14:paraId="396349E0"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1BCE77E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500-999</w:t>
            </w:r>
          </w:p>
        </w:tc>
        <w:tc>
          <w:tcPr>
            <w:tcW w:w="0" w:type="auto"/>
            <w:tcBorders>
              <w:top w:val="nil"/>
              <w:left w:val="nil"/>
              <w:bottom w:val="nil"/>
              <w:right w:val="nil"/>
            </w:tcBorders>
            <w:shd w:val="clear" w:color="auto" w:fill="auto"/>
            <w:noWrap/>
            <w:vAlign w:val="bottom"/>
            <w:hideMark/>
          </w:tcPr>
          <w:p w14:paraId="5ADB3B5A"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single" w:sz="4" w:space="0" w:color="auto"/>
            </w:tcBorders>
            <w:shd w:val="clear" w:color="auto" w:fill="auto"/>
            <w:noWrap/>
            <w:vAlign w:val="bottom"/>
            <w:hideMark/>
          </w:tcPr>
          <w:p w14:paraId="2780C264"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nil"/>
              <w:right w:val="nil"/>
            </w:tcBorders>
            <w:shd w:val="clear" w:color="auto" w:fill="auto"/>
            <w:noWrap/>
            <w:vAlign w:val="bottom"/>
            <w:hideMark/>
          </w:tcPr>
          <w:p w14:paraId="11AE2FE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14:paraId="626F6B08"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8.60%</w:t>
            </w:r>
          </w:p>
        </w:tc>
        <w:tc>
          <w:tcPr>
            <w:tcW w:w="0" w:type="auto"/>
            <w:tcBorders>
              <w:top w:val="nil"/>
              <w:left w:val="single" w:sz="4" w:space="0" w:color="auto"/>
              <w:bottom w:val="nil"/>
              <w:right w:val="nil"/>
            </w:tcBorders>
            <w:shd w:val="clear" w:color="auto" w:fill="auto"/>
            <w:noWrap/>
            <w:vAlign w:val="bottom"/>
            <w:hideMark/>
          </w:tcPr>
          <w:p w14:paraId="6769F6C2"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w:t>
            </w:r>
          </w:p>
        </w:tc>
        <w:tc>
          <w:tcPr>
            <w:tcW w:w="0" w:type="auto"/>
            <w:tcBorders>
              <w:top w:val="nil"/>
              <w:left w:val="nil"/>
              <w:bottom w:val="nil"/>
              <w:right w:val="single" w:sz="4" w:space="0" w:color="auto"/>
            </w:tcBorders>
            <w:shd w:val="clear" w:color="auto" w:fill="auto"/>
            <w:noWrap/>
            <w:vAlign w:val="bottom"/>
            <w:hideMark/>
          </w:tcPr>
          <w:p w14:paraId="672C5D0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0.5%</w:t>
            </w:r>
          </w:p>
        </w:tc>
        <w:tc>
          <w:tcPr>
            <w:tcW w:w="0" w:type="auto"/>
            <w:tcBorders>
              <w:top w:val="nil"/>
              <w:left w:val="nil"/>
              <w:bottom w:val="nil"/>
              <w:right w:val="nil"/>
            </w:tcBorders>
            <w:shd w:val="clear" w:color="auto" w:fill="auto"/>
            <w:noWrap/>
            <w:vAlign w:val="bottom"/>
            <w:hideMark/>
          </w:tcPr>
          <w:p w14:paraId="2BFA76C5"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w:t>
            </w:r>
          </w:p>
        </w:tc>
        <w:tc>
          <w:tcPr>
            <w:tcW w:w="0" w:type="auto"/>
            <w:tcBorders>
              <w:top w:val="nil"/>
              <w:left w:val="nil"/>
              <w:bottom w:val="nil"/>
              <w:right w:val="single" w:sz="4" w:space="0" w:color="auto"/>
            </w:tcBorders>
            <w:shd w:val="clear" w:color="auto" w:fill="auto"/>
            <w:noWrap/>
            <w:vAlign w:val="bottom"/>
            <w:hideMark/>
          </w:tcPr>
          <w:p w14:paraId="42AB1C23"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3.98%</w:t>
            </w:r>
          </w:p>
        </w:tc>
      </w:tr>
      <w:tr w:rsidR="00A27212" w:rsidRPr="00E87E42" w14:paraId="35FAE284" w14:textId="77777777" w:rsidTr="00A2721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15E414"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 and above</w:t>
            </w:r>
          </w:p>
        </w:tc>
        <w:tc>
          <w:tcPr>
            <w:tcW w:w="0" w:type="auto"/>
            <w:tcBorders>
              <w:top w:val="nil"/>
              <w:left w:val="nil"/>
              <w:bottom w:val="single" w:sz="4" w:space="0" w:color="auto"/>
              <w:right w:val="nil"/>
            </w:tcBorders>
            <w:shd w:val="clear" w:color="auto" w:fill="auto"/>
            <w:noWrap/>
            <w:vAlign w:val="bottom"/>
            <w:hideMark/>
          </w:tcPr>
          <w:p w14:paraId="2FDB949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bottom"/>
            <w:hideMark/>
          </w:tcPr>
          <w:p w14:paraId="15E0C0C6"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single" w:sz="4" w:space="0" w:color="auto"/>
              <w:right w:val="nil"/>
            </w:tcBorders>
            <w:shd w:val="clear" w:color="auto" w:fill="auto"/>
            <w:noWrap/>
            <w:vAlign w:val="bottom"/>
            <w:hideMark/>
          </w:tcPr>
          <w:p w14:paraId="6A5023D3"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w:t>
            </w:r>
          </w:p>
        </w:tc>
        <w:tc>
          <w:tcPr>
            <w:tcW w:w="0" w:type="auto"/>
            <w:tcBorders>
              <w:top w:val="nil"/>
              <w:left w:val="nil"/>
              <w:bottom w:val="single" w:sz="4" w:space="0" w:color="auto"/>
              <w:right w:val="nil"/>
            </w:tcBorders>
            <w:shd w:val="clear" w:color="auto" w:fill="auto"/>
            <w:noWrap/>
            <w:vAlign w:val="bottom"/>
            <w:hideMark/>
          </w:tcPr>
          <w:p w14:paraId="1F7B42D3"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0" w:type="auto"/>
            <w:tcBorders>
              <w:top w:val="nil"/>
              <w:left w:val="single" w:sz="4" w:space="0" w:color="auto"/>
              <w:bottom w:val="single" w:sz="4" w:space="0" w:color="auto"/>
              <w:right w:val="nil"/>
            </w:tcBorders>
            <w:shd w:val="clear" w:color="auto" w:fill="auto"/>
            <w:noWrap/>
            <w:vAlign w:val="bottom"/>
            <w:hideMark/>
          </w:tcPr>
          <w:p w14:paraId="56BF6514"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w:t>
            </w:r>
          </w:p>
        </w:tc>
        <w:tc>
          <w:tcPr>
            <w:tcW w:w="0" w:type="auto"/>
            <w:tcBorders>
              <w:top w:val="nil"/>
              <w:left w:val="nil"/>
              <w:bottom w:val="single" w:sz="4" w:space="0" w:color="auto"/>
              <w:right w:val="single" w:sz="4" w:space="0" w:color="auto"/>
            </w:tcBorders>
            <w:shd w:val="clear" w:color="auto" w:fill="auto"/>
            <w:noWrap/>
            <w:vAlign w:val="bottom"/>
            <w:hideMark/>
          </w:tcPr>
          <w:p w14:paraId="07959499"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single" w:sz="4" w:space="0" w:color="auto"/>
              <w:right w:val="nil"/>
            </w:tcBorders>
            <w:shd w:val="clear" w:color="auto" w:fill="auto"/>
            <w:noWrap/>
            <w:vAlign w:val="bottom"/>
            <w:hideMark/>
          </w:tcPr>
          <w:p w14:paraId="10726D6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w:t>
            </w:r>
          </w:p>
        </w:tc>
        <w:tc>
          <w:tcPr>
            <w:tcW w:w="0" w:type="auto"/>
            <w:tcBorders>
              <w:top w:val="nil"/>
              <w:left w:val="nil"/>
              <w:bottom w:val="single" w:sz="4" w:space="0" w:color="auto"/>
              <w:right w:val="single" w:sz="4" w:space="0" w:color="auto"/>
            </w:tcBorders>
            <w:shd w:val="clear" w:color="auto" w:fill="auto"/>
            <w:noWrap/>
            <w:vAlign w:val="bottom"/>
            <w:hideMark/>
          </w:tcPr>
          <w:p w14:paraId="10DAD3C5"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r>
      <w:tr w:rsidR="00A27212" w:rsidRPr="00E87E42" w14:paraId="3B45F937" w14:textId="77777777" w:rsidTr="00A27212">
        <w:trPr>
          <w:trHeight w:val="170"/>
        </w:trPr>
        <w:tc>
          <w:tcPr>
            <w:tcW w:w="0" w:type="auto"/>
            <w:tcBorders>
              <w:top w:val="nil"/>
              <w:left w:val="nil"/>
              <w:bottom w:val="nil"/>
              <w:right w:val="nil"/>
            </w:tcBorders>
            <w:shd w:val="clear" w:color="auto" w:fill="auto"/>
            <w:noWrap/>
            <w:vAlign w:val="bottom"/>
            <w:hideMark/>
          </w:tcPr>
          <w:p w14:paraId="74D0B366" w14:textId="77777777" w:rsidR="00A27212" w:rsidRPr="00E87E42" w:rsidRDefault="00A27212" w:rsidP="00A27212">
            <w:pPr>
              <w:spacing w:after="0" w:line="240" w:lineRule="auto"/>
              <w:jc w:val="center"/>
              <w:rPr>
                <w:rFonts w:eastAsia="Times New Roman"/>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7F3AE8"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354</w:t>
            </w:r>
          </w:p>
        </w:tc>
        <w:tc>
          <w:tcPr>
            <w:tcW w:w="0" w:type="auto"/>
            <w:tcBorders>
              <w:top w:val="nil"/>
              <w:left w:val="nil"/>
              <w:bottom w:val="nil"/>
              <w:right w:val="nil"/>
            </w:tcBorders>
            <w:shd w:val="clear" w:color="auto" w:fill="auto"/>
            <w:noWrap/>
            <w:vAlign w:val="bottom"/>
            <w:hideMark/>
          </w:tcPr>
          <w:p w14:paraId="7D038AA7" w14:textId="77777777" w:rsidR="00A27212" w:rsidRPr="00E87E42" w:rsidRDefault="00A27212" w:rsidP="00A27212">
            <w:pPr>
              <w:spacing w:after="0" w:line="240" w:lineRule="auto"/>
              <w:jc w:val="center"/>
              <w:rPr>
                <w:rFonts w:eastAsia="Times New Roman"/>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EB279A"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93</w:t>
            </w:r>
          </w:p>
        </w:tc>
        <w:tc>
          <w:tcPr>
            <w:tcW w:w="0" w:type="auto"/>
            <w:tcBorders>
              <w:top w:val="nil"/>
              <w:left w:val="nil"/>
              <w:bottom w:val="nil"/>
              <w:right w:val="nil"/>
            </w:tcBorders>
            <w:shd w:val="clear" w:color="auto" w:fill="auto"/>
            <w:noWrap/>
            <w:vAlign w:val="bottom"/>
            <w:hideMark/>
          </w:tcPr>
          <w:p w14:paraId="575AE708" w14:textId="77777777" w:rsidR="00A27212" w:rsidRPr="00E87E42" w:rsidRDefault="00A27212" w:rsidP="00A27212">
            <w:pPr>
              <w:spacing w:after="0" w:line="240" w:lineRule="auto"/>
              <w:jc w:val="center"/>
              <w:rPr>
                <w:rFonts w:eastAsia="Times New Roman"/>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5DFE9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5144</w:t>
            </w:r>
          </w:p>
        </w:tc>
        <w:tc>
          <w:tcPr>
            <w:tcW w:w="0" w:type="auto"/>
            <w:tcBorders>
              <w:top w:val="nil"/>
              <w:left w:val="nil"/>
              <w:bottom w:val="nil"/>
              <w:right w:val="nil"/>
            </w:tcBorders>
            <w:shd w:val="clear" w:color="auto" w:fill="auto"/>
            <w:noWrap/>
            <w:vAlign w:val="bottom"/>
            <w:hideMark/>
          </w:tcPr>
          <w:p w14:paraId="11FBC04B" w14:textId="77777777" w:rsidR="00A27212" w:rsidRPr="00E87E42" w:rsidRDefault="00A27212" w:rsidP="00A27212">
            <w:pPr>
              <w:spacing w:after="0" w:line="240" w:lineRule="auto"/>
              <w:jc w:val="center"/>
              <w:rPr>
                <w:rFonts w:eastAsia="Times New Roman"/>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0CB8E5"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226</w:t>
            </w:r>
          </w:p>
        </w:tc>
        <w:tc>
          <w:tcPr>
            <w:tcW w:w="0" w:type="auto"/>
            <w:tcBorders>
              <w:top w:val="nil"/>
              <w:left w:val="nil"/>
              <w:bottom w:val="nil"/>
              <w:right w:val="nil"/>
            </w:tcBorders>
            <w:shd w:val="clear" w:color="auto" w:fill="auto"/>
            <w:noWrap/>
            <w:vAlign w:val="bottom"/>
            <w:hideMark/>
          </w:tcPr>
          <w:p w14:paraId="3D1DCCC8" w14:textId="77777777" w:rsidR="00A27212" w:rsidRPr="00E87E42" w:rsidRDefault="00A27212" w:rsidP="00A27212">
            <w:pPr>
              <w:spacing w:after="0" w:line="240" w:lineRule="auto"/>
              <w:jc w:val="center"/>
              <w:rPr>
                <w:rFonts w:eastAsia="Times New Roman"/>
                <w:color w:val="000000"/>
                <w:sz w:val="16"/>
                <w:szCs w:val="16"/>
                <w:lang w:eastAsia="en-GB"/>
              </w:rPr>
            </w:pPr>
          </w:p>
        </w:tc>
      </w:tr>
      <w:tr w:rsidR="00A27212" w:rsidRPr="00E87E42" w14:paraId="3D9CE583" w14:textId="77777777" w:rsidTr="00A27212">
        <w:trPr>
          <w:trHeight w:val="170"/>
        </w:trPr>
        <w:tc>
          <w:tcPr>
            <w:tcW w:w="0" w:type="auto"/>
            <w:tcBorders>
              <w:top w:val="nil"/>
              <w:left w:val="nil"/>
              <w:bottom w:val="nil"/>
              <w:right w:val="nil"/>
            </w:tcBorders>
            <w:shd w:val="clear" w:color="auto" w:fill="auto"/>
            <w:noWrap/>
            <w:vAlign w:val="bottom"/>
            <w:hideMark/>
          </w:tcPr>
          <w:p w14:paraId="06767452" w14:textId="77777777" w:rsidR="00A27212" w:rsidRPr="00E87E42" w:rsidRDefault="00A27212" w:rsidP="00A27212">
            <w:pPr>
              <w:spacing w:after="0" w:line="240" w:lineRule="auto"/>
              <w:jc w:val="center"/>
              <w:rPr>
                <w:rFonts w:eastAsia="Times New Roman"/>
                <w:sz w:val="16"/>
                <w:szCs w:val="16"/>
                <w:lang w:eastAsia="en-GB"/>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93041" w14:textId="77777777" w:rsidR="00A27212" w:rsidRPr="00E87E42" w:rsidRDefault="00A27212" w:rsidP="00A27212">
            <w:pPr>
              <w:spacing w:after="0" w:line="240" w:lineRule="auto"/>
              <w:jc w:val="center"/>
              <w:rPr>
                <w:rFonts w:eastAsia="Times New Roman"/>
                <w:b/>
                <w:color w:val="000000"/>
                <w:sz w:val="16"/>
                <w:szCs w:val="16"/>
                <w:u w:val="single"/>
                <w:lang w:eastAsia="en-GB"/>
              </w:rPr>
            </w:pPr>
            <w:r w:rsidRPr="00E87E42">
              <w:rPr>
                <w:rFonts w:eastAsia="Times New Roman"/>
                <w:b/>
                <w:color w:val="000000"/>
                <w:sz w:val="16"/>
                <w:szCs w:val="16"/>
                <w:u w:val="single"/>
                <w:lang w:eastAsia="en-GB"/>
              </w:rPr>
              <w:t>Other Areas</w:t>
            </w:r>
          </w:p>
        </w:tc>
      </w:tr>
      <w:tr w:rsidR="00A27212" w:rsidRPr="00E87E42" w14:paraId="6969F63E" w14:textId="77777777" w:rsidTr="00A27212">
        <w:trPr>
          <w:trHeight w:val="170"/>
        </w:trPr>
        <w:tc>
          <w:tcPr>
            <w:tcW w:w="0" w:type="auto"/>
            <w:tcBorders>
              <w:top w:val="nil"/>
              <w:left w:val="nil"/>
              <w:bottom w:val="nil"/>
              <w:right w:val="nil"/>
            </w:tcBorders>
            <w:shd w:val="clear" w:color="auto" w:fill="auto"/>
            <w:noWrap/>
            <w:vAlign w:val="bottom"/>
            <w:hideMark/>
          </w:tcPr>
          <w:p w14:paraId="471D9966" w14:textId="77777777" w:rsidR="00A27212" w:rsidRPr="00E87E42" w:rsidRDefault="00A27212" w:rsidP="00A27212">
            <w:pPr>
              <w:spacing w:after="0" w:line="240" w:lineRule="auto"/>
              <w:jc w:val="center"/>
              <w:rPr>
                <w:rFonts w:eastAsia="Times New Roman"/>
                <w:color w:val="000000"/>
                <w:sz w:val="16"/>
                <w:szCs w:val="16"/>
                <w:lang w:eastAsia="en-GB"/>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2AA7B" w14:textId="77777777" w:rsidR="00A27212" w:rsidRPr="00E87E42" w:rsidRDefault="00A27212" w:rsidP="00A2721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Sprinklers</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76A31502" w14:textId="77777777" w:rsidR="00A27212" w:rsidRPr="00E87E42" w:rsidRDefault="00A27212" w:rsidP="00A27212">
            <w:pPr>
              <w:spacing w:after="0" w:line="240" w:lineRule="auto"/>
              <w:jc w:val="center"/>
              <w:rPr>
                <w:rFonts w:eastAsia="Times New Roman"/>
                <w:i/>
                <w:color w:val="000000"/>
                <w:sz w:val="16"/>
                <w:szCs w:val="16"/>
                <w:lang w:eastAsia="en-GB"/>
              </w:rPr>
            </w:pPr>
            <w:r w:rsidRPr="00E87E42">
              <w:rPr>
                <w:rFonts w:eastAsia="Times New Roman"/>
                <w:i/>
                <w:color w:val="000000"/>
                <w:sz w:val="16"/>
                <w:szCs w:val="16"/>
                <w:lang w:eastAsia="en-GB"/>
              </w:rPr>
              <w:t>No sprinklers</w:t>
            </w:r>
          </w:p>
        </w:tc>
      </w:tr>
      <w:tr w:rsidR="00A27212" w:rsidRPr="00E87E42" w14:paraId="3BEE7B72" w14:textId="77777777" w:rsidTr="00A27212">
        <w:trPr>
          <w:trHeight w:val="170"/>
        </w:trPr>
        <w:tc>
          <w:tcPr>
            <w:tcW w:w="0" w:type="auto"/>
            <w:tcBorders>
              <w:top w:val="nil"/>
              <w:left w:val="nil"/>
              <w:bottom w:val="nil"/>
              <w:right w:val="nil"/>
            </w:tcBorders>
            <w:shd w:val="clear" w:color="auto" w:fill="auto"/>
            <w:noWrap/>
            <w:vAlign w:val="bottom"/>
            <w:hideMark/>
          </w:tcPr>
          <w:p w14:paraId="2118A6EE" w14:textId="77777777" w:rsidR="00A27212" w:rsidRPr="00E87E42" w:rsidRDefault="00A27212" w:rsidP="00A27212">
            <w:pPr>
              <w:spacing w:after="0" w:line="240" w:lineRule="auto"/>
              <w:jc w:val="center"/>
              <w:rPr>
                <w:rFonts w:eastAsia="Times New Roman"/>
                <w:color w:val="000000"/>
                <w:sz w:val="16"/>
                <w:szCs w:val="16"/>
                <w:lang w:eastAsia="en-GB"/>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8BC58"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 7974-7</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4EE6B8A"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 data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A0525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PD 7974-7</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684B3B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USA data</w:t>
            </w:r>
          </w:p>
        </w:tc>
      </w:tr>
      <w:tr w:rsidR="00A27212" w:rsidRPr="00E87E42" w14:paraId="46DA8314" w14:textId="77777777" w:rsidTr="00A27212">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29EB4"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Area damage (m</w:t>
            </w:r>
            <w:r w:rsidRPr="00E87E42">
              <w:rPr>
                <w:rFonts w:eastAsia="Times New Roman"/>
                <w:color w:val="000000"/>
                <w:sz w:val="16"/>
                <w:szCs w:val="16"/>
                <w:vertAlign w:val="superscript"/>
                <w:lang w:eastAsia="en-GB"/>
              </w:rPr>
              <w:t>2</w:t>
            </w:r>
            <w:r w:rsidRPr="00E87E42">
              <w:rPr>
                <w:rFonts w:eastAsia="Times New Roman"/>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4A8F3482"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n of fires</w:t>
            </w:r>
          </w:p>
        </w:tc>
        <w:tc>
          <w:tcPr>
            <w:tcW w:w="0" w:type="auto"/>
            <w:tcBorders>
              <w:top w:val="nil"/>
              <w:left w:val="nil"/>
              <w:bottom w:val="single" w:sz="4" w:space="0" w:color="auto"/>
              <w:right w:val="single" w:sz="4" w:space="0" w:color="auto"/>
            </w:tcBorders>
            <w:shd w:val="clear" w:color="auto" w:fill="auto"/>
            <w:noWrap/>
            <w:vAlign w:val="bottom"/>
            <w:hideMark/>
          </w:tcPr>
          <w:p w14:paraId="72DE464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fire exceeding upper limit</w:t>
            </w:r>
          </w:p>
        </w:tc>
        <w:tc>
          <w:tcPr>
            <w:tcW w:w="0" w:type="auto"/>
            <w:tcBorders>
              <w:top w:val="nil"/>
              <w:left w:val="nil"/>
              <w:bottom w:val="single" w:sz="4" w:space="0" w:color="auto"/>
              <w:right w:val="single" w:sz="4" w:space="0" w:color="auto"/>
            </w:tcBorders>
            <w:shd w:val="clear" w:color="auto" w:fill="auto"/>
            <w:noWrap/>
            <w:vAlign w:val="bottom"/>
            <w:hideMark/>
          </w:tcPr>
          <w:p w14:paraId="5439FC16"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n of fires</w:t>
            </w:r>
          </w:p>
        </w:tc>
        <w:tc>
          <w:tcPr>
            <w:tcW w:w="0" w:type="auto"/>
            <w:tcBorders>
              <w:top w:val="nil"/>
              <w:left w:val="nil"/>
              <w:bottom w:val="single" w:sz="4" w:space="0" w:color="auto"/>
              <w:right w:val="single" w:sz="4" w:space="0" w:color="auto"/>
            </w:tcBorders>
            <w:shd w:val="clear" w:color="auto" w:fill="auto"/>
            <w:noWrap/>
            <w:vAlign w:val="bottom"/>
            <w:hideMark/>
          </w:tcPr>
          <w:p w14:paraId="4F88B52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fire exceeding upper limit</w:t>
            </w:r>
          </w:p>
        </w:tc>
        <w:tc>
          <w:tcPr>
            <w:tcW w:w="0" w:type="auto"/>
            <w:tcBorders>
              <w:top w:val="nil"/>
              <w:left w:val="nil"/>
              <w:bottom w:val="single" w:sz="4" w:space="0" w:color="auto"/>
              <w:right w:val="single" w:sz="4" w:space="0" w:color="auto"/>
            </w:tcBorders>
            <w:shd w:val="clear" w:color="auto" w:fill="auto"/>
            <w:noWrap/>
            <w:vAlign w:val="bottom"/>
            <w:hideMark/>
          </w:tcPr>
          <w:p w14:paraId="4A99845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n of fires</w:t>
            </w:r>
          </w:p>
        </w:tc>
        <w:tc>
          <w:tcPr>
            <w:tcW w:w="0" w:type="auto"/>
            <w:tcBorders>
              <w:top w:val="nil"/>
              <w:left w:val="nil"/>
              <w:bottom w:val="single" w:sz="4" w:space="0" w:color="auto"/>
              <w:right w:val="single" w:sz="4" w:space="0" w:color="auto"/>
            </w:tcBorders>
            <w:shd w:val="clear" w:color="auto" w:fill="auto"/>
            <w:noWrap/>
            <w:vAlign w:val="bottom"/>
            <w:hideMark/>
          </w:tcPr>
          <w:p w14:paraId="7E77A14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fire exceeding upper limit</w:t>
            </w:r>
          </w:p>
        </w:tc>
        <w:tc>
          <w:tcPr>
            <w:tcW w:w="0" w:type="auto"/>
            <w:tcBorders>
              <w:top w:val="nil"/>
              <w:left w:val="nil"/>
              <w:bottom w:val="single" w:sz="4" w:space="0" w:color="auto"/>
              <w:right w:val="single" w:sz="4" w:space="0" w:color="auto"/>
            </w:tcBorders>
            <w:shd w:val="clear" w:color="auto" w:fill="auto"/>
            <w:noWrap/>
            <w:vAlign w:val="bottom"/>
            <w:hideMark/>
          </w:tcPr>
          <w:p w14:paraId="4E73E5A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n of fires</w:t>
            </w:r>
          </w:p>
        </w:tc>
        <w:tc>
          <w:tcPr>
            <w:tcW w:w="0" w:type="auto"/>
            <w:tcBorders>
              <w:top w:val="nil"/>
              <w:left w:val="nil"/>
              <w:bottom w:val="single" w:sz="4" w:space="0" w:color="auto"/>
              <w:right w:val="single" w:sz="4" w:space="0" w:color="auto"/>
            </w:tcBorders>
            <w:shd w:val="clear" w:color="auto" w:fill="auto"/>
            <w:noWrap/>
            <w:vAlign w:val="bottom"/>
            <w:hideMark/>
          </w:tcPr>
          <w:p w14:paraId="4F3F34D4"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 fire exceeding upper limit</w:t>
            </w:r>
          </w:p>
        </w:tc>
      </w:tr>
      <w:tr w:rsidR="00A27212" w:rsidRPr="00E87E42" w14:paraId="07ED2ECB"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47E37CD8"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 and under</w:t>
            </w:r>
          </w:p>
        </w:tc>
        <w:tc>
          <w:tcPr>
            <w:tcW w:w="0" w:type="auto"/>
            <w:tcBorders>
              <w:top w:val="nil"/>
              <w:left w:val="nil"/>
              <w:bottom w:val="nil"/>
              <w:right w:val="nil"/>
            </w:tcBorders>
            <w:shd w:val="clear" w:color="auto" w:fill="auto"/>
            <w:noWrap/>
            <w:vAlign w:val="bottom"/>
            <w:hideMark/>
          </w:tcPr>
          <w:p w14:paraId="7D39377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135</w:t>
            </w:r>
          </w:p>
        </w:tc>
        <w:tc>
          <w:tcPr>
            <w:tcW w:w="0" w:type="auto"/>
            <w:tcBorders>
              <w:top w:val="nil"/>
              <w:left w:val="nil"/>
              <w:bottom w:val="nil"/>
              <w:right w:val="single" w:sz="4" w:space="0" w:color="auto"/>
            </w:tcBorders>
            <w:shd w:val="clear" w:color="auto" w:fill="auto"/>
            <w:noWrap/>
            <w:vAlign w:val="bottom"/>
            <w:hideMark/>
          </w:tcPr>
          <w:p w14:paraId="1712D27D"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26.2%</w:t>
            </w:r>
          </w:p>
        </w:tc>
        <w:tc>
          <w:tcPr>
            <w:tcW w:w="0" w:type="auto"/>
            <w:tcBorders>
              <w:top w:val="nil"/>
              <w:left w:val="nil"/>
              <w:bottom w:val="nil"/>
              <w:right w:val="nil"/>
            </w:tcBorders>
            <w:shd w:val="clear" w:color="auto" w:fill="auto"/>
            <w:noWrap/>
            <w:vAlign w:val="bottom"/>
            <w:hideMark/>
          </w:tcPr>
          <w:p w14:paraId="4821C6A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376</w:t>
            </w:r>
          </w:p>
        </w:tc>
        <w:tc>
          <w:tcPr>
            <w:tcW w:w="0" w:type="auto"/>
            <w:tcBorders>
              <w:top w:val="nil"/>
              <w:left w:val="nil"/>
              <w:bottom w:val="nil"/>
              <w:right w:val="nil"/>
            </w:tcBorders>
            <w:shd w:val="clear" w:color="auto" w:fill="auto"/>
            <w:noWrap/>
            <w:vAlign w:val="bottom"/>
            <w:hideMark/>
          </w:tcPr>
          <w:p w14:paraId="52CF9657"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34.38%</w:t>
            </w:r>
          </w:p>
        </w:tc>
        <w:tc>
          <w:tcPr>
            <w:tcW w:w="0" w:type="auto"/>
            <w:tcBorders>
              <w:top w:val="nil"/>
              <w:left w:val="single" w:sz="4" w:space="0" w:color="auto"/>
              <w:bottom w:val="nil"/>
              <w:right w:val="nil"/>
            </w:tcBorders>
            <w:shd w:val="clear" w:color="auto" w:fill="auto"/>
            <w:noWrap/>
            <w:vAlign w:val="bottom"/>
            <w:hideMark/>
          </w:tcPr>
          <w:p w14:paraId="00C769F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4066</w:t>
            </w:r>
          </w:p>
        </w:tc>
        <w:tc>
          <w:tcPr>
            <w:tcW w:w="0" w:type="auto"/>
            <w:tcBorders>
              <w:top w:val="nil"/>
              <w:left w:val="nil"/>
              <w:bottom w:val="nil"/>
              <w:right w:val="single" w:sz="4" w:space="0" w:color="auto"/>
            </w:tcBorders>
            <w:shd w:val="clear" w:color="auto" w:fill="auto"/>
            <w:noWrap/>
            <w:vAlign w:val="bottom"/>
            <w:hideMark/>
          </w:tcPr>
          <w:p w14:paraId="7D39D557"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43.5%</w:t>
            </w:r>
          </w:p>
        </w:tc>
        <w:tc>
          <w:tcPr>
            <w:tcW w:w="0" w:type="auto"/>
            <w:tcBorders>
              <w:top w:val="nil"/>
              <w:left w:val="nil"/>
              <w:bottom w:val="nil"/>
              <w:right w:val="nil"/>
            </w:tcBorders>
            <w:shd w:val="clear" w:color="auto" w:fill="auto"/>
            <w:noWrap/>
            <w:vAlign w:val="bottom"/>
            <w:hideMark/>
          </w:tcPr>
          <w:p w14:paraId="2EBA60E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807</w:t>
            </w:r>
          </w:p>
        </w:tc>
        <w:tc>
          <w:tcPr>
            <w:tcW w:w="0" w:type="auto"/>
            <w:tcBorders>
              <w:top w:val="nil"/>
              <w:left w:val="nil"/>
              <w:bottom w:val="nil"/>
              <w:right w:val="single" w:sz="4" w:space="0" w:color="auto"/>
            </w:tcBorders>
            <w:shd w:val="clear" w:color="auto" w:fill="auto"/>
            <w:noWrap/>
            <w:vAlign w:val="bottom"/>
            <w:hideMark/>
          </w:tcPr>
          <w:p w14:paraId="3F24F58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47.67%</w:t>
            </w:r>
          </w:p>
        </w:tc>
      </w:tr>
      <w:tr w:rsidR="00A27212" w:rsidRPr="00E87E42" w14:paraId="54643E8E"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3128CBEF"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w:t>
            </w:r>
          </w:p>
        </w:tc>
        <w:tc>
          <w:tcPr>
            <w:tcW w:w="0" w:type="auto"/>
            <w:tcBorders>
              <w:top w:val="nil"/>
              <w:left w:val="nil"/>
              <w:bottom w:val="nil"/>
              <w:right w:val="nil"/>
            </w:tcBorders>
            <w:shd w:val="clear" w:color="auto" w:fill="auto"/>
            <w:noWrap/>
            <w:vAlign w:val="bottom"/>
            <w:hideMark/>
          </w:tcPr>
          <w:p w14:paraId="05244D6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w:t>
            </w:r>
          </w:p>
        </w:tc>
        <w:tc>
          <w:tcPr>
            <w:tcW w:w="0" w:type="auto"/>
            <w:tcBorders>
              <w:top w:val="nil"/>
              <w:left w:val="nil"/>
              <w:bottom w:val="nil"/>
              <w:right w:val="single" w:sz="4" w:space="0" w:color="auto"/>
            </w:tcBorders>
            <w:shd w:val="clear" w:color="auto" w:fill="auto"/>
            <w:noWrap/>
            <w:vAlign w:val="bottom"/>
            <w:hideMark/>
          </w:tcPr>
          <w:p w14:paraId="5CBAC12F"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14.2%</w:t>
            </w:r>
          </w:p>
        </w:tc>
        <w:tc>
          <w:tcPr>
            <w:tcW w:w="0" w:type="auto"/>
            <w:tcBorders>
              <w:top w:val="nil"/>
              <w:left w:val="nil"/>
              <w:bottom w:val="nil"/>
              <w:right w:val="nil"/>
            </w:tcBorders>
            <w:shd w:val="clear" w:color="auto" w:fill="auto"/>
            <w:noWrap/>
            <w:vAlign w:val="bottom"/>
            <w:hideMark/>
          </w:tcPr>
          <w:p w14:paraId="03921493"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w:t>
            </w:r>
          </w:p>
        </w:tc>
        <w:tc>
          <w:tcPr>
            <w:tcW w:w="0" w:type="auto"/>
            <w:tcBorders>
              <w:top w:val="nil"/>
              <w:left w:val="nil"/>
              <w:bottom w:val="nil"/>
              <w:right w:val="nil"/>
            </w:tcBorders>
            <w:shd w:val="clear" w:color="auto" w:fill="auto"/>
            <w:noWrap/>
            <w:vAlign w:val="bottom"/>
            <w:hideMark/>
          </w:tcPr>
          <w:p w14:paraId="162BFF7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33.86%</w:t>
            </w:r>
          </w:p>
        </w:tc>
        <w:tc>
          <w:tcPr>
            <w:tcW w:w="0" w:type="auto"/>
            <w:tcBorders>
              <w:top w:val="nil"/>
              <w:left w:val="single" w:sz="4" w:space="0" w:color="auto"/>
              <w:bottom w:val="nil"/>
              <w:right w:val="nil"/>
            </w:tcBorders>
            <w:shd w:val="clear" w:color="auto" w:fill="auto"/>
            <w:noWrap/>
            <w:vAlign w:val="bottom"/>
            <w:hideMark/>
          </w:tcPr>
          <w:p w14:paraId="30F4CE6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1638</w:t>
            </w:r>
          </w:p>
        </w:tc>
        <w:tc>
          <w:tcPr>
            <w:tcW w:w="0" w:type="auto"/>
            <w:tcBorders>
              <w:top w:val="nil"/>
              <w:left w:val="nil"/>
              <w:bottom w:val="nil"/>
              <w:right w:val="single" w:sz="4" w:space="0" w:color="auto"/>
            </w:tcBorders>
            <w:shd w:val="clear" w:color="auto" w:fill="auto"/>
            <w:noWrap/>
            <w:vAlign w:val="bottom"/>
            <w:hideMark/>
          </w:tcPr>
          <w:p w14:paraId="3A9E17A9"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20.7%</w:t>
            </w:r>
          </w:p>
        </w:tc>
        <w:tc>
          <w:tcPr>
            <w:tcW w:w="0" w:type="auto"/>
            <w:tcBorders>
              <w:top w:val="nil"/>
              <w:left w:val="nil"/>
              <w:bottom w:val="nil"/>
              <w:right w:val="nil"/>
            </w:tcBorders>
            <w:shd w:val="clear" w:color="auto" w:fill="auto"/>
            <w:noWrap/>
            <w:vAlign w:val="bottom"/>
            <w:hideMark/>
          </w:tcPr>
          <w:p w14:paraId="5DFE7F9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w:t>
            </w:r>
          </w:p>
        </w:tc>
        <w:tc>
          <w:tcPr>
            <w:tcW w:w="0" w:type="auto"/>
            <w:tcBorders>
              <w:top w:val="nil"/>
              <w:left w:val="nil"/>
              <w:bottom w:val="nil"/>
              <w:right w:val="single" w:sz="4" w:space="0" w:color="auto"/>
            </w:tcBorders>
            <w:shd w:val="clear" w:color="auto" w:fill="auto"/>
            <w:noWrap/>
            <w:vAlign w:val="bottom"/>
            <w:hideMark/>
          </w:tcPr>
          <w:p w14:paraId="0772A658"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47.08%</w:t>
            </w:r>
          </w:p>
        </w:tc>
      </w:tr>
      <w:tr w:rsidR="00A27212" w:rsidRPr="00E87E42" w14:paraId="411857E9"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24C0BD75"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5-9</w:t>
            </w:r>
          </w:p>
        </w:tc>
        <w:tc>
          <w:tcPr>
            <w:tcW w:w="0" w:type="auto"/>
            <w:tcBorders>
              <w:top w:val="nil"/>
              <w:left w:val="nil"/>
              <w:bottom w:val="nil"/>
              <w:right w:val="nil"/>
            </w:tcBorders>
            <w:shd w:val="clear" w:color="auto" w:fill="auto"/>
            <w:noWrap/>
            <w:vAlign w:val="bottom"/>
            <w:hideMark/>
          </w:tcPr>
          <w:p w14:paraId="1130EC4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w:t>
            </w:r>
          </w:p>
        </w:tc>
        <w:tc>
          <w:tcPr>
            <w:tcW w:w="0" w:type="auto"/>
            <w:tcBorders>
              <w:top w:val="nil"/>
              <w:left w:val="nil"/>
              <w:bottom w:val="nil"/>
              <w:right w:val="single" w:sz="4" w:space="0" w:color="auto"/>
            </w:tcBorders>
            <w:shd w:val="clear" w:color="auto" w:fill="auto"/>
            <w:noWrap/>
            <w:vAlign w:val="bottom"/>
            <w:hideMark/>
          </w:tcPr>
          <w:p w14:paraId="1CE4165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9.8%</w:t>
            </w:r>
          </w:p>
        </w:tc>
        <w:tc>
          <w:tcPr>
            <w:tcW w:w="0" w:type="auto"/>
            <w:tcBorders>
              <w:top w:val="nil"/>
              <w:left w:val="nil"/>
              <w:bottom w:val="nil"/>
              <w:right w:val="nil"/>
            </w:tcBorders>
            <w:shd w:val="clear" w:color="auto" w:fill="auto"/>
            <w:noWrap/>
            <w:vAlign w:val="bottom"/>
            <w:hideMark/>
          </w:tcPr>
          <w:p w14:paraId="7538C457"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w:t>
            </w:r>
          </w:p>
        </w:tc>
        <w:tc>
          <w:tcPr>
            <w:tcW w:w="0" w:type="auto"/>
            <w:tcBorders>
              <w:top w:val="nil"/>
              <w:left w:val="nil"/>
              <w:bottom w:val="nil"/>
              <w:right w:val="nil"/>
            </w:tcBorders>
            <w:shd w:val="clear" w:color="auto" w:fill="auto"/>
            <w:noWrap/>
            <w:vAlign w:val="bottom"/>
            <w:hideMark/>
          </w:tcPr>
          <w:p w14:paraId="1DD1302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32.46%</w:t>
            </w:r>
          </w:p>
        </w:tc>
        <w:tc>
          <w:tcPr>
            <w:tcW w:w="0" w:type="auto"/>
            <w:tcBorders>
              <w:top w:val="nil"/>
              <w:left w:val="single" w:sz="4" w:space="0" w:color="auto"/>
              <w:bottom w:val="nil"/>
              <w:right w:val="nil"/>
            </w:tcBorders>
            <w:shd w:val="clear" w:color="auto" w:fill="auto"/>
            <w:noWrap/>
            <w:vAlign w:val="bottom"/>
            <w:hideMark/>
          </w:tcPr>
          <w:p w14:paraId="7D31D77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490</w:t>
            </w:r>
          </w:p>
        </w:tc>
        <w:tc>
          <w:tcPr>
            <w:tcW w:w="0" w:type="auto"/>
            <w:tcBorders>
              <w:top w:val="nil"/>
              <w:left w:val="nil"/>
              <w:bottom w:val="nil"/>
              <w:right w:val="single" w:sz="4" w:space="0" w:color="auto"/>
            </w:tcBorders>
            <w:shd w:val="clear" w:color="auto" w:fill="auto"/>
            <w:noWrap/>
            <w:vAlign w:val="bottom"/>
            <w:hideMark/>
          </w:tcPr>
          <w:p w14:paraId="7C247F2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13.9%</w:t>
            </w:r>
          </w:p>
        </w:tc>
        <w:tc>
          <w:tcPr>
            <w:tcW w:w="0" w:type="auto"/>
            <w:tcBorders>
              <w:top w:val="nil"/>
              <w:left w:val="nil"/>
              <w:bottom w:val="nil"/>
              <w:right w:val="nil"/>
            </w:tcBorders>
            <w:shd w:val="clear" w:color="auto" w:fill="auto"/>
            <w:noWrap/>
            <w:vAlign w:val="bottom"/>
            <w:hideMark/>
          </w:tcPr>
          <w:p w14:paraId="1F2F8DA2"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w:t>
            </w:r>
          </w:p>
        </w:tc>
        <w:tc>
          <w:tcPr>
            <w:tcW w:w="0" w:type="auto"/>
            <w:tcBorders>
              <w:top w:val="nil"/>
              <w:left w:val="nil"/>
              <w:bottom w:val="nil"/>
              <w:right w:val="single" w:sz="4" w:space="0" w:color="auto"/>
            </w:tcBorders>
            <w:shd w:val="clear" w:color="auto" w:fill="auto"/>
            <w:noWrap/>
            <w:vAlign w:val="bottom"/>
            <w:hideMark/>
          </w:tcPr>
          <w:p w14:paraId="7E5940D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45.91%</w:t>
            </w:r>
          </w:p>
        </w:tc>
      </w:tr>
      <w:tr w:rsidR="00A27212" w:rsidRPr="00E87E42" w14:paraId="1083D7EC"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5DF1524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10-19</w:t>
            </w:r>
          </w:p>
        </w:tc>
        <w:tc>
          <w:tcPr>
            <w:tcW w:w="0" w:type="auto"/>
            <w:tcBorders>
              <w:top w:val="nil"/>
              <w:left w:val="nil"/>
              <w:bottom w:val="nil"/>
              <w:right w:val="nil"/>
            </w:tcBorders>
            <w:shd w:val="clear" w:color="auto" w:fill="auto"/>
            <w:noWrap/>
            <w:vAlign w:val="bottom"/>
            <w:hideMark/>
          </w:tcPr>
          <w:p w14:paraId="0DEF007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9</w:t>
            </w:r>
          </w:p>
        </w:tc>
        <w:tc>
          <w:tcPr>
            <w:tcW w:w="0" w:type="auto"/>
            <w:tcBorders>
              <w:top w:val="nil"/>
              <w:left w:val="nil"/>
              <w:bottom w:val="nil"/>
              <w:right w:val="single" w:sz="4" w:space="0" w:color="auto"/>
            </w:tcBorders>
            <w:shd w:val="clear" w:color="auto" w:fill="auto"/>
            <w:noWrap/>
            <w:vAlign w:val="bottom"/>
            <w:hideMark/>
          </w:tcPr>
          <w:p w14:paraId="24F2447A"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4.9%</w:t>
            </w:r>
          </w:p>
        </w:tc>
        <w:tc>
          <w:tcPr>
            <w:tcW w:w="0" w:type="auto"/>
            <w:tcBorders>
              <w:top w:val="nil"/>
              <w:left w:val="nil"/>
              <w:bottom w:val="nil"/>
              <w:right w:val="nil"/>
            </w:tcBorders>
            <w:shd w:val="clear" w:color="auto" w:fill="auto"/>
            <w:noWrap/>
            <w:vAlign w:val="bottom"/>
            <w:hideMark/>
          </w:tcPr>
          <w:p w14:paraId="7D39D555"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w:t>
            </w:r>
          </w:p>
        </w:tc>
        <w:tc>
          <w:tcPr>
            <w:tcW w:w="0" w:type="auto"/>
            <w:tcBorders>
              <w:top w:val="nil"/>
              <w:left w:val="nil"/>
              <w:bottom w:val="nil"/>
              <w:right w:val="nil"/>
            </w:tcBorders>
            <w:shd w:val="clear" w:color="auto" w:fill="auto"/>
            <w:noWrap/>
            <w:vAlign w:val="bottom"/>
            <w:hideMark/>
          </w:tcPr>
          <w:p w14:paraId="2EBA15F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31.76%</w:t>
            </w:r>
          </w:p>
        </w:tc>
        <w:tc>
          <w:tcPr>
            <w:tcW w:w="0" w:type="auto"/>
            <w:tcBorders>
              <w:top w:val="nil"/>
              <w:left w:val="single" w:sz="4" w:space="0" w:color="auto"/>
              <w:bottom w:val="nil"/>
              <w:right w:val="nil"/>
            </w:tcBorders>
            <w:shd w:val="clear" w:color="auto" w:fill="auto"/>
            <w:noWrap/>
            <w:vAlign w:val="bottom"/>
            <w:hideMark/>
          </w:tcPr>
          <w:p w14:paraId="33EA6B58"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404</w:t>
            </w:r>
          </w:p>
        </w:tc>
        <w:tc>
          <w:tcPr>
            <w:tcW w:w="0" w:type="auto"/>
            <w:tcBorders>
              <w:top w:val="nil"/>
              <w:left w:val="nil"/>
              <w:bottom w:val="nil"/>
              <w:right w:val="single" w:sz="4" w:space="0" w:color="auto"/>
            </w:tcBorders>
            <w:shd w:val="clear" w:color="auto" w:fill="auto"/>
            <w:noWrap/>
            <w:vAlign w:val="bottom"/>
            <w:hideMark/>
          </w:tcPr>
          <w:p w14:paraId="4324E00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8.3%</w:t>
            </w:r>
          </w:p>
        </w:tc>
        <w:tc>
          <w:tcPr>
            <w:tcW w:w="0" w:type="auto"/>
            <w:tcBorders>
              <w:top w:val="nil"/>
              <w:left w:val="nil"/>
              <w:bottom w:val="nil"/>
              <w:right w:val="nil"/>
            </w:tcBorders>
            <w:shd w:val="clear" w:color="auto" w:fill="auto"/>
            <w:noWrap/>
            <w:vAlign w:val="bottom"/>
            <w:hideMark/>
          </w:tcPr>
          <w:p w14:paraId="78B3CE0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44</w:t>
            </w:r>
          </w:p>
        </w:tc>
        <w:tc>
          <w:tcPr>
            <w:tcW w:w="0" w:type="auto"/>
            <w:tcBorders>
              <w:top w:val="nil"/>
              <w:left w:val="nil"/>
              <w:bottom w:val="nil"/>
              <w:right w:val="single" w:sz="4" w:space="0" w:color="auto"/>
            </w:tcBorders>
            <w:shd w:val="clear" w:color="auto" w:fill="auto"/>
            <w:noWrap/>
            <w:vAlign w:val="bottom"/>
            <w:hideMark/>
          </w:tcPr>
          <w:p w14:paraId="24F2C532"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43.06%</w:t>
            </w:r>
          </w:p>
        </w:tc>
      </w:tr>
      <w:tr w:rsidR="00A27212" w:rsidRPr="00E87E42" w14:paraId="7802B0C6"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2CFF3A86"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20-49</w:t>
            </w:r>
          </w:p>
        </w:tc>
        <w:tc>
          <w:tcPr>
            <w:tcW w:w="0" w:type="auto"/>
            <w:tcBorders>
              <w:top w:val="nil"/>
              <w:left w:val="nil"/>
              <w:bottom w:val="nil"/>
              <w:right w:val="nil"/>
            </w:tcBorders>
            <w:shd w:val="clear" w:color="auto" w:fill="auto"/>
            <w:noWrap/>
            <w:vAlign w:val="bottom"/>
            <w:hideMark/>
          </w:tcPr>
          <w:p w14:paraId="5674EC96"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0" w:type="auto"/>
            <w:tcBorders>
              <w:top w:val="nil"/>
              <w:left w:val="nil"/>
              <w:bottom w:val="nil"/>
              <w:right w:val="single" w:sz="4" w:space="0" w:color="auto"/>
            </w:tcBorders>
            <w:shd w:val="clear" w:color="auto" w:fill="auto"/>
            <w:noWrap/>
            <w:vAlign w:val="bottom"/>
            <w:hideMark/>
          </w:tcPr>
          <w:p w14:paraId="5EA52263"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w:t>
            </w:r>
          </w:p>
        </w:tc>
        <w:tc>
          <w:tcPr>
            <w:tcW w:w="0" w:type="auto"/>
            <w:tcBorders>
              <w:top w:val="nil"/>
              <w:left w:val="nil"/>
              <w:bottom w:val="nil"/>
              <w:right w:val="nil"/>
            </w:tcBorders>
            <w:shd w:val="clear" w:color="auto" w:fill="auto"/>
            <w:noWrap/>
            <w:vAlign w:val="bottom"/>
            <w:hideMark/>
          </w:tcPr>
          <w:p w14:paraId="00251F63"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26</w:t>
            </w:r>
          </w:p>
        </w:tc>
        <w:tc>
          <w:tcPr>
            <w:tcW w:w="0" w:type="auto"/>
            <w:tcBorders>
              <w:top w:val="nil"/>
              <w:left w:val="nil"/>
              <w:bottom w:val="nil"/>
              <w:right w:val="nil"/>
            </w:tcBorders>
            <w:shd w:val="clear" w:color="auto" w:fill="auto"/>
            <w:noWrap/>
            <w:vAlign w:val="bottom"/>
            <w:hideMark/>
          </w:tcPr>
          <w:p w14:paraId="2B31D043"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27.23%</w:t>
            </w:r>
          </w:p>
        </w:tc>
        <w:tc>
          <w:tcPr>
            <w:tcW w:w="0" w:type="auto"/>
            <w:tcBorders>
              <w:top w:val="nil"/>
              <w:left w:val="single" w:sz="4" w:space="0" w:color="auto"/>
              <w:bottom w:val="nil"/>
              <w:right w:val="nil"/>
            </w:tcBorders>
            <w:shd w:val="clear" w:color="auto" w:fill="auto"/>
            <w:noWrap/>
            <w:vAlign w:val="bottom"/>
            <w:hideMark/>
          </w:tcPr>
          <w:p w14:paraId="310F762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323</w:t>
            </w:r>
          </w:p>
        </w:tc>
        <w:tc>
          <w:tcPr>
            <w:tcW w:w="0" w:type="auto"/>
            <w:tcBorders>
              <w:top w:val="nil"/>
              <w:left w:val="nil"/>
              <w:bottom w:val="nil"/>
              <w:right w:val="single" w:sz="4" w:space="0" w:color="auto"/>
            </w:tcBorders>
            <w:shd w:val="clear" w:color="auto" w:fill="auto"/>
            <w:noWrap/>
            <w:vAlign w:val="bottom"/>
            <w:hideMark/>
          </w:tcPr>
          <w:p w14:paraId="3933A568"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3.8%</w:t>
            </w:r>
          </w:p>
        </w:tc>
        <w:tc>
          <w:tcPr>
            <w:tcW w:w="0" w:type="auto"/>
            <w:tcBorders>
              <w:top w:val="nil"/>
              <w:left w:val="nil"/>
              <w:bottom w:val="nil"/>
              <w:right w:val="nil"/>
            </w:tcBorders>
            <w:shd w:val="clear" w:color="auto" w:fill="auto"/>
            <w:noWrap/>
            <w:vAlign w:val="bottom"/>
            <w:hideMark/>
          </w:tcPr>
          <w:p w14:paraId="0D5D6352"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144</w:t>
            </w:r>
          </w:p>
        </w:tc>
        <w:tc>
          <w:tcPr>
            <w:tcW w:w="0" w:type="auto"/>
            <w:tcBorders>
              <w:top w:val="nil"/>
              <w:left w:val="nil"/>
              <w:bottom w:val="nil"/>
              <w:right w:val="single" w:sz="4" w:space="0" w:color="auto"/>
            </w:tcBorders>
            <w:shd w:val="clear" w:color="auto" w:fill="auto"/>
            <w:noWrap/>
            <w:vAlign w:val="bottom"/>
            <w:hideMark/>
          </w:tcPr>
          <w:p w14:paraId="52B800C7"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33.72%</w:t>
            </w:r>
          </w:p>
        </w:tc>
      </w:tr>
      <w:tr w:rsidR="00A27212" w:rsidRPr="00E87E42" w14:paraId="1FBFB92A"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1A449E02"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50-99</w:t>
            </w:r>
          </w:p>
        </w:tc>
        <w:tc>
          <w:tcPr>
            <w:tcW w:w="0" w:type="auto"/>
            <w:tcBorders>
              <w:top w:val="nil"/>
              <w:left w:val="nil"/>
              <w:bottom w:val="nil"/>
              <w:right w:val="nil"/>
            </w:tcBorders>
            <w:shd w:val="clear" w:color="auto" w:fill="auto"/>
            <w:noWrap/>
            <w:vAlign w:val="bottom"/>
            <w:hideMark/>
          </w:tcPr>
          <w:p w14:paraId="556E72CA"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0" w:type="auto"/>
            <w:tcBorders>
              <w:top w:val="nil"/>
              <w:left w:val="nil"/>
              <w:bottom w:val="nil"/>
              <w:right w:val="single" w:sz="4" w:space="0" w:color="auto"/>
            </w:tcBorders>
            <w:shd w:val="clear" w:color="auto" w:fill="auto"/>
            <w:noWrap/>
            <w:vAlign w:val="bottom"/>
            <w:hideMark/>
          </w:tcPr>
          <w:p w14:paraId="093694D7"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w:t>
            </w:r>
          </w:p>
        </w:tc>
        <w:tc>
          <w:tcPr>
            <w:tcW w:w="0" w:type="auto"/>
            <w:tcBorders>
              <w:top w:val="nil"/>
              <w:left w:val="nil"/>
              <w:bottom w:val="nil"/>
              <w:right w:val="nil"/>
            </w:tcBorders>
            <w:shd w:val="clear" w:color="auto" w:fill="auto"/>
            <w:noWrap/>
            <w:vAlign w:val="bottom"/>
            <w:hideMark/>
          </w:tcPr>
          <w:p w14:paraId="0DF8AD56"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22</w:t>
            </w:r>
          </w:p>
        </w:tc>
        <w:tc>
          <w:tcPr>
            <w:tcW w:w="0" w:type="auto"/>
            <w:tcBorders>
              <w:top w:val="nil"/>
              <w:left w:val="nil"/>
              <w:bottom w:val="nil"/>
              <w:right w:val="nil"/>
            </w:tcBorders>
            <w:shd w:val="clear" w:color="auto" w:fill="auto"/>
            <w:noWrap/>
            <w:vAlign w:val="bottom"/>
            <w:hideMark/>
          </w:tcPr>
          <w:p w14:paraId="181E7CAF"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23.39%</w:t>
            </w:r>
          </w:p>
        </w:tc>
        <w:tc>
          <w:tcPr>
            <w:tcW w:w="0" w:type="auto"/>
            <w:tcBorders>
              <w:top w:val="nil"/>
              <w:left w:val="single" w:sz="4" w:space="0" w:color="auto"/>
              <w:bottom w:val="nil"/>
              <w:right w:val="nil"/>
            </w:tcBorders>
            <w:shd w:val="clear" w:color="auto" w:fill="auto"/>
            <w:noWrap/>
            <w:vAlign w:val="bottom"/>
            <w:hideMark/>
          </w:tcPr>
          <w:p w14:paraId="64A20124"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128</w:t>
            </w:r>
          </w:p>
        </w:tc>
        <w:tc>
          <w:tcPr>
            <w:tcW w:w="0" w:type="auto"/>
            <w:tcBorders>
              <w:top w:val="nil"/>
              <w:left w:val="nil"/>
              <w:bottom w:val="nil"/>
              <w:right w:val="single" w:sz="4" w:space="0" w:color="auto"/>
            </w:tcBorders>
            <w:shd w:val="clear" w:color="auto" w:fill="auto"/>
            <w:noWrap/>
            <w:vAlign w:val="bottom"/>
            <w:hideMark/>
          </w:tcPr>
          <w:p w14:paraId="3612AB6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w:t>
            </w:r>
          </w:p>
        </w:tc>
        <w:tc>
          <w:tcPr>
            <w:tcW w:w="0" w:type="auto"/>
            <w:tcBorders>
              <w:top w:val="nil"/>
              <w:left w:val="nil"/>
              <w:bottom w:val="nil"/>
              <w:right w:val="nil"/>
            </w:tcBorders>
            <w:shd w:val="clear" w:color="auto" w:fill="auto"/>
            <w:noWrap/>
            <w:vAlign w:val="bottom"/>
            <w:hideMark/>
          </w:tcPr>
          <w:p w14:paraId="05475D47"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146</w:t>
            </w:r>
          </w:p>
        </w:tc>
        <w:tc>
          <w:tcPr>
            <w:tcW w:w="0" w:type="auto"/>
            <w:tcBorders>
              <w:top w:val="nil"/>
              <w:left w:val="nil"/>
              <w:bottom w:val="nil"/>
              <w:right w:val="single" w:sz="4" w:space="0" w:color="auto"/>
            </w:tcBorders>
            <w:shd w:val="clear" w:color="auto" w:fill="auto"/>
            <w:noWrap/>
            <w:vAlign w:val="bottom"/>
            <w:hideMark/>
          </w:tcPr>
          <w:p w14:paraId="1DD216C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24.25%</w:t>
            </w:r>
          </w:p>
        </w:tc>
      </w:tr>
      <w:tr w:rsidR="00A27212" w:rsidRPr="00E87E42" w14:paraId="3A87BD89"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192F4BF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100-199</w:t>
            </w:r>
          </w:p>
        </w:tc>
        <w:tc>
          <w:tcPr>
            <w:tcW w:w="0" w:type="auto"/>
            <w:tcBorders>
              <w:top w:val="nil"/>
              <w:left w:val="nil"/>
              <w:bottom w:val="nil"/>
              <w:right w:val="nil"/>
            </w:tcBorders>
            <w:shd w:val="clear" w:color="auto" w:fill="auto"/>
            <w:noWrap/>
            <w:vAlign w:val="bottom"/>
            <w:hideMark/>
          </w:tcPr>
          <w:p w14:paraId="4680FB32"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w:t>
            </w:r>
          </w:p>
        </w:tc>
        <w:tc>
          <w:tcPr>
            <w:tcW w:w="0" w:type="auto"/>
            <w:tcBorders>
              <w:top w:val="nil"/>
              <w:left w:val="nil"/>
              <w:bottom w:val="nil"/>
              <w:right w:val="single" w:sz="4" w:space="0" w:color="auto"/>
            </w:tcBorders>
            <w:shd w:val="clear" w:color="auto" w:fill="auto"/>
            <w:noWrap/>
            <w:vAlign w:val="bottom"/>
            <w:hideMark/>
          </w:tcPr>
          <w:p w14:paraId="5D31922A"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nil"/>
              <w:right w:val="nil"/>
            </w:tcBorders>
            <w:shd w:val="clear" w:color="auto" w:fill="auto"/>
            <w:noWrap/>
            <w:vAlign w:val="bottom"/>
            <w:hideMark/>
          </w:tcPr>
          <w:p w14:paraId="51C14FC4"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16</w:t>
            </w:r>
          </w:p>
        </w:tc>
        <w:tc>
          <w:tcPr>
            <w:tcW w:w="0" w:type="auto"/>
            <w:tcBorders>
              <w:top w:val="nil"/>
              <w:left w:val="nil"/>
              <w:bottom w:val="nil"/>
              <w:right w:val="nil"/>
            </w:tcBorders>
            <w:shd w:val="clear" w:color="auto" w:fill="auto"/>
            <w:noWrap/>
            <w:vAlign w:val="bottom"/>
            <w:hideMark/>
          </w:tcPr>
          <w:p w14:paraId="001DEB5F"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20.59%</w:t>
            </w:r>
          </w:p>
        </w:tc>
        <w:tc>
          <w:tcPr>
            <w:tcW w:w="0" w:type="auto"/>
            <w:tcBorders>
              <w:top w:val="nil"/>
              <w:left w:val="single" w:sz="4" w:space="0" w:color="auto"/>
              <w:bottom w:val="nil"/>
              <w:right w:val="nil"/>
            </w:tcBorders>
            <w:shd w:val="clear" w:color="auto" w:fill="auto"/>
            <w:noWrap/>
            <w:vAlign w:val="bottom"/>
            <w:hideMark/>
          </w:tcPr>
          <w:p w14:paraId="16DB54D6"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68</w:t>
            </w:r>
          </w:p>
        </w:tc>
        <w:tc>
          <w:tcPr>
            <w:tcW w:w="0" w:type="auto"/>
            <w:tcBorders>
              <w:top w:val="nil"/>
              <w:left w:val="nil"/>
              <w:bottom w:val="nil"/>
              <w:right w:val="single" w:sz="4" w:space="0" w:color="auto"/>
            </w:tcBorders>
            <w:shd w:val="clear" w:color="auto" w:fill="auto"/>
            <w:noWrap/>
            <w:vAlign w:val="bottom"/>
            <w:hideMark/>
          </w:tcPr>
          <w:p w14:paraId="7752477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1.1%</w:t>
            </w:r>
          </w:p>
        </w:tc>
        <w:tc>
          <w:tcPr>
            <w:tcW w:w="0" w:type="auto"/>
            <w:tcBorders>
              <w:top w:val="nil"/>
              <w:left w:val="nil"/>
              <w:bottom w:val="nil"/>
              <w:right w:val="nil"/>
            </w:tcBorders>
            <w:shd w:val="clear" w:color="auto" w:fill="auto"/>
            <w:noWrap/>
            <w:vAlign w:val="bottom"/>
            <w:hideMark/>
          </w:tcPr>
          <w:p w14:paraId="2A8DAC5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133</w:t>
            </w:r>
          </w:p>
        </w:tc>
        <w:tc>
          <w:tcPr>
            <w:tcW w:w="0" w:type="auto"/>
            <w:tcBorders>
              <w:top w:val="nil"/>
              <w:left w:val="nil"/>
              <w:bottom w:val="nil"/>
              <w:right w:val="single" w:sz="4" w:space="0" w:color="auto"/>
            </w:tcBorders>
            <w:shd w:val="clear" w:color="auto" w:fill="auto"/>
            <w:noWrap/>
            <w:vAlign w:val="bottom"/>
            <w:hideMark/>
          </w:tcPr>
          <w:p w14:paraId="181A0D95"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15.63%</w:t>
            </w:r>
          </w:p>
        </w:tc>
      </w:tr>
      <w:tr w:rsidR="00A27212" w:rsidRPr="00E87E42" w14:paraId="1BF32A29"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047EF149"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200-499</w:t>
            </w:r>
          </w:p>
        </w:tc>
        <w:tc>
          <w:tcPr>
            <w:tcW w:w="0" w:type="auto"/>
            <w:tcBorders>
              <w:top w:val="nil"/>
              <w:left w:val="nil"/>
              <w:bottom w:val="nil"/>
              <w:right w:val="nil"/>
            </w:tcBorders>
            <w:shd w:val="clear" w:color="auto" w:fill="auto"/>
            <w:noWrap/>
            <w:vAlign w:val="bottom"/>
            <w:hideMark/>
          </w:tcPr>
          <w:p w14:paraId="14FB400F"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single" w:sz="4" w:space="0" w:color="auto"/>
            </w:tcBorders>
            <w:shd w:val="clear" w:color="auto" w:fill="auto"/>
            <w:noWrap/>
            <w:vAlign w:val="bottom"/>
            <w:hideMark/>
          </w:tcPr>
          <w:p w14:paraId="05D53E5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nil"/>
              <w:right w:val="nil"/>
            </w:tcBorders>
            <w:shd w:val="clear" w:color="auto" w:fill="auto"/>
            <w:noWrap/>
            <w:vAlign w:val="bottom"/>
            <w:hideMark/>
          </w:tcPr>
          <w:p w14:paraId="60C46C1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49</w:t>
            </w:r>
          </w:p>
        </w:tc>
        <w:tc>
          <w:tcPr>
            <w:tcW w:w="0" w:type="auto"/>
            <w:tcBorders>
              <w:top w:val="nil"/>
              <w:left w:val="nil"/>
              <w:bottom w:val="nil"/>
              <w:right w:val="nil"/>
            </w:tcBorders>
            <w:shd w:val="clear" w:color="auto" w:fill="auto"/>
            <w:noWrap/>
            <w:vAlign w:val="bottom"/>
            <w:hideMark/>
          </w:tcPr>
          <w:p w14:paraId="6A746156"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12.04%</w:t>
            </w:r>
          </w:p>
        </w:tc>
        <w:tc>
          <w:tcPr>
            <w:tcW w:w="0" w:type="auto"/>
            <w:tcBorders>
              <w:top w:val="nil"/>
              <w:left w:val="single" w:sz="4" w:space="0" w:color="auto"/>
              <w:bottom w:val="nil"/>
              <w:right w:val="nil"/>
            </w:tcBorders>
            <w:shd w:val="clear" w:color="auto" w:fill="auto"/>
            <w:noWrap/>
            <w:vAlign w:val="bottom"/>
            <w:hideMark/>
          </w:tcPr>
          <w:p w14:paraId="0DC7010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57</w:t>
            </w:r>
          </w:p>
        </w:tc>
        <w:tc>
          <w:tcPr>
            <w:tcW w:w="0" w:type="auto"/>
            <w:tcBorders>
              <w:top w:val="nil"/>
              <w:left w:val="nil"/>
              <w:bottom w:val="nil"/>
              <w:right w:val="single" w:sz="4" w:space="0" w:color="auto"/>
            </w:tcBorders>
            <w:shd w:val="clear" w:color="auto" w:fill="auto"/>
            <w:noWrap/>
            <w:vAlign w:val="bottom"/>
            <w:hideMark/>
          </w:tcPr>
          <w:p w14:paraId="26801D46"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0.3%</w:t>
            </w:r>
          </w:p>
        </w:tc>
        <w:tc>
          <w:tcPr>
            <w:tcW w:w="0" w:type="auto"/>
            <w:tcBorders>
              <w:top w:val="nil"/>
              <w:left w:val="nil"/>
              <w:bottom w:val="nil"/>
              <w:right w:val="nil"/>
            </w:tcBorders>
            <w:shd w:val="clear" w:color="auto" w:fill="auto"/>
            <w:noWrap/>
            <w:vAlign w:val="bottom"/>
            <w:hideMark/>
          </w:tcPr>
          <w:p w14:paraId="1BEFE032"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133</w:t>
            </w:r>
          </w:p>
        </w:tc>
        <w:tc>
          <w:tcPr>
            <w:tcW w:w="0" w:type="auto"/>
            <w:tcBorders>
              <w:top w:val="nil"/>
              <w:left w:val="nil"/>
              <w:bottom w:val="nil"/>
              <w:right w:val="single" w:sz="4" w:space="0" w:color="auto"/>
            </w:tcBorders>
            <w:shd w:val="clear" w:color="auto" w:fill="auto"/>
            <w:noWrap/>
            <w:vAlign w:val="bottom"/>
            <w:hideMark/>
          </w:tcPr>
          <w:p w14:paraId="5C78A8D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7.00%</w:t>
            </w:r>
          </w:p>
        </w:tc>
      </w:tr>
      <w:tr w:rsidR="00A27212" w:rsidRPr="00E87E42" w14:paraId="56F2C468" w14:textId="77777777" w:rsidTr="00A27212">
        <w:trPr>
          <w:trHeight w:val="170"/>
        </w:trPr>
        <w:tc>
          <w:tcPr>
            <w:tcW w:w="0" w:type="auto"/>
            <w:tcBorders>
              <w:top w:val="nil"/>
              <w:left w:val="single" w:sz="4" w:space="0" w:color="auto"/>
              <w:bottom w:val="nil"/>
              <w:right w:val="single" w:sz="4" w:space="0" w:color="auto"/>
            </w:tcBorders>
            <w:shd w:val="clear" w:color="auto" w:fill="auto"/>
            <w:noWrap/>
            <w:vAlign w:val="bottom"/>
            <w:hideMark/>
          </w:tcPr>
          <w:p w14:paraId="5AA534B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500-999</w:t>
            </w:r>
          </w:p>
        </w:tc>
        <w:tc>
          <w:tcPr>
            <w:tcW w:w="0" w:type="auto"/>
            <w:tcBorders>
              <w:top w:val="nil"/>
              <w:left w:val="nil"/>
              <w:bottom w:val="nil"/>
              <w:right w:val="nil"/>
            </w:tcBorders>
            <w:shd w:val="clear" w:color="auto" w:fill="auto"/>
            <w:noWrap/>
            <w:vAlign w:val="bottom"/>
            <w:hideMark/>
          </w:tcPr>
          <w:p w14:paraId="0EE552AA"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nil"/>
              <w:right w:val="single" w:sz="4" w:space="0" w:color="auto"/>
            </w:tcBorders>
            <w:shd w:val="clear" w:color="auto" w:fill="auto"/>
            <w:noWrap/>
            <w:vAlign w:val="bottom"/>
            <w:hideMark/>
          </w:tcPr>
          <w:p w14:paraId="0EA0FDFB"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nil"/>
              <w:right w:val="nil"/>
            </w:tcBorders>
            <w:shd w:val="clear" w:color="auto" w:fill="auto"/>
            <w:noWrap/>
            <w:vAlign w:val="bottom"/>
            <w:hideMark/>
          </w:tcPr>
          <w:p w14:paraId="513C3ED4"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20</w:t>
            </w:r>
          </w:p>
        </w:tc>
        <w:tc>
          <w:tcPr>
            <w:tcW w:w="0" w:type="auto"/>
            <w:tcBorders>
              <w:top w:val="nil"/>
              <w:left w:val="nil"/>
              <w:bottom w:val="nil"/>
              <w:right w:val="nil"/>
            </w:tcBorders>
            <w:shd w:val="clear" w:color="auto" w:fill="auto"/>
            <w:noWrap/>
            <w:vAlign w:val="bottom"/>
            <w:hideMark/>
          </w:tcPr>
          <w:p w14:paraId="0F433125"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8.55%</w:t>
            </w:r>
          </w:p>
        </w:tc>
        <w:tc>
          <w:tcPr>
            <w:tcW w:w="0" w:type="auto"/>
            <w:tcBorders>
              <w:top w:val="nil"/>
              <w:left w:val="single" w:sz="4" w:space="0" w:color="auto"/>
              <w:bottom w:val="nil"/>
              <w:right w:val="nil"/>
            </w:tcBorders>
            <w:shd w:val="clear" w:color="auto" w:fill="auto"/>
            <w:noWrap/>
            <w:vAlign w:val="bottom"/>
            <w:hideMark/>
          </w:tcPr>
          <w:p w14:paraId="1FC12206"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w:t>
            </w:r>
          </w:p>
        </w:tc>
        <w:tc>
          <w:tcPr>
            <w:tcW w:w="0" w:type="auto"/>
            <w:tcBorders>
              <w:top w:val="nil"/>
              <w:left w:val="nil"/>
              <w:bottom w:val="nil"/>
              <w:right w:val="single" w:sz="4" w:space="0" w:color="auto"/>
            </w:tcBorders>
            <w:shd w:val="clear" w:color="auto" w:fill="auto"/>
            <w:noWrap/>
            <w:vAlign w:val="bottom"/>
            <w:hideMark/>
          </w:tcPr>
          <w:p w14:paraId="4F4301E4"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0.1%</w:t>
            </w:r>
          </w:p>
        </w:tc>
        <w:tc>
          <w:tcPr>
            <w:tcW w:w="0" w:type="auto"/>
            <w:tcBorders>
              <w:top w:val="nil"/>
              <w:left w:val="nil"/>
              <w:bottom w:val="nil"/>
              <w:right w:val="nil"/>
            </w:tcBorders>
            <w:shd w:val="clear" w:color="auto" w:fill="auto"/>
            <w:noWrap/>
            <w:vAlign w:val="bottom"/>
            <w:hideMark/>
          </w:tcPr>
          <w:p w14:paraId="58AC6D2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65</w:t>
            </w:r>
          </w:p>
        </w:tc>
        <w:tc>
          <w:tcPr>
            <w:tcW w:w="0" w:type="auto"/>
            <w:tcBorders>
              <w:top w:val="nil"/>
              <w:left w:val="nil"/>
              <w:bottom w:val="nil"/>
              <w:right w:val="single" w:sz="4" w:space="0" w:color="auto"/>
            </w:tcBorders>
            <w:shd w:val="clear" w:color="auto" w:fill="auto"/>
            <w:noWrap/>
            <w:vAlign w:val="bottom"/>
            <w:hideMark/>
          </w:tcPr>
          <w:p w14:paraId="69E37B01"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2.79%</w:t>
            </w:r>
          </w:p>
        </w:tc>
      </w:tr>
      <w:tr w:rsidR="00A27212" w:rsidRPr="00E87E42" w14:paraId="71BFBF6B" w14:textId="77777777" w:rsidTr="00A27212">
        <w:trPr>
          <w:trHeight w:val="1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65AAF7"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1000 and above</w:t>
            </w:r>
          </w:p>
        </w:tc>
        <w:tc>
          <w:tcPr>
            <w:tcW w:w="0" w:type="auto"/>
            <w:tcBorders>
              <w:top w:val="nil"/>
              <w:left w:val="nil"/>
              <w:bottom w:val="single" w:sz="4" w:space="0" w:color="auto"/>
              <w:right w:val="nil"/>
            </w:tcBorders>
            <w:shd w:val="clear" w:color="auto" w:fill="auto"/>
            <w:noWrap/>
            <w:vAlign w:val="bottom"/>
            <w:hideMark/>
          </w:tcPr>
          <w:p w14:paraId="695C8FC2"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bottom"/>
            <w:hideMark/>
          </w:tcPr>
          <w:p w14:paraId="1F03F10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single" w:sz="4" w:space="0" w:color="auto"/>
              <w:right w:val="nil"/>
            </w:tcBorders>
            <w:shd w:val="clear" w:color="auto" w:fill="auto"/>
            <w:noWrap/>
            <w:vAlign w:val="bottom"/>
            <w:hideMark/>
          </w:tcPr>
          <w:p w14:paraId="75415993"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49</w:t>
            </w:r>
          </w:p>
        </w:tc>
        <w:tc>
          <w:tcPr>
            <w:tcW w:w="0" w:type="auto"/>
            <w:tcBorders>
              <w:top w:val="nil"/>
              <w:left w:val="nil"/>
              <w:bottom w:val="single" w:sz="4" w:space="0" w:color="auto"/>
              <w:right w:val="nil"/>
            </w:tcBorders>
            <w:shd w:val="clear" w:color="auto" w:fill="auto"/>
            <w:noWrap/>
            <w:vAlign w:val="bottom"/>
            <w:hideMark/>
          </w:tcPr>
          <w:p w14:paraId="67164EAA"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c>
          <w:tcPr>
            <w:tcW w:w="0" w:type="auto"/>
            <w:tcBorders>
              <w:top w:val="nil"/>
              <w:left w:val="single" w:sz="4" w:space="0" w:color="auto"/>
              <w:bottom w:val="single" w:sz="4" w:space="0" w:color="auto"/>
              <w:right w:val="nil"/>
            </w:tcBorders>
            <w:shd w:val="clear" w:color="auto" w:fill="auto"/>
            <w:noWrap/>
            <w:vAlign w:val="bottom"/>
            <w:hideMark/>
          </w:tcPr>
          <w:p w14:paraId="5DD4D01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w:t>
            </w:r>
          </w:p>
        </w:tc>
        <w:tc>
          <w:tcPr>
            <w:tcW w:w="0" w:type="auto"/>
            <w:tcBorders>
              <w:top w:val="nil"/>
              <w:left w:val="nil"/>
              <w:bottom w:val="single" w:sz="4" w:space="0" w:color="auto"/>
              <w:right w:val="single" w:sz="4" w:space="0" w:color="auto"/>
            </w:tcBorders>
            <w:shd w:val="clear" w:color="auto" w:fill="auto"/>
            <w:noWrap/>
            <w:vAlign w:val="bottom"/>
            <w:hideMark/>
          </w:tcPr>
          <w:p w14:paraId="4840A1C8"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w:t>
            </w:r>
          </w:p>
        </w:tc>
        <w:tc>
          <w:tcPr>
            <w:tcW w:w="0" w:type="auto"/>
            <w:tcBorders>
              <w:top w:val="nil"/>
              <w:left w:val="nil"/>
              <w:bottom w:val="single" w:sz="4" w:space="0" w:color="auto"/>
              <w:right w:val="nil"/>
            </w:tcBorders>
            <w:shd w:val="clear" w:color="auto" w:fill="auto"/>
            <w:noWrap/>
            <w:vAlign w:val="bottom"/>
            <w:hideMark/>
          </w:tcPr>
          <w:p w14:paraId="728B46CD"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43</w:t>
            </w:r>
          </w:p>
        </w:tc>
        <w:tc>
          <w:tcPr>
            <w:tcW w:w="0" w:type="auto"/>
            <w:tcBorders>
              <w:top w:val="nil"/>
              <w:left w:val="nil"/>
              <w:bottom w:val="single" w:sz="4" w:space="0" w:color="auto"/>
              <w:right w:val="single" w:sz="4" w:space="0" w:color="auto"/>
            </w:tcBorders>
            <w:shd w:val="clear" w:color="auto" w:fill="auto"/>
            <w:noWrap/>
            <w:vAlign w:val="bottom"/>
            <w:hideMark/>
          </w:tcPr>
          <w:p w14:paraId="64281BCF"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0.00%</w:t>
            </w:r>
          </w:p>
        </w:tc>
      </w:tr>
      <w:tr w:rsidR="00A27212" w:rsidRPr="00E87E42" w14:paraId="2BCF2B44" w14:textId="77777777" w:rsidTr="00A27212">
        <w:trPr>
          <w:trHeight w:val="170"/>
        </w:trPr>
        <w:tc>
          <w:tcPr>
            <w:tcW w:w="0" w:type="auto"/>
            <w:tcBorders>
              <w:top w:val="nil"/>
              <w:left w:val="nil"/>
              <w:bottom w:val="nil"/>
              <w:right w:val="nil"/>
            </w:tcBorders>
            <w:shd w:val="clear" w:color="auto" w:fill="auto"/>
            <w:noWrap/>
            <w:vAlign w:val="bottom"/>
            <w:hideMark/>
          </w:tcPr>
          <w:p w14:paraId="641F694D" w14:textId="77777777" w:rsidR="00A27212" w:rsidRPr="00E87E42" w:rsidRDefault="00A27212" w:rsidP="00A27212">
            <w:pPr>
              <w:spacing w:after="0" w:line="240" w:lineRule="auto"/>
              <w:jc w:val="center"/>
              <w:rPr>
                <w:rFonts w:eastAsia="Times New Roman"/>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178B83"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183</w:t>
            </w:r>
          </w:p>
        </w:tc>
        <w:tc>
          <w:tcPr>
            <w:tcW w:w="0" w:type="auto"/>
            <w:tcBorders>
              <w:top w:val="nil"/>
              <w:left w:val="nil"/>
              <w:bottom w:val="nil"/>
              <w:right w:val="nil"/>
            </w:tcBorders>
            <w:shd w:val="clear" w:color="auto" w:fill="auto"/>
            <w:noWrap/>
            <w:vAlign w:val="bottom"/>
            <w:hideMark/>
          </w:tcPr>
          <w:p w14:paraId="364FE094" w14:textId="77777777" w:rsidR="00A27212" w:rsidRPr="00E87E42" w:rsidRDefault="00A27212" w:rsidP="00A27212">
            <w:pPr>
              <w:spacing w:after="0" w:line="240" w:lineRule="auto"/>
              <w:jc w:val="center"/>
              <w:rPr>
                <w:rFonts w:eastAsia="Times New Roman"/>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676C40"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573</w:t>
            </w:r>
          </w:p>
        </w:tc>
        <w:tc>
          <w:tcPr>
            <w:tcW w:w="0" w:type="auto"/>
            <w:tcBorders>
              <w:top w:val="nil"/>
              <w:left w:val="nil"/>
              <w:bottom w:val="nil"/>
              <w:right w:val="nil"/>
            </w:tcBorders>
            <w:shd w:val="clear" w:color="auto" w:fill="auto"/>
            <w:noWrap/>
            <w:vAlign w:val="bottom"/>
            <w:hideMark/>
          </w:tcPr>
          <w:p w14:paraId="67B0AEF6" w14:textId="77777777" w:rsidR="00A27212" w:rsidRPr="00E87E42" w:rsidRDefault="00A27212" w:rsidP="00A27212">
            <w:pPr>
              <w:spacing w:after="0" w:line="240" w:lineRule="auto"/>
              <w:jc w:val="center"/>
              <w:rPr>
                <w:rFonts w:eastAsia="Times New Roman"/>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34F9CC"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7194</w:t>
            </w:r>
          </w:p>
        </w:tc>
        <w:tc>
          <w:tcPr>
            <w:tcW w:w="0" w:type="auto"/>
            <w:tcBorders>
              <w:top w:val="nil"/>
              <w:left w:val="nil"/>
              <w:bottom w:val="nil"/>
              <w:right w:val="nil"/>
            </w:tcBorders>
            <w:shd w:val="clear" w:color="auto" w:fill="auto"/>
            <w:noWrap/>
            <w:vAlign w:val="bottom"/>
            <w:hideMark/>
          </w:tcPr>
          <w:p w14:paraId="0B5FC634" w14:textId="77777777" w:rsidR="00A27212" w:rsidRPr="00E87E42" w:rsidRDefault="00A27212" w:rsidP="00A27212">
            <w:pPr>
              <w:spacing w:after="0" w:line="240" w:lineRule="auto"/>
              <w:jc w:val="center"/>
              <w:rPr>
                <w:rFonts w:eastAsia="Times New Roman"/>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436A1E" w14:textId="77777777" w:rsidR="00A27212" w:rsidRPr="00E87E42" w:rsidRDefault="00A27212" w:rsidP="00A27212">
            <w:pPr>
              <w:spacing w:after="0" w:line="240" w:lineRule="auto"/>
              <w:jc w:val="center"/>
              <w:rPr>
                <w:rFonts w:eastAsia="Times New Roman"/>
                <w:color w:val="000000"/>
                <w:sz w:val="16"/>
                <w:szCs w:val="16"/>
                <w:lang w:eastAsia="en-GB"/>
              </w:rPr>
            </w:pPr>
            <w:r w:rsidRPr="00E87E42">
              <w:rPr>
                <w:rFonts w:eastAsia="Times New Roman"/>
                <w:color w:val="000000"/>
                <w:sz w:val="16"/>
                <w:szCs w:val="16"/>
                <w:lang w:eastAsia="en-GB"/>
              </w:rPr>
              <w:t>1542</w:t>
            </w:r>
          </w:p>
        </w:tc>
        <w:tc>
          <w:tcPr>
            <w:tcW w:w="0" w:type="auto"/>
            <w:tcBorders>
              <w:top w:val="nil"/>
              <w:left w:val="nil"/>
              <w:bottom w:val="nil"/>
              <w:right w:val="nil"/>
            </w:tcBorders>
            <w:shd w:val="clear" w:color="auto" w:fill="auto"/>
            <w:noWrap/>
            <w:vAlign w:val="bottom"/>
            <w:hideMark/>
          </w:tcPr>
          <w:p w14:paraId="594AF613" w14:textId="77777777" w:rsidR="00A27212" w:rsidRPr="00E87E42" w:rsidRDefault="00A27212" w:rsidP="00A27212">
            <w:pPr>
              <w:spacing w:after="0" w:line="240" w:lineRule="auto"/>
              <w:jc w:val="center"/>
              <w:rPr>
                <w:rFonts w:eastAsia="Times New Roman"/>
                <w:color w:val="000000"/>
                <w:sz w:val="16"/>
                <w:szCs w:val="16"/>
                <w:lang w:eastAsia="en-GB"/>
              </w:rPr>
            </w:pPr>
          </w:p>
        </w:tc>
      </w:tr>
    </w:tbl>
    <w:p w14:paraId="46CD6CD1" w14:textId="2613A137" w:rsidR="001019D3" w:rsidRPr="00E87E42" w:rsidRDefault="001019D3" w:rsidP="008A55B5"/>
    <w:p w14:paraId="5A1C85C2" w14:textId="089DEE8F" w:rsidR="005617C3" w:rsidRPr="00E87E42" w:rsidRDefault="005617C3" w:rsidP="008A55B5"/>
    <w:p w14:paraId="2DD5A54A" w14:textId="70D057D7" w:rsidR="005617C3" w:rsidRPr="00E87E42" w:rsidRDefault="005617C3" w:rsidP="008A55B5"/>
    <w:p w14:paraId="03C6D291" w14:textId="0145716F" w:rsidR="005617C3" w:rsidRPr="00E87E42" w:rsidRDefault="005617C3" w:rsidP="008A55B5"/>
    <w:p w14:paraId="601D5191" w14:textId="6FB90819" w:rsidR="005617C3" w:rsidRPr="00E87E42" w:rsidRDefault="005617C3" w:rsidP="008A55B5"/>
    <w:p w14:paraId="28789DD8" w14:textId="7154281E" w:rsidR="005617C3" w:rsidRPr="00E87E42" w:rsidRDefault="005617C3" w:rsidP="008A55B5"/>
    <w:p w14:paraId="4494054D" w14:textId="77777777" w:rsidR="005617C3" w:rsidRPr="00E87E42" w:rsidRDefault="005617C3" w:rsidP="008A55B5"/>
    <w:p w14:paraId="0AAF9499" w14:textId="70EAB0F4" w:rsidR="00A27212" w:rsidRPr="00E87E42" w:rsidRDefault="00A27212" w:rsidP="00A27212">
      <w:pPr>
        <w:pStyle w:val="Caption"/>
      </w:pPr>
      <w:bookmarkStart w:id="67" w:name="_Ref517775952"/>
      <w:r w:rsidRPr="00E87E42">
        <w:lastRenderedPageBreak/>
        <w:t xml:space="preserve">Table </w:t>
      </w:r>
      <w:r w:rsidR="00BC5ED7" w:rsidRPr="00E87E42">
        <w:rPr>
          <w:noProof/>
        </w:rPr>
        <w:fldChar w:fldCharType="begin"/>
      </w:r>
      <w:r w:rsidR="00BC5ED7" w:rsidRPr="00E87E42">
        <w:rPr>
          <w:noProof/>
        </w:rPr>
        <w:instrText xml:space="preserve"> SEQ Table \* ROMAN\n </w:instrText>
      </w:r>
      <w:r w:rsidR="00BC5ED7" w:rsidRPr="00E87E42">
        <w:rPr>
          <w:noProof/>
        </w:rPr>
        <w:fldChar w:fldCharType="separate"/>
      </w:r>
      <w:r w:rsidR="009F6872">
        <w:rPr>
          <w:noProof/>
        </w:rPr>
        <w:t>VII</w:t>
      </w:r>
      <w:r w:rsidR="00BC5ED7" w:rsidRPr="00E87E42">
        <w:rPr>
          <w:noProof/>
        </w:rPr>
        <w:fldChar w:fldCharType="end"/>
      </w:r>
      <w:bookmarkEnd w:id="67"/>
      <w:r w:rsidRPr="00E87E42">
        <w:t>: Table A.8 Frequency distribution of area damage in terms of number of fires in Hotels, PD 7974-7 vs USA fire statistics</w:t>
      </w:r>
    </w:p>
    <w:tbl>
      <w:tblPr>
        <w:tblW w:w="0" w:type="auto"/>
        <w:jc w:val="center"/>
        <w:tblCellMar>
          <w:left w:w="57" w:type="dxa"/>
          <w:right w:w="57" w:type="dxa"/>
        </w:tblCellMar>
        <w:tblLook w:val="04A0" w:firstRow="1" w:lastRow="0" w:firstColumn="1" w:lastColumn="0" w:noHBand="0" w:noVBand="1"/>
      </w:tblPr>
      <w:tblGrid>
        <w:gridCol w:w="1114"/>
        <w:gridCol w:w="608"/>
        <w:gridCol w:w="1678"/>
        <w:gridCol w:w="607"/>
        <w:gridCol w:w="1677"/>
        <w:gridCol w:w="607"/>
        <w:gridCol w:w="1677"/>
        <w:gridCol w:w="607"/>
        <w:gridCol w:w="1677"/>
      </w:tblGrid>
      <w:tr w:rsidR="00A27212" w:rsidRPr="00E87E42" w14:paraId="5C441DD8" w14:textId="77777777" w:rsidTr="00A27212">
        <w:trPr>
          <w:trHeight w:val="170"/>
          <w:jc w:val="center"/>
        </w:trPr>
        <w:tc>
          <w:tcPr>
            <w:tcW w:w="0" w:type="auto"/>
            <w:tcBorders>
              <w:top w:val="nil"/>
              <w:left w:val="nil"/>
              <w:bottom w:val="nil"/>
              <w:right w:val="nil"/>
            </w:tcBorders>
            <w:shd w:val="clear" w:color="auto" w:fill="auto"/>
            <w:noWrap/>
            <w:vAlign w:val="center"/>
            <w:hideMark/>
          </w:tcPr>
          <w:p w14:paraId="0CE471F3" w14:textId="77777777" w:rsidR="00A27212" w:rsidRPr="00E87E42" w:rsidRDefault="00A27212" w:rsidP="00A27212">
            <w:pPr>
              <w:pStyle w:val="NoSpacing"/>
              <w:jc w:val="left"/>
              <w:rPr>
                <w:sz w:val="16"/>
                <w:szCs w:val="16"/>
                <w:lang w:eastAsia="en-GB"/>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42BE1" w14:textId="77777777" w:rsidR="00A27212" w:rsidRPr="00E87E42" w:rsidRDefault="00A27212" w:rsidP="00A27212">
            <w:pPr>
              <w:pStyle w:val="NoSpacing"/>
              <w:jc w:val="center"/>
              <w:rPr>
                <w:b/>
                <w:color w:val="000000"/>
                <w:sz w:val="16"/>
                <w:szCs w:val="16"/>
                <w:u w:val="single"/>
                <w:lang w:eastAsia="en-GB"/>
              </w:rPr>
            </w:pPr>
            <w:r w:rsidRPr="00E87E42">
              <w:rPr>
                <w:b/>
                <w:color w:val="000000"/>
                <w:sz w:val="16"/>
                <w:szCs w:val="16"/>
                <w:u w:val="single"/>
                <w:lang w:eastAsia="en-GB"/>
              </w:rPr>
              <w:t>Assembly or Sales Areas (Group of people)</w:t>
            </w:r>
          </w:p>
        </w:tc>
      </w:tr>
      <w:tr w:rsidR="00A27212" w:rsidRPr="00E87E42" w14:paraId="26F93147" w14:textId="77777777" w:rsidTr="00A27212">
        <w:trPr>
          <w:trHeight w:val="170"/>
          <w:jc w:val="center"/>
        </w:trPr>
        <w:tc>
          <w:tcPr>
            <w:tcW w:w="0" w:type="auto"/>
            <w:tcBorders>
              <w:top w:val="nil"/>
              <w:left w:val="nil"/>
              <w:bottom w:val="nil"/>
              <w:right w:val="nil"/>
            </w:tcBorders>
            <w:shd w:val="clear" w:color="auto" w:fill="auto"/>
            <w:noWrap/>
            <w:vAlign w:val="center"/>
            <w:hideMark/>
          </w:tcPr>
          <w:p w14:paraId="3C39CFC5" w14:textId="77777777" w:rsidR="00A27212" w:rsidRPr="00E87E42" w:rsidRDefault="00A27212" w:rsidP="00A27212">
            <w:pPr>
              <w:pStyle w:val="NoSpacing"/>
              <w:jc w:val="left"/>
              <w:rPr>
                <w:color w:val="000000"/>
                <w:sz w:val="16"/>
                <w:szCs w:val="16"/>
                <w:lang w:eastAsia="en-GB"/>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48C6A" w14:textId="77777777" w:rsidR="00A27212" w:rsidRPr="00E87E42" w:rsidRDefault="00A27212" w:rsidP="00A27212">
            <w:pPr>
              <w:pStyle w:val="NoSpacing"/>
              <w:jc w:val="center"/>
              <w:rPr>
                <w:i/>
                <w:color w:val="000000"/>
                <w:sz w:val="16"/>
                <w:szCs w:val="16"/>
                <w:lang w:eastAsia="en-GB"/>
              </w:rPr>
            </w:pPr>
            <w:r w:rsidRPr="00E87E42">
              <w:rPr>
                <w:i/>
                <w:color w:val="000000"/>
                <w:sz w:val="16"/>
                <w:szCs w:val="16"/>
                <w:lang w:eastAsia="en-GB"/>
              </w:rPr>
              <w:t>Sprinklers</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14:paraId="2AEB7BCD" w14:textId="77777777" w:rsidR="00A27212" w:rsidRPr="00E87E42" w:rsidRDefault="00A27212" w:rsidP="00A27212">
            <w:pPr>
              <w:pStyle w:val="NoSpacing"/>
              <w:jc w:val="center"/>
              <w:rPr>
                <w:i/>
                <w:color w:val="000000"/>
                <w:sz w:val="16"/>
                <w:szCs w:val="16"/>
                <w:lang w:eastAsia="en-GB"/>
              </w:rPr>
            </w:pPr>
            <w:r w:rsidRPr="00E87E42">
              <w:rPr>
                <w:i/>
                <w:color w:val="000000"/>
                <w:sz w:val="16"/>
                <w:szCs w:val="16"/>
                <w:lang w:eastAsia="en-GB"/>
              </w:rPr>
              <w:t>No sprinklers</w:t>
            </w:r>
          </w:p>
        </w:tc>
      </w:tr>
      <w:tr w:rsidR="00A27212" w:rsidRPr="00E87E42" w14:paraId="4A72C802" w14:textId="77777777" w:rsidTr="00A27212">
        <w:trPr>
          <w:trHeight w:val="170"/>
          <w:jc w:val="center"/>
        </w:trPr>
        <w:tc>
          <w:tcPr>
            <w:tcW w:w="0" w:type="auto"/>
            <w:tcBorders>
              <w:top w:val="nil"/>
              <w:left w:val="nil"/>
              <w:bottom w:val="nil"/>
              <w:right w:val="nil"/>
            </w:tcBorders>
            <w:shd w:val="clear" w:color="auto" w:fill="auto"/>
            <w:noWrap/>
            <w:vAlign w:val="center"/>
            <w:hideMark/>
          </w:tcPr>
          <w:p w14:paraId="40E44769" w14:textId="77777777" w:rsidR="00A27212" w:rsidRPr="00E87E42" w:rsidRDefault="00A27212" w:rsidP="00A27212">
            <w:pPr>
              <w:pStyle w:val="NoSpacing"/>
              <w:jc w:val="left"/>
              <w:rPr>
                <w:color w:val="000000"/>
                <w:sz w:val="16"/>
                <w:szCs w:val="16"/>
                <w:lang w:eastAsia="en-GB"/>
              </w:rPr>
            </w:pPr>
          </w:p>
        </w:tc>
        <w:tc>
          <w:tcPr>
            <w:tcW w:w="0" w:type="auto"/>
            <w:gridSpan w:val="2"/>
            <w:tcBorders>
              <w:top w:val="single" w:sz="4" w:space="0" w:color="auto"/>
              <w:left w:val="single" w:sz="4" w:space="0" w:color="auto"/>
              <w:bottom w:val="nil"/>
              <w:right w:val="single" w:sz="4" w:space="0" w:color="auto"/>
            </w:tcBorders>
            <w:shd w:val="clear" w:color="auto" w:fill="auto"/>
            <w:noWrap/>
            <w:vAlign w:val="center"/>
            <w:hideMark/>
          </w:tcPr>
          <w:p w14:paraId="10946016"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PD 7974-7</w:t>
            </w:r>
          </w:p>
        </w:tc>
        <w:tc>
          <w:tcPr>
            <w:tcW w:w="0" w:type="auto"/>
            <w:gridSpan w:val="2"/>
            <w:tcBorders>
              <w:top w:val="single" w:sz="4" w:space="0" w:color="auto"/>
              <w:left w:val="nil"/>
              <w:bottom w:val="nil"/>
              <w:right w:val="single" w:sz="4" w:space="0" w:color="auto"/>
            </w:tcBorders>
            <w:shd w:val="clear" w:color="auto" w:fill="auto"/>
            <w:noWrap/>
            <w:vAlign w:val="center"/>
            <w:hideMark/>
          </w:tcPr>
          <w:p w14:paraId="2736F6C6"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USA data</w:t>
            </w:r>
          </w:p>
        </w:tc>
        <w:tc>
          <w:tcPr>
            <w:tcW w:w="0" w:type="auto"/>
            <w:gridSpan w:val="2"/>
            <w:tcBorders>
              <w:top w:val="single" w:sz="4" w:space="0" w:color="auto"/>
              <w:left w:val="nil"/>
              <w:bottom w:val="nil"/>
              <w:right w:val="single" w:sz="4" w:space="0" w:color="auto"/>
            </w:tcBorders>
            <w:shd w:val="clear" w:color="auto" w:fill="auto"/>
            <w:noWrap/>
            <w:vAlign w:val="center"/>
            <w:hideMark/>
          </w:tcPr>
          <w:p w14:paraId="02A5C80D"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PD 7974-7</w:t>
            </w:r>
          </w:p>
        </w:tc>
        <w:tc>
          <w:tcPr>
            <w:tcW w:w="0" w:type="auto"/>
            <w:gridSpan w:val="2"/>
            <w:tcBorders>
              <w:top w:val="single" w:sz="4" w:space="0" w:color="auto"/>
              <w:left w:val="nil"/>
              <w:bottom w:val="nil"/>
              <w:right w:val="single" w:sz="4" w:space="0" w:color="auto"/>
            </w:tcBorders>
            <w:shd w:val="clear" w:color="auto" w:fill="auto"/>
            <w:noWrap/>
            <w:vAlign w:val="center"/>
            <w:hideMark/>
          </w:tcPr>
          <w:p w14:paraId="2CF83E17"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USA data</w:t>
            </w:r>
          </w:p>
        </w:tc>
      </w:tr>
      <w:tr w:rsidR="00A27212" w:rsidRPr="00E87E42" w14:paraId="1C3FE476" w14:textId="77777777" w:rsidTr="00A27212">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FC26E"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Area damage (m</w:t>
            </w:r>
            <w:r w:rsidRPr="00E87E42">
              <w:rPr>
                <w:color w:val="000000"/>
                <w:sz w:val="16"/>
                <w:szCs w:val="16"/>
                <w:vertAlign w:val="superscript"/>
                <w:lang w:eastAsia="en-GB"/>
              </w:rPr>
              <w:t>2</w:t>
            </w:r>
            <w:r w:rsidRPr="00E87E42">
              <w:rPr>
                <w:color w:val="000000"/>
                <w:sz w:val="16"/>
                <w:szCs w:val="16"/>
                <w:lang w:eastAsia="en-GB"/>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A82B74C"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n of fires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3BEC77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 fire exceeding upper limit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8F5CB96"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n of fires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890004D"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 fire exceeding upper limit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685666"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n of fires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8C76B62"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 fire exceeding upper limit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56F70C2"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n of fires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F459A5E"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 fire exceeding upper limit</w:t>
            </w:r>
          </w:p>
        </w:tc>
      </w:tr>
      <w:tr w:rsidR="00A27212" w:rsidRPr="00E87E42" w14:paraId="28455BF7"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5A2C5450"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1 and under</w:t>
            </w:r>
          </w:p>
        </w:tc>
        <w:tc>
          <w:tcPr>
            <w:tcW w:w="0" w:type="auto"/>
            <w:tcBorders>
              <w:top w:val="nil"/>
              <w:left w:val="nil"/>
              <w:bottom w:val="nil"/>
              <w:right w:val="nil"/>
            </w:tcBorders>
            <w:shd w:val="clear" w:color="auto" w:fill="auto"/>
            <w:noWrap/>
            <w:vAlign w:val="center"/>
            <w:hideMark/>
          </w:tcPr>
          <w:p w14:paraId="71AB6BE8"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single" w:sz="4" w:space="0" w:color="auto"/>
            </w:tcBorders>
            <w:shd w:val="clear" w:color="auto" w:fill="auto"/>
            <w:noWrap/>
            <w:vAlign w:val="center"/>
            <w:hideMark/>
          </w:tcPr>
          <w:p w14:paraId="5857A43B"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nil"/>
            </w:tcBorders>
            <w:shd w:val="clear" w:color="auto" w:fill="auto"/>
            <w:noWrap/>
            <w:vAlign w:val="center"/>
            <w:hideMark/>
          </w:tcPr>
          <w:p w14:paraId="35445C8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5</w:t>
            </w:r>
          </w:p>
        </w:tc>
        <w:tc>
          <w:tcPr>
            <w:tcW w:w="0" w:type="auto"/>
            <w:tcBorders>
              <w:top w:val="nil"/>
              <w:left w:val="nil"/>
              <w:bottom w:val="nil"/>
              <w:right w:val="single" w:sz="4" w:space="0" w:color="auto"/>
            </w:tcBorders>
            <w:shd w:val="clear" w:color="auto" w:fill="auto"/>
            <w:noWrap/>
            <w:vAlign w:val="center"/>
            <w:hideMark/>
          </w:tcPr>
          <w:p w14:paraId="1A9D7803"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37.50%</w:t>
            </w:r>
          </w:p>
        </w:tc>
        <w:tc>
          <w:tcPr>
            <w:tcW w:w="0" w:type="auto"/>
            <w:tcBorders>
              <w:top w:val="nil"/>
              <w:left w:val="nil"/>
              <w:bottom w:val="nil"/>
              <w:right w:val="nil"/>
            </w:tcBorders>
            <w:shd w:val="clear" w:color="auto" w:fill="auto"/>
            <w:noWrap/>
            <w:vAlign w:val="center"/>
            <w:hideMark/>
          </w:tcPr>
          <w:p w14:paraId="2611D8F1"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321</w:t>
            </w:r>
          </w:p>
        </w:tc>
        <w:tc>
          <w:tcPr>
            <w:tcW w:w="0" w:type="auto"/>
            <w:tcBorders>
              <w:top w:val="nil"/>
              <w:left w:val="nil"/>
              <w:bottom w:val="nil"/>
              <w:right w:val="single" w:sz="4" w:space="0" w:color="auto"/>
            </w:tcBorders>
            <w:shd w:val="clear" w:color="auto" w:fill="auto"/>
            <w:noWrap/>
            <w:vAlign w:val="center"/>
            <w:hideMark/>
          </w:tcPr>
          <w:p w14:paraId="15BC64D4"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38.0%</w:t>
            </w:r>
          </w:p>
        </w:tc>
        <w:tc>
          <w:tcPr>
            <w:tcW w:w="0" w:type="auto"/>
            <w:tcBorders>
              <w:top w:val="nil"/>
              <w:left w:val="nil"/>
              <w:bottom w:val="nil"/>
              <w:right w:val="nil"/>
            </w:tcBorders>
            <w:shd w:val="clear" w:color="auto" w:fill="auto"/>
            <w:noWrap/>
            <w:vAlign w:val="center"/>
            <w:hideMark/>
          </w:tcPr>
          <w:p w14:paraId="7774D33B"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4</w:t>
            </w:r>
          </w:p>
        </w:tc>
        <w:tc>
          <w:tcPr>
            <w:tcW w:w="0" w:type="auto"/>
            <w:tcBorders>
              <w:top w:val="nil"/>
              <w:left w:val="nil"/>
              <w:bottom w:val="nil"/>
              <w:right w:val="single" w:sz="4" w:space="0" w:color="auto"/>
            </w:tcBorders>
            <w:shd w:val="clear" w:color="auto" w:fill="auto"/>
            <w:noWrap/>
            <w:vAlign w:val="center"/>
            <w:hideMark/>
          </w:tcPr>
          <w:p w14:paraId="57D883CE"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66.67%</w:t>
            </w:r>
          </w:p>
        </w:tc>
      </w:tr>
      <w:tr w:rsidR="00A27212" w:rsidRPr="00E87E42" w14:paraId="72F7C004"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07E5DC50"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2-4</w:t>
            </w:r>
          </w:p>
        </w:tc>
        <w:tc>
          <w:tcPr>
            <w:tcW w:w="0" w:type="auto"/>
            <w:tcBorders>
              <w:top w:val="nil"/>
              <w:left w:val="nil"/>
              <w:bottom w:val="nil"/>
              <w:right w:val="nil"/>
            </w:tcBorders>
            <w:shd w:val="clear" w:color="auto" w:fill="auto"/>
            <w:noWrap/>
            <w:vAlign w:val="center"/>
            <w:hideMark/>
          </w:tcPr>
          <w:p w14:paraId="1841AAC7"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single" w:sz="4" w:space="0" w:color="auto"/>
            </w:tcBorders>
            <w:shd w:val="clear" w:color="auto" w:fill="auto"/>
            <w:noWrap/>
            <w:vAlign w:val="center"/>
            <w:hideMark/>
          </w:tcPr>
          <w:p w14:paraId="2A41533C"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nil"/>
            </w:tcBorders>
            <w:shd w:val="clear" w:color="auto" w:fill="auto"/>
            <w:noWrap/>
            <w:vAlign w:val="center"/>
            <w:hideMark/>
          </w:tcPr>
          <w:p w14:paraId="2722EE74"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w:t>
            </w:r>
          </w:p>
        </w:tc>
        <w:tc>
          <w:tcPr>
            <w:tcW w:w="0" w:type="auto"/>
            <w:tcBorders>
              <w:top w:val="nil"/>
              <w:left w:val="nil"/>
              <w:bottom w:val="nil"/>
              <w:right w:val="single" w:sz="4" w:space="0" w:color="auto"/>
            </w:tcBorders>
            <w:shd w:val="clear" w:color="auto" w:fill="auto"/>
            <w:noWrap/>
            <w:vAlign w:val="center"/>
            <w:hideMark/>
          </w:tcPr>
          <w:p w14:paraId="0222A0D3"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25.00%</w:t>
            </w:r>
          </w:p>
        </w:tc>
        <w:tc>
          <w:tcPr>
            <w:tcW w:w="0" w:type="auto"/>
            <w:tcBorders>
              <w:top w:val="nil"/>
              <w:left w:val="nil"/>
              <w:bottom w:val="nil"/>
              <w:right w:val="nil"/>
            </w:tcBorders>
            <w:shd w:val="clear" w:color="auto" w:fill="auto"/>
            <w:noWrap/>
            <w:vAlign w:val="center"/>
            <w:hideMark/>
          </w:tcPr>
          <w:p w14:paraId="0580797A"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76</w:t>
            </w:r>
          </w:p>
        </w:tc>
        <w:tc>
          <w:tcPr>
            <w:tcW w:w="0" w:type="auto"/>
            <w:tcBorders>
              <w:top w:val="nil"/>
              <w:left w:val="nil"/>
              <w:bottom w:val="nil"/>
              <w:right w:val="single" w:sz="4" w:space="0" w:color="auto"/>
            </w:tcBorders>
            <w:shd w:val="clear" w:color="auto" w:fill="auto"/>
            <w:noWrap/>
            <w:vAlign w:val="center"/>
            <w:hideMark/>
          </w:tcPr>
          <w:p w14:paraId="2CC0E0FD"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23.4%</w:t>
            </w:r>
          </w:p>
        </w:tc>
        <w:tc>
          <w:tcPr>
            <w:tcW w:w="0" w:type="auto"/>
            <w:tcBorders>
              <w:top w:val="nil"/>
              <w:left w:val="nil"/>
              <w:bottom w:val="nil"/>
              <w:right w:val="nil"/>
            </w:tcBorders>
            <w:shd w:val="clear" w:color="auto" w:fill="auto"/>
            <w:noWrap/>
            <w:vAlign w:val="center"/>
            <w:hideMark/>
          </w:tcPr>
          <w:p w14:paraId="7E84260F"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w:t>
            </w:r>
          </w:p>
        </w:tc>
        <w:tc>
          <w:tcPr>
            <w:tcW w:w="0" w:type="auto"/>
            <w:tcBorders>
              <w:top w:val="nil"/>
              <w:left w:val="nil"/>
              <w:bottom w:val="nil"/>
              <w:right w:val="single" w:sz="4" w:space="0" w:color="auto"/>
            </w:tcBorders>
            <w:shd w:val="clear" w:color="auto" w:fill="auto"/>
            <w:noWrap/>
            <w:vAlign w:val="center"/>
            <w:hideMark/>
          </w:tcPr>
          <w:p w14:paraId="2EB50E71"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66.67%</w:t>
            </w:r>
          </w:p>
        </w:tc>
      </w:tr>
      <w:tr w:rsidR="00A27212" w:rsidRPr="00E87E42" w14:paraId="3A598F4A"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258E57C9"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5-9</w:t>
            </w:r>
          </w:p>
        </w:tc>
        <w:tc>
          <w:tcPr>
            <w:tcW w:w="0" w:type="auto"/>
            <w:tcBorders>
              <w:top w:val="nil"/>
              <w:left w:val="nil"/>
              <w:bottom w:val="nil"/>
              <w:right w:val="nil"/>
            </w:tcBorders>
            <w:shd w:val="clear" w:color="auto" w:fill="auto"/>
            <w:noWrap/>
            <w:vAlign w:val="center"/>
            <w:hideMark/>
          </w:tcPr>
          <w:p w14:paraId="60CA7716"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single" w:sz="4" w:space="0" w:color="auto"/>
            </w:tcBorders>
            <w:shd w:val="clear" w:color="auto" w:fill="auto"/>
            <w:noWrap/>
            <w:vAlign w:val="center"/>
            <w:hideMark/>
          </w:tcPr>
          <w:p w14:paraId="52476241"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nil"/>
            </w:tcBorders>
            <w:shd w:val="clear" w:color="auto" w:fill="auto"/>
            <w:noWrap/>
            <w:vAlign w:val="center"/>
            <w:hideMark/>
          </w:tcPr>
          <w:p w14:paraId="17913A99"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w:t>
            </w:r>
          </w:p>
        </w:tc>
        <w:tc>
          <w:tcPr>
            <w:tcW w:w="0" w:type="auto"/>
            <w:tcBorders>
              <w:top w:val="nil"/>
              <w:left w:val="nil"/>
              <w:bottom w:val="nil"/>
              <w:right w:val="single" w:sz="4" w:space="0" w:color="auto"/>
            </w:tcBorders>
            <w:shd w:val="clear" w:color="auto" w:fill="auto"/>
            <w:noWrap/>
            <w:vAlign w:val="center"/>
            <w:hideMark/>
          </w:tcPr>
          <w:p w14:paraId="3981B109"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25.00%</w:t>
            </w:r>
          </w:p>
        </w:tc>
        <w:tc>
          <w:tcPr>
            <w:tcW w:w="0" w:type="auto"/>
            <w:tcBorders>
              <w:top w:val="nil"/>
              <w:left w:val="nil"/>
              <w:bottom w:val="nil"/>
              <w:right w:val="nil"/>
            </w:tcBorders>
            <w:shd w:val="clear" w:color="auto" w:fill="auto"/>
            <w:noWrap/>
            <w:vAlign w:val="center"/>
            <w:hideMark/>
          </w:tcPr>
          <w:p w14:paraId="3F717B9D"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31</w:t>
            </w:r>
          </w:p>
        </w:tc>
        <w:tc>
          <w:tcPr>
            <w:tcW w:w="0" w:type="auto"/>
            <w:tcBorders>
              <w:top w:val="nil"/>
              <w:left w:val="nil"/>
              <w:bottom w:val="nil"/>
              <w:right w:val="single" w:sz="4" w:space="0" w:color="auto"/>
            </w:tcBorders>
            <w:shd w:val="clear" w:color="auto" w:fill="auto"/>
            <w:noWrap/>
            <w:vAlign w:val="center"/>
            <w:hideMark/>
          </w:tcPr>
          <w:p w14:paraId="7FA00B9A"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17.4%</w:t>
            </w:r>
          </w:p>
        </w:tc>
        <w:tc>
          <w:tcPr>
            <w:tcW w:w="0" w:type="auto"/>
            <w:tcBorders>
              <w:top w:val="nil"/>
              <w:left w:val="nil"/>
              <w:bottom w:val="nil"/>
              <w:right w:val="nil"/>
            </w:tcBorders>
            <w:shd w:val="clear" w:color="auto" w:fill="auto"/>
            <w:noWrap/>
            <w:vAlign w:val="center"/>
            <w:hideMark/>
          </w:tcPr>
          <w:p w14:paraId="39E9FD6B"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w:t>
            </w:r>
          </w:p>
        </w:tc>
        <w:tc>
          <w:tcPr>
            <w:tcW w:w="0" w:type="auto"/>
            <w:tcBorders>
              <w:top w:val="nil"/>
              <w:left w:val="nil"/>
              <w:bottom w:val="nil"/>
              <w:right w:val="single" w:sz="4" w:space="0" w:color="auto"/>
            </w:tcBorders>
            <w:shd w:val="clear" w:color="auto" w:fill="auto"/>
            <w:noWrap/>
            <w:vAlign w:val="center"/>
            <w:hideMark/>
          </w:tcPr>
          <w:p w14:paraId="60ABD00E"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66.67%</w:t>
            </w:r>
          </w:p>
        </w:tc>
      </w:tr>
      <w:tr w:rsidR="00A27212" w:rsidRPr="00E87E42" w14:paraId="3509F377"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18DADA6F"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10-19</w:t>
            </w:r>
          </w:p>
        </w:tc>
        <w:tc>
          <w:tcPr>
            <w:tcW w:w="0" w:type="auto"/>
            <w:tcBorders>
              <w:top w:val="nil"/>
              <w:left w:val="nil"/>
              <w:bottom w:val="nil"/>
              <w:right w:val="nil"/>
            </w:tcBorders>
            <w:shd w:val="clear" w:color="auto" w:fill="auto"/>
            <w:noWrap/>
            <w:vAlign w:val="center"/>
            <w:hideMark/>
          </w:tcPr>
          <w:p w14:paraId="1EFA91EB"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single" w:sz="4" w:space="0" w:color="auto"/>
            </w:tcBorders>
            <w:shd w:val="clear" w:color="auto" w:fill="auto"/>
            <w:noWrap/>
            <w:vAlign w:val="center"/>
            <w:hideMark/>
          </w:tcPr>
          <w:p w14:paraId="0DBCA3B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nil"/>
            </w:tcBorders>
            <w:shd w:val="clear" w:color="auto" w:fill="auto"/>
            <w:noWrap/>
            <w:vAlign w:val="center"/>
            <w:hideMark/>
          </w:tcPr>
          <w:p w14:paraId="18E05D13"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w:t>
            </w:r>
          </w:p>
        </w:tc>
        <w:tc>
          <w:tcPr>
            <w:tcW w:w="0" w:type="auto"/>
            <w:tcBorders>
              <w:top w:val="nil"/>
              <w:left w:val="nil"/>
              <w:bottom w:val="nil"/>
              <w:right w:val="single" w:sz="4" w:space="0" w:color="auto"/>
            </w:tcBorders>
            <w:shd w:val="clear" w:color="auto" w:fill="auto"/>
            <w:noWrap/>
            <w:vAlign w:val="center"/>
            <w:hideMark/>
          </w:tcPr>
          <w:p w14:paraId="725F55FA"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12.50%</w:t>
            </w:r>
          </w:p>
        </w:tc>
        <w:tc>
          <w:tcPr>
            <w:tcW w:w="0" w:type="auto"/>
            <w:tcBorders>
              <w:top w:val="nil"/>
              <w:left w:val="nil"/>
              <w:bottom w:val="nil"/>
              <w:right w:val="nil"/>
            </w:tcBorders>
            <w:shd w:val="clear" w:color="auto" w:fill="auto"/>
            <w:noWrap/>
            <w:vAlign w:val="center"/>
            <w:hideMark/>
          </w:tcPr>
          <w:p w14:paraId="4E723AE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17</w:t>
            </w:r>
          </w:p>
        </w:tc>
        <w:tc>
          <w:tcPr>
            <w:tcW w:w="0" w:type="auto"/>
            <w:tcBorders>
              <w:top w:val="nil"/>
              <w:left w:val="nil"/>
              <w:bottom w:val="nil"/>
              <w:right w:val="single" w:sz="4" w:space="0" w:color="auto"/>
            </w:tcBorders>
            <w:shd w:val="clear" w:color="auto" w:fill="auto"/>
            <w:noWrap/>
            <w:vAlign w:val="center"/>
            <w:hideMark/>
          </w:tcPr>
          <w:p w14:paraId="0F49825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14.1%</w:t>
            </w:r>
          </w:p>
        </w:tc>
        <w:tc>
          <w:tcPr>
            <w:tcW w:w="0" w:type="auto"/>
            <w:tcBorders>
              <w:top w:val="nil"/>
              <w:left w:val="nil"/>
              <w:bottom w:val="nil"/>
              <w:right w:val="nil"/>
            </w:tcBorders>
            <w:shd w:val="clear" w:color="auto" w:fill="auto"/>
            <w:noWrap/>
            <w:vAlign w:val="center"/>
            <w:hideMark/>
          </w:tcPr>
          <w:p w14:paraId="1218EFDC"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w:t>
            </w:r>
          </w:p>
        </w:tc>
        <w:tc>
          <w:tcPr>
            <w:tcW w:w="0" w:type="auto"/>
            <w:tcBorders>
              <w:top w:val="nil"/>
              <w:left w:val="nil"/>
              <w:bottom w:val="nil"/>
              <w:right w:val="single" w:sz="4" w:space="0" w:color="auto"/>
            </w:tcBorders>
            <w:shd w:val="clear" w:color="auto" w:fill="auto"/>
            <w:noWrap/>
            <w:vAlign w:val="center"/>
            <w:hideMark/>
          </w:tcPr>
          <w:p w14:paraId="61B6989F"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58.33%</w:t>
            </w:r>
          </w:p>
        </w:tc>
      </w:tr>
      <w:tr w:rsidR="00A27212" w:rsidRPr="00E87E42" w14:paraId="402EF723"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59CDDEB1"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20-49</w:t>
            </w:r>
          </w:p>
        </w:tc>
        <w:tc>
          <w:tcPr>
            <w:tcW w:w="0" w:type="auto"/>
            <w:tcBorders>
              <w:top w:val="nil"/>
              <w:left w:val="nil"/>
              <w:bottom w:val="nil"/>
              <w:right w:val="nil"/>
            </w:tcBorders>
            <w:shd w:val="clear" w:color="auto" w:fill="auto"/>
            <w:noWrap/>
            <w:vAlign w:val="center"/>
            <w:hideMark/>
          </w:tcPr>
          <w:p w14:paraId="49E50A8F"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single" w:sz="4" w:space="0" w:color="auto"/>
            </w:tcBorders>
            <w:shd w:val="clear" w:color="auto" w:fill="auto"/>
            <w:noWrap/>
            <w:vAlign w:val="center"/>
            <w:hideMark/>
          </w:tcPr>
          <w:p w14:paraId="72D2FD1E"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nil"/>
            </w:tcBorders>
            <w:shd w:val="clear" w:color="auto" w:fill="auto"/>
            <w:noWrap/>
            <w:vAlign w:val="center"/>
            <w:hideMark/>
          </w:tcPr>
          <w:p w14:paraId="23455AB1"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w:t>
            </w:r>
          </w:p>
        </w:tc>
        <w:tc>
          <w:tcPr>
            <w:tcW w:w="0" w:type="auto"/>
            <w:tcBorders>
              <w:top w:val="nil"/>
              <w:left w:val="nil"/>
              <w:bottom w:val="nil"/>
              <w:right w:val="single" w:sz="4" w:space="0" w:color="auto"/>
            </w:tcBorders>
            <w:shd w:val="clear" w:color="auto" w:fill="auto"/>
            <w:noWrap/>
            <w:vAlign w:val="center"/>
            <w:hideMark/>
          </w:tcPr>
          <w:p w14:paraId="36B4F644"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12.50%</w:t>
            </w:r>
          </w:p>
        </w:tc>
        <w:tc>
          <w:tcPr>
            <w:tcW w:w="0" w:type="auto"/>
            <w:tcBorders>
              <w:top w:val="nil"/>
              <w:left w:val="nil"/>
              <w:bottom w:val="nil"/>
              <w:right w:val="nil"/>
            </w:tcBorders>
            <w:shd w:val="clear" w:color="auto" w:fill="auto"/>
            <w:noWrap/>
            <w:vAlign w:val="center"/>
            <w:hideMark/>
          </w:tcPr>
          <w:p w14:paraId="575870DC"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30</w:t>
            </w:r>
          </w:p>
        </w:tc>
        <w:tc>
          <w:tcPr>
            <w:tcW w:w="0" w:type="auto"/>
            <w:tcBorders>
              <w:top w:val="nil"/>
              <w:left w:val="nil"/>
              <w:bottom w:val="nil"/>
              <w:right w:val="single" w:sz="4" w:space="0" w:color="auto"/>
            </w:tcBorders>
            <w:shd w:val="clear" w:color="auto" w:fill="auto"/>
            <w:noWrap/>
            <w:vAlign w:val="center"/>
            <w:hideMark/>
          </w:tcPr>
          <w:p w14:paraId="76EE7FCF"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8.3%</w:t>
            </w:r>
          </w:p>
        </w:tc>
        <w:tc>
          <w:tcPr>
            <w:tcW w:w="0" w:type="auto"/>
            <w:tcBorders>
              <w:top w:val="nil"/>
              <w:left w:val="nil"/>
              <w:bottom w:val="nil"/>
              <w:right w:val="nil"/>
            </w:tcBorders>
            <w:shd w:val="clear" w:color="auto" w:fill="auto"/>
            <w:noWrap/>
            <w:vAlign w:val="center"/>
            <w:hideMark/>
          </w:tcPr>
          <w:p w14:paraId="36AA2AE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w:t>
            </w:r>
          </w:p>
        </w:tc>
        <w:tc>
          <w:tcPr>
            <w:tcW w:w="0" w:type="auto"/>
            <w:tcBorders>
              <w:top w:val="nil"/>
              <w:left w:val="nil"/>
              <w:bottom w:val="nil"/>
              <w:right w:val="single" w:sz="4" w:space="0" w:color="auto"/>
            </w:tcBorders>
            <w:shd w:val="clear" w:color="auto" w:fill="auto"/>
            <w:noWrap/>
            <w:vAlign w:val="center"/>
            <w:hideMark/>
          </w:tcPr>
          <w:p w14:paraId="393BA4D3"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58.33%</w:t>
            </w:r>
          </w:p>
        </w:tc>
      </w:tr>
      <w:tr w:rsidR="00A27212" w:rsidRPr="00E87E42" w14:paraId="2C85C500"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64CBD44D"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50-99</w:t>
            </w:r>
          </w:p>
        </w:tc>
        <w:tc>
          <w:tcPr>
            <w:tcW w:w="0" w:type="auto"/>
            <w:tcBorders>
              <w:top w:val="nil"/>
              <w:left w:val="nil"/>
              <w:bottom w:val="nil"/>
              <w:right w:val="nil"/>
            </w:tcBorders>
            <w:shd w:val="clear" w:color="auto" w:fill="auto"/>
            <w:noWrap/>
            <w:vAlign w:val="center"/>
            <w:hideMark/>
          </w:tcPr>
          <w:p w14:paraId="7A9C7EF6"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single" w:sz="4" w:space="0" w:color="auto"/>
            </w:tcBorders>
            <w:shd w:val="clear" w:color="auto" w:fill="auto"/>
            <w:noWrap/>
            <w:vAlign w:val="center"/>
            <w:hideMark/>
          </w:tcPr>
          <w:p w14:paraId="60BFA045"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nil"/>
            </w:tcBorders>
            <w:shd w:val="clear" w:color="auto" w:fill="auto"/>
            <w:noWrap/>
            <w:vAlign w:val="center"/>
            <w:hideMark/>
          </w:tcPr>
          <w:p w14:paraId="32746F7A"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w:t>
            </w:r>
          </w:p>
        </w:tc>
        <w:tc>
          <w:tcPr>
            <w:tcW w:w="0" w:type="auto"/>
            <w:tcBorders>
              <w:top w:val="nil"/>
              <w:left w:val="nil"/>
              <w:bottom w:val="nil"/>
              <w:right w:val="single" w:sz="4" w:space="0" w:color="auto"/>
            </w:tcBorders>
            <w:shd w:val="clear" w:color="auto" w:fill="auto"/>
            <w:noWrap/>
            <w:vAlign w:val="center"/>
            <w:hideMark/>
          </w:tcPr>
          <w:p w14:paraId="37E5713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12.50%</w:t>
            </w:r>
          </w:p>
        </w:tc>
        <w:tc>
          <w:tcPr>
            <w:tcW w:w="0" w:type="auto"/>
            <w:tcBorders>
              <w:top w:val="nil"/>
              <w:left w:val="nil"/>
              <w:bottom w:val="nil"/>
              <w:right w:val="nil"/>
            </w:tcBorders>
            <w:shd w:val="clear" w:color="auto" w:fill="auto"/>
            <w:noWrap/>
            <w:vAlign w:val="center"/>
            <w:hideMark/>
          </w:tcPr>
          <w:p w14:paraId="78341E6B"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10</w:t>
            </w:r>
          </w:p>
        </w:tc>
        <w:tc>
          <w:tcPr>
            <w:tcW w:w="0" w:type="auto"/>
            <w:tcBorders>
              <w:top w:val="nil"/>
              <w:left w:val="nil"/>
              <w:bottom w:val="nil"/>
              <w:right w:val="single" w:sz="4" w:space="0" w:color="auto"/>
            </w:tcBorders>
            <w:shd w:val="clear" w:color="auto" w:fill="auto"/>
            <w:noWrap/>
            <w:vAlign w:val="center"/>
            <w:hideMark/>
          </w:tcPr>
          <w:p w14:paraId="027FE2DD"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6.4%</w:t>
            </w:r>
          </w:p>
        </w:tc>
        <w:tc>
          <w:tcPr>
            <w:tcW w:w="0" w:type="auto"/>
            <w:tcBorders>
              <w:top w:val="nil"/>
              <w:left w:val="nil"/>
              <w:bottom w:val="nil"/>
              <w:right w:val="nil"/>
            </w:tcBorders>
            <w:shd w:val="clear" w:color="auto" w:fill="auto"/>
            <w:noWrap/>
            <w:vAlign w:val="center"/>
            <w:hideMark/>
          </w:tcPr>
          <w:p w14:paraId="7F2EF2A7"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w:t>
            </w:r>
          </w:p>
        </w:tc>
        <w:tc>
          <w:tcPr>
            <w:tcW w:w="0" w:type="auto"/>
            <w:tcBorders>
              <w:top w:val="nil"/>
              <w:left w:val="nil"/>
              <w:bottom w:val="nil"/>
              <w:right w:val="single" w:sz="4" w:space="0" w:color="auto"/>
            </w:tcBorders>
            <w:shd w:val="clear" w:color="auto" w:fill="auto"/>
            <w:noWrap/>
            <w:vAlign w:val="center"/>
            <w:hideMark/>
          </w:tcPr>
          <w:p w14:paraId="471FDD9E"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50.00%</w:t>
            </w:r>
          </w:p>
        </w:tc>
      </w:tr>
      <w:tr w:rsidR="00A27212" w:rsidRPr="00E87E42" w14:paraId="5CE42E07"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22E3593C"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100-199</w:t>
            </w:r>
          </w:p>
        </w:tc>
        <w:tc>
          <w:tcPr>
            <w:tcW w:w="0" w:type="auto"/>
            <w:tcBorders>
              <w:top w:val="nil"/>
              <w:left w:val="nil"/>
              <w:bottom w:val="nil"/>
              <w:right w:val="nil"/>
            </w:tcBorders>
            <w:shd w:val="clear" w:color="auto" w:fill="auto"/>
            <w:noWrap/>
            <w:vAlign w:val="center"/>
            <w:hideMark/>
          </w:tcPr>
          <w:p w14:paraId="06E30A2C"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single" w:sz="4" w:space="0" w:color="auto"/>
            </w:tcBorders>
            <w:shd w:val="clear" w:color="auto" w:fill="auto"/>
            <w:noWrap/>
            <w:vAlign w:val="center"/>
            <w:hideMark/>
          </w:tcPr>
          <w:p w14:paraId="4F09F66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nil"/>
            </w:tcBorders>
            <w:shd w:val="clear" w:color="auto" w:fill="auto"/>
            <w:noWrap/>
            <w:vAlign w:val="center"/>
            <w:hideMark/>
          </w:tcPr>
          <w:p w14:paraId="4C3DAA26"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w:t>
            </w:r>
          </w:p>
        </w:tc>
        <w:tc>
          <w:tcPr>
            <w:tcW w:w="0" w:type="auto"/>
            <w:tcBorders>
              <w:top w:val="nil"/>
              <w:left w:val="nil"/>
              <w:bottom w:val="nil"/>
              <w:right w:val="single" w:sz="4" w:space="0" w:color="auto"/>
            </w:tcBorders>
            <w:shd w:val="clear" w:color="auto" w:fill="auto"/>
            <w:noWrap/>
            <w:vAlign w:val="center"/>
            <w:hideMark/>
          </w:tcPr>
          <w:p w14:paraId="74B55582"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12.50%</w:t>
            </w:r>
          </w:p>
        </w:tc>
        <w:tc>
          <w:tcPr>
            <w:tcW w:w="0" w:type="auto"/>
            <w:tcBorders>
              <w:top w:val="nil"/>
              <w:left w:val="nil"/>
              <w:bottom w:val="nil"/>
              <w:right w:val="nil"/>
            </w:tcBorders>
            <w:shd w:val="clear" w:color="auto" w:fill="auto"/>
            <w:noWrap/>
            <w:vAlign w:val="center"/>
            <w:hideMark/>
          </w:tcPr>
          <w:p w14:paraId="6B9E5708"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13</w:t>
            </w:r>
          </w:p>
        </w:tc>
        <w:tc>
          <w:tcPr>
            <w:tcW w:w="0" w:type="auto"/>
            <w:tcBorders>
              <w:top w:val="nil"/>
              <w:left w:val="nil"/>
              <w:bottom w:val="nil"/>
              <w:right w:val="single" w:sz="4" w:space="0" w:color="auto"/>
            </w:tcBorders>
            <w:shd w:val="clear" w:color="auto" w:fill="auto"/>
            <w:noWrap/>
            <w:vAlign w:val="center"/>
            <w:hideMark/>
          </w:tcPr>
          <w:p w14:paraId="347DC305"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3.9%</w:t>
            </w:r>
          </w:p>
        </w:tc>
        <w:tc>
          <w:tcPr>
            <w:tcW w:w="0" w:type="auto"/>
            <w:tcBorders>
              <w:top w:val="nil"/>
              <w:left w:val="nil"/>
              <w:bottom w:val="nil"/>
              <w:right w:val="nil"/>
            </w:tcBorders>
            <w:shd w:val="clear" w:color="auto" w:fill="auto"/>
            <w:noWrap/>
            <w:vAlign w:val="center"/>
            <w:hideMark/>
          </w:tcPr>
          <w:p w14:paraId="57AF6D0F"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w:t>
            </w:r>
          </w:p>
        </w:tc>
        <w:tc>
          <w:tcPr>
            <w:tcW w:w="0" w:type="auto"/>
            <w:tcBorders>
              <w:top w:val="nil"/>
              <w:left w:val="nil"/>
              <w:bottom w:val="nil"/>
              <w:right w:val="single" w:sz="4" w:space="0" w:color="auto"/>
            </w:tcBorders>
            <w:shd w:val="clear" w:color="auto" w:fill="auto"/>
            <w:noWrap/>
            <w:vAlign w:val="center"/>
            <w:hideMark/>
          </w:tcPr>
          <w:p w14:paraId="7FF7B4E8"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41.67%</w:t>
            </w:r>
          </w:p>
        </w:tc>
      </w:tr>
      <w:tr w:rsidR="00A27212" w:rsidRPr="00E87E42" w14:paraId="3FC5A670"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38C6A539"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200-499</w:t>
            </w:r>
          </w:p>
        </w:tc>
        <w:tc>
          <w:tcPr>
            <w:tcW w:w="0" w:type="auto"/>
            <w:tcBorders>
              <w:top w:val="nil"/>
              <w:left w:val="nil"/>
              <w:bottom w:val="nil"/>
              <w:right w:val="nil"/>
            </w:tcBorders>
            <w:shd w:val="clear" w:color="auto" w:fill="auto"/>
            <w:noWrap/>
            <w:vAlign w:val="center"/>
            <w:hideMark/>
          </w:tcPr>
          <w:p w14:paraId="37BD5E04"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single" w:sz="4" w:space="0" w:color="auto"/>
            </w:tcBorders>
            <w:shd w:val="clear" w:color="auto" w:fill="auto"/>
            <w:noWrap/>
            <w:vAlign w:val="center"/>
            <w:hideMark/>
          </w:tcPr>
          <w:p w14:paraId="76CC7EEA"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nil"/>
            </w:tcBorders>
            <w:shd w:val="clear" w:color="auto" w:fill="auto"/>
            <w:noWrap/>
            <w:vAlign w:val="center"/>
            <w:hideMark/>
          </w:tcPr>
          <w:p w14:paraId="1E2DD171"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w:t>
            </w:r>
          </w:p>
        </w:tc>
        <w:tc>
          <w:tcPr>
            <w:tcW w:w="0" w:type="auto"/>
            <w:tcBorders>
              <w:top w:val="nil"/>
              <w:left w:val="nil"/>
              <w:bottom w:val="nil"/>
              <w:right w:val="single" w:sz="4" w:space="0" w:color="auto"/>
            </w:tcBorders>
            <w:shd w:val="clear" w:color="auto" w:fill="auto"/>
            <w:noWrap/>
            <w:vAlign w:val="center"/>
            <w:hideMark/>
          </w:tcPr>
          <w:p w14:paraId="5EC8AE65"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0.00%</w:t>
            </w:r>
          </w:p>
        </w:tc>
        <w:tc>
          <w:tcPr>
            <w:tcW w:w="0" w:type="auto"/>
            <w:tcBorders>
              <w:top w:val="nil"/>
              <w:left w:val="nil"/>
              <w:bottom w:val="nil"/>
              <w:right w:val="nil"/>
            </w:tcBorders>
            <w:shd w:val="clear" w:color="auto" w:fill="auto"/>
            <w:noWrap/>
            <w:vAlign w:val="center"/>
            <w:hideMark/>
          </w:tcPr>
          <w:p w14:paraId="53D74A6F"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13</w:t>
            </w:r>
          </w:p>
        </w:tc>
        <w:tc>
          <w:tcPr>
            <w:tcW w:w="0" w:type="auto"/>
            <w:tcBorders>
              <w:top w:val="nil"/>
              <w:left w:val="nil"/>
              <w:bottom w:val="nil"/>
              <w:right w:val="single" w:sz="4" w:space="0" w:color="auto"/>
            </w:tcBorders>
            <w:shd w:val="clear" w:color="auto" w:fill="auto"/>
            <w:noWrap/>
            <w:vAlign w:val="center"/>
            <w:hideMark/>
          </w:tcPr>
          <w:p w14:paraId="054F53D4"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1.4%</w:t>
            </w:r>
          </w:p>
        </w:tc>
        <w:tc>
          <w:tcPr>
            <w:tcW w:w="0" w:type="auto"/>
            <w:tcBorders>
              <w:top w:val="nil"/>
              <w:left w:val="nil"/>
              <w:bottom w:val="nil"/>
              <w:right w:val="nil"/>
            </w:tcBorders>
            <w:shd w:val="clear" w:color="auto" w:fill="auto"/>
            <w:noWrap/>
            <w:vAlign w:val="center"/>
            <w:hideMark/>
          </w:tcPr>
          <w:p w14:paraId="4F4F94C7"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4</w:t>
            </w:r>
          </w:p>
        </w:tc>
        <w:tc>
          <w:tcPr>
            <w:tcW w:w="0" w:type="auto"/>
            <w:tcBorders>
              <w:top w:val="nil"/>
              <w:left w:val="nil"/>
              <w:bottom w:val="nil"/>
              <w:right w:val="single" w:sz="4" w:space="0" w:color="auto"/>
            </w:tcBorders>
            <w:shd w:val="clear" w:color="auto" w:fill="auto"/>
            <w:noWrap/>
            <w:vAlign w:val="center"/>
            <w:hideMark/>
          </w:tcPr>
          <w:p w14:paraId="3B0B68F1"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8.33%</w:t>
            </w:r>
          </w:p>
        </w:tc>
      </w:tr>
      <w:tr w:rsidR="00A27212" w:rsidRPr="00E87E42" w14:paraId="5AFFEFCE"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1C8EFC11"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500-999</w:t>
            </w:r>
          </w:p>
        </w:tc>
        <w:tc>
          <w:tcPr>
            <w:tcW w:w="0" w:type="auto"/>
            <w:tcBorders>
              <w:top w:val="nil"/>
              <w:left w:val="nil"/>
              <w:bottom w:val="nil"/>
              <w:right w:val="nil"/>
            </w:tcBorders>
            <w:shd w:val="clear" w:color="auto" w:fill="auto"/>
            <w:noWrap/>
            <w:vAlign w:val="center"/>
            <w:hideMark/>
          </w:tcPr>
          <w:p w14:paraId="3468E8CD"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single" w:sz="4" w:space="0" w:color="auto"/>
            </w:tcBorders>
            <w:shd w:val="clear" w:color="auto" w:fill="auto"/>
            <w:noWrap/>
            <w:vAlign w:val="center"/>
            <w:hideMark/>
          </w:tcPr>
          <w:p w14:paraId="37B7C508"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nil"/>
            </w:tcBorders>
            <w:shd w:val="clear" w:color="auto" w:fill="auto"/>
            <w:noWrap/>
            <w:vAlign w:val="center"/>
            <w:hideMark/>
          </w:tcPr>
          <w:p w14:paraId="200EA577"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w:t>
            </w:r>
          </w:p>
        </w:tc>
        <w:tc>
          <w:tcPr>
            <w:tcW w:w="0" w:type="auto"/>
            <w:tcBorders>
              <w:top w:val="nil"/>
              <w:left w:val="nil"/>
              <w:bottom w:val="nil"/>
              <w:right w:val="single" w:sz="4" w:space="0" w:color="auto"/>
            </w:tcBorders>
            <w:shd w:val="clear" w:color="auto" w:fill="auto"/>
            <w:noWrap/>
            <w:vAlign w:val="center"/>
            <w:hideMark/>
          </w:tcPr>
          <w:p w14:paraId="6CEE8CBC"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0.00%</w:t>
            </w:r>
          </w:p>
        </w:tc>
        <w:tc>
          <w:tcPr>
            <w:tcW w:w="0" w:type="auto"/>
            <w:tcBorders>
              <w:top w:val="nil"/>
              <w:left w:val="nil"/>
              <w:bottom w:val="nil"/>
              <w:right w:val="nil"/>
            </w:tcBorders>
            <w:shd w:val="clear" w:color="auto" w:fill="auto"/>
            <w:noWrap/>
            <w:vAlign w:val="center"/>
            <w:hideMark/>
          </w:tcPr>
          <w:p w14:paraId="169A0594"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6</w:t>
            </w:r>
          </w:p>
        </w:tc>
        <w:tc>
          <w:tcPr>
            <w:tcW w:w="0" w:type="auto"/>
            <w:tcBorders>
              <w:top w:val="nil"/>
              <w:left w:val="nil"/>
              <w:bottom w:val="nil"/>
              <w:right w:val="single" w:sz="4" w:space="0" w:color="auto"/>
            </w:tcBorders>
            <w:shd w:val="clear" w:color="auto" w:fill="auto"/>
            <w:noWrap/>
            <w:vAlign w:val="center"/>
            <w:hideMark/>
          </w:tcPr>
          <w:p w14:paraId="2DD4CD38"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0.2%</w:t>
            </w:r>
          </w:p>
        </w:tc>
        <w:tc>
          <w:tcPr>
            <w:tcW w:w="0" w:type="auto"/>
            <w:tcBorders>
              <w:top w:val="nil"/>
              <w:left w:val="nil"/>
              <w:bottom w:val="nil"/>
              <w:right w:val="nil"/>
            </w:tcBorders>
            <w:shd w:val="clear" w:color="auto" w:fill="auto"/>
            <w:noWrap/>
            <w:vAlign w:val="center"/>
            <w:hideMark/>
          </w:tcPr>
          <w:p w14:paraId="57D197A3"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w:t>
            </w:r>
          </w:p>
        </w:tc>
        <w:tc>
          <w:tcPr>
            <w:tcW w:w="0" w:type="auto"/>
            <w:tcBorders>
              <w:top w:val="nil"/>
              <w:left w:val="nil"/>
              <w:bottom w:val="nil"/>
              <w:right w:val="single" w:sz="4" w:space="0" w:color="auto"/>
            </w:tcBorders>
            <w:shd w:val="clear" w:color="auto" w:fill="auto"/>
            <w:noWrap/>
            <w:vAlign w:val="center"/>
            <w:hideMark/>
          </w:tcPr>
          <w:p w14:paraId="1EB32E32"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8.33%</w:t>
            </w:r>
          </w:p>
        </w:tc>
      </w:tr>
      <w:tr w:rsidR="00A27212" w:rsidRPr="00E87E42" w14:paraId="0395E912" w14:textId="77777777" w:rsidTr="00A2721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9FA228"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1000 and above</w:t>
            </w:r>
          </w:p>
        </w:tc>
        <w:tc>
          <w:tcPr>
            <w:tcW w:w="0" w:type="auto"/>
            <w:tcBorders>
              <w:top w:val="nil"/>
              <w:left w:val="nil"/>
              <w:bottom w:val="single" w:sz="4" w:space="0" w:color="auto"/>
              <w:right w:val="nil"/>
            </w:tcBorders>
            <w:shd w:val="clear" w:color="auto" w:fill="auto"/>
            <w:noWrap/>
            <w:vAlign w:val="center"/>
            <w:hideMark/>
          </w:tcPr>
          <w:p w14:paraId="321C96B9"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center"/>
            <w:hideMark/>
          </w:tcPr>
          <w:p w14:paraId="0DCF07E8"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single" w:sz="4" w:space="0" w:color="auto"/>
              <w:right w:val="nil"/>
            </w:tcBorders>
            <w:shd w:val="clear" w:color="auto" w:fill="auto"/>
            <w:noWrap/>
            <w:vAlign w:val="center"/>
            <w:hideMark/>
          </w:tcPr>
          <w:p w14:paraId="5A6F1ACF"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736454A2"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0.00%</w:t>
            </w:r>
          </w:p>
        </w:tc>
        <w:tc>
          <w:tcPr>
            <w:tcW w:w="0" w:type="auto"/>
            <w:tcBorders>
              <w:top w:val="nil"/>
              <w:left w:val="nil"/>
              <w:bottom w:val="single" w:sz="4" w:space="0" w:color="auto"/>
              <w:right w:val="nil"/>
            </w:tcBorders>
            <w:shd w:val="clear" w:color="auto" w:fill="auto"/>
            <w:noWrap/>
            <w:vAlign w:val="center"/>
            <w:hideMark/>
          </w:tcPr>
          <w:p w14:paraId="6B0FB818"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55166AA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0.0%</w:t>
            </w:r>
          </w:p>
        </w:tc>
        <w:tc>
          <w:tcPr>
            <w:tcW w:w="0" w:type="auto"/>
            <w:tcBorders>
              <w:top w:val="nil"/>
              <w:left w:val="nil"/>
              <w:bottom w:val="single" w:sz="4" w:space="0" w:color="auto"/>
              <w:right w:val="nil"/>
            </w:tcBorders>
            <w:shd w:val="clear" w:color="auto" w:fill="auto"/>
            <w:noWrap/>
            <w:vAlign w:val="center"/>
            <w:hideMark/>
          </w:tcPr>
          <w:p w14:paraId="58056A58"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14:paraId="62CD9339"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0.00%</w:t>
            </w:r>
          </w:p>
        </w:tc>
      </w:tr>
      <w:tr w:rsidR="00A27212" w:rsidRPr="00E87E42" w14:paraId="76280E00" w14:textId="77777777" w:rsidTr="00A27212">
        <w:trPr>
          <w:trHeight w:val="170"/>
          <w:jc w:val="center"/>
        </w:trPr>
        <w:tc>
          <w:tcPr>
            <w:tcW w:w="0" w:type="auto"/>
            <w:tcBorders>
              <w:top w:val="nil"/>
              <w:left w:val="nil"/>
              <w:bottom w:val="nil"/>
              <w:right w:val="nil"/>
            </w:tcBorders>
            <w:shd w:val="clear" w:color="auto" w:fill="auto"/>
            <w:noWrap/>
            <w:vAlign w:val="center"/>
            <w:hideMark/>
          </w:tcPr>
          <w:p w14:paraId="291B1894" w14:textId="77777777" w:rsidR="00A27212" w:rsidRPr="00E87E42" w:rsidRDefault="00A27212" w:rsidP="00A27212">
            <w:pPr>
              <w:pStyle w:val="NoSpacing"/>
              <w:jc w:val="left"/>
              <w:rPr>
                <w:color w:val="000000"/>
                <w:sz w:val="16"/>
                <w:szCs w:val="16"/>
                <w:lang w:eastAsia="en-GB"/>
              </w:rPr>
            </w:pPr>
          </w:p>
        </w:tc>
        <w:tc>
          <w:tcPr>
            <w:tcW w:w="0" w:type="auto"/>
            <w:tcBorders>
              <w:top w:val="nil"/>
              <w:left w:val="nil"/>
              <w:bottom w:val="nil"/>
              <w:right w:val="nil"/>
            </w:tcBorders>
            <w:shd w:val="clear" w:color="auto" w:fill="auto"/>
            <w:noWrap/>
            <w:vAlign w:val="center"/>
            <w:hideMark/>
          </w:tcPr>
          <w:p w14:paraId="0F8AB2B8" w14:textId="77777777" w:rsidR="00A27212" w:rsidRPr="00E87E42" w:rsidRDefault="00A27212" w:rsidP="00A27212">
            <w:pPr>
              <w:pStyle w:val="NoSpacing"/>
              <w:jc w:val="center"/>
              <w:rPr>
                <w:sz w:val="16"/>
                <w:szCs w:val="16"/>
                <w:lang w:eastAsia="en-GB"/>
              </w:rPr>
            </w:pPr>
          </w:p>
        </w:tc>
        <w:tc>
          <w:tcPr>
            <w:tcW w:w="0" w:type="auto"/>
            <w:tcBorders>
              <w:top w:val="nil"/>
              <w:left w:val="nil"/>
              <w:bottom w:val="nil"/>
              <w:right w:val="nil"/>
            </w:tcBorders>
            <w:shd w:val="clear" w:color="auto" w:fill="auto"/>
            <w:noWrap/>
            <w:vAlign w:val="center"/>
            <w:hideMark/>
          </w:tcPr>
          <w:p w14:paraId="56F70539" w14:textId="77777777" w:rsidR="00A27212" w:rsidRPr="00E87E42" w:rsidRDefault="00A27212" w:rsidP="00A27212">
            <w:pPr>
              <w:pStyle w:val="NoSpacing"/>
              <w:jc w:val="center"/>
              <w:rPr>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904761"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8</w:t>
            </w:r>
          </w:p>
        </w:tc>
        <w:tc>
          <w:tcPr>
            <w:tcW w:w="0" w:type="auto"/>
            <w:tcBorders>
              <w:top w:val="nil"/>
              <w:left w:val="nil"/>
              <w:bottom w:val="nil"/>
              <w:right w:val="nil"/>
            </w:tcBorders>
            <w:shd w:val="clear" w:color="auto" w:fill="auto"/>
            <w:noWrap/>
            <w:vAlign w:val="center"/>
            <w:hideMark/>
          </w:tcPr>
          <w:p w14:paraId="030F2EC1" w14:textId="77777777" w:rsidR="00A27212" w:rsidRPr="00E87E42" w:rsidRDefault="00A27212" w:rsidP="00A27212">
            <w:pPr>
              <w:pStyle w:val="NoSpacing"/>
              <w:jc w:val="center"/>
              <w:rPr>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8165C5"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518</w:t>
            </w:r>
          </w:p>
        </w:tc>
        <w:tc>
          <w:tcPr>
            <w:tcW w:w="0" w:type="auto"/>
            <w:tcBorders>
              <w:top w:val="nil"/>
              <w:left w:val="nil"/>
              <w:bottom w:val="nil"/>
              <w:right w:val="nil"/>
            </w:tcBorders>
            <w:shd w:val="clear" w:color="auto" w:fill="auto"/>
            <w:noWrap/>
            <w:vAlign w:val="center"/>
            <w:hideMark/>
          </w:tcPr>
          <w:p w14:paraId="172A3799" w14:textId="77777777" w:rsidR="00A27212" w:rsidRPr="00E87E42" w:rsidRDefault="00A27212" w:rsidP="00A27212">
            <w:pPr>
              <w:pStyle w:val="NoSpacing"/>
              <w:jc w:val="center"/>
              <w:rPr>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A3AAE5"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12</w:t>
            </w:r>
          </w:p>
        </w:tc>
        <w:tc>
          <w:tcPr>
            <w:tcW w:w="0" w:type="auto"/>
            <w:tcBorders>
              <w:top w:val="nil"/>
              <w:left w:val="nil"/>
              <w:bottom w:val="nil"/>
              <w:right w:val="nil"/>
            </w:tcBorders>
            <w:shd w:val="clear" w:color="auto" w:fill="auto"/>
            <w:noWrap/>
            <w:vAlign w:val="center"/>
            <w:hideMark/>
          </w:tcPr>
          <w:p w14:paraId="26DFE384" w14:textId="77777777" w:rsidR="00A27212" w:rsidRPr="00E87E42" w:rsidRDefault="00A27212" w:rsidP="00A27212">
            <w:pPr>
              <w:pStyle w:val="NoSpacing"/>
              <w:jc w:val="center"/>
              <w:rPr>
                <w:color w:val="000000"/>
                <w:sz w:val="16"/>
                <w:szCs w:val="16"/>
                <w:lang w:eastAsia="en-GB"/>
              </w:rPr>
            </w:pPr>
          </w:p>
        </w:tc>
      </w:tr>
      <w:tr w:rsidR="00A27212" w:rsidRPr="00E87E42" w14:paraId="10BDF230" w14:textId="77777777" w:rsidTr="00A27212">
        <w:trPr>
          <w:trHeight w:val="170"/>
          <w:jc w:val="center"/>
        </w:trPr>
        <w:tc>
          <w:tcPr>
            <w:tcW w:w="0" w:type="auto"/>
            <w:tcBorders>
              <w:top w:val="nil"/>
              <w:left w:val="nil"/>
              <w:bottom w:val="nil"/>
              <w:right w:val="nil"/>
            </w:tcBorders>
            <w:shd w:val="clear" w:color="auto" w:fill="auto"/>
            <w:noWrap/>
            <w:vAlign w:val="center"/>
            <w:hideMark/>
          </w:tcPr>
          <w:p w14:paraId="79AE080A" w14:textId="77777777" w:rsidR="00A27212" w:rsidRPr="00E87E42" w:rsidRDefault="00A27212" w:rsidP="00A27212">
            <w:pPr>
              <w:pStyle w:val="NoSpacing"/>
              <w:jc w:val="left"/>
              <w:rPr>
                <w:sz w:val="16"/>
                <w:szCs w:val="16"/>
                <w:lang w:eastAsia="en-GB"/>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75328" w14:textId="77777777" w:rsidR="00A27212" w:rsidRPr="00E87E42" w:rsidRDefault="00A27212" w:rsidP="00A27212">
            <w:pPr>
              <w:pStyle w:val="NoSpacing"/>
              <w:jc w:val="center"/>
              <w:rPr>
                <w:b/>
                <w:color w:val="000000"/>
                <w:sz w:val="16"/>
                <w:szCs w:val="16"/>
                <w:u w:val="single"/>
                <w:lang w:eastAsia="en-GB"/>
              </w:rPr>
            </w:pPr>
            <w:r w:rsidRPr="00E87E42">
              <w:rPr>
                <w:b/>
                <w:color w:val="000000"/>
                <w:sz w:val="16"/>
                <w:szCs w:val="16"/>
                <w:u w:val="single"/>
                <w:lang w:eastAsia="en-GB"/>
              </w:rPr>
              <w:t>Bedrooms</w:t>
            </w:r>
          </w:p>
        </w:tc>
      </w:tr>
      <w:tr w:rsidR="00A27212" w:rsidRPr="00E87E42" w14:paraId="31FCF350" w14:textId="77777777" w:rsidTr="00A27212">
        <w:trPr>
          <w:trHeight w:val="170"/>
          <w:jc w:val="center"/>
        </w:trPr>
        <w:tc>
          <w:tcPr>
            <w:tcW w:w="0" w:type="auto"/>
            <w:tcBorders>
              <w:top w:val="nil"/>
              <w:left w:val="nil"/>
              <w:bottom w:val="nil"/>
              <w:right w:val="nil"/>
            </w:tcBorders>
            <w:shd w:val="clear" w:color="auto" w:fill="auto"/>
            <w:noWrap/>
            <w:vAlign w:val="center"/>
            <w:hideMark/>
          </w:tcPr>
          <w:p w14:paraId="6200C7F1" w14:textId="77777777" w:rsidR="00A27212" w:rsidRPr="00E87E42" w:rsidRDefault="00A27212" w:rsidP="00A27212">
            <w:pPr>
              <w:pStyle w:val="NoSpacing"/>
              <w:jc w:val="left"/>
              <w:rPr>
                <w:color w:val="000000"/>
                <w:sz w:val="16"/>
                <w:szCs w:val="16"/>
                <w:lang w:eastAsia="en-GB"/>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364B5" w14:textId="77777777" w:rsidR="00A27212" w:rsidRPr="00E87E42" w:rsidRDefault="00A27212" w:rsidP="00A27212">
            <w:pPr>
              <w:pStyle w:val="NoSpacing"/>
              <w:jc w:val="center"/>
              <w:rPr>
                <w:i/>
                <w:color w:val="000000"/>
                <w:sz w:val="16"/>
                <w:szCs w:val="16"/>
                <w:lang w:eastAsia="en-GB"/>
              </w:rPr>
            </w:pPr>
            <w:r w:rsidRPr="00E87E42">
              <w:rPr>
                <w:i/>
                <w:color w:val="000000"/>
                <w:sz w:val="16"/>
                <w:szCs w:val="16"/>
                <w:lang w:eastAsia="en-GB"/>
              </w:rPr>
              <w:t>Sprinklers</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14:paraId="443B4CC5" w14:textId="77777777" w:rsidR="00A27212" w:rsidRPr="00E87E42" w:rsidRDefault="00A27212" w:rsidP="00A27212">
            <w:pPr>
              <w:pStyle w:val="NoSpacing"/>
              <w:jc w:val="center"/>
              <w:rPr>
                <w:i/>
                <w:color w:val="000000"/>
                <w:sz w:val="16"/>
                <w:szCs w:val="16"/>
                <w:lang w:eastAsia="en-GB"/>
              </w:rPr>
            </w:pPr>
            <w:r w:rsidRPr="00E87E42">
              <w:rPr>
                <w:i/>
                <w:color w:val="000000"/>
                <w:sz w:val="16"/>
                <w:szCs w:val="16"/>
                <w:lang w:eastAsia="en-GB"/>
              </w:rPr>
              <w:t>No sprinklers</w:t>
            </w:r>
          </w:p>
        </w:tc>
      </w:tr>
      <w:tr w:rsidR="00A27212" w:rsidRPr="00E87E42" w14:paraId="2A1304B9" w14:textId="77777777" w:rsidTr="00A27212">
        <w:trPr>
          <w:trHeight w:val="170"/>
          <w:jc w:val="center"/>
        </w:trPr>
        <w:tc>
          <w:tcPr>
            <w:tcW w:w="0" w:type="auto"/>
            <w:tcBorders>
              <w:top w:val="nil"/>
              <w:left w:val="nil"/>
              <w:bottom w:val="nil"/>
              <w:right w:val="nil"/>
            </w:tcBorders>
            <w:shd w:val="clear" w:color="auto" w:fill="auto"/>
            <w:noWrap/>
            <w:vAlign w:val="center"/>
            <w:hideMark/>
          </w:tcPr>
          <w:p w14:paraId="500F246B" w14:textId="77777777" w:rsidR="00A27212" w:rsidRPr="00E87E42" w:rsidRDefault="00A27212" w:rsidP="00A27212">
            <w:pPr>
              <w:pStyle w:val="NoSpacing"/>
              <w:jc w:val="left"/>
              <w:rPr>
                <w:color w:val="000000"/>
                <w:sz w:val="16"/>
                <w:szCs w:val="16"/>
                <w:lang w:eastAsia="en-GB"/>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50D56"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PD 7974-7</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270D8EBC"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USA data</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4E298AC1"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PD 7974-7</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2ABCDA64"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USA data</w:t>
            </w:r>
          </w:p>
        </w:tc>
      </w:tr>
      <w:tr w:rsidR="00A27212" w:rsidRPr="00E87E42" w14:paraId="3A807731" w14:textId="77777777" w:rsidTr="00A27212">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8F13E"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Area damage (m</w:t>
            </w:r>
            <w:r w:rsidRPr="00E87E42">
              <w:rPr>
                <w:color w:val="000000"/>
                <w:sz w:val="16"/>
                <w:szCs w:val="16"/>
                <w:vertAlign w:val="superscript"/>
                <w:lang w:eastAsia="en-GB"/>
              </w:rPr>
              <w:t>2</w:t>
            </w:r>
            <w:r w:rsidRPr="00E87E42">
              <w:rPr>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center"/>
            <w:hideMark/>
          </w:tcPr>
          <w:p w14:paraId="0A3BAEAB"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n of fires</w:t>
            </w:r>
          </w:p>
        </w:tc>
        <w:tc>
          <w:tcPr>
            <w:tcW w:w="0" w:type="auto"/>
            <w:tcBorders>
              <w:top w:val="nil"/>
              <w:left w:val="nil"/>
              <w:bottom w:val="single" w:sz="4" w:space="0" w:color="auto"/>
              <w:right w:val="single" w:sz="4" w:space="0" w:color="auto"/>
            </w:tcBorders>
            <w:shd w:val="clear" w:color="auto" w:fill="auto"/>
            <w:noWrap/>
            <w:vAlign w:val="center"/>
            <w:hideMark/>
          </w:tcPr>
          <w:p w14:paraId="2EA8931D"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 fire exceeding upper limit</w:t>
            </w:r>
          </w:p>
        </w:tc>
        <w:tc>
          <w:tcPr>
            <w:tcW w:w="0" w:type="auto"/>
            <w:tcBorders>
              <w:top w:val="nil"/>
              <w:left w:val="nil"/>
              <w:bottom w:val="single" w:sz="4" w:space="0" w:color="auto"/>
              <w:right w:val="single" w:sz="4" w:space="0" w:color="auto"/>
            </w:tcBorders>
            <w:shd w:val="clear" w:color="auto" w:fill="auto"/>
            <w:noWrap/>
            <w:vAlign w:val="center"/>
            <w:hideMark/>
          </w:tcPr>
          <w:p w14:paraId="142093D5"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n of fires</w:t>
            </w:r>
          </w:p>
        </w:tc>
        <w:tc>
          <w:tcPr>
            <w:tcW w:w="0" w:type="auto"/>
            <w:tcBorders>
              <w:top w:val="nil"/>
              <w:left w:val="nil"/>
              <w:bottom w:val="single" w:sz="4" w:space="0" w:color="auto"/>
              <w:right w:val="single" w:sz="4" w:space="0" w:color="auto"/>
            </w:tcBorders>
            <w:shd w:val="clear" w:color="auto" w:fill="auto"/>
            <w:noWrap/>
            <w:vAlign w:val="center"/>
            <w:hideMark/>
          </w:tcPr>
          <w:p w14:paraId="40D4131E"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 fire exceeding upper limit</w:t>
            </w:r>
          </w:p>
        </w:tc>
        <w:tc>
          <w:tcPr>
            <w:tcW w:w="0" w:type="auto"/>
            <w:tcBorders>
              <w:top w:val="nil"/>
              <w:left w:val="nil"/>
              <w:bottom w:val="single" w:sz="4" w:space="0" w:color="auto"/>
              <w:right w:val="single" w:sz="4" w:space="0" w:color="auto"/>
            </w:tcBorders>
            <w:shd w:val="clear" w:color="auto" w:fill="auto"/>
            <w:noWrap/>
            <w:vAlign w:val="center"/>
            <w:hideMark/>
          </w:tcPr>
          <w:p w14:paraId="22EE3D58"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n of fires</w:t>
            </w:r>
          </w:p>
        </w:tc>
        <w:tc>
          <w:tcPr>
            <w:tcW w:w="0" w:type="auto"/>
            <w:tcBorders>
              <w:top w:val="nil"/>
              <w:left w:val="nil"/>
              <w:bottom w:val="single" w:sz="4" w:space="0" w:color="auto"/>
              <w:right w:val="single" w:sz="4" w:space="0" w:color="auto"/>
            </w:tcBorders>
            <w:shd w:val="clear" w:color="auto" w:fill="auto"/>
            <w:noWrap/>
            <w:vAlign w:val="center"/>
            <w:hideMark/>
          </w:tcPr>
          <w:p w14:paraId="28B40B79"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 fire exceeding upper limit</w:t>
            </w:r>
          </w:p>
        </w:tc>
        <w:tc>
          <w:tcPr>
            <w:tcW w:w="0" w:type="auto"/>
            <w:tcBorders>
              <w:top w:val="nil"/>
              <w:left w:val="nil"/>
              <w:bottom w:val="single" w:sz="4" w:space="0" w:color="auto"/>
              <w:right w:val="single" w:sz="4" w:space="0" w:color="auto"/>
            </w:tcBorders>
            <w:shd w:val="clear" w:color="auto" w:fill="auto"/>
            <w:noWrap/>
            <w:vAlign w:val="center"/>
            <w:hideMark/>
          </w:tcPr>
          <w:p w14:paraId="1E28E4C5"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n of fires</w:t>
            </w:r>
          </w:p>
        </w:tc>
        <w:tc>
          <w:tcPr>
            <w:tcW w:w="0" w:type="auto"/>
            <w:tcBorders>
              <w:top w:val="nil"/>
              <w:left w:val="nil"/>
              <w:bottom w:val="single" w:sz="4" w:space="0" w:color="auto"/>
              <w:right w:val="single" w:sz="4" w:space="0" w:color="auto"/>
            </w:tcBorders>
            <w:shd w:val="clear" w:color="auto" w:fill="auto"/>
            <w:noWrap/>
            <w:vAlign w:val="center"/>
            <w:hideMark/>
          </w:tcPr>
          <w:p w14:paraId="21DD1BCE"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 fire exceeding upper limit</w:t>
            </w:r>
          </w:p>
        </w:tc>
      </w:tr>
      <w:tr w:rsidR="00A27212" w:rsidRPr="00E87E42" w14:paraId="7AE731CB"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6D6965F8"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1 and under</w:t>
            </w:r>
          </w:p>
        </w:tc>
        <w:tc>
          <w:tcPr>
            <w:tcW w:w="0" w:type="auto"/>
            <w:tcBorders>
              <w:top w:val="nil"/>
              <w:left w:val="nil"/>
              <w:bottom w:val="nil"/>
              <w:right w:val="nil"/>
            </w:tcBorders>
            <w:shd w:val="clear" w:color="auto" w:fill="auto"/>
            <w:noWrap/>
            <w:vAlign w:val="center"/>
            <w:hideMark/>
          </w:tcPr>
          <w:p w14:paraId="7F79CCC2"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nil"/>
            </w:tcBorders>
            <w:shd w:val="clear" w:color="auto" w:fill="auto"/>
            <w:noWrap/>
            <w:vAlign w:val="center"/>
            <w:hideMark/>
          </w:tcPr>
          <w:p w14:paraId="7EB11D71"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single" w:sz="4" w:space="0" w:color="auto"/>
              <w:bottom w:val="nil"/>
              <w:right w:val="nil"/>
            </w:tcBorders>
            <w:shd w:val="clear" w:color="auto" w:fill="auto"/>
            <w:noWrap/>
            <w:vAlign w:val="center"/>
            <w:hideMark/>
          </w:tcPr>
          <w:p w14:paraId="6BC378B3"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29</w:t>
            </w:r>
          </w:p>
        </w:tc>
        <w:tc>
          <w:tcPr>
            <w:tcW w:w="0" w:type="auto"/>
            <w:tcBorders>
              <w:top w:val="nil"/>
              <w:left w:val="nil"/>
              <w:bottom w:val="nil"/>
              <w:right w:val="single" w:sz="4" w:space="0" w:color="auto"/>
            </w:tcBorders>
            <w:shd w:val="clear" w:color="auto" w:fill="auto"/>
            <w:noWrap/>
            <w:vAlign w:val="center"/>
            <w:hideMark/>
          </w:tcPr>
          <w:p w14:paraId="44FA6696"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34.09%</w:t>
            </w:r>
          </w:p>
        </w:tc>
        <w:tc>
          <w:tcPr>
            <w:tcW w:w="0" w:type="auto"/>
            <w:tcBorders>
              <w:top w:val="nil"/>
              <w:left w:val="nil"/>
              <w:bottom w:val="nil"/>
              <w:right w:val="nil"/>
            </w:tcBorders>
            <w:shd w:val="clear" w:color="auto" w:fill="auto"/>
            <w:noWrap/>
            <w:vAlign w:val="center"/>
            <w:hideMark/>
          </w:tcPr>
          <w:p w14:paraId="553E5033"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634</w:t>
            </w:r>
          </w:p>
        </w:tc>
        <w:tc>
          <w:tcPr>
            <w:tcW w:w="0" w:type="auto"/>
            <w:tcBorders>
              <w:top w:val="nil"/>
              <w:left w:val="nil"/>
              <w:bottom w:val="nil"/>
              <w:right w:val="nil"/>
            </w:tcBorders>
            <w:shd w:val="clear" w:color="auto" w:fill="auto"/>
            <w:noWrap/>
            <w:vAlign w:val="center"/>
            <w:hideMark/>
          </w:tcPr>
          <w:p w14:paraId="529787D9"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47.0%</w:t>
            </w:r>
          </w:p>
        </w:tc>
        <w:tc>
          <w:tcPr>
            <w:tcW w:w="0" w:type="auto"/>
            <w:tcBorders>
              <w:top w:val="nil"/>
              <w:left w:val="single" w:sz="4" w:space="0" w:color="auto"/>
              <w:bottom w:val="nil"/>
              <w:right w:val="nil"/>
            </w:tcBorders>
            <w:shd w:val="clear" w:color="auto" w:fill="auto"/>
            <w:noWrap/>
            <w:vAlign w:val="center"/>
            <w:hideMark/>
          </w:tcPr>
          <w:p w14:paraId="1A436913"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39</w:t>
            </w:r>
          </w:p>
        </w:tc>
        <w:tc>
          <w:tcPr>
            <w:tcW w:w="0" w:type="auto"/>
            <w:tcBorders>
              <w:top w:val="nil"/>
              <w:left w:val="nil"/>
              <w:bottom w:val="nil"/>
              <w:right w:val="single" w:sz="4" w:space="0" w:color="auto"/>
            </w:tcBorders>
            <w:shd w:val="clear" w:color="auto" w:fill="auto"/>
            <w:noWrap/>
            <w:vAlign w:val="center"/>
            <w:hideMark/>
          </w:tcPr>
          <w:p w14:paraId="2722BE31"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53.57%</w:t>
            </w:r>
          </w:p>
        </w:tc>
      </w:tr>
      <w:tr w:rsidR="00A27212" w:rsidRPr="00E87E42" w14:paraId="5B70AD45"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126E2A57"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2-4</w:t>
            </w:r>
          </w:p>
        </w:tc>
        <w:tc>
          <w:tcPr>
            <w:tcW w:w="0" w:type="auto"/>
            <w:tcBorders>
              <w:top w:val="nil"/>
              <w:left w:val="nil"/>
              <w:bottom w:val="nil"/>
              <w:right w:val="nil"/>
            </w:tcBorders>
            <w:shd w:val="clear" w:color="auto" w:fill="auto"/>
            <w:noWrap/>
            <w:vAlign w:val="center"/>
            <w:hideMark/>
          </w:tcPr>
          <w:p w14:paraId="275B0D2B"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nil"/>
            </w:tcBorders>
            <w:shd w:val="clear" w:color="auto" w:fill="auto"/>
            <w:noWrap/>
            <w:vAlign w:val="center"/>
            <w:hideMark/>
          </w:tcPr>
          <w:p w14:paraId="6B1501FC"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single" w:sz="4" w:space="0" w:color="auto"/>
              <w:bottom w:val="nil"/>
              <w:right w:val="nil"/>
            </w:tcBorders>
            <w:shd w:val="clear" w:color="auto" w:fill="auto"/>
            <w:noWrap/>
            <w:vAlign w:val="center"/>
            <w:hideMark/>
          </w:tcPr>
          <w:p w14:paraId="1FFA18CF"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w:t>
            </w:r>
          </w:p>
        </w:tc>
        <w:tc>
          <w:tcPr>
            <w:tcW w:w="0" w:type="auto"/>
            <w:tcBorders>
              <w:top w:val="nil"/>
              <w:left w:val="nil"/>
              <w:bottom w:val="nil"/>
              <w:right w:val="single" w:sz="4" w:space="0" w:color="auto"/>
            </w:tcBorders>
            <w:shd w:val="clear" w:color="auto" w:fill="auto"/>
            <w:noWrap/>
            <w:vAlign w:val="center"/>
            <w:hideMark/>
          </w:tcPr>
          <w:p w14:paraId="58968534"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31.82%</w:t>
            </w:r>
          </w:p>
        </w:tc>
        <w:tc>
          <w:tcPr>
            <w:tcW w:w="0" w:type="auto"/>
            <w:tcBorders>
              <w:top w:val="nil"/>
              <w:left w:val="nil"/>
              <w:bottom w:val="nil"/>
              <w:right w:val="nil"/>
            </w:tcBorders>
            <w:shd w:val="clear" w:color="auto" w:fill="auto"/>
            <w:noWrap/>
            <w:vAlign w:val="center"/>
            <w:hideMark/>
          </w:tcPr>
          <w:p w14:paraId="21810B16"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324</w:t>
            </w:r>
          </w:p>
        </w:tc>
        <w:tc>
          <w:tcPr>
            <w:tcW w:w="0" w:type="auto"/>
            <w:tcBorders>
              <w:top w:val="nil"/>
              <w:left w:val="nil"/>
              <w:bottom w:val="nil"/>
              <w:right w:val="nil"/>
            </w:tcBorders>
            <w:shd w:val="clear" w:color="auto" w:fill="auto"/>
            <w:noWrap/>
            <w:vAlign w:val="center"/>
            <w:hideMark/>
          </w:tcPr>
          <w:p w14:paraId="6E9313BF"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19.9%</w:t>
            </w:r>
          </w:p>
        </w:tc>
        <w:tc>
          <w:tcPr>
            <w:tcW w:w="0" w:type="auto"/>
            <w:tcBorders>
              <w:top w:val="nil"/>
              <w:left w:val="single" w:sz="4" w:space="0" w:color="auto"/>
              <w:bottom w:val="nil"/>
              <w:right w:val="nil"/>
            </w:tcBorders>
            <w:shd w:val="clear" w:color="auto" w:fill="auto"/>
            <w:noWrap/>
            <w:vAlign w:val="center"/>
            <w:hideMark/>
          </w:tcPr>
          <w:p w14:paraId="1B696E8A"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w:t>
            </w:r>
          </w:p>
        </w:tc>
        <w:tc>
          <w:tcPr>
            <w:tcW w:w="0" w:type="auto"/>
            <w:tcBorders>
              <w:top w:val="nil"/>
              <w:left w:val="nil"/>
              <w:bottom w:val="nil"/>
              <w:right w:val="single" w:sz="4" w:space="0" w:color="auto"/>
            </w:tcBorders>
            <w:shd w:val="clear" w:color="auto" w:fill="auto"/>
            <w:noWrap/>
            <w:vAlign w:val="center"/>
            <w:hideMark/>
          </w:tcPr>
          <w:p w14:paraId="36C26A31"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53.57%</w:t>
            </w:r>
          </w:p>
        </w:tc>
      </w:tr>
      <w:tr w:rsidR="00A27212" w:rsidRPr="00E87E42" w14:paraId="381627F0"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0CB4173F"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5-9</w:t>
            </w:r>
          </w:p>
        </w:tc>
        <w:tc>
          <w:tcPr>
            <w:tcW w:w="0" w:type="auto"/>
            <w:tcBorders>
              <w:top w:val="nil"/>
              <w:left w:val="nil"/>
              <w:bottom w:val="nil"/>
              <w:right w:val="nil"/>
            </w:tcBorders>
            <w:shd w:val="clear" w:color="auto" w:fill="auto"/>
            <w:noWrap/>
            <w:vAlign w:val="center"/>
            <w:hideMark/>
          </w:tcPr>
          <w:p w14:paraId="73EC83EE"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nil"/>
            </w:tcBorders>
            <w:shd w:val="clear" w:color="auto" w:fill="auto"/>
            <w:noWrap/>
            <w:vAlign w:val="center"/>
            <w:hideMark/>
          </w:tcPr>
          <w:p w14:paraId="538E3C91"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single" w:sz="4" w:space="0" w:color="auto"/>
              <w:bottom w:val="nil"/>
              <w:right w:val="nil"/>
            </w:tcBorders>
            <w:shd w:val="clear" w:color="auto" w:fill="auto"/>
            <w:noWrap/>
            <w:vAlign w:val="center"/>
            <w:hideMark/>
          </w:tcPr>
          <w:p w14:paraId="12B6714D"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w:t>
            </w:r>
          </w:p>
        </w:tc>
        <w:tc>
          <w:tcPr>
            <w:tcW w:w="0" w:type="auto"/>
            <w:tcBorders>
              <w:top w:val="nil"/>
              <w:left w:val="nil"/>
              <w:bottom w:val="nil"/>
              <w:right w:val="single" w:sz="4" w:space="0" w:color="auto"/>
            </w:tcBorders>
            <w:shd w:val="clear" w:color="auto" w:fill="auto"/>
            <w:noWrap/>
            <w:vAlign w:val="center"/>
            <w:hideMark/>
          </w:tcPr>
          <w:p w14:paraId="7C255CA7"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29.55%</w:t>
            </w:r>
          </w:p>
        </w:tc>
        <w:tc>
          <w:tcPr>
            <w:tcW w:w="0" w:type="auto"/>
            <w:tcBorders>
              <w:top w:val="nil"/>
              <w:left w:val="nil"/>
              <w:bottom w:val="nil"/>
              <w:right w:val="nil"/>
            </w:tcBorders>
            <w:shd w:val="clear" w:color="auto" w:fill="auto"/>
            <w:noWrap/>
            <w:vAlign w:val="center"/>
            <w:hideMark/>
          </w:tcPr>
          <w:p w14:paraId="40607006"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94</w:t>
            </w:r>
          </w:p>
        </w:tc>
        <w:tc>
          <w:tcPr>
            <w:tcW w:w="0" w:type="auto"/>
            <w:tcBorders>
              <w:top w:val="nil"/>
              <w:left w:val="nil"/>
              <w:bottom w:val="nil"/>
              <w:right w:val="nil"/>
            </w:tcBorders>
            <w:shd w:val="clear" w:color="auto" w:fill="auto"/>
            <w:noWrap/>
            <w:vAlign w:val="center"/>
            <w:hideMark/>
          </w:tcPr>
          <w:p w14:paraId="4EB66BAC"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12.0%</w:t>
            </w:r>
          </w:p>
        </w:tc>
        <w:tc>
          <w:tcPr>
            <w:tcW w:w="0" w:type="auto"/>
            <w:tcBorders>
              <w:top w:val="nil"/>
              <w:left w:val="single" w:sz="4" w:space="0" w:color="auto"/>
              <w:bottom w:val="nil"/>
              <w:right w:val="nil"/>
            </w:tcBorders>
            <w:shd w:val="clear" w:color="auto" w:fill="auto"/>
            <w:noWrap/>
            <w:vAlign w:val="center"/>
            <w:hideMark/>
          </w:tcPr>
          <w:p w14:paraId="474D88FD"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w:t>
            </w:r>
          </w:p>
        </w:tc>
        <w:tc>
          <w:tcPr>
            <w:tcW w:w="0" w:type="auto"/>
            <w:tcBorders>
              <w:top w:val="nil"/>
              <w:left w:val="nil"/>
              <w:bottom w:val="nil"/>
              <w:right w:val="single" w:sz="4" w:space="0" w:color="auto"/>
            </w:tcBorders>
            <w:shd w:val="clear" w:color="auto" w:fill="auto"/>
            <w:noWrap/>
            <w:vAlign w:val="center"/>
            <w:hideMark/>
          </w:tcPr>
          <w:p w14:paraId="048D3425"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50.00%</w:t>
            </w:r>
          </w:p>
        </w:tc>
      </w:tr>
      <w:tr w:rsidR="00A27212" w:rsidRPr="00E87E42" w14:paraId="5BD4F9A2"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4506FA61"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10-19</w:t>
            </w:r>
          </w:p>
        </w:tc>
        <w:tc>
          <w:tcPr>
            <w:tcW w:w="0" w:type="auto"/>
            <w:tcBorders>
              <w:top w:val="nil"/>
              <w:left w:val="nil"/>
              <w:bottom w:val="nil"/>
              <w:right w:val="nil"/>
            </w:tcBorders>
            <w:shd w:val="clear" w:color="auto" w:fill="auto"/>
            <w:noWrap/>
            <w:vAlign w:val="center"/>
            <w:hideMark/>
          </w:tcPr>
          <w:p w14:paraId="37C02D1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nil"/>
            </w:tcBorders>
            <w:shd w:val="clear" w:color="auto" w:fill="auto"/>
            <w:noWrap/>
            <w:vAlign w:val="center"/>
            <w:hideMark/>
          </w:tcPr>
          <w:p w14:paraId="628D7FC6"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single" w:sz="4" w:space="0" w:color="auto"/>
              <w:bottom w:val="nil"/>
              <w:right w:val="nil"/>
            </w:tcBorders>
            <w:shd w:val="clear" w:color="auto" w:fill="auto"/>
            <w:noWrap/>
            <w:vAlign w:val="center"/>
            <w:hideMark/>
          </w:tcPr>
          <w:p w14:paraId="696BBB46"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w:t>
            </w:r>
          </w:p>
        </w:tc>
        <w:tc>
          <w:tcPr>
            <w:tcW w:w="0" w:type="auto"/>
            <w:tcBorders>
              <w:top w:val="nil"/>
              <w:left w:val="nil"/>
              <w:bottom w:val="nil"/>
              <w:right w:val="single" w:sz="4" w:space="0" w:color="auto"/>
            </w:tcBorders>
            <w:shd w:val="clear" w:color="auto" w:fill="auto"/>
            <w:noWrap/>
            <w:vAlign w:val="center"/>
            <w:hideMark/>
          </w:tcPr>
          <w:p w14:paraId="64FC5F4B"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25.00%</w:t>
            </w:r>
          </w:p>
        </w:tc>
        <w:tc>
          <w:tcPr>
            <w:tcW w:w="0" w:type="auto"/>
            <w:tcBorders>
              <w:top w:val="nil"/>
              <w:left w:val="nil"/>
              <w:bottom w:val="nil"/>
              <w:right w:val="nil"/>
            </w:tcBorders>
            <w:shd w:val="clear" w:color="auto" w:fill="auto"/>
            <w:noWrap/>
            <w:vAlign w:val="center"/>
            <w:hideMark/>
          </w:tcPr>
          <w:p w14:paraId="40E0AB8B"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59</w:t>
            </w:r>
          </w:p>
        </w:tc>
        <w:tc>
          <w:tcPr>
            <w:tcW w:w="0" w:type="auto"/>
            <w:tcBorders>
              <w:top w:val="nil"/>
              <w:left w:val="nil"/>
              <w:bottom w:val="nil"/>
              <w:right w:val="nil"/>
            </w:tcBorders>
            <w:shd w:val="clear" w:color="auto" w:fill="auto"/>
            <w:noWrap/>
            <w:vAlign w:val="center"/>
            <w:hideMark/>
          </w:tcPr>
          <w:p w14:paraId="0621D189"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7.1%</w:t>
            </w:r>
          </w:p>
        </w:tc>
        <w:tc>
          <w:tcPr>
            <w:tcW w:w="0" w:type="auto"/>
            <w:tcBorders>
              <w:top w:val="nil"/>
              <w:left w:val="single" w:sz="4" w:space="0" w:color="auto"/>
              <w:bottom w:val="nil"/>
              <w:right w:val="nil"/>
            </w:tcBorders>
            <w:shd w:val="clear" w:color="auto" w:fill="auto"/>
            <w:noWrap/>
            <w:vAlign w:val="center"/>
            <w:hideMark/>
          </w:tcPr>
          <w:p w14:paraId="5A7026AC"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4</w:t>
            </w:r>
          </w:p>
        </w:tc>
        <w:tc>
          <w:tcPr>
            <w:tcW w:w="0" w:type="auto"/>
            <w:tcBorders>
              <w:top w:val="nil"/>
              <w:left w:val="nil"/>
              <w:bottom w:val="nil"/>
              <w:right w:val="single" w:sz="4" w:space="0" w:color="auto"/>
            </w:tcBorders>
            <w:shd w:val="clear" w:color="auto" w:fill="auto"/>
            <w:noWrap/>
            <w:vAlign w:val="center"/>
            <w:hideMark/>
          </w:tcPr>
          <w:p w14:paraId="1B886D47"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45.24%</w:t>
            </w:r>
          </w:p>
        </w:tc>
      </w:tr>
      <w:tr w:rsidR="00A27212" w:rsidRPr="00E87E42" w14:paraId="4DB42C0D"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1479A893"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20-49</w:t>
            </w:r>
          </w:p>
        </w:tc>
        <w:tc>
          <w:tcPr>
            <w:tcW w:w="0" w:type="auto"/>
            <w:tcBorders>
              <w:top w:val="nil"/>
              <w:left w:val="nil"/>
              <w:bottom w:val="nil"/>
              <w:right w:val="nil"/>
            </w:tcBorders>
            <w:shd w:val="clear" w:color="auto" w:fill="auto"/>
            <w:noWrap/>
            <w:vAlign w:val="center"/>
            <w:hideMark/>
          </w:tcPr>
          <w:p w14:paraId="1A44D863"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nil"/>
            </w:tcBorders>
            <w:shd w:val="clear" w:color="auto" w:fill="auto"/>
            <w:noWrap/>
            <w:vAlign w:val="center"/>
            <w:hideMark/>
          </w:tcPr>
          <w:p w14:paraId="5E2DFE4B"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single" w:sz="4" w:space="0" w:color="auto"/>
              <w:bottom w:val="nil"/>
              <w:right w:val="nil"/>
            </w:tcBorders>
            <w:shd w:val="clear" w:color="auto" w:fill="auto"/>
            <w:noWrap/>
            <w:vAlign w:val="center"/>
            <w:hideMark/>
          </w:tcPr>
          <w:p w14:paraId="25816328"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w:t>
            </w:r>
          </w:p>
        </w:tc>
        <w:tc>
          <w:tcPr>
            <w:tcW w:w="0" w:type="auto"/>
            <w:tcBorders>
              <w:top w:val="nil"/>
              <w:left w:val="nil"/>
              <w:bottom w:val="nil"/>
              <w:right w:val="single" w:sz="4" w:space="0" w:color="auto"/>
            </w:tcBorders>
            <w:shd w:val="clear" w:color="auto" w:fill="auto"/>
            <w:noWrap/>
            <w:vAlign w:val="center"/>
            <w:hideMark/>
          </w:tcPr>
          <w:p w14:paraId="6FC5BC3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25.00%</w:t>
            </w:r>
          </w:p>
        </w:tc>
        <w:tc>
          <w:tcPr>
            <w:tcW w:w="0" w:type="auto"/>
            <w:tcBorders>
              <w:top w:val="nil"/>
              <w:left w:val="nil"/>
              <w:bottom w:val="nil"/>
              <w:right w:val="nil"/>
            </w:tcBorders>
            <w:shd w:val="clear" w:color="auto" w:fill="auto"/>
            <w:noWrap/>
            <w:vAlign w:val="center"/>
            <w:hideMark/>
          </w:tcPr>
          <w:p w14:paraId="0FD1624B"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54</w:t>
            </w:r>
          </w:p>
        </w:tc>
        <w:tc>
          <w:tcPr>
            <w:tcW w:w="0" w:type="auto"/>
            <w:tcBorders>
              <w:top w:val="nil"/>
              <w:left w:val="nil"/>
              <w:bottom w:val="nil"/>
              <w:right w:val="nil"/>
            </w:tcBorders>
            <w:shd w:val="clear" w:color="auto" w:fill="auto"/>
            <w:noWrap/>
            <w:vAlign w:val="center"/>
            <w:hideMark/>
          </w:tcPr>
          <w:p w14:paraId="6EB49D9A"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2.6%</w:t>
            </w:r>
          </w:p>
        </w:tc>
        <w:tc>
          <w:tcPr>
            <w:tcW w:w="0" w:type="auto"/>
            <w:tcBorders>
              <w:top w:val="nil"/>
              <w:left w:val="single" w:sz="4" w:space="0" w:color="auto"/>
              <w:bottom w:val="nil"/>
              <w:right w:val="nil"/>
            </w:tcBorders>
            <w:shd w:val="clear" w:color="auto" w:fill="auto"/>
            <w:noWrap/>
            <w:vAlign w:val="center"/>
            <w:hideMark/>
          </w:tcPr>
          <w:p w14:paraId="220F0C4A"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11</w:t>
            </w:r>
          </w:p>
        </w:tc>
        <w:tc>
          <w:tcPr>
            <w:tcW w:w="0" w:type="auto"/>
            <w:tcBorders>
              <w:top w:val="nil"/>
              <w:left w:val="nil"/>
              <w:bottom w:val="nil"/>
              <w:right w:val="single" w:sz="4" w:space="0" w:color="auto"/>
            </w:tcBorders>
            <w:shd w:val="clear" w:color="auto" w:fill="auto"/>
            <w:noWrap/>
            <w:vAlign w:val="center"/>
            <w:hideMark/>
          </w:tcPr>
          <w:p w14:paraId="365749BA"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32.14%</w:t>
            </w:r>
          </w:p>
        </w:tc>
      </w:tr>
      <w:tr w:rsidR="00A27212" w:rsidRPr="00E87E42" w14:paraId="58A9DAA5"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140AD381"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50-99</w:t>
            </w:r>
          </w:p>
        </w:tc>
        <w:tc>
          <w:tcPr>
            <w:tcW w:w="0" w:type="auto"/>
            <w:tcBorders>
              <w:top w:val="nil"/>
              <w:left w:val="nil"/>
              <w:bottom w:val="nil"/>
              <w:right w:val="nil"/>
            </w:tcBorders>
            <w:shd w:val="clear" w:color="auto" w:fill="auto"/>
            <w:noWrap/>
            <w:vAlign w:val="center"/>
            <w:hideMark/>
          </w:tcPr>
          <w:p w14:paraId="7E60BB19"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nil"/>
            </w:tcBorders>
            <w:shd w:val="clear" w:color="auto" w:fill="auto"/>
            <w:noWrap/>
            <w:vAlign w:val="center"/>
            <w:hideMark/>
          </w:tcPr>
          <w:p w14:paraId="5FF6B9F9"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single" w:sz="4" w:space="0" w:color="auto"/>
              <w:bottom w:val="nil"/>
              <w:right w:val="nil"/>
            </w:tcBorders>
            <w:shd w:val="clear" w:color="auto" w:fill="auto"/>
            <w:noWrap/>
            <w:vAlign w:val="center"/>
            <w:hideMark/>
          </w:tcPr>
          <w:p w14:paraId="17496418"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w:t>
            </w:r>
          </w:p>
        </w:tc>
        <w:tc>
          <w:tcPr>
            <w:tcW w:w="0" w:type="auto"/>
            <w:tcBorders>
              <w:top w:val="nil"/>
              <w:left w:val="nil"/>
              <w:bottom w:val="nil"/>
              <w:right w:val="single" w:sz="4" w:space="0" w:color="auto"/>
            </w:tcBorders>
            <w:shd w:val="clear" w:color="auto" w:fill="auto"/>
            <w:noWrap/>
            <w:vAlign w:val="center"/>
            <w:hideMark/>
          </w:tcPr>
          <w:p w14:paraId="7591B00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22.73%</w:t>
            </w:r>
          </w:p>
        </w:tc>
        <w:tc>
          <w:tcPr>
            <w:tcW w:w="0" w:type="auto"/>
            <w:tcBorders>
              <w:top w:val="nil"/>
              <w:left w:val="nil"/>
              <w:bottom w:val="nil"/>
              <w:right w:val="nil"/>
            </w:tcBorders>
            <w:shd w:val="clear" w:color="auto" w:fill="auto"/>
            <w:noWrap/>
            <w:vAlign w:val="center"/>
            <w:hideMark/>
          </w:tcPr>
          <w:p w14:paraId="7119F48C"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18</w:t>
            </w:r>
          </w:p>
        </w:tc>
        <w:tc>
          <w:tcPr>
            <w:tcW w:w="0" w:type="auto"/>
            <w:tcBorders>
              <w:top w:val="nil"/>
              <w:left w:val="nil"/>
              <w:bottom w:val="nil"/>
              <w:right w:val="nil"/>
            </w:tcBorders>
            <w:shd w:val="clear" w:color="auto" w:fill="auto"/>
            <w:noWrap/>
            <w:vAlign w:val="center"/>
            <w:hideMark/>
          </w:tcPr>
          <w:p w14:paraId="0BC78524"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1.1%</w:t>
            </w:r>
          </w:p>
        </w:tc>
        <w:tc>
          <w:tcPr>
            <w:tcW w:w="0" w:type="auto"/>
            <w:tcBorders>
              <w:top w:val="nil"/>
              <w:left w:val="single" w:sz="4" w:space="0" w:color="auto"/>
              <w:bottom w:val="nil"/>
              <w:right w:val="nil"/>
            </w:tcBorders>
            <w:shd w:val="clear" w:color="auto" w:fill="auto"/>
            <w:noWrap/>
            <w:vAlign w:val="center"/>
            <w:hideMark/>
          </w:tcPr>
          <w:p w14:paraId="004B674F"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6</w:t>
            </w:r>
          </w:p>
        </w:tc>
        <w:tc>
          <w:tcPr>
            <w:tcW w:w="0" w:type="auto"/>
            <w:tcBorders>
              <w:top w:val="nil"/>
              <w:left w:val="nil"/>
              <w:bottom w:val="nil"/>
              <w:right w:val="single" w:sz="4" w:space="0" w:color="auto"/>
            </w:tcBorders>
            <w:shd w:val="clear" w:color="auto" w:fill="auto"/>
            <w:noWrap/>
            <w:vAlign w:val="center"/>
            <w:hideMark/>
          </w:tcPr>
          <w:p w14:paraId="67C70223"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25.00%</w:t>
            </w:r>
          </w:p>
        </w:tc>
      </w:tr>
      <w:tr w:rsidR="00A27212" w:rsidRPr="00E87E42" w14:paraId="61FA592B"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0735E3AE"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100-199</w:t>
            </w:r>
          </w:p>
        </w:tc>
        <w:tc>
          <w:tcPr>
            <w:tcW w:w="0" w:type="auto"/>
            <w:tcBorders>
              <w:top w:val="nil"/>
              <w:left w:val="nil"/>
              <w:bottom w:val="nil"/>
              <w:right w:val="nil"/>
            </w:tcBorders>
            <w:shd w:val="clear" w:color="auto" w:fill="auto"/>
            <w:noWrap/>
            <w:vAlign w:val="center"/>
            <w:hideMark/>
          </w:tcPr>
          <w:p w14:paraId="396C47BA"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nil"/>
            </w:tcBorders>
            <w:shd w:val="clear" w:color="auto" w:fill="auto"/>
            <w:noWrap/>
            <w:vAlign w:val="center"/>
            <w:hideMark/>
          </w:tcPr>
          <w:p w14:paraId="0A088949"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single" w:sz="4" w:space="0" w:color="auto"/>
              <w:bottom w:val="nil"/>
              <w:right w:val="nil"/>
            </w:tcBorders>
            <w:shd w:val="clear" w:color="auto" w:fill="auto"/>
            <w:noWrap/>
            <w:vAlign w:val="center"/>
            <w:hideMark/>
          </w:tcPr>
          <w:p w14:paraId="0487596A"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w:t>
            </w:r>
          </w:p>
        </w:tc>
        <w:tc>
          <w:tcPr>
            <w:tcW w:w="0" w:type="auto"/>
            <w:tcBorders>
              <w:top w:val="nil"/>
              <w:left w:val="nil"/>
              <w:bottom w:val="nil"/>
              <w:right w:val="single" w:sz="4" w:space="0" w:color="auto"/>
            </w:tcBorders>
            <w:shd w:val="clear" w:color="auto" w:fill="auto"/>
            <w:noWrap/>
            <w:vAlign w:val="center"/>
            <w:hideMark/>
          </w:tcPr>
          <w:p w14:paraId="577DEB35"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20.45%</w:t>
            </w:r>
          </w:p>
        </w:tc>
        <w:tc>
          <w:tcPr>
            <w:tcW w:w="0" w:type="auto"/>
            <w:tcBorders>
              <w:top w:val="nil"/>
              <w:left w:val="nil"/>
              <w:bottom w:val="nil"/>
              <w:right w:val="nil"/>
            </w:tcBorders>
            <w:shd w:val="clear" w:color="auto" w:fill="auto"/>
            <w:noWrap/>
            <w:vAlign w:val="center"/>
            <w:hideMark/>
          </w:tcPr>
          <w:p w14:paraId="14B536D5"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4</w:t>
            </w:r>
          </w:p>
        </w:tc>
        <w:tc>
          <w:tcPr>
            <w:tcW w:w="0" w:type="auto"/>
            <w:tcBorders>
              <w:top w:val="nil"/>
              <w:left w:val="nil"/>
              <w:bottom w:val="nil"/>
              <w:right w:val="nil"/>
            </w:tcBorders>
            <w:shd w:val="clear" w:color="auto" w:fill="auto"/>
            <w:noWrap/>
            <w:vAlign w:val="center"/>
            <w:hideMark/>
          </w:tcPr>
          <w:p w14:paraId="07055669"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0.8%</w:t>
            </w:r>
          </w:p>
        </w:tc>
        <w:tc>
          <w:tcPr>
            <w:tcW w:w="0" w:type="auto"/>
            <w:tcBorders>
              <w:top w:val="nil"/>
              <w:left w:val="single" w:sz="4" w:space="0" w:color="auto"/>
              <w:bottom w:val="nil"/>
              <w:right w:val="nil"/>
            </w:tcBorders>
            <w:shd w:val="clear" w:color="auto" w:fill="auto"/>
            <w:noWrap/>
            <w:vAlign w:val="center"/>
            <w:hideMark/>
          </w:tcPr>
          <w:p w14:paraId="72D0A321"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4</w:t>
            </w:r>
          </w:p>
        </w:tc>
        <w:tc>
          <w:tcPr>
            <w:tcW w:w="0" w:type="auto"/>
            <w:tcBorders>
              <w:top w:val="nil"/>
              <w:left w:val="nil"/>
              <w:bottom w:val="nil"/>
              <w:right w:val="single" w:sz="4" w:space="0" w:color="auto"/>
            </w:tcBorders>
            <w:shd w:val="clear" w:color="auto" w:fill="auto"/>
            <w:noWrap/>
            <w:vAlign w:val="center"/>
            <w:hideMark/>
          </w:tcPr>
          <w:p w14:paraId="490F108A"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20.24%</w:t>
            </w:r>
          </w:p>
        </w:tc>
      </w:tr>
      <w:tr w:rsidR="00A27212" w:rsidRPr="00E87E42" w14:paraId="4D730528"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5C3BBB0F"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200-499</w:t>
            </w:r>
          </w:p>
        </w:tc>
        <w:tc>
          <w:tcPr>
            <w:tcW w:w="0" w:type="auto"/>
            <w:tcBorders>
              <w:top w:val="nil"/>
              <w:left w:val="nil"/>
              <w:bottom w:val="nil"/>
              <w:right w:val="nil"/>
            </w:tcBorders>
            <w:shd w:val="clear" w:color="auto" w:fill="auto"/>
            <w:noWrap/>
            <w:vAlign w:val="center"/>
            <w:hideMark/>
          </w:tcPr>
          <w:p w14:paraId="7A8412A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nil"/>
            </w:tcBorders>
            <w:shd w:val="clear" w:color="auto" w:fill="auto"/>
            <w:noWrap/>
            <w:vAlign w:val="center"/>
            <w:hideMark/>
          </w:tcPr>
          <w:p w14:paraId="37CB7EB5"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single" w:sz="4" w:space="0" w:color="auto"/>
              <w:bottom w:val="nil"/>
              <w:right w:val="nil"/>
            </w:tcBorders>
            <w:shd w:val="clear" w:color="auto" w:fill="auto"/>
            <w:noWrap/>
            <w:vAlign w:val="center"/>
            <w:hideMark/>
          </w:tcPr>
          <w:p w14:paraId="14C8C5E4"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w:t>
            </w:r>
          </w:p>
        </w:tc>
        <w:tc>
          <w:tcPr>
            <w:tcW w:w="0" w:type="auto"/>
            <w:tcBorders>
              <w:top w:val="nil"/>
              <w:left w:val="nil"/>
              <w:bottom w:val="nil"/>
              <w:right w:val="single" w:sz="4" w:space="0" w:color="auto"/>
            </w:tcBorders>
            <w:shd w:val="clear" w:color="auto" w:fill="auto"/>
            <w:noWrap/>
            <w:vAlign w:val="center"/>
            <w:hideMark/>
          </w:tcPr>
          <w:p w14:paraId="755C7106"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13.64%</w:t>
            </w:r>
          </w:p>
        </w:tc>
        <w:tc>
          <w:tcPr>
            <w:tcW w:w="0" w:type="auto"/>
            <w:tcBorders>
              <w:top w:val="nil"/>
              <w:left w:val="nil"/>
              <w:bottom w:val="nil"/>
              <w:right w:val="nil"/>
            </w:tcBorders>
            <w:shd w:val="clear" w:color="auto" w:fill="auto"/>
            <w:noWrap/>
            <w:vAlign w:val="center"/>
            <w:hideMark/>
          </w:tcPr>
          <w:p w14:paraId="7668F208"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w:t>
            </w:r>
          </w:p>
        </w:tc>
        <w:tc>
          <w:tcPr>
            <w:tcW w:w="0" w:type="auto"/>
            <w:tcBorders>
              <w:top w:val="nil"/>
              <w:left w:val="nil"/>
              <w:bottom w:val="nil"/>
              <w:right w:val="nil"/>
            </w:tcBorders>
            <w:shd w:val="clear" w:color="auto" w:fill="auto"/>
            <w:noWrap/>
            <w:vAlign w:val="center"/>
            <w:hideMark/>
          </w:tcPr>
          <w:p w14:paraId="331A0AAD"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0.6%</w:t>
            </w:r>
          </w:p>
        </w:tc>
        <w:tc>
          <w:tcPr>
            <w:tcW w:w="0" w:type="auto"/>
            <w:tcBorders>
              <w:top w:val="nil"/>
              <w:left w:val="single" w:sz="4" w:space="0" w:color="auto"/>
              <w:bottom w:val="nil"/>
              <w:right w:val="nil"/>
            </w:tcBorders>
            <w:shd w:val="clear" w:color="auto" w:fill="auto"/>
            <w:noWrap/>
            <w:vAlign w:val="center"/>
            <w:hideMark/>
          </w:tcPr>
          <w:p w14:paraId="09186CBD"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11</w:t>
            </w:r>
          </w:p>
        </w:tc>
        <w:tc>
          <w:tcPr>
            <w:tcW w:w="0" w:type="auto"/>
            <w:tcBorders>
              <w:top w:val="nil"/>
              <w:left w:val="nil"/>
              <w:bottom w:val="nil"/>
              <w:right w:val="single" w:sz="4" w:space="0" w:color="auto"/>
            </w:tcBorders>
            <w:shd w:val="clear" w:color="auto" w:fill="auto"/>
            <w:noWrap/>
            <w:vAlign w:val="center"/>
            <w:hideMark/>
          </w:tcPr>
          <w:p w14:paraId="091032A1"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7.14%</w:t>
            </w:r>
          </w:p>
        </w:tc>
      </w:tr>
      <w:tr w:rsidR="00A27212" w:rsidRPr="00E87E42" w14:paraId="675649AC"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5099B1FD"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500-999</w:t>
            </w:r>
          </w:p>
        </w:tc>
        <w:tc>
          <w:tcPr>
            <w:tcW w:w="0" w:type="auto"/>
            <w:tcBorders>
              <w:top w:val="nil"/>
              <w:left w:val="nil"/>
              <w:bottom w:val="nil"/>
              <w:right w:val="nil"/>
            </w:tcBorders>
            <w:shd w:val="clear" w:color="auto" w:fill="auto"/>
            <w:noWrap/>
            <w:vAlign w:val="center"/>
            <w:hideMark/>
          </w:tcPr>
          <w:p w14:paraId="334E045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nil"/>
              <w:right w:val="nil"/>
            </w:tcBorders>
            <w:shd w:val="clear" w:color="auto" w:fill="auto"/>
            <w:noWrap/>
            <w:vAlign w:val="center"/>
            <w:hideMark/>
          </w:tcPr>
          <w:p w14:paraId="53083CE4"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single" w:sz="4" w:space="0" w:color="auto"/>
              <w:bottom w:val="nil"/>
              <w:right w:val="nil"/>
            </w:tcBorders>
            <w:shd w:val="clear" w:color="auto" w:fill="auto"/>
            <w:noWrap/>
            <w:vAlign w:val="center"/>
            <w:hideMark/>
          </w:tcPr>
          <w:p w14:paraId="7E14C9C5"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4</w:t>
            </w:r>
          </w:p>
        </w:tc>
        <w:tc>
          <w:tcPr>
            <w:tcW w:w="0" w:type="auto"/>
            <w:tcBorders>
              <w:top w:val="nil"/>
              <w:left w:val="nil"/>
              <w:bottom w:val="nil"/>
              <w:right w:val="single" w:sz="4" w:space="0" w:color="auto"/>
            </w:tcBorders>
            <w:shd w:val="clear" w:color="auto" w:fill="auto"/>
            <w:noWrap/>
            <w:vAlign w:val="center"/>
            <w:hideMark/>
          </w:tcPr>
          <w:p w14:paraId="7E8D8DB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4.55%</w:t>
            </w:r>
          </w:p>
        </w:tc>
        <w:tc>
          <w:tcPr>
            <w:tcW w:w="0" w:type="auto"/>
            <w:tcBorders>
              <w:top w:val="nil"/>
              <w:left w:val="nil"/>
              <w:bottom w:val="nil"/>
              <w:right w:val="nil"/>
            </w:tcBorders>
            <w:shd w:val="clear" w:color="auto" w:fill="auto"/>
            <w:noWrap/>
            <w:vAlign w:val="center"/>
            <w:hideMark/>
          </w:tcPr>
          <w:p w14:paraId="17819459"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7</w:t>
            </w:r>
          </w:p>
        </w:tc>
        <w:tc>
          <w:tcPr>
            <w:tcW w:w="0" w:type="auto"/>
            <w:tcBorders>
              <w:top w:val="nil"/>
              <w:left w:val="nil"/>
              <w:bottom w:val="nil"/>
              <w:right w:val="nil"/>
            </w:tcBorders>
            <w:shd w:val="clear" w:color="auto" w:fill="auto"/>
            <w:noWrap/>
            <w:vAlign w:val="center"/>
            <w:hideMark/>
          </w:tcPr>
          <w:p w14:paraId="6124D41A"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0.0%</w:t>
            </w:r>
          </w:p>
        </w:tc>
        <w:tc>
          <w:tcPr>
            <w:tcW w:w="0" w:type="auto"/>
            <w:tcBorders>
              <w:top w:val="nil"/>
              <w:left w:val="single" w:sz="4" w:space="0" w:color="auto"/>
              <w:bottom w:val="nil"/>
              <w:right w:val="nil"/>
            </w:tcBorders>
            <w:shd w:val="clear" w:color="auto" w:fill="auto"/>
            <w:noWrap/>
            <w:vAlign w:val="center"/>
            <w:hideMark/>
          </w:tcPr>
          <w:p w14:paraId="5CE9C502"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w:t>
            </w:r>
          </w:p>
        </w:tc>
        <w:tc>
          <w:tcPr>
            <w:tcW w:w="0" w:type="auto"/>
            <w:tcBorders>
              <w:top w:val="nil"/>
              <w:left w:val="nil"/>
              <w:bottom w:val="nil"/>
              <w:right w:val="single" w:sz="4" w:space="0" w:color="auto"/>
            </w:tcBorders>
            <w:shd w:val="clear" w:color="auto" w:fill="auto"/>
            <w:noWrap/>
            <w:vAlign w:val="center"/>
            <w:hideMark/>
          </w:tcPr>
          <w:p w14:paraId="0F37B638"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3.57%</w:t>
            </w:r>
          </w:p>
        </w:tc>
      </w:tr>
      <w:tr w:rsidR="00A27212" w:rsidRPr="00E87E42" w14:paraId="510C3071" w14:textId="77777777" w:rsidTr="00A2721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5548B0"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1000 and above</w:t>
            </w:r>
          </w:p>
        </w:tc>
        <w:tc>
          <w:tcPr>
            <w:tcW w:w="0" w:type="auto"/>
            <w:tcBorders>
              <w:top w:val="nil"/>
              <w:left w:val="nil"/>
              <w:bottom w:val="single" w:sz="4" w:space="0" w:color="auto"/>
              <w:right w:val="nil"/>
            </w:tcBorders>
            <w:shd w:val="clear" w:color="auto" w:fill="auto"/>
            <w:noWrap/>
            <w:vAlign w:val="center"/>
            <w:hideMark/>
          </w:tcPr>
          <w:p w14:paraId="06D275C9"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nil"/>
              <w:bottom w:val="single" w:sz="4" w:space="0" w:color="auto"/>
              <w:right w:val="nil"/>
            </w:tcBorders>
            <w:shd w:val="clear" w:color="auto" w:fill="auto"/>
            <w:noWrap/>
            <w:vAlign w:val="center"/>
            <w:hideMark/>
          </w:tcPr>
          <w:p w14:paraId="52FD5E95"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w:t>
            </w:r>
          </w:p>
        </w:tc>
        <w:tc>
          <w:tcPr>
            <w:tcW w:w="0" w:type="auto"/>
            <w:tcBorders>
              <w:top w:val="nil"/>
              <w:left w:val="single" w:sz="4" w:space="0" w:color="auto"/>
              <w:bottom w:val="single" w:sz="4" w:space="0" w:color="auto"/>
              <w:right w:val="nil"/>
            </w:tcBorders>
            <w:shd w:val="clear" w:color="auto" w:fill="auto"/>
            <w:noWrap/>
            <w:vAlign w:val="center"/>
            <w:hideMark/>
          </w:tcPr>
          <w:p w14:paraId="5D226DAB"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14:paraId="0CD61669"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0.00%</w:t>
            </w:r>
          </w:p>
        </w:tc>
        <w:tc>
          <w:tcPr>
            <w:tcW w:w="0" w:type="auto"/>
            <w:tcBorders>
              <w:top w:val="nil"/>
              <w:left w:val="nil"/>
              <w:bottom w:val="single" w:sz="4" w:space="0" w:color="auto"/>
              <w:right w:val="nil"/>
            </w:tcBorders>
            <w:shd w:val="clear" w:color="auto" w:fill="auto"/>
            <w:noWrap/>
            <w:vAlign w:val="center"/>
            <w:hideMark/>
          </w:tcPr>
          <w:p w14:paraId="0C267318"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w:t>
            </w:r>
          </w:p>
        </w:tc>
        <w:tc>
          <w:tcPr>
            <w:tcW w:w="0" w:type="auto"/>
            <w:tcBorders>
              <w:top w:val="nil"/>
              <w:left w:val="nil"/>
              <w:bottom w:val="single" w:sz="4" w:space="0" w:color="auto"/>
              <w:right w:val="nil"/>
            </w:tcBorders>
            <w:shd w:val="clear" w:color="auto" w:fill="auto"/>
            <w:noWrap/>
            <w:vAlign w:val="center"/>
            <w:hideMark/>
          </w:tcPr>
          <w:p w14:paraId="3A1A14FE"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0.0%</w:t>
            </w:r>
          </w:p>
        </w:tc>
        <w:tc>
          <w:tcPr>
            <w:tcW w:w="0" w:type="auto"/>
            <w:tcBorders>
              <w:top w:val="nil"/>
              <w:left w:val="single" w:sz="4" w:space="0" w:color="auto"/>
              <w:bottom w:val="single" w:sz="4" w:space="0" w:color="auto"/>
              <w:right w:val="nil"/>
            </w:tcBorders>
            <w:shd w:val="clear" w:color="auto" w:fill="auto"/>
            <w:noWrap/>
            <w:vAlign w:val="center"/>
            <w:hideMark/>
          </w:tcPr>
          <w:p w14:paraId="15A433BC"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w:t>
            </w:r>
          </w:p>
        </w:tc>
        <w:tc>
          <w:tcPr>
            <w:tcW w:w="0" w:type="auto"/>
            <w:tcBorders>
              <w:top w:val="nil"/>
              <w:left w:val="nil"/>
              <w:bottom w:val="single" w:sz="4" w:space="0" w:color="auto"/>
              <w:right w:val="single" w:sz="4" w:space="0" w:color="auto"/>
            </w:tcBorders>
            <w:shd w:val="clear" w:color="auto" w:fill="auto"/>
            <w:noWrap/>
            <w:vAlign w:val="center"/>
            <w:hideMark/>
          </w:tcPr>
          <w:p w14:paraId="57617682"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0.00%</w:t>
            </w:r>
          </w:p>
        </w:tc>
      </w:tr>
      <w:tr w:rsidR="00A27212" w:rsidRPr="00E87E42" w14:paraId="52C8D500" w14:textId="77777777" w:rsidTr="00A27212">
        <w:trPr>
          <w:trHeight w:val="170"/>
          <w:jc w:val="center"/>
        </w:trPr>
        <w:tc>
          <w:tcPr>
            <w:tcW w:w="0" w:type="auto"/>
            <w:tcBorders>
              <w:top w:val="nil"/>
              <w:left w:val="nil"/>
              <w:bottom w:val="nil"/>
              <w:right w:val="nil"/>
            </w:tcBorders>
            <w:shd w:val="clear" w:color="auto" w:fill="auto"/>
            <w:noWrap/>
            <w:vAlign w:val="center"/>
            <w:hideMark/>
          </w:tcPr>
          <w:p w14:paraId="5BAB495F" w14:textId="77777777" w:rsidR="00A27212" w:rsidRPr="00E87E42" w:rsidRDefault="00A27212" w:rsidP="00A27212">
            <w:pPr>
              <w:pStyle w:val="NoSpacing"/>
              <w:jc w:val="left"/>
              <w:rPr>
                <w:color w:val="000000"/>
                <w:sz w:val="16"/>
                <w:szCs w:val="16"/>
                <w:lang w:eastAsia="en-GB"/>
              </w:rPr>
            </w:pPr>
          </w:p>
        </w:tc>
        <w:tc>
          <w:tcPr>
            <w:tcW w:w="0" w:type="auto"/>
            <w:tcBorders>
              <w:top w:val="nil"/>
              <w:left w:val="nil"/>
              <w:bottom w:val="nil"/>
              <w:right w:val="nil"/>
            </w:tcBorders>
            <w:shd w:val="clear" w:color="auto" w:fill="auto"/>
            <w:noWrap/>
            <w:vAlign w:val="center"/>
            <w:hideMark/>
          </w:tcPr>
          <w:p w14:paraId="552AB80C" w14:textId="77777777" w:rsidR="00A27212" w:rsidRPr="00E87E42" w:rsidRDefault="00A27212" w:rsidP="00A27212">
            <w:pPr>
              <w:pStyle w:val="NoSpacing"/>
              <w:jc w:val="center"/>
              <w:rPr>
                <w:sz w:val="16"/>
                <w:szCs w:val="16"/>
                <w:lang w:eastAsia="en-GB"/>
              </w:rPr>
            </w:pPr>
          </w:p>
        </w:tc>
        <w:tc>
          <w:tcPr>
            <w:tcW w:w="0" w:type="auto"/>
            <w:tcBorders>
              <w:top w:val="nil"/>
              <w:left w:val="nil"/>
              <w:bottom w:val="nil"/>
              <w:right w:val="nil"/>
            </w:tcBorders>
            <w:shd w:val="clear" w:color="auto" w:fill="auto"/>
            <w:noWrap/>
            <w:vAlign w:val="center"/>
            <w:hideMark/>
          </w:tcPr>
          <w:p w14:paraId="62E38BD5" w14:textId="77777777" w:rsidR="00A27212" w:rsidRPr="00E87E42" w:rsidRDefault="00A27212" w:rsidP="00A27212">
            <w:pPr>
              <w:pStyle w:val="NoSpacing"/>
              <w:jc w:val="center"/>
              <w:rPr>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7864A9"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44</w:t>
            </w:r>
          </w:p>
        </w:tc>
        <w:tc>
          <w:tcPr>
            <w:tcW w:w="0" w:type="auto"/>
            <w:tcBorders>
              <w:top w:val="nil"/>
              <w:left w:val="nil"/>
              <w:bottom w:val="nil"/>
              <w:right w:val="nil"/>
            </w:tcBorders>
            <w:shd w:val="clear" w:color="auto" w:fill="auto"/>
            <w:noWrap/>
            <w:vAlign w:val="center"/>
            <w:hideMark/>
          </w:tcPr>
          <w:p w14:paraId="7BBA9204" w14:textId="77777777" w:rsidR="00A27212" w:rsidRPr="00E87E42" w:rsidRDefault="00A27212" w:rsidP="00A27212">
            <w:pPr>
              <w:pStyle w:val="NoSpacing"/>
              <w:jc w:val="center"/>
              <w:rPr>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FF0000"/>
            <w:noWrap/>
            <w:vAlign w:val="center"/>
            <w:hideMark/>
          </w:tcPr>
          <w:p w14:paraId="3F808F8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1196</w:t>
            </w:r>
          </w:p>
        </w:tc>
        <w:tc>
          <w:tcPr>
            <w:tcW w:w="0" w:type="auto"/>
            <w:tcBorders>
              <w:top w:val="nil"/>
              <w:left w:val="nil"/>
              <w:bottom w:val="nil"/>
              <w:right w:val="nil"/>
            </w:tcBorders>
            <w:shd w:val="clear" w:color="auto" w:fill="auto"/>
            <w:noWrap/>
            <w:vAlign w:val="center"/>
            <w:hideMark/>
          </w:tcPr>
          <w:p w14:paraId="420DF8A4" w14:textId="77777777" w:rsidR="00A27212" w:rsidRPr="00E87E42" w:rsidRDefault="00A27212" w:rsidP="00A27212">
            <w:pPr>
              <w:pStyle w:val="NoSpacing"/>
              <w:jc w:val="center"/>
              <w:rPr>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088EEF"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84</w:t>
            </w:r>
          </w:p>
        </w:tc>
        <w:tc>
          <w:tcPr>
            <w:tcW w:w="0" w:type="auto"/>
            <w:tcBorders>
              <w:top w:val="nil"/>
              <w:left w:val="nil"/>
              <w:bottom w:val="nil"/>
              <w:right w:val="nil"/>
            </w:tcBorders>
            <w:shd w:val="clear" w:color="auto" w:fill="auto"/>
            <w:noWrap/>
            <w:vAlign w:val="center"/>
            <w:hideMark/>
          </w:tcPr>
          <w:p w14:paraId="3C603B1E" w14:textId="77777777" w:rsidR="00A27212" w:rsidRPr="00E87E42" w:rsidRDefault="00A27212" w:rsidP="00A27212">
            <w:pPr>
              <w:pStyle w:val="NoSpacing"/>
              <w:jc w:val="center"/>
              <w:rPr>
                <w:color w:val="000000"/>
                <w:sz w:val="16"/>
                <w:szCs w:val="16"/>
                <w:lang w:eastAsia="en-GB"/>
              </w:rPr>
            </w:pPr>
          </w:p>
        </w:tc>
      </w:tr>
      <w:tr w:rsidR="00A27212" w:rsidRPr="00E87E42" w14:paraId="14AF3E56" w14:textId="77777777" w:rsidTr="00A27212">
        <w:trPr>
          <w:trHeight w:val="170"/>
          <w:jc w:val="center"/>
        </w:trPr>
        <w:tc>
          <w:tcPr>
            <w:tcW w:w="0" w:type="auto"/>
            <w:tcBorders>
              <w:top w:val="nil"/>
              <w:left w:val="nil"/>
              <w:bottom w:val="nil"/>
              <w:right w:val="nil"/>
            </w:tcBorders>
            <w:shd w:val="clear" w:color="auto" w:fill="auto"/>
            <w:noWrap/>
            <w:vAlign w:val="center"/>
            <w:hideMark/>
          </w:tcPr>
          <w:p w14:paraId="7DA03870" w14:textId="77777777" w:rsidR="00A27212" w:rsidRPr="00E87E42" w:rsidRDefault="00A27212" w:rsidP="00A27212">
            <w:pPr>
              <w:pStyle w:val="NoSpacing"/>
              <w:jc w:val="left"/>
              <w:rPr>
                <w:sz w:val="16"/>
                <w:szCs w:val="16"/>
                <w:lang w:eastAsia="en-GB"/>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21FEB" w14:textId="77777777" w:rsidR="00A27212" w:rsidRPr="00E87E42" w:rsidRDefault="00A27212" w:rsidP="00A27212">
            <w:pPr>
              <w:pStyle w:val="NoSpacing"/>
              <w:jc w:val="center"/>
              <w:rPr>
                <w:color w:val="000000"/>
                <w:sz w:val="16"/>
                <w:szCs w:val="16"/>
                <w:lang w:eastAsia="en-GB"/>
              </w:rPr>
            </w:pPr>
            <w:r w:rsidRPr="00E87E42">
              <w:rPr>
                <w:b/>
                <w:color w:val="000000"/>
                <w:sz w:val="16"/>
                <w:szCs w:val="16"/>
                <w:u w:val="single"/>
                <w:lang w:eastAsia="en-GB"/>
              </w:rPr>
              <w:t>Storage Areas and other areas</w:t>
            </w:r>
          </w:p>
        </w:tc>
      </w:tr>
      <w:tr w:rsidR="00A27212" w:rsidRPr="00E87E42" w14:paraId="30A4210A" w14:textId="77777777" w:rsidTr="00A27212">
        <w:trPr>
          <w:trHeight w:val="170"/>
          <w:jc w:val="center"/>
        </w:trPr>
        <w:tc>
          <w:tcPr>
            <w:tcW w:w="0" w:type="auto"/>
            <w:tcBorders>
              <w:top w:val="nil"/>
              <w:left w:val="nil"/>
              <w:bottom w:val="nil"/>
              <w:right w:val="nil"/>
            </w:tcBorders>
            <w:shd w:val="clear" w:color="auto" w:fill="auto"/>
            <w:noWrap/>
            <w:vAlign w:val="center"/>
            <w:hideMark/>
          </w:tcPr>
          <w:p w14:paraId="21F7130E" w14:textId="77777777" w:rsidR="00A27212" w:rsidRPr="00E87E42" w:rsidRDefault="00A27212" w:rsidP="00A27212">
            <w:pPr>
              <w:pStyle w:val="NoSpacing"/>
              <w:jc w:val="left"/>
              <w:rPr>
                <w:color w:val="000000"/>
                <w:sz w:val="16"/>
                <w:szCs w:val="16"/>
                <w:lang w:eastAsia="en-GB"/>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2C133" w14:textId="77777777" w:rsidR="00A27212" w:rsidRPr="00E87E42" w:rsidRDefault="00A27212" w:rsidP="00A27212">
            <w:pPr>
              <w:pStyle w:val="NoSpacing"/>
              <w:jc w:val="center"/>
              <w:rPr>
                <w:i/>
                <w:color w:val="000000"/>
                <w:sz w:val="16"/>
                <w:szCs w:val="16"/>
                <w:lang w:eastAsia="en-GB"/>
              </w:rPr>
            </w:pPr>
            <w:r w:rsidRPr="00E87E42">
              <w:rPr>
                <w:i/>
                <w:color w:val="000000"/>
                <w:sz w:val="16"/>
                <w:szCs w:val="16"/>
                <w:lang w:eastAsia="en-GB"/>
              </w:rPr>
              <w:t>Sprinklers</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14:paraId="64DA9572" w14:textId="77777777" w:rsidR="00A27212" w:rsidRPr="00E87E42" w:rsidRDefault="00A27212" w:rsidP="00A27212">
            <w:pPr>
              <w:pStyle w:val="NoSpacing"/>
              <w:jc w:val="center"/>
              <w:rPr>
                <w:i/>
                <w:color w:val="000000"/>
                <w:sz w:val="16"/>
                <w:szCs w:val="16"/>
                <w:lang w:eastAsia="en-GB"/>
              </w:rPr>
            </w:pPr>
            <w:r w:rsidRPr="00E87E42">
              <w:rPr>
                <w:i/>
                <w:color w:val="000000"/>
                <w:sz w:val="16"/>
                <w:szCs w:val="16"/>
                <w:lang w:eastAsia="en-GB"/>
              </w:rPr>
              <w:t>No sprinklers</w:t>
            </w:r>
          </w:p>
        </w:tc>
      </w:tr>
      <w:tr w:rsidR="00A27212" w:rsidRPr="00E87E42" w14:paraId="28FA9131" w14:textId="77777777" w:rsidTr="00A27212">
        <w:trPr>
          <w:trHeight w:val="170"/>
          <w:jc w:val="center"/>
        </w:trPr>
        <w:tc>
          <w:tcPr>
            <w:tcW w:w="0" w:type="auto"/>
            <w:tcBorders>
              <w:top w:val="nil"/>
              <w:left w:val="nil"/>
              <w:bottom w:val="nil"/>
              <w:right w:val="nil"/>
            </w:tcBorders>
            <w:shd w:val="clear" w:color="auto" w:fill="auto"/>
            <w:noWrap/>
            <w:vAlign w:val="center"/>
            <w:hideMark/>
          </w:tcPr>
          <w:p w14:paraId="23944251" w14:textId="77777777" w:rsidR="00A27212" w:rsidRPr="00E87E42" w:rsidRDefault="00A27212" w:rsidP="00A27212">
            <w:pPr>
              <w:pStyle w:val="NoSpacing"/>
              <w:jc w:val="left"/>
              <w:rPr>
                <w:color w:val="000000"/>
                <w:sz w:val="16"/>
                <w:szCs w:val="16"/>
                <w:lang w:eastAsia="en-GB"/>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0F46C"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PD 7974-7</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4A6D824A"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USA data</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62C2D6B"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PD 7974-7</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47D74839"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USA data</w:t>
            </w:r>
          </w:p>
        </w:tc>
      </w:tr>
      <w:tr w:rsidR="00A27212" w:rsidRPr="00E87E42" w14:paraId="045F62A5" w14:textId="77777777" w:rsidTr="00A27212">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0E084"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Area damage (m</w:t>
            </w:r>
            <w:r w:rsidRPr="00E87E42">
              <w:rPr>
                <w:color w:val="000000"/>
                <w:sz w:val="16"/>
                <w:szCs w:val="16"/>
                <w:vertAlign w:val="superscript"/>
                <w:lang w:eastAsia="en-GB"/>
              </w:rPr>
              <w:t>2</w:t>
            </w:r>
            <w:r w:rsidRPr="00E87E42">
              <w:rPr>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noWrap/>
            <w:vAlign w:val="center"/>
            <w:hideMark/>
          </w:tcPr>
          <w:p w14:paraId="49D1E804"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n of fires</w:t>
            </w:r>
          </w:p>
        </w:tc>
        <w:tc>
          <w:tcPr>
            <w:tcW w:w="0" w:type="auto"/>
            <w:tcBorders>
              <w:top w:val="nil"/>
              <w:left w:val="nil"/>
              <w:bottom w:val="single" w:sz="4" w:space="0" w:color="auto"/>
              <w:right w:val="single" w:sz="4" w:space="0" w:color="auto"/>
            </w:tcBorders>
            <w:shd w:val="clear" w:color="auto" w:fill="auto"/>
            <w:noWrap/>
            <w:vAlign w:val="center"/>
            <w:hideMark/>
          </w:tcPr>
          <w:p w14:paraId="14BEC6E9"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 fire exceeding upper limit</w:t>
            </w:r>
          </w:p>
        </w:tc>
        <w:tc>
          <w:tcPr>
            <w:tcW w:w="0" w:type="auto"/>
            <w:tcBorders>
              <w:top w:val="nil"/>
              <w:left w:val="nil"/>
              <w:bottom w:val="single" w:sz="4" w:space="0" w:color="auto"/>
              <w:right w:val="single" w:sz="4" w:space="0" w:color="auto"/>
            </w:tcBorders>
            <w:shd w:val="clear" w:color="auto" w:fill="auto"/>
            <w:noWrap/>
            <w:vAlign w:val="center"/>
            <w:hideMark/>
          </w:tcPr>
          <w:p w14:paraId="75E189DF"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n of fires</w:t>
            </w:r>
          </w:p>
        </w:tc>
        <w:tc>
          <w:tcPr>
            <w:tcW w:w="0" w:type="auto"/>
            <w:tcBorders>
              <w:top w:val="nil"/>
              <w:left w:val="nil"/>
              <w:bottom w:val="single" w:sz="4" w:space="0" w:color="auto"/>
              <w:right w:val="single" w:sz="4" w:space="0" w:color="auto"/>
            </w:tcBorders>
            <w:shd w:val="clear" w:color="auto" w:fill="auto"/>
            <w:noWrap/>
            <w:vAlign w:val="center"/>
            <w:hideMark/>
          </w:tcPr>
          <w:p w14:paraId="687316D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 fire exceeding upper limit</w:t>
            </w:r>
          </w:p>
        </w:tc>
        <w:tc>
          <w:tcPr>
            <w:tcW w:w="0" w:type="auto"/>
            <w:tcBorders>
              <w:top w:val="nil"/>
              <w:left w:val="nil"/>
              <w:bottom w:val="single" w:sz="4" w:space="0" w:color="auto"/>
              <w:right w:val="single" w:sz="4" w:space="0" w:color="auto"/>
            </w:tcBorders>
            <w:shd w:val="clear" w:color="auto" w:fill="auto"/>
            <w:noWrap/>
            <w:vAlign w:val="center"/>
            <w:hideMark/>
          </w:tcPr>
          <w:p w14:paraId="223F0B7F"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n of fires</w:t>
            </w:r>
          </w:p>
        </w:tc>
        <w:tc>
          <w:tcPr>
            <w:tcW w:w="0" w:type="auto"/>
            <w:tcBorders>
              <w:top w:val="nil"/>
              <w:left w:val="nil"/>
              <w:bottom w:val="single" w:sz="4" w:space="0" w:color="auto"/>
              <w:right w:val="single" w:sz="4" w:space="0" w:color="auto"/>
            </w:tcBorders>
            <w:shd w:val="clear" w:color="auto" w:fill="auto"/>
            <w:noWrap/>
            <w:vAlign w:val="center"/>
            <w:hideMark/>
          </w:tcPr>
          <w:p w14:paraId="67A8CA1F"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 fire exceeding upper limit</w:t>
            </w:r>
          </w:p>
        </w:tc>
        <w:tc>
          <w:tcPr>
            <w:tcW w:w="0" w:type="auto"/>
            <w:tcBorders>
              <w:top w:val="nil"/>
              <w:left w:val="nil"/>
              <w:bottom w:val="single" w:sz="4" w:space="0" w:color="auto"/>
              <w:right w:val="single" w:sz="4" w:space="0" w:color="auto"/>
            </w:tcBorders>
            <w:shd w:val="clear" w:color="auto" w:fill="auto"/>
            <w:noWrap/>
            <w:vAlign w:val="center"/>
            <w:hideMark/>
          </w:tcPr>
          <w:p w14:paraId="515EEFF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n of fires</w:t>
            </w:r>
          </w:p>
        </w:tc>
        <w:tc>
          <w:tcPr>
            <w:tcW w:w="0" w:type="auto"/>
            <w:tcBorders>
              <w:top w:val="nil"/>
              <w:left w:val="nil"/>
              <w:bottom w:val="single" w:sz="4" w:space="0" w:color="auto"/>
              <w:right w:val="single" w:sz="4" w:space="0" w:color="auto"/>
            </w:tcBorders>
            <w:shd w:val="clear" w:color="auto" w:fill="auto"/>
            <w:noWrap/>
            <w:vAlign w:val="center"/>
            <w:hideMark/>
          </w:tcPr>
          <w:p w14:paraId="42279A83"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 fire exceeding upper limit</w:t>
            </w:r>
          </w:p>
        </w:tc>
      </w:tr>
      <w:tr w:rsidR="00A27212" w:rsidRPr="00E87E42" w14:paraId="137AC8FB"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5A57F941"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1 and under</w:t>
            </w:r>
          </w:p>
        </w:tc>
        <w:tc>
          <w:tcPr>
            <w:tcW w:w="0" w:type="auto"/>
            <w:tcBorders>
              <w:top w:val="single" w:sz="4" w:space="0" w:color="auto"/>
              <w:left w:val="nil"/>
              <w:bottom w:val="nil"/>
              <w:right w:val="nil"/>
            </w:tcBorders>
            <w:shd w:val="clear" w:color="auto" w:fill="auto"/>
            <w:noWrap/>
            <w:vAlign w:val="center"/>
            <w:hideMark/>
          </w:tcPr>
          <w:p w14:paraId="7C021DFB"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31</w:t>
            </w:r>
          </w:p>
        </w:tc>
        <w:tc>
          <w:tcPr>
            <w:tcW w:w="0" w:type="auto"/>
            <w:tcBorders>
              <w:top w:val="single" w:sz="4" w:space="0" w:color="auto"/>
              <w:left w:val="nil"/>
              <w:bottom w:val="nil"/>
              <w:right w:val="single" w:sz="4" w:space="0" w:color="auto"/>
            </w:tcBorders>
            <w:shd w:val="clear" w:color="auto" w:fill="auto"/>
            <w:noWrap/>
            <w:vAlign w:val="center"/>
            <w:hideMark/>
          </w:tcPr>
          <w:p w14:paraId="7845318C"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11.4%</w:t>
            </w:r>
          </w:p>
        </w:tc>
        <w:tc>
          <w:tcPr>
            <w:tcW w:w="0" w:type="auto"/>
            <w:tcBorders>
              <w:top w:val="nil"/>
              <w:left w:val="single" w:sz="4" w:space="0" w:color="auto"/>
              <w:bottom w:val="nil"/>
              <w:right w:val="nil"/>
            </w:tcBorders>
            <w:shd w:val="clear" w:color="auto" w:fill="auto"/>
            <w:noWrap/>
            <w:vAlign w:val="center"/>
            <w:hideMark/>
          </w:tcPr>
          <w:p w14:paraId="118AC25F"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174</w:t>
            </w:r>
          </w:p>
        </w:tc>
        <w:tc>
          <w:tcPr>
            <w:tcW w:w="0" w:type="auto"/>
            <w:tcBorders>
              <w:top w:val="nil"/>
              <w:left w:val="nil"/>
              <w:bottom w:val="nil"/>
              <w:right w:val="single" w:sz="4" w:space="0" w:color="auto"/>
            </w:tcBorders>
            <w:shd w:val="clear" w:color="auto" w:fill="auto"/>
            <w:noWrap/>
            <w:vAlign w:val="center"/>
            <w:hideMark/>
          </w:tcPr>
          <w:p w14:paraId="134F6964"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31.76%</w:t>
            </w:r>
          </w:p>
        </w:tc>
        <w:tc>
          <w:tcPr>
            <w:tcW w:w="0" w:type="auto"/>
            <w:tcBorders>
              <w:top w:val="single" w:sz="4" w:space="0" w:color="auto"/>
              <w:left w:val="single" w:sz="4" w:space="0" w:color="auto"/>
              <w:bottom w:val="nil"/>
              <w:right w:val="nil"/>
            </w:tcBorders>
            <w:shd w:val="clear" w:color="auto" w:fill="auto"/>
            <w:noWrap/>
            <w:vAlign w:val="center"/>
            <w:hideMark/>
          </w:tcPr>
          <w:p w14:paraId="688AE19D"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2789</w:t>
            </w:r>
          </w:p>
        </w:tc>
        <w:tc>
          <w:tcPr>
            <w:tcW w:w="0" w:type="auto"/>
            <w:tcBorders>
              <w:top w:val="single" w:sz="4" w:space="0" w:color="auto"/>
              <w:left w:val="nil"/>
              <w:bottom w:val="nil"/>
              <w:right w:val="single" w:sz="4" w:space="0" w:color="auto"/>
            </w:tcBorders>
            <w:shd w:val="clear" w:color="auto" w:fill="auto"/>
            <w:noWrap/>
            <w:vAlign w:val="center"/>
            <w:hideMark/>
          </w:tcPr>
          <w:p w14:paraId="32FE3E65"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27.0%</w:t>
            </w:r>
          </w:p>
        </w:tc>
        <w:tc>
          <w:tcPr>
            <w:tcW w:w="0" w:type="auto"/>
            <w:tcBorders>
              <w:top w:val="nil"/>
              <w:left w:val="single" w:sz="4" w:space="0" w:color="auto"/>
              <w:bottom w:val="nil"/>
              <w:right w:val="nil"/>
            </w:tcBorders>
            <w:shd w:val="clear" w:color="auto" w:fill="auto"/>
            <w:noWrap/>
            <w:vAlign w:val="center"/>
            <w:hideMark/>
          </w:tcPr>
          <w:p w14:paraId="5EAC73EB"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133</w:t>
            </w:r>
          </w:p>
        </w:tc>
        <w:tc>
          <w:tcPr>
            <w:tcW w:w="0" w:type="auto"/>
            <w:tcBorders>
              <w:top w:val="nil"/>
              <w:left w:val="nil"/>
              <w:bottom w:val="nil"/>
              <w:right w:val="single" w:sz="4" w:space="0" w:color="auto"/>
            </w:tcBorders>
            <w:shd w:val="clear" w:color="auto" w:fill="auto"/>
            <w:noWrap/>
            <w:vAlign w:val="center"/>
            <w:hideMark/>
          </w:tcPr>
          <w:p w14:paraId="18E7E64D"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43.88%</w:t>
            </w:r>
          </w:p>
        </w:tc>
      </w:tr>
      <w:tr w:rsidR="00A27212" w:rsidRPr="00E87E42" w14:paraId="5CC86CCD"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687CF0B7"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2-4</w:t>
            </w:r>
          </w:p>
        </w:tc>
        <w:tc>
          <w:tcPr>
            <w:tcW w:w="0" w:type="auto"/>
            <w:tcBorders>
              <w:top w:val="nil"/>
              <w:left w:val="nil"/>
              <w:bottom w:val="nil"/>
              <w:right w:val="nil"/>
            </w:tcBorders>
            <w:shd w:val="clear" w:color="auto" w:fill="auto"/>
            <w:noWrap/>
            <w:vAlign w:val="center"/>
            <w:hideMark/>
          </w:tcPr>
          <w:p w14:paraId="1C2B8AC7"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w:t>
            </w:r>
          </w:p>
        </w:tc>
        <w:tc>
          <w:tcPr>
            <w:tcW w:w="0" w:type="auto"/>
            <w:tcBorders>
              <w:top w:val="nil"/>
              <w:left w:val="nil"/>
              <w:bottom w:val="nil"/>
              <w:right w:val="single" w:sz="4" w:space="0" w:color="auto"/>
            </w:tcBorders>
            <w:shd w:val="clear" w:color="auto" w:fill="auto"/>
            <w:noWrap/>
            <w:vAlign w:val="center"/>
            <w:hideMark/>
          </w:tcPr>
          <w:p w14:paraId="4D77B628"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5.7%</w:t>
            </w:r>
          </w:p>
        </w:tc>
        <w:tc>
          <w:tcPr>
            <w:tcW w:w="0" w:type="auto"/>
            <w:tcBorders>
              <w:top w:val="nil"/>
              <w:left w:val="single" w:sz="4" w:space="0" w:color="auto"/>
              <w:bottom w:val="nil"/>
              <w:right w:val="nil"/>
            </w:tcBorders>
            <w:shd w:val="clear" w:color="auto" w:fill="auto"/>
            <w:noWrap/>
            <w:vAlign w:val="center"/>
            <w:hideMark/>
          </w:tcPr>
          <w:p w14:paraId="0493E969"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4</w:t>
            </w:r>
          </w:p>
        </w:tc>
        <w:tc>
          <w:tcPr>
            <w:tcW w:w="0" w:type="auto"/>
            <w:tcBorders>
              <w:top w:val="nil"/>
              <w:left w:val="nil"/>
              <w:bottom w:val="nil"/>
              <w:right w:val="single" w:sz="4" w:space="0" w:color="auto"/>
            </w:tcBorders>
            <w:shd w:val="clear" w:color="auto" w:fill="auto"/>
            <w:noWrap/>
            <w:vAlign w:val="center"/>
            <w:hideMark/>
          </w:tcPr>
          <w:p w14:paraId="396E228F"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30.20%</w:t>
            </w:r>
          </w:p>
        </w:tc>
        <w:tc>
          <w:tcPr>
            <w:tcW w:w="0" w:type="auto"/>
            <w:tcBorders>
              <w:top w:val="nil"/>
              <w:left w:val="single" w:sz="4" w:space="0" w:color="auto"/>
              <w:bottom w:val="nil"/>
              <w:right w:val="nil"/>
            </w:tcBorders>
            <w:shd w:val="clear" w:color="auto" w:fill="auto"/>
            <w:noWrap/>
            <w:vAlign w:val="center"/>
            <w:hideMark/>
          </w:tcPr>
          <w:p w14:paraId="51309161"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459</w:t>
            </w:r>
          </w:p>
        </w:tc>
        <w:tc>
          <w:tcPr>
            <w:tcW w:w="0" w:type="auto"/>
            <w:tcBorders>
              <w:top w:val="nil"/>
              <w:left w:val="nil"/>
              <w:bottom w:val="nil"/>
              <w:right w:val="single" w:sz="4" w:space="0" w:color="auto"/>
            </w:tcBorders>
            <w:shd w:val="clear" w:color="auto" w:fill="auto"/>
            <w:noWrap/>
            <w:vAlign w:val="center"/>
            <w:hideMark/>
          </w:tcPr>
          <w:p w14:paraId="4F46106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15.0%</w:t>
            </w:r>
          </w:p>
        </w:tc>
        <w:tc>
          <w:tcPr>
            <w:tcW w:w="0" w:type="auto"/>
            <w:tcBorders>
              <w:top w:val="nil"/>
              <w:left w:val="single" w:sz="4" w:space="0" w:color="auto"/>
              <w:bottom w:val="nil"/>
              <w:right w:val="nil"/>
            </w:tcBorders>
            <w:shd w:val="clear" w:color="auto" w:fill="auto"/>
            <w:noWrap/>
            <w:vAlign w:val="center"/>
            <w:hideMark/>
          </w:tcPr>
          <w:p w14:paraId="4DEF206B"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w:t>
            </w:r>
          </w:p>
        </w:tc>
        <w:tc>
          <w:tcPr>
            <w:tcW w:w="0" w:type="auto"/>
            <w:tcBorders>
              <w:top w:val="nil"/>
              <w:left w:val="nil"/>
              <w:bottom w:val="nil"/>
              <w:right w:val="single" w:sz="4" w:space="0" w:color="auto"/>
            </w:tcBorders>
            <w:shd w:val="clear" w:color="auto" w:fill="auto"/>
            <w:noWrap/>
            <w:vAlign w:val="center"/>
            <w:hideMark/>
          </w:tcPr>
          <w:p w14:paraId="69BB9823"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43.04%</w:t>
            </w:r>
          </w:p>
        </w:tc>
      </w:tr>
      <w:tr w:rsidR="00A27212" w:rsidRPr="00E87E42" w14:paraId="20313265"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1002D881"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5-9</w:t>
            </w:r>
          </w:p>
        </w:tc>
        <w:tc>
          <w:tcPr>
            <w:tcW w:w="0" w:type="auto"/>
            <w:tcBorders>
              <w:top w:val="nil"/>
              <w:left w:val="nil"/>
              <w:bottom w:val="nil"/>
              <w:right w:val="nil"/>
            </w:tcBorders>
            <w:shd w:val="clear" w:color="auto" w:fill="auto"/>
            <w:noWrap/>
            <w:vAlign w:val="center"/>
            <w:hideMark/>
          </w:tcPr>
          <w:p w14:paraId="58389325"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w:t>
            </w:r>
          </w:p>
        </w:tc>
        <w:tc>
          <w:tcPr>
            <w:tcW w:w="0" w:type="auto"/>
            <w:tcBorders>
              <w:top w:val="nil"/>
              <w:left w:val="nil"/>
              <w:bottom w:val="nil"/>
              <w:right w:val="single" w:sz="4" w:space="0" w:color="auto"/>
            </w:tcBorders>
            <w:shd w:val="clear" w:color="auto" w:fill="auto"/>
            <w:noWrap/>
            <w:vAlign w:val="center"/>
            <w:hideMark/>
          </w:tcPr>
          <w:p w14:paraId="0D71DAD2"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2.9%</w:t>
            </w:r>
          </w:p>
        </w:tc>
        <w:tc>
          <w:tcPr>
            <w:tcW w:w="0" w:type="auto"/>
            <w:tcBorders>
              <w:top w:val="nil"/>
              <w:left w:val="single" w:sz="4" w:space="0" w:color="auto"/>
              <w:bottom w:val="nil"/>
              <w:right w:val="nil"/>
            </w:tcBorders>
            <w:shd w:val="clear" w:color="auto" w:fill="auto"/>
            <w:noWrap/>
            <w:vAlign w:val="center"/>
            <w:hideMark/>
          </w:tcPr>
          <w:p w14:paraId="63E45EBD"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7</w:t>
            </w:r>
          </w:p>
        </w:tc>
        <w:tc>
          <w:tcPr>
            <w:tcW w:w="0" w:type="auto"/>
            <w:tcBorders>
              <w:top w:val="nil"/>
              <w:left w:val="nil"/>
              <w:bottom w:val="nil"/>
              <w:right w:val="single" w:sz="4" w:space="0" w:color="auto"/>
            </w:tcBorders>
            <w:shd w:val="clear" w:color="auto" w:fill="auto"/>
            <w:noWrap/>
            <w:vAlign w:val="center"/>
            <w:hideMark/>
          </w:tcPr>
          <w:p w14:paraId="4B135832"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27.45%</w:t>
            </w:r>
          </w:p>
        </w:tc>
        <w:tc>
          <w:tcPr>
            <w:tcW w:w="0" w:type="auto"/>
            <w:tcBorders>
              <w:top w:val="nil"/>
              <w:left w:val="single" w:sz="4" w:space="0" w:color="auto"/>
              <w:bottom w:val="nil"/>
              <w:right w:val="nil"/>
            </w:tcBorders>
            <w:shd w:val="clear" w:color="auto" w:fill="auto"/>
            <w:noWrap/>
            <w:vAlign w:val="center"/>
            <w:hideMark/>
          </w:tcPr>
          <w:p w14:paraId="402B4058"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162</w:t>
            </w:r>
          </w:p>
        </w:tc>
        <w:tc>
          <w:tcPr>
            <w:tcW w:w="0" w:type="auto"/>
            <w:tcBorders>
              <w:top w:val="nil"/>
              <w:left w:val="nil"/>
              <w:bottom w:val="nil"/>
              <w:right w:val="single" w:sz="4" w:space="0" w:color="auto"/>
            </w:tcBorders>
            <w:shd w:val="clear" w:color="auto" w:fill="auto"/>
            <w:noWrap/>
            <w:vAlign w:val="center"/>
            <w:hideMark/>
          </w:tcPr>
          <w:p w14:paraId="5650431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10.8%</w:t>
            </w:r>
          </w:p>
        </w:tc>
        <w:tc>
          <w:tcPr>
            <w:tcW w:w="0" w:type="auto"/>
            <w:tcBorders>
              <w:top w:val="nil"/>
              <w:left w:val="single" w:sz="4" w:space="0" w:color="auto"/>
              <w:bottom w:val="nil"/>
              <w:right w:val="nil"/>
            </w:tcBorders>
            <w:shd w:val="clear" w:color="auto" w:fill="auto"/>
            <w:noWrap/>
            <w:vAlign w:val="center"/>
            <w:hideMark/>
          </w:tcPr>
          <w:p w14:paraId="6029A782"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11</w:t>
            </w:r>
          </w:p>
        </w:tc>
        <w:tc>
          <w:tcPr>
            <w:tcW w:w="0" w:type="auto"/>
            <w:tcBorders>
              <w:top w:val="nil"/>
              <w:left w:val="nil"/>
              <w:bottom w:val="nil"/>
              <w:right w:val="single" w:sz="4" w:space="0" w:color="auto"/>
            </w:tcBorders>
            <w:shd w:val="clear" w:color="auto" w:fill="auto"/>
            <w:noWrap/>
            <w:vAlign w:val="center"/>
            <w:hideMark/>
          </w:tcPr>
          <w:p w14:paraId="390C193E"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38.40%</w:t>
            </w:r>
          </w:p>
        </w:tc>
      </w:tr>
      <w:tr w:rsidR="00A27212" w:rsidRPr="00E87E42" w14:paraId="5BF5C018"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1A67227D"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10-19</w:t>
            </w:r>
          </w:p>
        </w:tc>
        <w:tc>
          <w:tcPr>
            <w:tcW w:w="0" w:type="auto"/>
            <w:tcBorders>
              <w:top w:val="nil"/>
              <w:left w:val="nil"/>
              <w:bottom w:val="nil"/>
              <w:right w:val="nil"/>
            </w:tcBorders>
            <w:shd w:val="clear" w:color="auto" w:fill="auto"/>
            <w:noWrap/>
            <w:vAlign w:val="center"/>
            <w:hideMark/>
          </w:tcPr>
          <w:p w14:paraId="01A2C811"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w:t>
            </w:r>
          </w:p>
        </w:tc>
        <w:tc>
          <w:tcPr>
            <w:tcW w:w="0" w:type="auto"/>
            <w:tcBorders>
              <w:top w:val="nil"/>
              <w:left w:val="nil"/>
              <w:bottom w:val="nil"/>
              <w:right w:val="single" w:sz="4" w:space="0" w:color="auto"/>
            </w:tcBorders>
            <w:shd w:val="clear" w:color="auto" w:fill="auto"/>
            <w:noWrap/>
            <w:vAlign w:val="center"/>
            <w:hideMark/>
          </w:tcPr>
          <w:p w14:paraId="5CE1DF8F"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0.0%</w:t>
            </w:r>
          </w:p>
        </w:tc>
        <w:tc>
          <w:tcPr>
            <w:tcW w:w="0" w:type="auto"/>
            <w:tcBorders>
              <w:top w:val="nil"/>
              <w:left w:val="single" w:sz="4" w:space="0" w:color="auto"/>
              <w:bottom w:val="nil"/>
              <w:right w:val="nil"/>
            </w:tcBorders>
            <w:shd w:val="clear" w:color="auto" w:fill="auto"/>
            <w:noWrap/>
            <w:vAlign w:val="center"/>
            <w:hideMark/>
          </w:tcPr>
          <w:p w14:paraId="604A514E"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w:t>
            </w:r>
          </w:p>
        </w:tc>
        <w:tc>
          <w:tcPr>
            <w:tcW w:w="0" w:type="auto"/>
            <w:tcBorders>
              <w:top w:val="nil"/>
              <w:left w:val="nil"/>
              <w:bottom w:val="nil"/>
              <w:right w:val="single" w:sz="4" w:space="0" w:color="auto"/>
            </w:tcBorders>
            <w:shd w:val="clear" w:color="auto" w:fill="auto"/>
            <w:noWrap/>
            <w:vAlign w:val="center"/>
            <w:hideMark/>
          </w:tcPr>
          <w:p w14:paraId="1E1E1945"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26.27%</w:t>
            </w:r>
          </w:p>
        </w:tc>
        <w:tc>
          <w:tcPr>
            <w:tcW w:w="0" w:type="auto"/>
            <w:tcBorders>
              <w:top w:val="nil"/>
              <w:left w:val="single" w:sz="4" w:space="0" w:color="auto"/>
              <w:bottom w:val="nil"/>
              <w:right w:val="nil"/>
            </w:tcBorders>
            <w:shd w:val="clear" w:color="auto" w:fill="auto"/>
            <w:noWrap/>
            <w:vAlign w:val="center"/>
            <w:hideMark/>
          </w:tcPr>
          <w:p w14:paraId="03BC302E"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136</w:t>
            </w:r>
          </w:p>
        </w:tc>
        <w:tc>
          <w:tcPr>
            <w:tcW w:w="0" w:type="auto"/>
            <w:tcBorders>
              <w:top w:val="nil"/>
              <w:left w:val="nil"/>
              <w:bottom w:val="nil"/>
              <w:right w:val="single" w:sz="4" w:space="0" w:color="auto"/>
            </w:tcBorders>
            <w:shd w:val="clear" w:color="auto" w:fill="auto"/>
            <w:noWrap/>
            <w:vAlign w:val="center"/>
            <w:hideMark/>
          </w:tcPr>
          <w:p w14:paraId="65910C75"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7.2%</w:t>
            </w:r>
          </w:p>
        </w:tc>
        <w:tc>
          <w:tcPr>
            <w:tcW w:w="0" w:type="auto"/>
            <w:tcBorders>
              <w:top w:val="nil"/>
              <w:left w:val="single" w:sz="4" w:space="0" w:color="auto"/>
              <w:bottom w:val="nil"/>
              <w:right w:val="nil"/>
            </w:tcBorders>
            <w:shd w:val="clear" w:color="auto" w:fill="auto"/>
            <w:noWrap/>
            <w:vAlign w:val="center"/>
            <w:hideMark/>
          </w:tcPr>
          <w:p w14:paraId="0897C3BE"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10</w:t>
            </w:r>
          </w:p>
        </w:tc>
        <w:tc>
          <w:tcPr>
            <w:tcW w:w="0" w:type="auto"/>
            <w:tcBorders>
              <w:top w:val="nil"/>
              <w:left w:val="nil"/>
              <w:bottom w:val="nil"/>
              <w:right w:val="single" w:sz="4" w:space="0" w:color="auto"/>
            </w:tcBorders>
            <w:shd w:val="clear" w:color="auto" w:fill="auto"/>
            <w:noWrap/>
            <w:vAlign w:val="center"/>
            <w:hideMark/>
          </w:tcPr>
          <w:p w14:paraId="413CFE54"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34.18%</w:t>
            </w:r>
          </w:p>
        </w:tc>
      </w:tr>
      <w:tr w:rsidR="00A27212" w:rsidRPr="00E87E42" w14:paraId="5D4F2E40"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7DD741EA"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20-49</w:t>
            </w:r>
          </w:p>
        </w:tc>
        <w:tc>
          <w:tcPr>
            <w:tcW w:w="0" w:type="auto"/>
            <w:tcBorders>
              <w:top w:val="nil"/>
              <w:left w:val="nil"/>
              <w:bottom w:val="nil"/>
              <w:right w:val="nil"/>
            </w:tcBorders>
            <w:shd w:val="clear" w:color="auto" w:fill="auto"/>
            <w:noWrap/>
            <w:vAlign w:val="center"/>
            <w:hideMark/>
          </w:tcPr>
          <w:p w14:paraId="4608AF1C"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w:t>
            </w:r>
          </w:p>
        </w:tc>
        <w:tc>
          <w:tcPr>
            <w:tcW w:w="0" w:type="auto"/>
            <w:tcBorders>
              <w:top w:val="nil"/>
              <w:left w:val="nil"/>
              <w:bottom w:val="nil"/>
              <w:right w:val="single" w:sz="4" w:space="0" w:color="auto"/>
            </w:tcBorders>
            <w:shd w:val="clear" w:color="auto" w:fill="auto"/>
            <w:noWrap/>
            <w:vAlign w:val="center"/>
            <w:hideMark/>
          </w:tcPr>
          <w:p w14:paraId="56329DD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0.0%</w:t>
            </w:r>
          </w:p>
        </w:tc>
        <w:tc>
          <w:tcPr>
            <w:tcW w:w="0" w:type="auto"/>
            <w:tcBorders>
              <w:top w:val="nil"/>
              <w:left w:val="single" w:sz="4" w:space="0" w:color="auto"/>
              <w:bottom w:val="nil"/>
              <w:right w:val="nil"/>
            </w:tcBorders>
            <w:shd w:val="clear" w:color="auto" w:fill="auto"/>
            <w:noWrap/>
            <w:vAlign w:val="center"/>
            <w:hideMark/>
          </w:tcPr>
          <w:p w14:paraId="6EDD09D4"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w:t>
            </w:r>
          </w:p>
        </w:tc>
        <w:tc>
          <w:tcPr>
            <w:tcW w:w="0" w:type="auto"/>
            <w:tcBorders>
              <w:top w:val="nil"/>
              <w:left w:val="nil"/>
              <w:bottom w:val="nil"/>
              <w:right w:val="single" w:sz="4" w:space="0" w:color="auto"/>
            </w:tcBorders>
            <w:shd w:val="clear" w:color="auto" w:fill="auto"/>
            <w:noWrap/>
            <w:vAlign w:val="center"/>
            <w:hideMark/>
          </w:tcPr>
          <w:p w14:paraId="30CEFEFB"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25.49%</w:t>
            </w:r>
          </w:p>
        </w:tc>
        <w:tc>
          <w:tcPr>
            <w:tcW w:w="0" w:type="auto"/>
            <w:tcBorders>
              <w:top w:val="nil"/>
              <w:left w:val="single" w:sz="4" w:space="0" w:color="auto"/>
              <w:bottom w:val="nil"/>
              <w:right w:val="nil"/>
            </w:tcBorders>
            <w:shd w:val="clear" w:color="auto" w:fill="auto"/>
            <w:noWrap/>
            <w:vAlign w:val="center"/>
            <w:hideMark/>
          </w:tcPr>
          <w:p w14:paraId="1018AB7E"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124</w:t>
            </w:r>
          </w:p>
        </w:tc>
        <w:tc>
          <w:tcPr>
            <w:tcW w:w="0" w:type="auto"/>
            <w:tcBorders>
              <w:top w:val="nil"/>
              <w:left w:val="nil"/>
              <w:bottom w:val="nil"/>
              <w:right w:val="single" w:sz="4" w:space="0" w:color="auto"/>
            </w:tcBorders>
            <w:shd w:val="clear" w:color="auto" w:fill="auto"/>
            <w:noWrap/>
            <w:vAlign w:val="center"/>
            <w:hideMark/>
          </w:tcPr>
          <w:p w14:paraId="1D77BF1E"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4.0%</w:t>
            </w:r>
          </w:p>
        </w:tc>
        <w:tc>
          <w:tcPr>
            <w:tcW w:w="0" w:type="auto"/>
            <w:tcBorders>
              <w:top w:val="nil"/>
              <w:left w:val="single" w:sz="4" w:space="0" w:color="auto"/>
              <w:bottom w:val="nil"/>
              <w:right w:val="nil"/>
            </w:tcBorders>
            <w:shd w:val="clear" w:color="auto" w:fill="auto"/>
            <w:noWrap/>
            <w:vAlign w:val="center"/>
            <w:hideMark/>
          </w:tcPr>
          <w:p w14:paraId="15EB9A2C"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15</w:t>
            </w:r>
          </w:p>
        </w:tc>
        <w:tc>
          <w:tcPr>
            <w:tcW w:w="0" w:type="auto"/>
            <w:tcBorders>
              <w:top w:val="nil"/>
              <w:left w:val="nil"/>
              <w:bottom w:val="nil"/>
              <w:right w:val="single" w:sz="4" w:space="0" w:color="auto"/>
            </w:tcBorders>
            <w:shd w:val="clear" w:color="auto" w:fill="auto"/>
            <w:noWrap/>
            <w:vAlign w:val="center"/>
            <w:hideMark/>
          </w:tcPr>
          <w:p w14:paraId="0A864D46"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27.85%</w:t>
            </w:r>
          </w:p>
        </w:tc>
      </w:tr>
      <w:tr w:rsidR="00A27212" w:rsidRPr="00E87E42" w14:paraId="6244DD59"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41AE3374"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50-99</w:t>
            </w:r>
          </w:p>
        </w:tc>
        <w:tc>
          <w:tcPr>
            <w:tcW w:w="0" w:type="auto"/>
            <w:tcBorders>
              <w:top w:val="nil"/>
              <w:left w:val="nil"/>
              <w:bottom w:val="nil"/>
              <w:right w:val="nil"/>
            </w:tcBorders>
            <w:shd w:val="clear" w:color="auto" w:fill="auto"/>
            <w:noWrap/>
            <w:vAlign w:val="center"/>
            <w:hideMark/>
          </w:tcPr>
          <w:p w14:paraId="52F8B9B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w:t>
            </w:r>
          </w:p>
        </w:tc>
        <w:tc>
          <w:tcPr>
            <w:tcW w:w="0" w:type="auto"/>
            <w:tcBorders>
              <w:top w:val="nil"/>
              <w:left w:val="nil"/>
              <w:bottom w:val="nil"/>
              <w:right w:val="single" w:sz="4" w:space="0" w:color="auto"/>
            </w:tcBorders>
            <w:shd w:val="clear" w:color="auto" w:fill="auto"/>
            <w:noWrap/>
            <w:vAlign w:val="center"/>
            <w:hideMark/>
          </w:tcPr>
          <w:p w14:paraId="2AF878E5"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0.0%</w:t>
            </w:r>
          </w:p>
        </w:tc>
        <w:tc>
          <w:tcPr>
            <w:tcW w:w="0" w:type="auto"/>
            <w:tcBorders>
              <w:top w:val="nil"/>
              <w:left w:val="single" w:sz="4" w:space="0" w:color="auto"/>
              <w:bottom w:val="nil"/>
              <w:right w:val="nil"/>
            </w:tcBorders>
            <w:shd w:val="clear" w:color="auto" w:fill="auto"/>
            <w:noWrap/>
            <w:vAlign w:val="center"/>
            <w:hideMark/>
          </w:tcPr>
          <w:p w14:paraId="1942A882"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4</w:t>
            </w:r>
          </w:p>
        </w:tc>
        <w:tc>
          <w:tcPr>
            <w:tcW w:w="0" w:type="auto"/>
            <w:tcBorders>
              <w:top w:val="nil"/>
              <w:left w:val="nil"/>
              <w:bottom w:val="nil"/>
              <w:right w:val="single" w:sz="4" w:space="0" w:color="auto"/>
            </w:tcBorders>
            <w:shd w:val="clear" w:color="auto" w:fill="auto"/>
            <w:noWrap/>
            <w:vAlign w:val="center"/>
            <w:hideMark/>
          </w:tcPr>
          <w:p w14:paraId="2D47495C"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23.92%</w:t>
            </w:r>
          </w:p>
        </w:tc>
        <w:tc>
          <w:tcPr>
            <w:tcW w:w="0" w:type="auto"/>
            <w:tcBorders>
              <w:top w:val="nil"/>
              <w:left w:val="single" w:sz="4" w:space="0" w:color="auto"/>
              <w:bottom w:val="nil"/>
              <w:right w:val="nil"/>
            </w:tcBorders>
            <w:shd w:val="clear" w:color="auto" w:fill="auto"/>
            <w:noWrap/>
            <w:vAlign w:val="center"/>
            <w:hideMark/>
          </w:tcPr>
          <w:p w14:paraId="22D628DD"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67</w:t>
            </w:r>
          </w:p>
        </w:tc>
        <w:tc>
          <w:tcPr>
            <w:tcW w:w="0" w:type="auto"/>
            <w:tcBorders>
              <w:top w:val="nil"/>
              <w:left w:val="nil"/>
              <w:bottom w:val="nil"/>
              <w:right w:val="single" w:sz="4" w:space="0" w:color="auto"/>
            </w:tcBorders>
            <w:shd w:val="clear" w:color="auto" w:fill="auto"/>
            <w:noWrap/>
            <w:vAlign w:val="center"/>
            <w:hideMark/>
          </w:tcPr>
          <w:p w14:paraId="0CEA62FB"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2.2%</w:t>
            </w:r>
          </w:p>
        </w:tc>
        <w:tc>
          <w:tcPr>
            <w:tcW w:w="0" w:type="auto"/>
            <w:tcBorders>
              <w:top w:val="nil"/>
              <w:left w:val="single" w:sz="4" w:space="0" w:color="auto"/>
              <w:bottom w:val="nil"/>
              <w:right w:val="nil"/>
            </w:tcBorders>
            <w:shd w:val="clear" w:color="auto" w:fill="auto"/>
            <w:noWrap/>
            <w:vAlign w:val="center"/>
            <w:hideMark/>
          </w:tcPr>
          <w:p w14:paraId="16E3EF9C"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9</w:t>
            </w:r>
          </w:p>
        </w:tc>
        <w:tc>
          <w:tcPr>
            <w:tcW w:w="0" w:type="auto"/>
            <w:tcBorders>
              <w:top w:val="nil"/>
              <w:left w:val="nil"/>
              <w:bottom w:val="nil"/>
              <w:right w:val="single" w:sz="4" w:space="0" w:color="auto"/>
            </w:tcBorders>
            <w:shd w:val="clear" w:color="auto" w:fill="auto"/>
            <w:noWrap/>
            <w:vAlign w:val="center"/>
            <w:hideMark/>
          </w:tcPr>
          <w:p w14:paraId="416BDE88"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24.05%</w:t>
            </w:r>
          </w:p>
        </w:tc>
      </w:tr>
      <w:tr w:rsidR="00A27212" w:rsidRPr="00E87E42" w14:paraId="411387B4"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06EC864A"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100-199</w:t>
            </w:r>
          </w:p>
        </w:tc>
        <w:tc>
          <w:tcPr>
            <w:tcW w:w="0" w:type="auto"/>
            <w:tcBorders>
              <w:top w:val="nil"/>
              <w:left w:val="nil"/>
              <w:bottom w:val="nil"/>
              <w:right w:val="nil"/>
            </w:tcBorders>
            <w:shd w:val="clear" w:color="auto" w:fill="auto"/>
            <w:noWrap/>
            <w:vAlign w:val="center"/>
            <w:hideMark/>
          </w:tcPr>
          <w:p w14:paraId="3AE86806"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w:t>
            </w:r>
          </w:p>
        </w:tc>
        <w:tc>
          <w:tcPr>
            <w:tcW w:w="0" w:type="auto"/>
            <w:tcBorders>
              <w:top w:val="nil"/>
              <w:left w:val="nil"/>
              <w:bottom w:val="nil"/>
              <w:right w:val="single" w:sz="4" w:space="0" w:color="auto"/>
            </w:tcBorders>
            <w:shd w:val="clear" w:color="auto" w:fill="auto"/>
            <w:noWrap/>
            <w:vAlign w:val="center"/>
            <w:hideMark/>
          </w:tcPr>
          <w:p w14:paraId="00EB8F4A"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0.0%</w:t>
            </w:r>
          </w:p>
        </w:tc>
        <w:tc>
          <w:tcPr>
            <w:tcW w:w="0" w:type="auto"/>
            <w:tcBorders>
              <w:top w:val="nil"/>
              <w:left w:val="single" w:sz="4" w:space="0" w:color="auto"/>
              <w:bottom w:val="nil"/>
              <w:right w:val="nil"/>
            </w:tcBorders>
            <w:shd w:val="clear" w:color="auto" w:fill="auto"/>
            <w:noWrap/>
            <w:vAlign w:val="center"/>
            <w:hideMark/>
          </w:tcPr>
          <w:p w14:paraId="67E4CCF1"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4</w:t>
            </w:r>
          </w:p>
        </w:tc>
        <w:tc>
          <w:tcPr>
            <w:tcW w:w="0" w:type="auto"/>
            <w:tcBorders>
              <w:top w:val="nil"/>
              <w:left w:val="nil"/>
              <w:bottom w:val="nil"/>
              <w:right w:val="single" w:sz="4" w:space="0" w:color="auto"/>
            </w:tcBorders>
            <w:shd w:val="clear" w:color="auto" w:fill="auto"/>
            <w:noWrap/>
            <w:vAlign w:val="center"/>
            <w:hideMark/>
          </w:tcPr>
          <w:p w14:paraId="4F972932"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22.35%</w:t>
            </w:r>
          </w:p>
        </w:tc>
        <w:tc>
          <w:tcPr>
            <w:tcW w:w="0" w:type="auto"/>
            <w:tcBorders>
              <w:top w:val="nil"/>
              <w:left w:val="single" w:sz="4" w:space="0" w:color="auto"/>
              <w:bottom w:val="nil"/>
              <w:right w:val="nil"/>
            </w:tcBorders>
            <w:shd w:val="clear" w:color="auto" w:fill="auto"/>
            <w:noWrap/>
            <w:vAlign w:val="center"/>
            <w:hideMark/>
          </w:tcPr>
          <w:p w14:paraId="75143AD4"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31</w:t>
            </w:r>
          </w:p>
        </w:tc>
        <w:tc>
          <w:tcPr>
            <w:tcW w:w="0" w:type="auto"/>
            <w:tcBorders>
              <w:top w:val="nil"/>
              <w:left w:val="nil"/>
              <w:bottom w:val="nil"/>
              <w:right w:val="single" w:sz="4" w:space="0" w:color="auto"/>
            </w:tcBorders>
            <w:shd w:val="clear" w:color="auto" w:fill="auto"/>
            <w:noWrap/>
            <w:vAlign w:val="center"/>
            <w:hideMark/>
          </w:tcPr>
          <w:p w14:paraId="2421C4CA"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1.4%</w:t>
            </w:r>
          </w:p>
        </w:tc>
        <w:tc>
          <w:tcPr>
            <w:tcW w:w="0" w:type="auto"/>
            <w:tcBorders>
              <w:top w:val="nil"/>
              <w:left w:val="single" w:sz="4" w:space="0" w:color="auto"/>
              <w:bottom w:val="nil"/>
              <w:right w:val="nil"/>
            </w:tcBorders>
            <w:shd w:val="clear" w:color="auto" w:fill="auto"/>
            <w:noWrap/>
            <w:vAlign w:val="center"/>
            <w:hideMark/>
          </w:tcPr>
          <w:p w14:paraId="3E8730E8"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14</w:t>
            </w:r>
          </w:p>
        </w:tc>
        <w:tc>
          <w:tcPr>
            <w:tcW w:w="0" w:type="auto"/>
            <w:tcBorders>
              <w:top w:val="nil"/>
              <w:left w:val="nil"/>
              <w:bottom w:val="nil"/>
              <w:right w:val="single" w:sz="4" w:space="0" w:color="auto"/>
            </w:tcBorders>
            <w:shd w:val="clear" w:color="auto" w:fill="auto"/>
            <w:noWrap/>
            <w:vAlign w:val="center"/>
            <w:hideMark/>
          </w:tcPr>
          <w:p w14:paraId="636BFE9C"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18.14%</w:t>
            </w:r>
          </w:p>
        </w:tc>
      </w:tr>
      <w:tr w:rsidR="00A27212" w:rsidRPr="00E87E42" w14:paraId="36A8BA4F"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2549E6D9"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200-499</w:t>
            </w:r>
          </w:p>
        </w:tc>
        <w:tc>
          <w:tcPr>
            <w:tcW w:w="0" w:type="auto"/>
            <w:tcBorders>
              <w:top w:val="nil"/>
              <w:left w:val="nil"/>
              <w:bottom w:val="nil"/>
              <w:right w:val="nil"/>
            </w:tcBorders>
            <w:shd w:val="clear" w:color="auto" w:fill="auto"/>
            <w:noWrap/>
            <w:vAlign w:val="center"/>
            <w:hideMark/>
          </w:tcPr>
          <w:p w14:paraId="1F29E03C"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w:t>
            </w:r>
          </w:p>
        </w:tc>
        <w:tc>
          <w:tcPr>
            <w:tcW w:w="0" w:type="auto"/>
            <w:tcBorders>
              <w:top w:val="nil"/>
              <w:left w:val="nil"/>
              <w:bottom w:val="nil"/>
              <w:right w:val="single" w:sz="4" w:space="0" w:color="auto"/>
            </w:tcBorders>
            <w:shd w:val="clear" w:color="auto" w:fill="auto"/>
            <w:noWrap/>
            <w:vAlign w:val="center"/>
            <w:hideMark/>
          </w:tcPr>
          <w:p w14:paraId="248C29A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0.0%</w:t>
            </w:r>
          </w:p>
        </w:tc>
        <w:tc>
          <w:tcPr>
            <w:tcW w:w="0" w:type="auto"/>
            <w:tcBorders>
              <w:top w:val="nil"/>
              <w:left w:val="single" w:sz="4" w:space="0" w:color="auto"/>
              <w:bottom w:val="nil"/>
              <w:right w:val="nil"/>
            </w:tcBorders>
            <w:shd w:val="clear" w:color="auto" w:fill="auto"/>
            <w:noWrap/>
            <w:vAlign w:val="center"/>
            <w:hideMark/>
          </w:tcPr>
          <w:p w14:paraId="3025B212"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18</w:t>
            </w:r>
          </w:p>
        </w:tc>
        <w:tc>
          <w:tcPr>
            <w:tcW w:w="0" w:type="auto"/>
            <w:tcBorders>
              <w:top w:val="nil"/>
              <w:left w:val="nil"/>
              <w:bottom w:val="nil"/>
              <w:right w:val="single" w:sz="4" w:space="0" w:color="auto"/>
            </w:tcBorders>
            <w:shd w:val="clear" w:color="auto" w:fill="auto"/>
            <w:noWrap/>
            <w:vAlign w:val="center"/>
            <w:hideMark/>
          </w:tcPr>
          <w:p w14:paraId="312D394D"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15.29%</w:t>
            </w:r>
          </w:p>
        </w:tc>
        <w:tc>
          <w:tcPr>
            <w:tcW w:w="0" w:type="auto"/>
            <w:tcBorders>
              <w:top w:val="nil"/>
              <w:left w:val="single" w:sz="4" w:space="0" w:color="auto"/>
              <w:bottom w:val="nil"/>
              <w:right w:val="nil"/>
            </w:tcBorders>
            <w:shd w:val="clear" w:color="auto" w:fill="auto"/>
            <w:noWrap/>
            <w:vAlign w:val="center"/>
            <w:hideMark/>
          </w:tcPr>
          <w:p w14:paraId="2EFC13DE"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31</w:t>
            </w:r>
          </w:p>
        </w:tc>
        <w:tc>
          <w:tcPr>
            <w:tcW w:w="0" w:type="auto"/>
            <w:tcBorders>
              <w:top w:val="nil"/>
              <w:left w:val="nil"/>
              <w:bottom w:val="nil"/>
              <w:right w:val="single" w:sz="4" w:space="0" w:color="auto"/>
            </w:tcBorders>
            <w:shd w:val="clear" w:color="auto" w:fill="auto"/>
            <w:noWrap/>
            <w:vAlign w:val="center"/>
            <w:hideMark/>
          </w:tcPr>
          <w:p w14:paraId="1792FDC6"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0.6%</w:t>
            </w:r>
          </w:p>
        </w:tc>
        <w:tc>
          <w:tcPr>
            <w:tcW w:w="0" w:type="auto"/>
            <w:tcBorders>
              <w:top w:val="nil"/>
              <w:left w:val="single" w:sz="4" w:space="0" w:color="auto"/>
              <w:bottom w:val="nil"/>
              <w:right w:val="nil"/>
            </w:tcBorders>
            <w:shd w:val="clear" w:color="auto" w:fill="auto"/>
            <w:noWrap/>
            <w:vAlign w:val="center"/>
            <w:hideMark/>
          </w:tcPr>
          <w:p w14:paraId="7D1E4B66"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26</w:t>
            </w:r>
          </w:p>
        </w:tc>
        <w:tc>
          <w:tcPr>
            <w:tcW w:w="0" w:type="auto"/>
            <w:tcBorders>
              <w:top w:val="nil"/>
              <w:left w:val="nil"/>
              <w:bottom w:val="nil"/>
              <w:right w:val="single" w:sz="4" w:space="0" w:color="auto"/>
            </w:tcBorders>
            <w:shd w:val="clear" w:color="auto" w:fill="auto"/>
            <w:noWrap/>
            <w:vAlign w:val="center"/>
            <w:hideMark/>
          </w:tcPr>
          <w:p w14:paraId="0E3F8A49"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7.17%</w:t>
            </w:r>
          </w:p>
        </w:tc>
      </w:tr>
      <w:tr w:rsidR="00A27212" w:rsidRPr="00E87E42" w14:paraId="791709A5" w14:textId="77777777" w:rsidTr="00A27212">
        <w:trPr>
          <w:trHeight w:val="170"/>
          <w:jc w:val="center"/>
        </w:trPr>
        <w:tc>
          <w:tcPr>
            <w:tcW w:w="0" w:type="auto"/>
            <w:tcBorders>
              <w:top w:val="nil"/>
              <w:left w:val="single" w:sz="4" w:space="0" w:color="auto"/>
              <w:bottom w:val="nil"/>
              <w:right w:val="single" w:sz="4" w:space="0" w:color="auto"/>
            </w:tcBorders>
            <w:shd w:val="clear" w:color="auto" w:fill="auto"/>
            <w:noWrap/>
            <w:vAlign w:val="center"/>
            <w:hideMark/>
          </w:tcPr>
          <w:p w14:paraId="02002D7D"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500-999</w:t>
            </w:r>
          </w:p>
        </w:tc>
        <w:tc>
          <w:tcPr>
            <w:tcW w:w="0" w:type="auto"/>
            <w:tcBorders>
              <w:top w:val="nil"/>
              <w:left w:val="nil"/>
              <w:bottom w:val="nil"/>
              <w:right w:val="nil"/>
            </w:tcBorders>
            <w:shd w:val="clear" w:color="auto" w:fill="auto"/>
            <w:noWrap/>
            <w:vAlign w:val="center"/>
            <w:hideMark/>
          </w:tcPr>
          <w:p w14:paraId="5BDDBE25"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w:t>
            </w:r>
          </w:p>
        </w:tc>
        <w:tc>
          <w:tcPr>
            <w:tcW w:w="0" w:type="auto"/>
            <w:tcBorders>
              <w:top w:val="nil"/>
              <w:left w:val="nil"/>
              <w:bottom w:val="nil"/>
              <w:right w:val="single" w:sz="4" w:space="0" w:color="auto"/>
            </w:tcBorders>
            <w:shd w:val="clear" w:color="auto" w:fill="auto"/>
            <w:noWrap/>
            <w:vAlign w:val="center"/>
            <w:hideMark/>
          </w:tcPr>
          <w:p w14:paraId="64D471F3"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0.0%</w:t>
            </w:r>
          </w:p>
        </w:tc>
        <w:tc>
          <w:tcPr>
            <w:tcW w:w="0" w:type="auto"/>
            <w:tcBorders>
              <w:top w:val="nil"/>
              <w:left w:val="single" w:sz="4" w:space="0" w:color="auto"/>
              <w:bottom w:val="nil"/>
              <w:right w:val="nil"/>
            </w:tcBorders>
            <w:shd w:val="clear" w:color="auto" w:fill="auto"/>
            <w:noWrap/>
            <w:vAlign w:val="center"/>
            <w:hideMark/>
          </w:tcPr>
          <w:p w14:paraId="45246652"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18</w:t>
            </w:r>
          </w:p>
        </w:tc>
        <w:tc>
          <w:tcPr>
            <w:tcW w:w="0" w:type="auto"/>
            <w:tcBorders>
              <w:top w:val="nil"/>
              <w:left w:val="nil"/>
              <w:bottom w:val="nil"/>
              <w:right w:val="single" w:sz="4" w:space="0" w:color="auto"/>
            </w:tcBorders>
            <w:shd w:val="clear" w:color="auto" w:fill="auto"/>
            <w:noWrap/>
            <w:vAlign w:val="center"/>
            <w:hideMark/>
          </w:tcPr>
          <w:p w14:paraId="207638F9"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8.24%</w:t>
            </w:r>
          </w:p>
        </w:tc>
        <w:tc>
          <w:tcPr>
            <w:tcW w:w="0" w:type="auto"/>
            <w:tcBorders>
              <w:top w:val="nil"/>
              <w:left w:val="single" w:sz="4" w:space="0" w:color="auto"/>
              <w:bottom w:val="nil"/>
              <w:right w:val="nil"/>
            </w:tcBorders>
            <w:shd w:val="clear" w:color="auto" w:fill="auto"/>
            <w:noWrap/>
            <w:vAlign w:val="center"/>
            <w:hideMark/>
          </w:tcPr>
          <w:p w14:paraId="7274727C"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8</w:t>
            </w:r>
          </w:p>
        </w:tc>
        <w:tc>
          <w:tcPr>
            <w:tcW w:w="0" w:type="auto"/>
            <w:tcBorders>
              <w:top w:val="nil"/>
              <w:left w:val="nil"/>
              <w:bottom w:val="nil"/>
              <w:right w:val="single" w:sz="4" w:space="0" w:color="auto"/>
            </w:tcBorders>
            <w:shd w:val="clear" w:color="auto" w:fill="auto"/>
            <w:noWrap/>
            <w:vAlign w:val="center"/>
            <w:hideMark/>
          </w:tcPr>
          <w:p w14:paraId="7858EA91"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0.4%</w:t>
            </w:r>
          </w:p>
        </w:tc>
        <w:tc>
          <w:tcPr>
            <w:tcW w:w="0" w:type="auto"/>
            <w:tcBorders>
              <w:top w:val="nil"/>
              <w:left w:val="single" w:sz="4" w:space="0" w:color="auto"/>
              <w:bottom w:val="nil"/>
              <w:right w:val="nil"/>
            </w:tcBorders>
            <w:shd w:val="clear" w:color="auto" w:fill="auto"/>
            <w:noWrap/>
            <w:vAlign w:val="center"/>
            <w:hideMark/>
          </w:tcPr>
          <w:p w14:paraId="062BAFB2"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9</w:t>
            </w:r>
          </w:p>
        </w:tc>
        <w:tc>
          <w:tcPr>
            <w:tcW w:w="0" w:type="auto"/>
            <w:tcBorders>
              <w:top w:val="nil"/>
              <w:left w:val="nil"/>
              <w:bottom w:val="nil"/>
              <w:right w:val="single" w:sz="4" w:space="0" w:color="auto"/>
            </w:tcBorders>
            <w:shd w:val="clear" w:color="auto" w:fill="auto"/>
            <w:noWrap/>
            <w:vAlign w:val="center"/>
            <w:hideMark/>
          </w:tcPr>
          <w:p w14:paraId="54FFEC3F"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3.38%</w:t>
            </w:r>
          </w:p>
        </w:tc>
      </w:tr>
      <w:tr w:rsidR="00A27212" w:rsidRPr="00E87E42" w14:paraId="307D5312" w14:textId="77777777" w:rsidTr="00A27212">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D9FA34" w14:textId="77777777" w:rsidR="00A27212" w:rsidRPr="00E87E42" w:rsidRDefault="00A27212" w:rsidP="00A27212">
            <w:pPr>
              <w:pStyle w:val="NoSpacing"/>
              <w:jc w:val="left"/>
              <w:rPr>
                <w:color w:val="000000"/>
                <w:sz w:val="16"/>
                <w:szCs w:val="16"/>
                <w:lang w:eastAsia="en-GB"/>
              </w:rPr>
            </w:pPr>
            <w:r w:rsidRPr="00E87E42">
              <w:rPr>
                <w:color w:val="000000"/>
                <w:sz w:val="16"/>
                <w:szCs w:val="16"/>
                <w:lang w:eastAsia="en-GB"/>
              </w:rPr>
              <w:t>1000 and above</w:t>
            </w:r>
          </w:p>
        </w:tc>
        <w:tc>
          <w:tcPr>
            <w:tcW w:w="0" w:type="auto"/>
            <w:tcBorders>
              <w:top w:val="nil"/>
              <w:left w:val="nil"/>
              <w:bottom w:val="single" w:sz="4" w:space="0" w:color="auto"/>
              <w:right w:val="nil"/>
            </w:tcBorders>
            <w:shd w:val="clear" w:color="auto" w:fill="auto"/>
            <w:noWrap/>
            <w:vAlign w:val="center"/>
            <w:hideMark/>
          </w:tcPr>
          <w:p w14:paraId="5C6048B9"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14:paraId="74D2C502"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0.0%</w:t>
            </w:r>
          </w:p>
        </w:tc>
        <w:tc>
          <w:tcPr>
            <w:tcW w:w="0" w:type="auto"/>
            <w:tcBorders>
              <w:top w:val="nil"/>
              <w:left w:val="single" w:sz="4" w:space="0" w:color="auto"/>
              <w:bottom w:val="single" w:sz="4" w:space="0" w:color="auto"/>
              <w:right w:val="nil"/>
            </w:tcBorders>
            <w:shd w:val="clear" w:color="auto" w:fill="auto"/>
            <w:noWrap/>
            <w:vAlign w:val="center"/>
            <w:hideMark/>
          </w:tcPr>
          <w:p w14:paraId="54DCDBD4"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21</w:t>
            </w:r>
          </w:p>
        </w:tc>
        <w:tc>
          <w:tcPr>
            <w:tcW w:w="0" w:type="auto"/>
            <w:tcBorders>
              <w:top w:val="nil"/>
              <w:left w:val="nil"/>
              <w:bottom w:val="single" w:sz="4" w:space="0" w:color="auto"/>
              <w:right w:val="single" w:sz="4" w:space="0" w:color="auto"/>
            </w:tcBorders>
            <w:shd w:val="clear" w:color="auto" w:fill="auto"/>
            <w:noWrap/>
            <w:vAlign w:val="center"/>
            <w:hideMark/>
          </w:tcPr>
          <w:p w14:paraId="37EA48D4"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0.00%</w:t>
            </w:r>
          </w:p>
        </w:tc>
        <w:tc>
          <w:tcPr>
            <w:tcW w:w="0" w:type="auto"/>
            <w:tcBorders>
              <w:top w:val="nil"/>
              <w:left w:val="single" w:sz="4" w:space="0" w:color="auto"/>
              <w:bottom w:val="single" w:sz="4" w:space="0" w:color="auto"/>
              <w:right w:val="nil"/>
            </w:tcBorders>
            <w:shd w:val="clear" w:color="auto" w:fill="auto"/>
            <w:noWrap/>
            <w:vAlign w:val="center"/>
            <w:hideMark/>
          </w:tcPr>
          <w:p w14:paraId="31F8CDAD"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14</w:t>
            </w:r>
          </w:p>
        </w:tc>
        <w:tc>
          <w:tcPr>
            <w:tcW w:w="0" w:type="auto"/>
            <w:tcBorders>
              <w:top w:val="nil"/>
              <w:left w:val="nil"/>
              <w:bottom w:val="single" w:sz="4" w:space="0" w:color="auto"/>
              <w:right w:val="single" w:sz="4" w:space="0" w:color="auto"/>
            </w:tcBorders>
            <w:shd w:val="clear" w:color="auto" w:fill="auto"/>
            <w:noWrap/>
            <w:vAlign w:val="center"/>
            <w:hideMark/>
          </w:tcPr>
          <w:p w14:paraId="30F72577"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0.0%</w:t>
            </w:r>
          </w:p>
        </w:tc>
        <w:tc>
          <w:tcPr>
            <w:tcW w:w="0" w:type="auto"/>
            <w:tcBorders>
              <w:top w:val="nil"/>
              <w:left w:val="single" w:sz="4" w:space="0" w:color="auto"/>
              <w:bottom w:val="single" w:sz="4" w:space="0" w:color="auto"/>
              <w:right w:val="nil"/>
            </w:tcBorders>
            <w:shd w:val="clear" w:color="auto" w:fill="auto"/>
            <w:noWrap/>
            <w:vAlign w:val="center"/>
            <w:hideMark/>
          </w:tcPr>
          <w:p w14:paraId="146501E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8</w:t>
            </w:r>
          </w:p>
        </w:tc>
        <w:tc>
          <w:tcPr>
            <w:tcW w:w="0" w:type="auto"/>
            <w:tcBorders>
              <w:top w:val="nil"/>
              <w:left w:val="nil"/>
              <w:bottom w:val="single" w:sz="4" w:space="0" w:color="auto"/>
              <w:right w:val="single" w:sz="4" w:space="0" w:color="auto"/>
            </w:tcBorders>
            <w:shd w:val="clear" w:color="auto" w:fill="auto"/>
            <w:noWrap/>
            <w:vAlign w:val="center"/>
            <w:hideMark/>
          </w:tcPr>
          <w:p w14:paraId="0205B855"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0.00%</w:t>
            </w:r>
          </w:p>
        </w:tc>
      </w:tr>
      <w:tr w:rsidR="00A27212" w:rsidRPr="00796639" w14:paraId="15F393F7" w14:textId="77777777" w:rsidTr="00A27212">
        <w:trPr>
          <w:trHeight w:val="170"/>
          <w:jc w:val="center"/>
        </w:trPr>
        <w:tc>
          <w:tcPr>
            <w:tcW w:w="0" w:type="auto"/>
            <w:tcBorders>
              <w:top w:val="nil"/>
              <w:left w:val="nil"/>
              <w:bottom w:val="nil"/>
              <w:right w:val="nil"/>
            </w:tcBorders>
            <w:shd w:val="clear" w:color="auto" w:fill="auto"/>
            <w:noWrap/>
            <w:vAlign w:val="center"/>
            <w:hideMark/>
          </w:tcPr>
          <w:p w14:paraId="52E8AA3D" w14:textId="77777777" w:rsidR="00A27212" w:rsidRPr="00E87E42" w:rsidRDefault="00A27212" w:rsidP="00A27212">
            <w:pPr>
              <w:pStyle w:val="NoSpacing"/>
              <w:jc w:val="left"/>
              <w:rPr>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D7C8B1"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35</w:t>
            </w:r>
          </w:p>
        </w:tc>
        <w:tc>
          <w:tcPr>
            <w:tcW w:w="0" w:type="auto"/>
            <w:tcBorders>
              <w:top w:val="nil"/>
              <w:left w:val="nil"/>
              <w:bottom w:val="nil"/>
              <w:right w:val="nil"/>
            </w:tcBorders>
            <w:shd w:val="clear" w:color="auto" w:fill="auto"/>
            <w:noWrap/>
            <w:vAlign w:val="center"/>
            <w:hideMark/>
          </w:tcPr>
          <w:p w14:paraId="6B3B02AB" w14:textId="77777777" w:rsidR="00A27212" w:rsidRPr="00E87E42" w:rsidRDefault="00A27212" w:rsidP="00A27212">
            <w:pPr>
              <w:pStyle w:val="NoSpacing"/>
              <w:jc w:val="center"/>
              <w:rPr>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E24831"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255</w:t>
            </w:r>
          </w:p>
        </w:tc>
        <w:tc>
          <w:tcPr>
            <w:tcW w:w="0" w:type="auto"/>
            <w:tcBorders>
              <w:top w:val="nil"/>
              <w:left w:val="nil"/>
              <w:bottom w:val="nil"/>
              <w:right w:val="nil"/>
            </w:tcBorders>
            <w:shd w:val="clear" w:color="auto" w:fill="auto"/>
            <w:noWrap/>
            <w:vAlign w:val="center"/>
            <w:hideMark/>
          </w:tcPr>
          <w:p w14:paraId="70F85331" w14:textId="77777777" w:rsidR="00A27212" w:rsidRPr="00E87E42" w:rsidRDefault="00A27212" w:rsidP="00A27212">
            <w:pPr>
              <w:pStyle w:val="NoSpacing"/>
              <w:jc w:val="center"/>
              <w:rPr>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9C8560" w14:textId="77777777" w:rsidR="00A27212" w:rsidRPr="00E87E42" w:rsidRDefault="00A27212" w:rsidP="00A27212">
            <w:pPr>
              <w:pStyle w:val="NoSpacing"/>
              <w:jc w:val="center"/>
              <w:rPr>
                <w:color w:val="000000"/>
                <w:sz w:val="16"/>
                <w:szCs w:val="16"/>
                <w:lang w:eastAsia="en-GB"/>
              </w:rPr>
            </w:pPr>
            <w:r w:rsidRPr="00E87E42">
              <w:rPr>
                <w:color w:val="000000"/>
                <w:sz w:val="16"/>
                <w:szCs w:val="16"/>
                <w:lang w:eastAsia="en-GB"/>
              </w:rPr>
              <w:t>3821</w:t>
            </w:r>
          </w:p>
        </w:tc>
        <w:tc>
          <w:tcPr>
            <w:tcW w:w="0" w:type="auto"/>
            <w:tcBorders>
              <w:top w:val="nil"/>
              <w:left w:val="nil"/>
              <w:bottom w:val="nil"/>
              <w:right w:val="nil"/>
            </w:tcBorders>
            <w:shd w:val="clear" w:color="auto" w:fill="auto"/>
            <w:noWrap/>
            <w:vAlign w:val="center"/>
            <w:hideMark/>
          </w:tcPr>
          <w:p w14:paraId="6CB5700A" w14:textId="77777777" w:rsidR="00A27212" w:rsidRPr="00E87E42" w:rsidRDefault="00A27212" w:rsidP="00A27212">
            <w:pPr>
              <w:pStyle w:val="NoSpacing"/>
              <w:jc w:val="center"/>
              <w:rPr>
                <w:color w:val="000000"/>
                <w:sz w:val="16"/>
                <w:szCs w:val="16"/>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982A5F" w14:textId="77777777" w:rsidR="00A27212" w:rsidRPr="008A55B5" w:rsidRDefault="00A27212" w:rsidP="00A27212">
            <w:pPr>
              <w:pStyle w:val="NoSpacing"/>
              <w:jc w:val="center"/>
              <w:rPr>
                <w:color w:val="000000"/>
                <w:sz w:val="16"/>
                <w:szCs w:val="16"/>
                <w:lang w:eastAsia="en-GB"/>
              </w:rPr>
            </w:pPr>
            <w:r w:rsidRPr="00E87E42">
              <w:rPr>
                <w:color w:val="000000"/>
                <w:sz w:val="16"/>
                <w:szCs w:val="16"/>
                <w:lang w:eastAsia="en-GB"/>
              </w:rPr>
              <w:t>237</w:t>
            </w:r>
          </w:p>
        </w:tc>
        <w:tc>
          <w:tcPr>
            <w:tcW w:w="0" w:type="auto"/>
            <w:tcBorders>
              <w:top w:val="nil"/>
              <w:left w:val="nil"/>
              <w:bottom w:val="nil"/>
              <w:right w:val="nil"/>
            </w:tcBorders>
            <w:shd w:val="clear" w:color="auto" w:fill="auto"/>
            <w:noWrap/>
            <w:vAlign w:val="center"/>
            <w:hideMark/>
          </w:tcPr>
          <w:p w14:paraId="739E2B64" w14:textId="77777777" w:rsidR="00A27212" w:rsidRPr="008A55B5" w:rsidRDefault="00A27212" w:rsidP="00A27212">
            <w:pPr>
              <w:pStyle w:val="NoSpacing"/>
              <w:jc w:val="center"/>
              <w:rPr>
                <w:color w:val="000000"/>
                <w:sz w:val="16"/>
                <w:szCs w:val="16"/>
                <w:lang w:eastAsia="en-GB"/>
              </w:rPr>
            </w:pPr>
          </w:p>
        </w:tc>
      </w:tr>
    </w:tbl>
    <w:p w14:paraId="132F7456" w14:textId="77777777" w:rsidR="00A27212" w:rsidRPr="001019D3" w:rsidRDefault="00A27212" w:rsidP="008A55B5"/>
    <w:sectPr w:rsidR="00A27212" w:rsidRPr="001019D3" w:rsidSect="00350A30">
      <w:pgSz w:w="11907" w:h="16840" w:code="9"/>
      <w:pgMar w:top="1077" w:right="618" w:bottom="1418" w:left="748" w:header="567" w:footer="567" w:gutter="284"/>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CBE2E" w14:textId="77777777" w:rsidR="00171E7A" w:rsidRDefault="00171E7A">
      <w:r>
        <w:separator/>
      </w:r>
    </w:p>
  </w:endnote>
  <w:endnote w:type="continuationSeparator" w:id="0">
    <w:p w14:paraId="3E8D8834" w14:textId="77777777" w:rsidR="00171E7A" w:rsidRDefault="0017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Joanna MT St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182214"/>
      <w:docPartObj>
        <w:docPartGallery w:val="Page Numbers (Bottom of Page)"/>
        <w:docPartUnique/>
      </w:docPartObj>
    </w:sdtPr>
    <w:sdtEndPr>
      <w:rPr>
        <w:noProof/>
      </w:rPr>
    </w:sdtEndPr>
    <w:sdtContent>
      <w:p w14:paraId="769C60D6" w14:textId="5739F203" w:rsidR="009F6872" w:rsidRDefault="009F6872">
        <w:pPr>
          <w:pStyle w:val="Footer"/>
          <w:jc w:val="right"/>
        </w:pPr>
        <w:r>
          <w:fldChar w:fldCharType="begin"/>
        </w:r>
        <w:r>
          <w:instrText xml:space="preserve"> PAGE   \* MERGEFORMAT </w:instrText>
        </w:r>
        <w:r>
          <w:fldChar w:fldCharType="separate"/>
        </w:r>
        <w:r w:rsidR="002E5A05">
          <w:rPr>
            <w:noProof/>
          </w:rPr>
          <w:t>44</w:t>
        </w:r>
        <w:r>
          <w:rPr>
            <w:noProof/>
          </w:rPr>
          <w:fldChar w:fldCharType="end"/>
        </w:r>
      </w:p>
    </w:sdtContent>
  </w:sdt>
  <w:p w14:paraId="197F98CE" w14:textId="77777777" w:rsidR="009F6872" w:rsidRDefault="009F6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ED07" w14:textId="77777777" w:rsidR="00171E7A" w:rsidRDefault="00171E7A">
      <w:r>
        <w:separator/>
      </w:r>
    </w:p>
  </w:footnote>
  <w:footnote w:type="continuationSeparator" w:id="0">
    <w:p w14:paraId="7CEFEC58" w14:textId="77777777" w:rsidR="00171E7A" w:rsidRDefault="00171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7D28C" w14:textId="12F67170" w:rsidR="009F6872" w:rsidRPr="00D40AF0" w:rsidRDefault="009F6872" w:rsidP="005E780E">
    <w:pPr>
      <w:tabs>
        <w:tab w:val="left" w:pos="897"/>
        <w:tab w:val="right" w:pos="10260"/>
      </w:tabs>
      <w:spacing w:after="160" w:line="259" w:lineRule="auto"/>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BDB"/>
    <w:multiLevelType w:val="multilevel"/>
    <w:tmpl w:val="210E8238"/>
    <w:numStyleLink w:val="StandardBulletpoints"/>
  </w:abstractNum>
  <w:abstractNum w:abstractNumId="1" w15:restartNumberingAfterBreak="0">
    <w:nsid w:val="06255CE8"/>
    <w:multiLevelType w:val="hybridMultilevel"/>
    <w:tmpl w:val="2652846C"/>
    <w:lvl w:ilvl="0" w:tplc="C5BE99D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03247"/>
    <w:multiLevelType w:val="hybridMultilevel"/>
    <w:tmpl w:val="FA44A274"/>
    <w:lvl w:ilvl="0" w:tplc="CE02AA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B1EB0"/>
    <w:multiLevelType w:val="hybridMultilevel"/>
    <w:tmpl w:val="FCB8BC12"/>
    <w:lvl w:ilvl="0" w:tplc="48DC77F8">
      <w:start w:val="1"/>
      <w:numFmt w:val="upperLetter"/>
      <w:lvlText w:val="%1."/>
      <w:lvlJc w:val="left"/>
      <w:pPr>
        <w:ind w:left="720" w:hanging="360"/>
      </w:pPr>
      <w:rPr>
        <w:rFonts w:ascii="Calibri" w:eastAsia="Times New Roman" w:hAnsi="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13813"/>
    <w:multiLevelType w:val="hybridMultilevel"/>
    <w:tmpl w:val="C6B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8785D"/>
    <w:multiLevelType w:val="hybridMultilevel"/>
    <w:tmpl w:val="3ADEA98C"/>
    <w:lvl w:ilvl="0" w:tplc="08090015">
      <w:start w:val="1"/>
      <w:numFmt w:val="upp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175F0"/>
    <w:multiLevelType w:val="hybridMultilevel"/>
    <w:tmpl w:val="8E58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F7084"/>
    <w:multiLevelType w:val="hybridMultilevel"/>
    <w:tmpl w:val="29BA3646"/>
    <w:lvl w:ilvl="0" w:tplc="894244BA">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82E6F"/>
    <w:multiLevelType w:val="hybridMultilevel"/>
    <w:tmpl w:val="A7BAFA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A6C04"/>
    <w:multiLevelType w:val="hybridMultilevel"/>
    <w:tmpl w:val="66E2817A"/>
    <w:lvl w:ilvl="0" w:tplc="C5BE99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2771F"/>
    <w:multiLevelType w:val="multilevel"/>
    <w:tmpl w:val="210E8238"/>
    <w:styleLink w:val="StandardBulletpoints"/>
    <w:lvl w:ilvl="0">
      <w:start w:val="1"/>
      <w:numFmt w:val="bullet"/>
      <w:lvlText w:val=""/>
      <w:lvlJc w:val="left"/>
      <w:pPr>
        <w:tabs>
          <w:tab w:val="num" w:pos="284"/>
        </w:tabs>
        <w:ind w:left="284" w:hanging="284"/>
      </w:pPr>
      <w:rPr>
        <w:rFonts w:ascii="Symbol" w:hAnsi="Symbol" w:hint="default"/>
        <w:sz w:val="20"/>
        <w:szCs w:val="20"/>
      </w:rPr>
    </w:lvl>
    <w:lvl w:ilvl="1">
      <w:start w:val="1"/>
      <w:numFmt w:val="bullet"/>
      <w:lvlText w:val=""/>
      <w:lvlJc w:val="left"/>
      <w:pPr>
        <w:tabs>
          <w:tab w:val="num" w:pos="709"/>
        </w:tabs>
        <w:ind w:left="709" w:hanging="284"/>
      </w:pPr>
      <w:rPr>
        <w:rFonts w:ascii="Symbol" w:hAnsi="Symbol" w:hint="default"/>
        <w:sz w:val="20"/>
        <w:szCs w:val="20"/>
      </w:rPr>
    </w:lvl>
    <w:lvl w:ilvl="2">
      <w:start w:val="1"/>
      <w:numFmt w:val="bullet"/>
      <w:lvlText w:val=""/>
      <w:lvlJc w:val="left"/>
      <w:pPr>
        <w:tabs>
          <w:tab w:val="num" w:pos="2880"/>
        </w:tabs>
        <w:ind w:left="3240" w:hanging="360"/>
      </w:pPr>
      <w:rPr>
        <w:rFonts w:ascii="Symbol" w:hAnsi="Symbo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5045425"/>
    <w:multiLevelType w:val="hybridMultilevel"/>
    <w:tmpl w:val="C53A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36E32"/>
    <w:multiLevelType w:val="hybridMultilevel"/>
    <w:tmpl w:val="78BC637A"/>
    <w:lvl w:ilvl="0" w:tplc="C5BE99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4629E"/>
    <w:multiLevelType w:val="multilevel"/>
    <w:tmpl w:val="058A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73471C"/>
    <w:multiLevelType w:val="multilevel"/>
    <w:tmpl w:val="60C61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0A42EAD"/>
    <w:multiLevelType w:val="hybridMultilevel"/>
    <w:tmpl w:val="30FC9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353BC"/>
    <w:multiLevelType w:val="hybridMultilevel"/>
    <w:tmpl w:val="3B9AF6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14276B"/>
    <w:multiLevelType w:val="hybridMultilevel"/>
    <w:tmpl w:val="588C60E4"/>
    <w:lvl w:ilvl="0" w:tplc="6B18DED2">
      <w:start w:val="1"/>
      <w:numFmt w:val="upperRoman"/>
      <w:lvlText w:val="%1."/>
      <w:lvlJc w:val="right"/>
      <w:pPr>
        <w:ind w:left="720" w:hanging="360"/>
      </w:pPr>
      <w:rPr>
        <w:rFonts w:ascii="Times New Roman" w:eastAsia="MS Mincho"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2E70C0"/>
    <w:multiLevelType w:val="hybridMultilevel"/>
    <w:tmpl w:val="91C26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AE0116"/>
    <w:multiLevelType w:val="hybridMultilevel"/>
    <w:tmpl w:val="16120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576CF3"/>
    <w:multiLevelType w:val="hybridMultilevel"/>
    <w:tmpl w:val="01464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A76059"/>
    <w:multiLevelType w:val="multilevel"/>
    <w:tmpl w:val="2820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131A6A"/>
    <w:multiLevelType w:val="multilevel"/>
    <w:tmpl w:val="2516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84398E"/>
    <w:multiLevelType w:val="hybridMultilevel"/>
    <w:tmpl w:val="F7F2C460"/>
    <w:lvl w:ilvl="0" w:tplc="C5E200A8">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E06D7C"/>
    <w:multiLevelType w:val="hybridMultilevel"/>
    <w:tmpl w:val="D3EC85F2"/>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E57962"/>
    <w:multiLevelType w:val="multilevel"/>
    <w:tmpl w:val="210E8238"/>
    <w:numStyleLink w:val="StandardBulletpoints"/>
  </w:abstractNum>
  <w:abstractNum w:abstractNumId="26" w15:restartNumberingAfterBreak="0">
    <w:nsid w:val="43A30FCA"/>
    <w:multiLevelType w:val="multilevel"/>
    <w:tmpl w:val="EB4A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017DC4"/>
    <w:multiLevelType w:val="hybridMultilevel"/>
    <w:tmpl w:val="BC80FA7C"/>
    <w:lvl w:ilvl="0" w:tplc="B3DEBFE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2F5791"/>
    <w:multiLevelType w:val="multilevel"/>
    <w:tmpl w:val="61EA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B62F07"/>
    <w:multiLevelType w:val="hybridMultilevel"/>
    <w:tmpl w:val="5DD08C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4766AC"/>
    <w:multiLevelType w:val="multilevel"/>
    <w:tmpl w:val="60C61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18E74AC"/>
    <w:multiLevelType w:val="multilevel"/>
    <w:tmpl w:val="210E8238"/>
    <w:numStyleLink w:val="StandardBulletpoints"/>
  </w:abstractNum>
  <w:abstractNum w:abstractNumId="32" w15:restartNumberingAfterBreak="0">
    <w:nsid w:val="52570870"/>
    <w:multiLevelType w:val="multilevel"/>
    <w:tmpl w:val="60C61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3716995"/>
    <w:multiLevelType w:val="hybridMultilevel"/>
    <w:tmpl w:val="379810C8"/>
    <w:lvl w:ilvl="0" w:tplc="08090001">
      <w:start w:val="1"/>
      <w:numFmt w:val="bullet"/>
      <w:lvlText w:val=""/>
      <w:lvlJc w:val="left"/>
      <w:pPr>
        <w:ind w:left="720" w:hanging="360"/>
      </w:pPr>
      <w:rPr>
        <w:rFonts w:ascii="Symbol" w:hAnsi="Symbol" w:hint="default"/>
      </w:rPr>
    </w:lvl>
    <w:lvl w:ilvl="1" w:tplc="C5BE99D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764BA9"/>
    <w:multiLevelType w:val="hybridMultilevel"/>
    <w:tmpl w:val="24CE4ED0"/>
    <w:lvl w:ilvl="0" w:tplc="6B82DAB6">
      <w:start w:val="1"/>
      <w:numFmt w:val="upperLetter"/>
      <w:lvlText w:val="%1."/>
      <w:lvlJc w:val="left"/>
      <w:pPr>
        <w:ind w:left="720" w:hanging="360"/>
      </w:pPr>
      <w:rPr>
        <w:rFonts w:ascii="Calibri" w:eastAsia="Times New Roman" w:hAnsi="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1E72A2"/>
    <w:multiLevelType w:val="multilevel"/>
    <w:tmpl w:val="210E8238"/>
    <w:numStyleLink w:val="StandardBulletpoints"/>
  </w:abstractNum>
  <w:abstractNum w:abstractNumId="36" w15:restartNumberingAfterBreak="0">
    <w:nsid w:val="58201901"/>
    <w:multiLevelType w:val="hybridMultilevel"/>
    <w:tmpl w:val="C700C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6179C6"/>
    <w:multiLevelType w:val="hybridMultilevel"/>
    <w:tmpl w:val="E064F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CF7982"/>
    <w:multiLevelType w:val="hybridMultilevel"/>
    <w:tmpl w:val="87AA1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5F013D"/>
    <w:multiLevelType w:val="hybridMultilevel"/>
    <w:tmpl w:val="6106AB58"/>
    <w:lvl w:ilvl="0" w:tplc="83B2C61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7D6FBD"/>
    <w:multiLevelType w:val="multilevel"/>
    <w:tmpl w:val="072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F312A72"/>
    <w:multiLevelType w:val="hybridMultilevel"/>
    <w:tmpl w:val="F196AA7A"/>
    <w:lvl w:ilvl="0" w:tplc="1A2C6EFA">
      <w:start w:val="1"/>
      <w:numFmt w:val="upperLetter"/>
      <w:lvlText w:val="%1."/>
      <w:lvlJc w:val="left"/>
      <w:pPr>
        <w:ind w:left="720" w:hanging="360"/>
      </w:pPr>
      <w:rPr>
        <w:rFonts w:ascii="Calibri" w:eastAsia="Times New Roman" w:hAnsi="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4449E3"/>
    <w:multiLevelType w:val="multilevel"/>
    <w:tmpl w:val="210E8238"/>
    <w:numStyleLink w:val="StandardBulletpoints"/>
  </w:abstractNum>
  <w:abstractNum w:abstractNumId="43" w15:restartNumberingAfterBreak="0">
    <w:nsid w:val="61F24C7F"/>
    <w:multiLevelType w:val="multilevel"/>
    <w:tmpl w:val="60C61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2761263"/>
    <w:multiLevelType w:val="hybridMultilevel"/>
    <w:tmpl w:val="B4BE7902"/>
    <w:lvl w:ilvl="0" w:tplc="DE70F63A">
      <w:start w:val="1"/>
      <w:numFmt w:val="upperLetter"/>
      <w:lvlText w:val="%1."/>
      <w:lvlJc w:val="left"/>
      <w:pPr>
        <w:ind w:left="720" w:hanging="360"/>
      </w:pPr>
      <w:rPr>
        <w:rFonts w:ascii="Calibri" w:eastAsia="Times New Roman" w:hAnsi="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3661AB1"/>
    <w:multiLevelType w:val="multilevel"/>
    <w:tmpl w:val="7DC4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6EE75D1"/>
    <w:multiLevelType w:val="multilevel"/>
    <w:tmpl w:val="34EE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D065D61"/>
    <w:multiLevelType w:val="multilevel"/>
    <w:tmpl w:val="60C61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6D8F6562"/>
    <w:multiLevelType w:val="hybridMultilevel"/>
    <w:tmpl w:val="2C3A0C0C"/>
    <w:lvl w:ilvl="0" w:tplc="94A0420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1A46496"/>
    <w:multiLevelType w:val="multilevel"/>
    <w:tmpl w:val="3A12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50B7A8B"/>
    <w:multiLevelType w:val="multilevel"/>
    <w:tmpl w:val="210E8238"/>
    <w:numStyleLink w:val="StandardBulletpoints"/>
  </w:abstractNum>
  <w:abstractNum w:abstractNumId="51" w15:restartNumberingAfterBreak="0">
    <w:nsid w:val="7EAA1593"/>
    <w:multiLevelType w:val="hybridMultilevel"/>
    <w:tmpl w:val="796EF38C"/>
    <w:lvl w:ilvl="0" w:tplc="C5BE99DA">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23"/>
  </w:num>
  <w:num w:numId="3">
    <w:abstractNumId w:val="10"/>
  </w:num>
  <w:num w:numId="4">
    <w:abstractNumId w:val="42"/>
  </w:num>
  <w:num w:numId="5">
    <w:abstractNumId w:val="31"/>
  </w:num>
  <w:num w:numId="6">
    <w:abstractNumId w:val="25"/>
  </w:num>
  <w:num w:numId="7">
    <w:abstractNumId w:val="35"/>
  </w:num>
  <w:num w:numId="8">
    <w:abstractNumId w:val="0"/>
  </w:num>
  <w:num w:numId="9">
    <w:abstractNumId w:val="50"/>
  </w:num>
  <w:num w:numId="10">
    <w:abstractNumId w:val="34"/>
  </w:num>
  <w:num w:numId="11">
    <w:abstractNumId w:val="3"/>
  </w:num>
  <w:num w:numId="12">
    <w:abstractNumId w:val="44"/>
  </w:num>
  <w:num w:numId="13">
    <w:abstractNumId w:val="41"/>
  </w:num>
  <w:num w:numId="14">
    <w:abstractNumId w:val="6"/>
  </w:num>
  <w:num w:numId="15">
    <w:abstractNumId w:val="4"/>
  </w:num>
  <w:num w:numId="16">
    <w:abstractNumId w:val="24"/>
  </w:num>
  <w:num w:numId="17">
    <w:abstractNumId w:val="36"/>
  </w:num>
  <w:num w:numId="18">
    <w:abstractNumId w:val="2"/>
  </w:num>
  <w:num w:numId="19">
    <w:abstractNumId w:val="37"/>
  </w:num>
  <w:num w:numId="20">
    <w:abstractNumId w:val="18"/>
  </w:num>
  <w:num w:numId="21">
    <w:abstractNumId w:val="19"/>
  </w:num>
  <w:num w:numId="22">
    <w:abstractNumId w:val="20"/>
  </w:num>
  <w:num w:numId="23">
    <w:abstractNumId w:val="51"/>
  </w:num>
  <w:num w:numId="24">
    <w:abstractNumId w:val="26"/>
  </w:num>
  <w:num w:numId="25">
    <w:abstractNumId w:val="12"/>
  </w:num>
  <w:num w:numId="26">
    <w:abstractNumId w:val="40"/>
  </w:num>
  <w:num w:numId="27">
    <w:abstractNumId w:val="13"/>
  </w:num>
  <w:num w:numId="28">
    <w:abstractNumId w:val="22"/>
  </w:num>
  <w:num w:numId="29">
    <w:abstractNumId w:val="28"/>
  </w:num>
  <w:num w:numId="30">
    <w:abstractNumId w:val="46"/>
  </w:num>
  <w:num w:numId="31">
    <w:abstractNumId w:val="49"/>
  </w:num>
  <w:num w:numId="32">
    <w:abstractNumId w:val="45"/>
  </w:num>
  <w:num w:numId="33">
    <w:abstractNumId w:val="21"/>
  </w:num>
  <w:num w:numId="34">
    <w:abstractNumId w:val="38"/>
  </w:num>
  <w:num w:numId="35">
    <w:abstractNumId w:val="32"/>
  </w:num>
  <w:num w:numId="36">
    <w:abstractNumId w:val="14"/>
  </w:num>
  <w:num w:numId="37">
    <w:abstractNumId w:val="5"/>
  </w:num>
  <w:num w:numId="38">
    <w:abstractNumId w:val="16"/>
  </w:num>
  <w:num w:numId="39">
    <w:abstractNumId w:val="8"/>
  </w:num>
  <w:num w:numId="40">
    <w:abstractNumId w:val="33"/>
  </w:num>
  <w:num w:numId="41">
    <w:abstractNumId w:val="9"/>
  </w:num>
  <w:num w:numId="42">
    <w:abstractNumId w:val="7"/>
  </w:num>
  <w:num w:numId="43">
    <w:abstractNumId w:val="1"/>
  </w:num>
  <w:num w:numId="44">
    <w:abstractNumId w:val="17"/>
  </w:num>
  <w:num w:numId="45">
    <w:abstractNumId w:val="15"/>
  </w:num>
  <w:num w:numId="46">
    <w:abstractNumId w:val="47"/>
  </w:num>
  <w:num w:numId="47">
    <w:abstractNumId w:val="29"/>
  </w:num>
  <w:num w:numId="48">
    <w:abstractNumId w:val="30"/>
  </w:num>
  <w:num w:numId="49">
    <w:abstractNumId w:val="11"/>
  </w:num>
  <w:num w:numId="50">
    <w:abstractNumId w:val="43"/>
  </w:num>
  <w:num w:numId="51">
    <w:abstractNumId w:val="39"/>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BA"/>
    <w:rsid w:val="00001517"/>
    <w:rsid w:val="000021C9"/>
    <w:rsid w:val="00002D2B"/>
    <w:rsid w:val="00003D88"/>
    <w:rsid w:val="00003ED8"/>
    <w:rsid w:val="0000480D"/>
    <w:rsid w:val="00004ACD"/>
    <w:rsid w:val="00005361"/>
    <w:rsid w:val="00005B37"/>
    <w:rsid w:val="00006002"/>
    <w:rsid w:val="00007C2A"/>
    <w:rsid w:val="00012B70"/>
    <w:rsid w:val="000141A4"/>
    <w:rsid w:val="00014237"/>
    <w:rsid w:val="000146ED"/>
    <w:rsid w:val="000153AF"/>
    <w:rsid w:val="0001565F"/>
    <w:rsid w:val="00015832"/>
    <w:rsid w:val="00017122"/>
    <w:rsid w:val="000171CE"/>
    <w:rsid w:val="0002169B"/>
    <w:rsid w:val="00022BFE"/>
    <w:rsid w:val="00023335"/>
    <w:rsid w:val="00024012"/>
    <w:rsid w:val="00024156"/>
    <w:rsid w:val="0002779D"/>
    <w:rsid w:val="00027FBA"/>
    <w:rsid w:val="00030B2E"/>
    <w:rsid w:val="00031430"/>
    <w:rsid w:val="00031608"/>
    <w:rsid w:val="00031F2B"/>
    <w:rsid w:val="00033D2A"/>
    <w:rsid w:val="00033E34"/>
    <w:rsid w:val="0003460B"/>
    <w:rsid w:val="00034E26"/>
    <w:rsid w:val="000350D1"/>
    <w:rsid w:val="00035941"/>
    <w:rsid w:val="000401BC"/>
    <w:rsid w:val="000406B0"/>
    <w:rsid w:val="00041B5D"/>
    <w:rsid w:val="000460C8"/>
    <w:rsid w:val="00047DDD"/>
    <w:rsid w:val="00047F23"/>
    <w:rsid w:val="000504B6"/>
    <w:rsid w:val="00052B18"/>
    <w:rsid w:val="000551AA"/>
    <w:rsid w:val="000551CA"/>
    <w:rsid w:val="00056469"/>
    <w:rsid w:val="00056CF7"/>
    <w:rsid w:val="00056E85"/>
    <w:rsid w:val="0005784F"/>
    <w:rsid w:val="00057D33"/>
    <w:rsid w:val="000611C7"/>
    <w:rsid w:val="00062004"/>
    <w:rsid w:val="00063AC8"/>
    <w:rsid w:val="00064106"/>
    <w:rsid w:val="00064455"/>
    <w:rsid w:val="00064A3C"/>
    <w:rsid w:val="00065016"/>
    <w:rsid w:val="00065239"/>
    <w:rsid w:val="00066E76"/>
    <w:rsid w:val="000675AA"/>
    <w:rsid w:val="000721CD"/>
    <w:rsid w:val="00072896"/>
    <w:rsid w:val="00072E4E"/>
    <w:rsid w:val="0007544D"/>
    <w:rsid w:val="00075910"/>
    <w:rsid w:val="00075A24"/>
    <w:rsid w:val="00076C3C"/>
    <w:rsid w:val="000811C6"/>
    <w:rsid w:val="00082456"/>
    <w:rsid w:val="00082728"/>
    <w:rsid w:val="00084A30"/>
    <w:rsid w:val="00085F12"/>
    <w:rsid w:val="00087343"/>
    <w:rsid w:val="000901D4"/>
    <w:rsid w:val="0009031D"/>
    <w:rsid w:val="000903B4"/>
    <w:rsid w:val="00091407"/>
    <w:rsid w:val="00092967"/>
    <w:rsid w:val="00094011"/>
    <w:rsid w:val="0009449A"/>
    <w:rsid w:val="00096D3F"/>
    <w:rsid w:val="0009703C"/>
    <w:rsid w:val="000971E2"/>
    <w:rsid w:val="00097A4D"/>
    <w:rsid w:val="000A1579"/>
    <w:rsid w:val="000A1CAD"/>
    <w:rsid w:val="000A1F76"/>
    <w:rsid w:val="000A5323"/>
    <w:rsid w:val="000A56D9"/>
    <w:rsid w:val="000A621E"/>
    <w:rsid w:val="000A7ABB"/>
    <w:rsid w:val="000B27AF"/>
    <w:rsid w:val="000B39DF"/>
    <w:rsid w:val="000B503A"/>
    <w:rsid w:val="000B654C"/>
    <w:rsid w:val="000B672C"/>
    <w:rsid w:val="000B6877"/>
    <w:rsid w:val="000C023B"/>
    <w:rsid w:val="000C4D94"/>
    <w:rsid w:val="000C7DAA"/>
    <w:rsid w:val="000D05D9"/>
    <w:rsid w:val="000D18EA"/>
    <w:rsid w:val="000D1E09"/>
    <w:rsid w:val="000D33E7"/>
    <w:rsid w:val="000D36B7"/>
    <w:rsid w:val="000D3FDA"/>
    <w:rsid w:val="000D488B"/>
    <w:rsid w:val="000D76AF"/>
    <w:rsid w:val="000E255D"/>
    <w:rsid w:val="000E2D55"/>
    <w:rsid w:val="000E5CAF"/>
    <w:rsid w:val="000E5D81"/>
    <w:rsid w:val="000E63E4"/>
    <w:rsid w:val="000E68CA"/>
    <w:rsid w:val="000E7F1A"/>
    <w:rsid w:val="000F22FB"/>
    <w:rsid w:val="000F2976"/>
    <w:rsid w:val="000F2FED"/>
    <w:rsid w:val="000F3BAD"/>
    <w:rsid w:val="000F43C2"/>
    <w:rsid w:val="000F458C"/>
    <w:rsid w:val="000F57CC"/>
    <w:rsid w:val="000F717C"/>
    <w:rsid w:val="000F7C22"/>
    <w:rsid w:val="001019D3"/>
    <w:rsid w:val="0010260D"/>
    <w:rsid w:val="00102727"/>
    <w:rsid w:val="0010482A"/>
    <w:rsid w:val="0010534D"/>
    <w:rsid w:val="00110A5E"/>
    <w:rsid w:val="00110FD8"/>
    <w:rsid w:val="001111F8"/>
    <w:rsid w:val="0011149A"/>
    <w:rsid w:val="00111CD2"/>
    <w:rsid w:val="001120C5"/>
    <w:rsid w:val="0011219E"/>
    <w:rsid w:val="001126BB"/>
    <w:rsid w:val="00113595"/>
    <w:rsid w:val="00115564"/>
    <w:rsid w:val="00115978"/>
    <w:rsid w:val="00115A36"/>
    <w:rsid w:val="001160E9"/>
    <w:rsid w:val="00116DB5"/>
    <w:rsid w:val="00117746"/>
    <w:rsid w:val="00120843"/>
    <w:rsid w:val="00120923"/>
    <w:rsid w:val="00120EB4"/>
    <w:rsid w:val="001218A3"/>
    <w:rsid w:val="00121E51"/>
    <w:rsid w:val="001220AD"/>
    <w:rsid w:val="00122165"/>
    <w:rsid w:val="0012228D"/>
    <w:rsid w:val="0012242E"/>
    <w:rsid w:val="00123208"/>
    <w:rsid w:val="00124E2C"/>
    <w:rsid w:val="001258FD"/>
    <w:rsid w:val="00126620"/>
    <w:rsid w:val="001271BD"/>
    <w:rsid w:val="00127A16"/>
    <w:rsid w:val="00127E9C"/>
    <w:rsid w:val="00130C28"/>
    <w:rsid w:val="00131206"/>
    <w:rsid w:val="00131B3E"/>
    <w:rsid w:val="00132196"/>
    <w:rsid w:val="00133A66"/>
    <w:rsid w:val="00133B94"/>
    <w:rsid w:val="0013507D"/>
    <w:rsid w:val="00136288"/>
    <w:rsid w:val="00140517"/>
    <w:rsid w:val="00143733"/>
    <w:rsid w:val="00144EB4"/>
    <w:rsid w:val="00144F28"/>
    <w:rsid w:val="00146A8A"/>
    <w:rsid w:val="00146AAA"/>
    <w:rsid w:val="0014714B"/>
    <w:rsid w:val="0014796E"/>
    <w:rsid w:val="001507DB"/>
    <w:rsid w:val="0015168D"/>
    <w:rsid w:val="00152E0F"/>
    <w:rsid w:val="00152E9D"/>
    <w:rsid w:val="00153881"/>
    <w:rsid w:val="00155C01"/>
    <w:rsid w:val="001560ED"/>
    <w:rsid w:val="0016017F"/>
    <w:rsid w:val="00161B27"/>
    <w:rsid w:val="00161D88"/>
    <w:rsid w:val="0016233F"/>
    <w:rsid w:val="001633D0"/>
    <w:rsid w:val="001638C1"/>
    <w:rsid w:val="00164745"/>
    <w:rsid w:val="00165B5C"/>
    <w:rsid w:val="0016636C"/>
    <w:rsid w:val="00167C17"/>
    <w:rsid w:val="00170D75"/>
    <w:rsid w:val="00170E91"/>
    <w:rsid w:val="00171433"/>
    <w:rsid w:val="00171B7D"/>
    <w:rsid w:val="00171E7A"/>
    <w:rsid w:val="0017245C"/>
    <w:rsid w:val="00173831"/>
    <w:rsid w:val="00173C6F"/>
    <w:rsid w:val="00174688"/>
    <w:rsid w:val="00174B19"/>
    <w:rsid w:val="00174D63"/>
    <w:rsid w:val="00175086"/>
    <w:rsid w:val="001750D2"/>
    <w:rsid w:val="00176115"/>
    <w:rsid w:val="00176596"/>
    <w:rsid w:val="001765BB"/>
    <w:rsid w:val="0018291A"/>
    <w:rsid w:val="00182CE1"/>
    <w:rsid w:val="001833E6"/>
    <w:rsid w:val="001846D4"/>
    <w:rsid w:val="00185240"/>
    <w:rsid w:val="00185BAB"/>
    <w:rsid w:val="001864AF"/>
    <w:rsid w:val="00190F77"/>
    <w:rsid w:val="00192E33"/>
    <w:rsid w:val="00193208"/>
    <w:rsid w:val="001936AD"/>
    <w:rsid w:val="00193D81"/>
    <w:rsid w:val="00195726"/>
    <w:rsid w:val="0019667A"/>
    <w:rsid w:val="00196A56"/>
    <w:rsid w:val="00196D31"/>
    <w:rsid w:val="001A005B"/>
    <w:rsid w:val="001A0C84"/>
    <w:rsid w:val="001A0E73"/>
    <w:rsid w:val="001A22CF"/>
    <w:rsid w:val="001A2F25"/>
    <w:rsid w:val="001A35A7"/>
    <w:rsid w:val="001A37CF"/>
    <w:rsid w:val="001A37D7"/>
    <w:rsid w:val="001A3897"/>
    <w:rsid w:val="001A4FF2"/>
    <w:rsid w:val="001A5543"/>
    <w:rsid w:val="001A5687"/>
    <w:rsid w:val="001B0EFE"/>
    <w:rsid w:val="001B1B8C"/>
    <w:rsid w:val="001B28E5"/>
    <w:rsid w:val="001B3350"/>
    <w:rsid w:val="001B3E72"/>
    <w:rsid w:val="001B4103"/>
    <w:rsid w:val="001B43A0"/>
    <w:rsid w:val="001B45BB"/>
    <w:rsid w:val="001B616B"/>
    <w:rsid w:val="001B682D"/>
    <w:rsid w:val="001B6E1C"/>
    <w:rsid w:val="001C38A3"/>
    <w:rsid w:val="001C5C73"/>
    <w:rsid w:val="001C5D58"/>
    <w:rsid w:val="001C5D63"/>
    <w:rsid w:val="001C5E71"/>
    <w:rsid w:val="001C60BB"/>
    <w:rsid w:val="001C61D2"/>
    <w:rsid w:val="001C63E6"/>
    <w:rsid w:val="001C6D13"/>
    <w:rsid w:val="001D0032"/>
    <w:rsid w:val="001D040E"/>
    <w:rsid w:val="001D0700"/>
    <w:rsid w:val="001D1138"/>
    <w:rsid w:val="001D2AED"/>
    <w:rsid w:val="001D5271"/>
    <w:rsid w:val="001D7A14"/>
    <w:rsid w:val="001E0520"/>
    <w:rsid w:val="001E0E34"/>
    <w:rsid w:val="001E10FB"/>
    <w:rsid w:val="001E15CF"/>
    <w:rsid w:val="001E5891"/>
    <w:rsid w:val="001E58E4"/>
    <w:rsid w:val="001E678B"/>
    <w:rsid w:val="001E6B27"/>
    <w:rsid w:val="001E7D13"/>
    <w:rsid w:val="001F0319"/>
    <w:rsid w:val="001F11AC"/>
    <w:rsid w:val="001F2316"/>
    <w:rsid w:val="001F2AC2"/>
    <w:rsid w:val="001F304D"/>
    <w:rsid w:val="001F4F94"/>
    <w:rsid w:val="001F5427"/>
    <w:rsid w:val="001F5FC2"/>
    <w:rsid w:val="001F60CC"/>
    <w:rsid w:val="002000B7"/>
    <w:rsid w:val="00202CA0"/>
    <w:rsid w:val="00203176"/>
    <w:rsid w:val="00203E5D"/>
    <w:rsid w:val="00204B5B"/>
    <w:rsid w:val="002062F2"/>
    <w:rsid w:val="0020698B"/>
    <w:rsid w:val="00207358"/>
    <w:rsid w:val="00210E64"/>
    <w:rsid w:val="00211735"/>
    <w:rsid w:val="00211884"/>
    <w:rsid w:val="00211FE5"/>
    <w:rsid w:val="0021279B"/>
    <w:rsid w:val="002134F1"/>
    <w:rsid w:val="00213A78"/>
    <w:rsid w:val="00213DE6"/>
    <w:rsid w:val="00214A6C"/>
    <w:rsid w:val="00215300"/>
    <w:rsid w:val="0021591D"/>
    <w:rsid w:val="002168EE"/>
    <w:rsid w:val="00222EA1"/>
    <w:rsid w:val="00222F0B"/>
    <w:rsid w:val="00223618"/>
    <w:rsid w:val="00223771"/>
    <w:rsid w:val="00223AE4"/>
    <w:rsid w:val="0022421C"/>
    <w:rsid w:val="002253BA"/>
    <w:rsid w:val="0022696B"/>
    <w:rsid w:val="002276A8"/>
    <w:rsid w:val="00227CFB"/>
    <w:rsid w:val="00230C84"/>
    <w:rsid w:val="0023114F"/>
    <w:rsid w:val="00231A11"/>
    <w:rsid w:val="00233B9E"/>
    <w:rsid w:val="00233BC9"/>
    <w:rsid w:val="00234038"/>
    <w:rsid w:val="00234B6A"/>
    <w:rsid w:val="00235EB5"/>
    <w:rsid w:val="002370B7"/>
    <w:rsid w:val="002375B4"/>
    <w:rsid w:val="00242231"/>
    <w:rsid w:val="002422AF"/>
    <w:rsid w:val="002427B7"/>
    <w:rsid w:val="00242D71"/>
    <w:rsid w:val="0024348C"/>
    <w:rsid w:val="00243E64"/>
    <w:rsid w:val="00244F3A"/>
    <w:rsid w:val="0024504A"/>
    <w:rsid w:val="00246ABA"/>
    <w:rsid w:val="00247B51"/>
    <w:rsid w:val="00250434"/>
    <w:rsid w:val="00250D38"/>
    <w:rsid w:val="00251463"/>
    <w:rsid w:val="00251A44"/>
    <w:rsid w:val="00251D98"/>
    <w:rsid w:val="00251DCD"/>
    <w:rsid w:val="00251DFF"/>
    <w:rsid w:val="00255251"/>
    <w:rsid w:val="00257A1D"/>
    <w:rsid w:val="002600D5"/>
    <w:rsid w:val="002612B7"/>
    <w:rsid w:val="00261BB0"/>
    <w:rsid w:val="0026217B"/>
    <w:rsid w:val="002623BF"/>
    <w:rsid w:val="00262A5C"/>
    <w:rsid w:val="00263052"/>
    <w:rsid w:val="00263D2E"/>
    <w:rsid w:val="00263D76"/>
    <w:rsid w:val="002640E0"/>
    <w:rsid w:val="0026495A"/>
    <w:rsid w:val="002652B8"/>
    <w:rsid w:val="002660BD"/>
    <w:rsid w:val="002662FF"/>
    <w:rsid w:val="002675E8"/>
    <w:rsid w:val="00267604"/>
    <w:rsid w:val="002700C6"/>
    <w:rsid w:val="002704E3"/>
    <w:rsid w:val="002723A0"/>
    <w:rsid w:val="002726FB"/>
    <w:rsid w:val="00273F87"/>
    <w:rsid w:val="002776ED"/>
    <w:rsid w:val="00281805"/>
    <w:rsid w:val="00281B2C"/>
    <w:rsid w:val="00284D16"/>
    <w:rsid w:val="00284D81"/>
    <w:rsid w:val="00285313"/>
    <w:rsid w:val="002859E6"/>
    <w:rsid w:val="00286102"/>
    <w:rsid w:val="00286F01"/>
    <w:rsid w:val="002907B7"/>
    <w:rsid w:val="00290C14"/>
    <w:rsid w:val="00290C48"/>
    <w:rsid w:val="00292CCB"/>
    <w:rsid w:val="0029347D"/>
    <w:rsid w:val="00293C36"/>
    <w:rsid w:val="00293F66"/>
    <w:rsid w:val="0029411D"/>
    <w:rsid w:val="0029417F"/>
    <w:rsid w:val="00294428"/>
    <w:rsid w:val="00295493"/>
    <w:rsid w:val="00295EBD"/>
    <w:rsid w:val="00296620"/>
    <w:rsid w:val="00297720"/>
    <w:rsid w:val="002977A5"/>
    <w:rsid w:val="002A08FC"/>
    <w:rsid w:val="002A1E24"/>
    <w:rsid w:val="002A1FEF"/>
    <w:rsid w:val="002A2834"/>
    <w:rsid w:val="002A2EBB"/>
    <w:rsid w:val="002A3020"/>
    <w:rsid w:val="002A3A62"/>
    <w:rsid w:val="002A43DA"/>
    <w:rsid w:val="002A4842"/>
    <w:rsid w:val="002A4C21"/>
    <w:rsid w:val="002A4E3A"/>
    <w:rsid w:val="002A6464"/>
    <w:rsid w:val="002A6959"/>
    <w:rsid w:val="002A6A74"/>
    <w:rsid w:val="002A789B"/>
    <w:rsid w:val="002A7966"/>
    <w:rsid w:val="002B0402"/>
    <w:rsid w:val="002B2ABF"/>
    <w:rsid w:val="002B3A96"/>
    <w:rsid w:val="002B47A0"/>
    <w:rsid w:val="002B6E89"/>
    <w:rsid w:val="002B70C1"/>
    <w:rsid w:val="002C110E"/>
    <w:rsid w:val="002C13C1"/>
    <w:rsid w:val="002C2110"/>
    <w:rsid w:val="002C3601"/>
    <w:rsid w:val="002C4347"/>
    <w:rsid w:val="002C5E8E"/>
    <w:rsid w:val="002C612E"/>
    <w:rsid w:val="002C6878"/>
    <w:rsid w:val="002C688C"/>
    <w:rsid w:val="002C6AAC"/>
    <w:rsid w:val="002C7836"/>
    <w:rsid w:val="002C7AB9"/>
    <w:rsid w:val="002D0A60"/>
    <w:rsid w:val="002D0BE4"/>
    <w:rsid w:val="002D20BC"/>
    <w:rsid w:val="002D22F5"/>
    <w:rsid w:val="002D2D56"/>
    <w:rsid w:val="002D34F4"/>
    <w:rsid w:val="002D3916"/>
    <w:rsid w:val="002D3A99"/>
    <w:rsid w:val="002D44B4"/>
    <w:rsid w:val="002D46C3"/>
    <w:rsid w:val="002D472B"/>
    <w:rsid w:val="002D5C6F"/>
    <w:rsid w:val="002D6135"/>
    <w:rsid w:val="002D66A0"/>
    <w:rsid w:val="002E02CD"/>
    <w:rsid w:val="002E08C9"/>
    <w:rsid w:val="002E14E0"/>
    <w:rsid w:val="002E48B4"/>
    <w:rsid w:val="002E4C23"/>
    <w:rsid w:val="002E5200"/>
    <w:rsid w:val="002E5288"/>
    <w:rsid w:val="002E5A05"/>
    <w:rsid w:val="002E6BB0"/>
    <w:rsid w:val="002E72D4"/>
    <w:rsid w:val="002F04C8"/>
    <w:rsid w:val="002F04D9"/>
    <w:rsid w:val="002F064B"/>
    <w:rsid w:val="002F0D9D"/>
    <w:rsid w:val="002F1D80"/>
    <w:rsid w:val="002F2EFB"/>
    <w:rsid w:val="002F355F"/>
    <w:rsid w:val="002F4779"/>
    <w:rsid w:val="00301968"/>
    <w:rsid w:val="00301AE5"/>
    <w:rsid w:val="003053B9"/>
    <w:rsid w:val="00307169"/>
    <w:rsid w:val="003072F9"/>
    <w:rsid w:val="003075AE"/>
    <w:rsid w:val="003075B3"/>
    <w:rsid w:val="003075BD"/>
    <w:rsid w:val="003100AC"/>
    <w:rsid w:val="00310357"/>
    <w:rsid w:val="0031078A"/>
    <w:rsid w:val="003108CD"/>
    <w:rsid w:val="003112F5"/>
    <w:rsid w:val="00311D9B"/>
    <w:rsid w:val="00312E84"/>
    <w:rsid w:val="00313193"/>
    <w:rsid w:val="00313396"/>
    <w:rsid w:val="003144BC"/>
    <w:rsid w:val="00314FD6"/>
    <w:rsid w:val="0031530E"/>
    <w:rsid w:val="00315C83"/>
    <w:rsid w:val="00316C18"/>
    <w:rsid w:val="00320382"/>
    <w:rsid w:val="00321891"/>
    <w:rsid w:val="00322282"/>
    <w:rsid w:val="00323277"/>
    <w:rsid w:val="00323448"/>
    <w:rsid w:val="0032548C"/>
    <w:rsid w:val="0032552D"/>
    <w:rsid w:val="003257A2"/>
    <w:rsid w:val="00326D52"/>
    <w:rsid w:val="00330D9C"/>
    <w:rsid w:val="0033130D"/>
    <w:rsid w:val="0033154E"/>
    <w:rsid w:val="00331E76"/>
    <w:rsid w:val="00332F42"/>
    <w:rsid w:val="0033412A"/>
    <w:rsid w:val="00334BE7"/>
    <w:rsid w:val="0033510E"/>
    <w:rsid w:val="00336740"/>
    <w:rsid w:val="003369D6"/>
    <w:rsid w:val="0034059D"/>
    <w:rsid w:val="00342337"/>
    <w:rsid w:val="003428EA"/>
    <w:rsid w:val="0034314F"/>
    <w:rsid w:val="003432E9"/>
    <w:rsid w:val="00343CD1"/>
    <w:rsid w:val="00343F22"/>
    <w:rsid w:val="00344280"/>
    <w:rsid w:val="0034437B"/>
    <w:rsid w:val="0034513B"/>
    <w:rsid w:val="0034623C"/>
    <w:rsid w:val="00350508"/>
    <w:rsid w:val="00350A30"/>
    <w:rsid w:val="00350B06"/>
    <w:rsid w:val="003530C0"/>
    <w:rsid w:val="003532AC"/>
    <w:rsid w:val="00353440"/>
    <w:rsid w:val="003537F4"/>
    <w:rsid w:val="0035385E"/>
    <w:rsid w:val="00354366"/>
    <w:rsid w:val="00354568"/>
    <w:rsid w:val="00354C3A"/>
    <w:rsid w:val="003552C4"/>
    <w:rsid w:val="00355AEE"/>
    <w:rsid w:val="00355C47"/>
    <w:rsid w:val="0035609B"/>
    <w:rsid w:val="003561A9"/>
    <w:rsid w:val="00356EEC"/>
    <w:rsid w:val="00357491"/>
    <w:rsid w:val="0035790C"/>
    <w:rsid w:val="003579B0"/>
    <w:rsid w:val="003615FB"/>
    <w:rsid w:val="00361DA0"/>
    <w:rsid w:val="0036248F"/>
    <w:rsid w:val="00365618"/>
    <w:rsid w:val="0036564A"/>
    <w:rsid w:val="003656B3"/>
    <w:rsid w:val="00367C4A"/>
    <w:rsid w:val="00367DBB"/>
    <w:rsid w:val="00370957"/>
    <w:rsid w:val="003717CB"/>
    <w:rsid w:val="00373B6C"/>
    <w:rsid w:val="0037431A"/>
    <w:rsid w:val="003761D4"/>
    <w:rsid w:val="00376A31"/>
    <w:rsid w:val="003827CE"/>
    <w:rsid w:val="00382F39"/>
    <w:rsid w:val="0038402F"/>
    <w:rsid w:val="003842ED"/>
    <w:rsid w:val="00384DCB"/>
    <w:rsid w:val="003850FD"/>
    <w:rsid w:val="00386DD8"/>
    <w:rsid w:val="003873D9"/>
    <w:rsid w:val="00387DCE"/>
    <w:rsid w:val="00387E57"/>
    <w:rsid w:val="00390D23"/>
    <w:rsid w:val="00390D84"/>
    <w:rsid w:val="0039120B"/>
    <w:rsid w:val="003919E2"/>
    <w:rsid w:val="00392518"/>
    <w:rsid w:val="00392D7C"/>
    <w:rsid w:val="0039315C"/>
    <w:rsid w:val="00393211"/>
    <w:rsid w:val="00394129"/>
    <w:rsid w:val="003A0105"/>
    <w:rsid w:val="003A1A50"/>
    <w:rsid w:val="003A3259"/>
    <w:rsid w:val="003A3554"/>
    <w:rsid w:val="003A3ADF"/>
    <w:rsid w:val="003A4533"/>
    <w:rsid w:val="003A5C5A"/>
    <w:rsid w:val="003A5F86"/>
    <w:rsid w:val="003A71A2"/>
    <w:rsid w:val="003B0354"/>
    <w:rsid w:val="003B0F01"/>
    <w:rsid w:val="003B1963"/>
    <w:rsid w:val="003B1B4C"/>
    <w:rsid w:val="003B297F"/>
    <w:rsid w:val="003B34C8"/>
    <w:rsid w:val="003B6E01"/>
    <w:rsid w:val="003B7047"/>
    <w:rsid w:val="003B7462"/>
    <w:rsid w:val="003B761D"/>
    <w:rsid w:val="003B7C2A"/>
    <w:rsid w:val="003C11D4"/>
    <w:rsid w:val="003C1622"/>
    <w:rsid w:val="003C3A64"/>
    <w:rsid w:val="003C426B"/>
    <w:rsid w:val="003C4464"/>
    <w:rsid w:val="003C5202"/>
    <w:rsid w:val="003D136B"/>
    <w:rsid w:val="003D164F"/>
    <w:rsid w:val="003D2709"/>
    <w:rsid w:val="003D2D42"/>
    <w:rsid w:val="003D3961"/>
    <w:rsid w:val="003D5224"/>
    <w:rsid w:val="003D5615"/>
    <w:rsid w:val="003D56DB"/>
    <w:rsid w:val="003D773E"/>
    <w:rsid w:val="003E0B1F"/>
    <w:rsid w:val="003E0E3B"/>
    <w:rsid w:val="003E1764"/>
    <w:rsid w:val="003E19A4"/>
    <w:rsid w:val="003E201C"/>
    <w:rsid w:val="003E38C3"/>
    <w:rsid w:val="003E3979"/>
    <w:rsid w:val="003E3E36"/>
    <w:rsid w:val="003E7C74"/>
    <w:rsid w:val="003F06C0"/>
    <w:rsid w:val="003F1631"/>
    <w:rsid w:val="003F17F0"/>
    <w:rsid w:val="003F1F4A"/>
    <w:rsid w:val="003F2398"/>
    <w:rsid w:val="003F33FA"/>
    <w:rsid w:val="003F3E5F"/>
    <w:rsid w:val="003F4CE9"/>
    <w:rsid w:val="003F668C"/>
    <w:rsid w:val="00400374"/>
    <w:rsid w:val="0040169D"/>
    <w:rsid w:val="00401E73"/>
    <w:rsid w:val="00403EB9"/>
    <w:rsid w:val="00403F8F"/>
    <w:rsid w:val="00406EBF"/>
    <w:rsid w:val="00407CA3"/>
    <w:rsid w:val="00407E2D"/>
    <w:rsid w:val="0041044B"/>
    <w:rsid w:val="00410B9E"/>
    <w:rsid w:val="0041233D"/>
    <w:rsid w:val="00413B71"/>
    <w:rsid w:val="00414BE4"/>
    <w:rsid w:val="00414D4F"/>
    <w:rsid w:val="00416080"/>
    <w:rsid w:val="00416C64"/>
    <w:rsid w:val="00416F0C"/>
    <w:rsid w:val="004171D8"/>
    <w:rsid w:val="00417277"/>
    <w:rsid w:val="004206BF"/>
    <w:rsid w:val="00420A14"/>
    <w:rsid w:val="00420CC3"/>
    <w:rsid w:val="00422590"/>
    <w:rsid w:val="00424E86"/>
    <w:rsid w:val="00426AED"/>
    <w:rsid w:val="00426C1E"/>
    <w:rsid w:val="00426D6A"/>
    <w:rsid w:val="00427BD3"/>
    <w:rsid w:val="00430406"/>
    <w:rsid w:val="00430EA0"/>
    <w:rsid w:val="00430FAA"/>
    <w:rsid w:val="004313B5"/>
    <w:rsid w:val="004314A6"/>
    <w:rsid w:val="00431AA8"/>
    <w:rsid w:val="0043201E"/>
    <w:rsid w:val="0043260E"/>
    <w:rsid w:val="00435C52"/>
    <w:rsid w:val="004361AA"/>
    <w:rsid w:val="0043644D"/>
    <w:rsid w:val="00436A85"/>
    <w:rsid w:val="00437FE3"/>
    <w:rsid w:val="004406AC"/>
    <w:rsid w:val="00441787"/>
    <w:rsid w:val="0044290E"/>
    <w:rsid w:val="00442B6E"/>
    <w:rsid w:val="00442E94"/>
    <w:rsid w:val="00444843"/>
    <w:rsid w:val="004448B9"/>
    <w:rsid w:val="004455B0"/>
    <w:rsid w:val="00445C90"/>
    <w:rsid w:val="0044699A"/>
    <w:rsid w:val="00446BD9"/>
    <w:rsid w:val="00446F98"/>
    <w:rsid w:val="00447087"/>
    <w:rsid w:val="00447607"/>
    <w:rsid w:val="004505E0"/>
    <w:rsid w:val="0045306A"/>
    <w:rsid w:val="004530B8"/>
    <w:rsid w:val="004536C8"/>
    <w:rsid w:val="004550C4"/>
    <w:rsid w:val="004551A2"/>
    <w:rsid w:val="004558E9"/>
    <w:rsid w:val="004558F5"/>
    <w:rsid w:val="004559B5"/>
    <w:rsid w:val="00456C4D"/>
    <w:rsid w:val="00457007"/>
    <w:rsid w:val="00457041"/>
    <w:rsid w:val="00457222"/>
    <w:rsid w:val="00461630"/>
    <w:rsid w:val="00461C22"/>
    <w:rsid w:val="00461E92"/>
    <w:rsid w:val="00462E9F"/>
    <w:rsid w:val="00463920"/>
    <w:rsid w:val="0046487E"/>
    <w:rsid w:val="00465191"/>
    <w:rsid w:val="00465451"/>
    <w:rsid w:val="00471A9D"/>
    <w:rsid w:val="004723F2"/>
    <w:rsid w:val="00473093"/>
    <w:rsid w:val="0047316D"/>
    <w:rsid w:val="00473E61"/>
    <w:rsid w:val="00473F32"/>
    <w:rsid w:val="00474736"/>
    <w:rsid w:val="00474B3E"/>
    <w:rsid w:val="0047514C"/>
    <w:rsid w:val="00475FED"/>
    <w:rsid w:val="00476374"/>
    <w:rsid w:val="00477800"/>
    <w:rsid w:val="00477B62"/>
    <w:rsid w:val="0048033C"/>
    <w:rsid w:val="004828FA"/>
    <w:rsid w:val="00484B67"/>
    <w:rsid w:val="00485648"/>
    <w:rsid w:val="004856D8"/>
    <w:rsid w:val="00485710"/>
    <w:rsid w:val="004879F0"/>
    <w:rsid w:val="00490360"/>
    <w:rsid w:val="00492203"/>
    <w:rsid w:val="00494386"/>
    <w:rsid w:val="00495EA2"/>
    <w:rsid w:val="00497108"/>
    <w:rsid w:val="004976E1"/>
    <w:rsid w:val="004A13F0"/>
    <w:rsid w:val="004A15D5"/>
    <w:rsid w:val="004A209E"/>
    <w:rsid w:val="004A2F07"/>
    <w:rsid w:val="004A3738"/>
    <w:rsid w:val="004A3D1C"/>
    <w:rsid w:val="004A51A3"/>
    <w:rsid w:val="004A5909"/>
    <w:rsid w:val="004A6370"/>
    <w:rsid w:val="004A637E"/>
    <w:rsid w:val="004A6F95"/>
    <w:rsid w:val="004A7F30"/>
    <w:rsid w:val="004B0E80"/>
    <w:rsid w:val="004B1D31"/>
    <w:rsid w:val="004B30B7"/>
    <w:rsid w:val="004B461C"/>
    <w:rsid w:val="004B49AD"/>
    <w:rsid w:val="004B5203"/>
    <w:rsid w:val="004B6FAF"/>
    <w:rsid w:val="004B739D"/>
    <w:rsid w:val="004C0AC4"/>
    <w:rsid w:val="004C0AEA"/>
    <w:rsid w:val="004C0F62"/>
    <w:rsid w:val="004C123E"/>
    <w:rsid w:val="004C17C1"/>
    <w:rsid w:val="004C23E5"/>
    <w:rsid w:val="004C330C"/>
    <w:rsid w:val="004C343A"/>
    <w:rsid w:val="004C34CE"/>
    <w:rsid w:val="004C39C9"/>
    <w:rsid w:val="004C43B3"/>
    <w:rsid w:val="004C441B"/>
    <w:rsid w:val="004C4CBC"/>
    <w:rsid w:val="004C6D8B"/>
    <w:rsid w:val="004C6FDA"/>
    <w:rsid w:val="004C7E13"/>
    <w:rsid w:val="004D0E22"/>
    <w:rsid w:val="004D169F"/>
    <w:rsid w:val="004D1DE0"/>
    <w:rsid w:val="004D352C"/>
    <w:rsid w:val="004D3D6E"/>
    <w:rsid w:val="004D512E"/>
    <w:rsid w:val="004D7ABB"/>
    <w:rsid w:val="004E035E"/>
    <w:rsid w:val="004E0A8F"/>
    <w:rsid w:val="004E1670"/>
    <w:rsid w:val="004E16C5"/>
    <w:rsid w:val="004E1A77"/>
    <w:rsid w:val="004E45BB"/>
    <w:rsid w:val="004E533E"/>
    <w:rsid w:val="004E6E9D"/>
    <w:rsid w:val="004E7337"/>
    <w:rsid w:val="004E7E20"/>
    <w:rsid w:val="004F1B8B"/>
    <w:rsid w:val="004F1D56"/>
    <w:rsid w:val="004F2853"/>
    <w:rsid w:val="004F33BD"/>
    <w:rsid w:val="004F4983"/>
    <w:rsid w:val="004F4B41"/>
    <w:rsid w:val="004F518C"/>
    <w:rsid w:val="004F57E4"/>
    <w:rsid w:val="004F58DC"/>
    <w:rsid w:val="004F59A1"/>
    <w:rsid w:val="004F61B4"/>
    <w:rsid w:val="004F7161"/>
    <w:rsid w:val="004F7527"/>
    <w:rsid w:val="005005C1"/>
    <w:rsid w:val="005018EA"/>
    <w:rsid w:val="00501910"/>
    <w:rsid w:val="00502C60"/>
    <w:rsid w:val="005037EF"/>
    <w:rsid w:val="00504491"/>
    <w:rsid w:val="00504888"/>
    <w:rsid w:val="005048F2"/>
    <w:rsid w:val="0050511E"/>
    <w:rsid w:val="0050531B"/>
    <w:rsid w:val="00505B33"/>
    <w:rsid w:val="005074B5"/>
    <w:rsid w:val="00510047"/>
    <w:rsid w:val="005107A8"/>
    <w:rsid w:val="00512196"/>
    <w:rsid w:val="0051265D"/>
    <w:rsid w:val="0051362B"/>
    <w:rsid w:val="00515088"/>
    <w:rsid w:val="005158FC"/>
    <w:rsid w:val="00515981"/>
    <w:rsid w:val="00515B67"/>
    <w:rsid w:val="00516182"/>
    <w:rsid w:val="00516212"/>
    <w:rsid w:val="005173E5"/>
    <w:rsid w:val="0051795E"/>
    <w:rsid w:val="005212CA"/>
    <w:rsid w:val="00521BA5"/>
    <w:rsid w:val="00522732"/>
    <w:rsid w:val="005235E2"/>
    <w:rsid w:val="00524BA8"/>
    <w:rsid w:val="00524F3D"/>
    <w:rsid w:val="00525560"/>
    <w:rsid w:val="00526374"/>
    <w:rsid w:val="0052652E"/>
    <w:rsid w:val="0052662F"/>
    <w:rsid w:val="00526EB7"/>
    <w:rsid w:val="00527EFB"/>
    <w:rsid w:val="005301E6"/>
    <w:rsid w:val="00531103"/>
    <w:rsid w:val="005313C9"/>
    <w:rsid w:val="0053188A"/>
    <w:rsid w:val="00532393"/>
    <w:rsid w:val="00532B02"/>
    <w:rsid w:val="00532FDE"/>
    <w:rsid w:val="005336E4"/>
    <w:rsid w:val="00534B28"/>
    <w:rsid w:val="00534D88"/>
    <w:rsid w:val="00536847"/>
    <w:rsid w:val="005368CD"/>
    <w:rsid w:val="00541411"/>
    <w:rsid w:val="00541F5A"/>
    <w:rsid w:val="005441C6"/>
    <w:rsid w:val="005442E7"/>
    <w:rsid w:val="00544460"/>
    <w:rsid w:val="00545720"/>
    <w:rsid w:val="00546060"/>
    <w:rsid w:val="00546577"/>
    <w:rsid w:val="00547E28"/>
    <w:rsid w:val="0055028F"/>
    <w:rsid w:val="00550A46"/>
    <w:rsid w:val="00554D31"/>
    <w:rsid w:val="00554DE1"/>
    <w:rsid w:val="00555498"/>
    <w:rsid w:val="0055569D"/>
    <w:rsid w:val="005556A4"/>
    <w:rsid w:val="0055689D"/>
    <w:rsid w:val="00556FC0"/>
    <w:rsid w:val="005609DE"/>
    <w:rsid w:val="00560E85"/>
    <w:rsid w:val="005615C9"/>
    <w:rsid w:val="005617C3"/>
    <w:rsid w:val="0056281D"/>
    <w:rsid w:val="00563157"/>
    <w:rsid w:val="00563E1C"/>
    <w:rsid w:val="00564043"/>
    <w:rsid w:val="00564371"/>
    <w:rsid w:val="0056460E"/>
    <w:rsid w:val="005652D9"/>
    <w:rsid w:val="005654D9"/>
    <w:rsid w:val="00566140"/>
    <w:rsid w:val="00567307"/>
    <w:rsid w:val="005717FB"/>
    <w:rsid w:val="005719E6"/>
    <w:rsid w:val="00571E8E"/>
    <w:rsid w:val="0057305C"/>
    <w:rsid w:val="00576B13"/>
    <w:rsid w:val="00577E6B"/>
    <w:rsid w:val="00580065"/>
    <w:rsid w:val="0058043F"/>
    <w:rsid w:val="00580EB0"/>
    <w:rsid w:val="005823CC"/>
    <w:rsid w:val="00583030"/>
    <w:rsid w:val="00583480"/>
    <w:rsid w:val="005839EF"/>
    <w:rsid w:val="00587AB4"/>
    <w:rsid w:val="005905E1"/>
    <w:rsid w:val="0059108F"/>
    <w:rsid w:val="00591152"/>
    <w:rsid w:val="00591216"/>
    <w:rsid w:val="00591D41"/>
    <w:rsid w:val="005923DA"/>
    <w:rsid w:val="00594268"/>
    <w:rsid w:val="005943F7"/>
    <w:rsid w:val="005955BF"/>
    <w:rsid w:val="005A08B4"/>
    <w:rsid w:val="005A2436"/>
    <w:rsid w:val="005A25D6"/>
    <w:rsid w:val="005A351E"/>
    <w:rsid w:val="005A36CF"/>
    <w:rsid w:val="005A5B0D"/>
    <w:rsid w:val="005A5CD9"/>
    <w:rsid w:val="005A7FAF"/>
    <w:rsid w:val="005B0AC5"/>
    <w:rsid w:val="005B1408"/>
    <w:rsid w:val="005B1B67"/>
    <w:rsid w:val="005B1FA4"/>
    <w:rsid w:val="005B2FD0"/>
    <w:rsid w:val="005B41C5"/>
    <w:rsid w:val="005B62F0"/>
    <w:rsid w:val="005B6ECC"/>
    <w:rsid w:val="005B78BB"/>
    <w:rsid w:val="005C1123"/>
    <w:rsid w:val="005C292D"/>
    <w:rsid w:val="005C3AA8"/>
    <w:rsid w:val="005C4148"/>
    <w:rsid w:val="005C47FE"/>
    <w:rsid w:val="005C4A77"/>
    <w:rsid w:val="005C64BA"/>
    <w:rsid w:val="005C72A8"/>
    <w:rsid w:val="005C73D9"/>
    <w:rsid w:val="005D0885"/>
    <w:rsid w:val="005D4420"/>
    <w:rsid w:val="005D4593"/>
    <w:rsid w:val="005D58CD"/>
    <w:rsid w:val="005D637E"/>
    <w:rsid w:val="005D67A7"/>
    <w:rsid w:val="005E093E"/>
    <w:rsid w:val="005E2338"/>
    <w:rsid w:val="005E39FF"/>
    <w:rsid w:val="005E3B83"/>
    <w:rsid w:val="005E780E"/>
    <w:rsid w:val="005F057D"/>
    <w:rsid w:val="005F0887"/>
    <w:rsid w:val="005F1AA5"/>
    <w:rsid w:val="005F27D1"/>
    <w:rsid w:val="005F2DBF"/>
    <w:rsid w:val="005F3459"/>
    <w:rsid w:val="005F346C"/>
    <w:rsid w:val="005F4466"/>
    <w:rsid w:val="005F4C7E"/>
    <w:rsid w:val="005F4F44"/>
    <w:rsid w:val="005F6DB8"/>
    <w:rsid w:val="005F6E9F"/>
    <w:rsid w:val="005F7696"/>
    <w:rsid w:val="005F7917"/>
    <w:rsid w:val="006001FC"/>
    <w:rsid w:val="00600BD0"/>
    <w:rsid w:val="00601649"/>
    <w:rsid w:val="006028E1"/>
    <w:rsid w:val="0060313C"/>
    <w:rsid w:val="00603FC6"/>
    <w:rsid w:val="0060485B"/>
    <w:rsid w:val="0060686F"/>
    <w:rsid w:val="00606A47"/>
    <w:rsid w:val="006071BE"/>
    <w:rsid w:val="006071E8"/>
    <w:rsid w:val="006078CA"/>
    <w:rsid w:val="00610381"/>
    <w:rsid w:val="00612836"/>
    <w:rsid w:val="00612B8B"/>
    <w:rsid w:val="00612CC1"/>
    <w:rsid w:val="00615147"/>
    <w:rsid w:val="00617048"/>
    <w:rsid w:val="006173DA"/>
    <w:rsid w:val="006207CB"/>
    <w:rsid w:val="006209CB"/>
    <w:rsid w:val="00620C0D"/>
    <w:rsid w:val="00626758"/>
    <w:rsid w:val="006269F7"/>
    <w:rsid w:val="006314D2"/>
    <w:rsid w:val="00632426"/>
    <w:rsid w:val="00633CEB"/>
    <w:rsid w:val="00635A4F"/>
    <w:rsid w:val="00641569"/>
    <w:rsid w:val="00641E9C"/>
    <w:rsid w:val="0064283C"/>
    <w:rsid w:val="006431AD"/>
    <w:rsid w:val="0064338E"/>
    <w:rsid w:val="00644435"/>
    <w:rsid w:val="00644BFE"/>
    <w:rsid w:val="00644E6F"/>
    <w:rsid w:val="00645063"/>
    <w:rsid w:val="00645F7C"/>
    <w:rsid w:val="00646072"/>
    <w:rsid w:val="006465D9"/>
    <w:rsid w:val="0064664F"/>
    <w:rsid w:val="006505EF"/>
    <w:rsid w:val="00651656"/>
    <w:rsid w:val="00651C8E"/>
    <w:rsid w:val="00651D93"/>
    <w:rsid w:val="00652050"/>
    <w:rsid w:val="006529F2"/>
    <w:rsid w:val="00654C0B"/>
    <w:rsid w:val="0065531C"/>
    <w:rsid w:val="006568DA"/>
    <w:rsid w:val="006572CB"/>
    <w:rsid w:val="006578C5"/>
    <w:rsid w:val="00657918"/>
    <w:rsid w:val="00657A31"/>
    <w:rsid w:val="00657B10"/>
    <w:rsid w:val="00662285"/>
    <w:rsid w:val="0066238C"/>
    <w:rsid w:val="00662390"/>
    <w:rsid w:val="0066288F"/>
    <w:rsid w:val="0066456A"/>
    <w:rsid w:val="006650F7"/>
    <w:rsid w:val="006664D3"/>
    <w:rsid w:val="00666B9D"/>
    <w:rsid w:val="00666E7F"/>
    <w:rsid w:val="00670038"/>
    <w:rsid w:val="006706A3"/>
    <w:rsid w:val="00670A5E"/>
    <w:rsid w:val="00670CF9"/>
    <w:rsid w:val="006715B6"/>
    <w:rsid w:val="006728B6"/>
    <w:rsid w:val="006734DE"/>
    <w:rsid w:val="00673600"/>
    <w:rsid w:val="006740EC"/>
    <w:rsid w:val="00674DD2"/>
    <w:rsid w:val="006751CC"/>
    <w:rsid w:val="00676313"/>
    <w:rsid w:val="00676BF8"/>
    <w:rsid w:val="00676E05"/>
    <w:rsid w:val="00677A55"/>
    <w:rsid w:val="00680FDE"/>
    <w:rsid w:val="00682DDC"/>
    <w:rsid w:val="006832D4"/>
    <w:rsid w:val="006846EB"/>
    <w:rsid w:val="006859A9"/>
    <w:rsid w:val="00686073"/>
    <w:rsid w:val="00686DFD"/>
    <w:rsid w:val="00686FC1"/>
    <w:rsid w:val="00687DE8"/>
    <w:rsid w:val="00690462"/>
    <w:rsid w:val="00691457"/>
    <w:rsid w:val="00693721"/>
    <w:rsid w:val="00694494"/>
    <w:rsid w:val="00694BB9"/>
    <w:rsid w:val="0069592D"/>
    <w:rsid w:val="006A0A93"/>
    <w:rsid w:val="006A20E5"/>
    <w:rsid w:val="006A29E6"/>
    <w:rsid w:val="006A2CBB"/>
    <w:rsid w:val="006A2FCD"/>
    <w:rsid w:val="006A63C3"/>
    <w:rsid w:val="006A6E70"/>
    <w:rsid w:val="006B04C5"/>
    <w:rsid w:val="006B21B2"/>
    <w:rsid w:val="006B316E"/>
    <w:rsid w:val="006B32D1"/>
    <w:rsid w:val="006B3569"/>
    <w:rsid w:val="006B4B4F"/>
    <w:rsid w:val="006B6483"/>
    <w:rsid w:val="006B64BC"/>
    <w:rsid w:val="006B6D9A"/>
    <w:rsid w:val="006B6F4B"/>
    <w:rsid w:val="006B7B12"/>
    <w:rsid w:val="006C1254"/>
    <w:rsid w:val="006C16D1"/>
    <w:rsid w:val="006C1BAF"/>
    <w:rsid w:val="006C1CCE"/>
    <w:rsid w:val="006C2153"/>
    <w:rsid w:val="006C4246"/>
    <w:rsid w:val="006C5601"/>
    <w:rsid w:val="006C5B27"/>
    <w:rsid w:val="006C6210"/>
    <w:rsid w:val="006C6868"/>
    <w:rsid w:val="006C7B22"/>
    <w:rsid w:val="006D0384"/>
    <w:rsid w:val="006D0EE8"/>
    <w:rsid w:val="006D136B"/>
    <w:rsid w:val="006D15F8"/>
    <w:rsid w:val="006D174B"/>
    <w:rsid w:val="006D2019"/>
    <w:rsid w:val="006D203A"/>
    <w:rsid w:val="006D37A9"/>
    <w:rsid w:val="006D4080"/>
    <w:rsid w:val="006D5747"/>
    <w:rsid w:val="006D6006"/>
    <w:rsid w:val="006D7891"/>
    <w:rsid w:val="006E027D"/>
    <w:rsid w:val="006E0444"/>
    <w:rsid w:val="006E123D"/>
    <w:rsid w:val="006E2961"/>
    <w:rsid w:val="006F1A3F"/>
    <w:rsid w:val="006F1CBB"/>
    <w:rsid w:val="006F28DD"/>
    <w:rsid w:val="006F4FF7"/>
    <w:rsid w:val="006F551F"/>
    <w:rsid w:val="006F6019"/>
    <w:rsid w:val="006F7881"/>
    <w:rsid w:val="0070021E"/>
    <w:rsid w:val="0070037D"/>
    <w:rsid w:val="007016F9"/>
    <w:rsid w:val="00705574"/>
    <w:rsid w:val="00705DA5"/>
    <w:rsid w:val="00706838"/>
    <w:rsid w:val="00706CF1"/>
    <w:rsid w:val="00706D3B"/>
    <w:rsid w:val="00706EFC"/>
    <w:rsid w:val="00707252"/>
    <w:rsid w:val="00710C3E"/>
    <w:rsid w:val="0071330B"/>
    <w:rsid w:val="0071356D"/>
    <w:rsid w:val="007138CD"/>
    <w:rsid w:val="00713ACE"/>
    <w:rsid w:val="007156EB"/>
    <w:rsid w:val="00716060"/>
    <w:rsid w:val="00717807"/>
    <w:rsid w:val="00720CD7"/>
    <w:rsid w:val="0072107C"/>
    <w:rsid w:val="0072130F"/>
    <w:rsid w:val="00721DBB"/>
    <w:rsid w:val="00722F31"/>
    <w:rsid w:val="00723379"/>
    <w:rsid w:val="0072412D"/>
    <w:rsid w:val="007241F0"/>
    <w:rsid w:val="00724880"/>
    <w:rsid w:val="00726788"/>
    <w:rsid w:val="00726BD0"/>
    <w:rsid w:val="00730290"/>
    <w:rsid w:val="00731D92"/>
    <w:rsid w:val="007325A3"/>
    <w:rsid w:val="00732F66"/>
    <w:rsid w:val="00734E64"/>
    <w:rsid w:val="007355ED"/>
    <w:rsid w:val="0074279F"/>
    <w:rsid w:val="00743069"/>
    <w:rsid w:val="00743248"/>
    <w:rsid w:val="0074429E"/>
    <w:rsid w:val="007453B6"/>
    <w:rsid w:val="00745B71"/>
    <w:rsid w:val="00745C1E"/>
    <w:rsid w:val="00746DCA"/>
    <w:rsid w:val="00746E1B"/>
    <w:rsid w:val="00747762"/>
    <w:rsid w:val="00747B23"/>
    <w:rsid w:val="00747F4F"/>
    <w:rsid w:val="00750807"/>
    <w:rsid w:val="00750D24"/>
    <w:rsid w:val="00750F7B"/>
    <w:rsid w:val="007511FA"/>
    <w:rsid w:val="00751A2B"/>
    <w:rsid w:val="0075279F"/>
    <w:rsid w:val="0075353B"/>
    <w:rsid w:val="00753AEE"/>
    <w:rsid w:val="00754DBB"/>
    <w:rsid w:val="0075548F"/>
    <w:rsid w:val="00756438"/>
    <w:rsid w:val="00757263"/>
    <w:rsid w:val="007604C2"/>
    <w:rsid w:val="00761690"/>
    <w:rsid w:val="00766A0C"/>
    <w:rsid w:val="007679D5"/>
    <w:rsid w:val="00767D2A"/>
    <w:rsid w:val="00770027"/>
    <w:rsid w:val="00770A7C"/>
    <w:rsid w:val="00771D2A"/>
    <w:rsid w:val="007725C8"/>
    <w:rsid w:val="007727A8"/>
    <w:rsid w:val="00772856"/>
    <w:rsid w:val="007750F1"/>
    <w:rsid w:val="00775CE2"/>
    <w:rsid w:val="007763E7"/>
    <w:rsid w:val="00776DB0"/>
    <w:rsid w:val="007771EB"/>
    <w:rsid w:val="00777E20"/>
    <w:rsid w:val="0078017F"/>
    <w:rsid w:val="0078032C"/>
    <w:rsid w:val="00780FE8"/>
    <w:rsid w:val="0078370B"/>
    <w:rsid w:val="0078533E"/>
    <w:rsid w:val="00786E18"/>
    <w:rsid w:val="00787040"/>
    <w:rsid w:val="00787A35"/>
    <w:rsid w:val="0079071E"/>
    <w:rsid w:val="00792A14"/>
    <w:rsid w:val="007939CD"/>
    <w:rsid w:val="00794159"/>
    <w:rsid w:val="00794B67"/>
    <w:rsid w:val="00795399"/>
    <w:rsid w:val="00795C33"/>
    <w:rsid w:val="00796639"/>
    <w:rsid w:val="00796E07"/>
    <w:rsid w:val="007A011A"/>
    <w:rsid w:val="007A045B"/>
    <w:rsid w:val="007A149D"/>
    <w:rsid w:val="007A26F2"/>
    <w:rsid w:val="007A3593"/>
    <w:rsid w:val="007A3BC4"/>
    <w:rsid w:val="007A475D"/>
    <w:rsid w:val="007A47C8"/>
    <w:rsid w:val="007A4ADA"/>
    <w:rsid w:val="007A4B79"/>
    <w:rsid w:val="007A50C4"/>
    <w:rsid w:val="007A5793"/>
    <w:rsid w:val="007A5955"/>
    <w:rsid w:val="007A60CF"/>
    <w:rsid w:val="007A6810"/>
    <w:rsid w:val="007A6F5C"/>
    <w:rsid w:val="007A7A19"/>
    <w:rsid w:val="007A7DDE"/>
    <w:rsid w:val="007B1193"/>
    <w:rsid w:val="007B1628"/>
    <w:rsid w:val="007B2810"/>
    <w:rsid w:val="007B370C"/>
    <w:rsid w:val="007B4C00"/>
    <w:rsid w:val="007B6037"/>
    <w:rsid w:val="007B676E"/>
    <w:rsid w:val="007C09AE"/>
    <w:rsid w:val="007C0B3E"/>
    <w:rsid w:val="007C1E3A"/>
    <w:rsid w:val="007C35D2"/>
    <w:rsid w:val="007C3D45"/>
    <w:rsid w:val="007C5ADE"/>
    <w:rsid w:val="007C671F"/>
    <w:rsid w:val="007C7A55"/>
    <w:rsid w:val="007D091E"/>
    <w:rsid w:val="007D0B18"/>
    <w:rsid w:val="007D2A4C"/>
    <w:rsid w:val="007D2D26"/>
    <w:rsid w:val="007D3C7D"/>
    <w:rsid w:val="007D64C9"/>
    <w:rsid w:val="007D72BF"/>
    <w:rsid w:val="007E0DF9"/>
    <w:rsid w:val="007E17A4"/>
    <w:rsid w:val="007E17B2"/>
    <w:rsid w:val="007E4701"/>
    <w:rsid w:val="007E4DBF"/>
    <w:rsid w:val="007E4E12"/>
    <w:rsid w:val="007E79A1"/>
    <w:rsid w:val="007E7EEE"/>
    <w:rsid w:val="007F0647"/>
    <w:rsid w:val="007F1174"/>
    <w:rsid w:val="007F1F56"/>
    <w:rsid w:val="007F2085"/>
    <w:rsid w:val="007F2EAF"/>
    <w:rsid w:val="007F3AB6"/>
    <w:rsid w:val="007F3EFC"/>
    <w:rsid w:val="007F48D4"/>
    <w:rsid w:val="007F5205"/>
    <w:rsid w:val="007F6F07"/>
    <w:rsid w:val="007F79EB"/>
    <w:rsid w:val="007F7E6F"/>
    <w:rsid w:val="00800735"/>
    <w:rsid w:val="00800BD1"/>
    <w:rsid w:val="00801E70"/>
    <w:rsid w:val="0080204D"/>
    <w:rsid w:val="0080298E"/>
    <w:rsid w:val="00802C5C"/>
    <w:rsid w:val="00803CAC"/>
    <w:rsid w:val="008052C6"/>
    <w:rsid w:val="00805515"/>
    <w:rsid w:val="00806246"/>
    <w:rsid w:val="008062EB"/>
    <w:rsid w:val="008072F1"/>
    <w:rsid w:val="0080748D"/>
    <w:rsid w:val="00811E5E"/>
    <w:rsid w:val="00811FCC"/>
    <w:rsid w:val="00813923"/>
    <w:rsid w:val="00820C1C"/>
    <w:rsid w:val="00821850"/>
    <w:rsid w:val="00822FB2"/>
    <w:rsid w:val="0082410F"/>
    <w:rsid w:val="00824C67"/>
    <w:rsid w:val="00827C1A"/>
    <w:rsid w:val="00827D62"/>
    <w:rsid w:val="00830834"/>
    <w:rsid w:val="0083302A"/>
    <w:rsid w:val="008330EE"/>
    <w:rsid w:val="00833236"/>
    <w:rsid w:val="00833CFA"/>
    <w:rsid w:val="00833DE0"/>
    <w:rsid w:val="00834962"/>
    <w:rsid w:val="00834B46"/>
    <w:rsid w:val="00834D0C"/>
    <w:rsid w:val="00834D64"/>
    <w:rsid w:val="00835458"/>
    <w:rsid w:val="0083563A"/>
    <w:rsid w:val="00836131"/>
    <w:rsid w:val="008361E8"/>
    <w:rsid w:val="00836F2D"/>
    <w:rsid w:val="00837B37"/>
    <w:rsid w:val="0084085A"/>
    <w:rsid w:val="00840952"/>
    <w:rsid w:val="00844225"/>
    <w:rsid w:val="00845067"/>
    <w:rsid w:val="008471D9"/>
    <w:rsid w:val="00847895"/>
    <w:rsid w:val="00847A0D"/>
    <w:rsid w:val="00847CB2"/>
    <w:rsid w:val="00850924"/>
    <w:rsid w:val="00850A8F"/>
    <w:rsid w:val="00851E29"/>
    <w:rsid w:val="00851F71"/>
    <w:rsid w:val="00852135"/>
    <w:rsid w:val="0085219D"/>
    <w:rsid w:val="008532BA"/>
    <w:rsid w:val="008535F2"/>
    <w:rsid w:val="00855854"/>
    <w:rsid w:val="00855B06"/>
    <w:rsid w:val="00855D40"/>
    <w:rsid w:val="008560B9"/>
    <w:rsid w:val="00856452"/>
    <w:rsid w:val="00857643"/>
    <w:rsid w:val="008577F6"/>
    <w:rsid w:val="008600B6"/>
    <w:rsid w:val="0086062C"/>
    <w:rsid w:val="00861400"/>
    <w:rsid w:val="00863467"/>
    <w:rsid w:val="00863A80"/>
    <w:rsid w:val="0086448D"/>
    <w:rsid w:val="00864780"/>
    <w:rsid w:val="008653EC"/>
    <w:rsid w:val="00865D1B"/>
    <w:rsid w:val="00866A1E"/>
    <w:rsid w:val="00866B3D"/>
    <w:rsid w:val="00867296"/>
    <w:rsid w:val="008709DD"/>
    <w:rsid w:val="00872E3C"/>
    <w:rsid w:val="00873DB8"/>
    <w:rsid w:val="00874736"/>
    <w:rsid w:val="00874789"/>
    <w:rsid w:val="00874F8E"/>
    <w:rsid w:val="0087657B"/>
    <w:rsid w:val="00876774"/>
    <w:rsid w:val="0087681B"/>
    <w:rsid w:val="00880543"/>
    <w:rsid w:val="00881DA5"/>
    <w:rsid w:val="00882224"/>
    <w:rsid w:val="00882C3E"/>
    <w:rsid w:val="0088376B"/>
    <w:rsid w:val="00885D73"/>
    <w:rsid w:val="00886B43"/>
    <w:rsid w:val="00887958"/>
    <w:rsid w:val="00887B85"/>
    <w:rsid w:val="00890356"/>
    <w:rsid w:val="008934B4"/>
    <w:rsid w:val="00893659"/>
    <w:rsid w:val="00894648"/>
    <w:rsid w:val="00895723"/>
    <w:rsid w:val="008978AC"/>
    <w:rsid w:val="0089797F"/>
    <w:rsid w:val="008A03A2"/>
    <w:rsid w:val="008A07D4"/>
    <w:rsid w:val="008A07F3"/>
    <w:rsid w:val="008A18E3"/>
    <w:rsid w:val="008A1EC5"/>
    <w:rsid w:val="008A2A2C"/>
    <w:rsid w:val="008A2C82"/>
    <w:rsid w:val="008A4006"/>
    <w:rsid w:val="008A413D"/>
    <w:rsid w:val="008A53DB"/>
    <w:rsid w:val="008A55B5"/>
    <w:rsid w:val="008A5839"/>
    <w:rsid w:val="008A667A"/>
    <w:rsid w:val="008A6838"/>
    <w:rsid w:val="008A6C7D"/>
    <w:rsid w:val="008A7D6D"/>
    <w:rsid w:val="008B0923"/>
    <w:rsid w:val="008B1B05"/>
    <w:rsid w:val="008B30ED"/>
    <w:rsid w:val="008B3760"/>
    <w:rsid w:val="008B5E22"/>
    <w:rsid w:val="008B687E"/>
    <w:rsid w:val="008B6ACA"/>
    <w:rsid w:val="008C227E"/>
    <w:rsid w:val="008C2B25"/>
    <w:rsid w:val="008C2B90"/>
    <w:rsid w:val="008C32E3"/>
    <w:rsid w:val="008C3AB0"/>
    <w:rsid w:val="008C5609"/>
    <w:rsid w:val="008C6FAC"/>
    <w:rsid w:val="008C76AE"/>
    <w:rsid w:val="008C7BBB"/>
    <w:rsid w:val="008D1210"/>
    <w:rsid w:val="008D2304"/>
    <w:rsid w:val="008D2580"/>
    <w:rsid w:val="008D3C25"/>
    <w:rsid w:val="008D5D9B"/>
    <w:rsid w:val="008D5DF6"/>
    <w:rsid w:val="008D6FBB"/>
    <w:rsid w:val="008D7DF0"/>
    <w:rsid w:val="008E0B33"/>
    <w:rsid w:val="008E1060"/>
    <w:rsid w:val="008E1AFD"/>
    <w:rsid w:val="008E2121"/>
    <w:rsid w:val="008E23A0"/>
    <w:rsid w:val="008E269A"/>
    <w:rsid w:val="008E2DD8"/>
    <w:rsid w:val="008E5E9F"/>
    <w:rsid w:val="008E6B12"/>
    <w:rsid w:val="008E7115"/>
    <w:rsid w:val="008F0AB0"/>
    <w:rsid w:val="008F13C4"/>
    <w:rsid w:val="008F16A4"/>
    <w:rsid w:val="008F1BF7"/>
    <w:rsid w:val="008F274B"/>
    <w:rsid w:val="008F2A41"/>
    <w:rsid w:val="008F4101"/>
    <w:rsid w:val="008F48CC"/>
    <w:rsid w:val="008F5473"/>
    <w:rsid w:val="008F571A"/>
    <w:rsid w:val="008F5C53"/>
    <w:rsid w:val="008F7333"/>
    <w:rsid w:val="00902576"/>
    <w:rsid w:val="00902DCB"/>
    <w:rsid w:val="00903543"/>
    <w:rsid w:val="00904AF7"/>
    <w:rsid w:val="00905359"/>
    <w:rsid w:val="00905CB7"/>
    <w:rsid w:val="00906EE7"/>
    <w:rsid w:val="009078A7"/>
    <w:rsid w:val="0091044B"/>
    <w:rsid w:val="009109A1"/>
    <w:rsid w:val="00910C90"/>
    <w:rsid w:val="00912EF5"/>
    <w:rsid w:val="0091366A"/>
    <w:rsid w:val="00914837"/>
    <w:rsid w:val="00915CE7"/>
    <w:rsid w:val="00915EF3"/>
    <w:rsid w:val="009164AB"/>
    <w:rsid w:val="00917AC4"/>
    <w:rsid w:val="00917BAF"/>
    <w:rsid w:val="0092165B"/>
    <w:rsid w:val="0092186A"/>
    <w:rsid w:val="00921C29"/>
    <w:rsid w:val="00922B56"/>
    <w:rsid w:val="00923096"/>
    <w:rsid w:val="00923192"/>
    <w:rsid w:val="00925F62"/>
    <w:rsid w:val="00930C0B"/>
    <w:rsid w:val="00930E31"/>
    <w:rsid w:val="009316A9"/>
    <w:rsid w:val="009323B6"/>
    <w:rsid w:val="00932D9D"/>
    <w:rsid w:val="009331F5"/>
    <w:rsid w:val="00934ACF"/>
    <w:rsid w:val="00934C20"/>
    <w:rsid w:val="00934D4B"/>
    <w:rsid w:val="00935056"/>
    <w:rsid w:val="00937076"/>
    <w:rsid w:val="0093725F"/>
    <w:rsid w:val="00940BAF"/>
    <w:rsid w:val="00940C87"/>
    <w:rsid w:val="00940EF7"/>
    <w:rsid w:val="00941C02"/>
    <w:rsid w:val="0094202C"/>
    <w:rsid w:val="00942153"/>
    <w:rsid w:val="00942172"/>
    <w:rsid w:val="009442C7"/>
    <w:rsid w:val="0094478B"/>
    <w:rsid w:val="00945116"/>
    <w:rsid w:val="00946478"/>
    <w:rsid w:val="00950107"/>
    <w:rsid w:val="00951F4B"/>
    <w:rsid w:val="00952F5F"/>
    <w:rsid w:val="00953BDC"/>
    <w:rsid w:val="00953E12"/>
    <w:rsid w:val="00954BF4"/>
    <w:rsid w:val="009561F7"/>
    <w:rsid w:val="00956EB1"/>
    <w:rsid w:val="00957066"/>
    <w:rsid w:val="00960586"/>
    <w:rsid w:val="009625C8"/>
    <w:rsid w:val="00962DE2"/>
    <w:rsid w:val="00962FDC"/>
    <w:rsid w:val="00963457"/>
    <w:rsid w:val="009636D7"/>
    <w:rsid w:val="00963952"/>
    <w:rsid w:val="009649AA"/>
    <w:rsid w:val="009655E2"/>
    <w:rsid w:val="0096623A"/>
    <w:rsid w:val="00967CF6"/>
    <w:rsid w:val="0097145D"/>
    <w:rsid w:val="009719AE"/>
    <w:rsid w:val="0097258D"/>
    <w:rsid w:val="00972C11"/>
    <w:rsid w:val="00972E52"/>
    <w:rsid w:val="0097338F"/>
    <w:rsid w:val="0097466A"/>
    <w:rsid w:val="00974C68"/>
    <w:rsid w:val="00975118"/>
    <w:rsid w:val="009752D0"/>
    <w:rsid w:val="00981FFC"/>
    <w:rsid w:val="00982545"/>
    <w:rsid w:val="00982F0C"/>
    <w:rsid w:val="00983E3A"/>
    <w:rsid w:val="00984FCE"/>
    <w:rsid w:val="00986847"/>
    <w:rsid w:val="00987309"/>
    <w:rsid w:val="00987E66"/>
    <w:rsid w:val="0099054D"/>
    <w:rsid w:val="00991A65"/>
    <w:rsid w:val="00991BB2"/>
    <w:rsid w:val="00992A0C"/>
    <w:rsid w:val="00993322"/>
    <w:rsid w:val="00993CB1"/>
    <w:rsid w:val="009948FE"/>
    <w:rsid w:val="00995176"/>
    <w:rsid w:val="0099543F"/>
    <w:rsid w:val="00995BAE"/>
    <w:rsid w:val="00995BEA"/>
    <w:rsid w:val="00997464"/>
    <w:rsid w:val="009A0EE8"/>
    <w:rsid w:val="009A1674"/>
    <w:rsid w:val="009A2A33"/>
    <w:rsid w:val="009A3315"/>
    <w:rsid w:val="009A3717"/>
    <w:rsid w:val="009A466C"/>
    <w:rsid w:val="009A472C"/>
    <w:rsid w:val="009A7910"/>
    <w:rsid w:val="009B0280"/>
    <w:rsid w:val="009B0887"/>
    <w:rsid w:val="009B08A4"/>
    <w:rsid w:val="009B0903"/>
    <w:rsid w:val="009B21E2"/>
    <w:rsid w:val="009B2A29"/>
    <w:rsid w:val="009B3D06"/>
    <w:rsid w:val="009B44B7"/>
    <w:rsid w:val="009B4EA4"/>
    <w:rsid w:val="009B6219"/>
    <w:rsid w:val="009B6678"/>
    <w:rsid w:val="009B780C"/>
    <w:rsid w:val="009C10A9"/>
    <w:rsid w:val="009C1167"/>
    <w:rsid w:val="009C15C5"/>
    <w:rsid w:val="009C57DC"/>
    <w:rsid w:val="009C5832"/>
    <w:rsid w:val="009C619E"/>
    <w:rsid w:val="009C7D0C"/>
    <w:rsid w:val="009D0175"/>
    <w:rsid w:val="009D06F5"/>
    <w:rsid w:val="009D0950"/>
    <w:rsid w:val="009D1A43"/>
    <w:rsid w:val="009D3778"/>
    <w:rsid w:val="009D46A8"/>
    <w:rsid w:val="009D535A"/>
    <w:rsid w:val="009D5684"/>
    <w:rsid w:val="009D5A1A"/>
    <w:rsid w:val="009D62EB"/>
    <w:rsid w:val="009D66B4"/>
    <w:rsid w:val="009D713A"/>
    <w:rsid w:val="009D7192"/>
    <w:rsid w:val="009E183A"/>
    <w:rsid w:val="009E4913"/>
    <w:rsid w:val="009E59DB"/>
    <w:rsid w:val="009E6365"/>
    <w:rsid w:val="009F05D1"/>
    <w:rsid w:val="009F10E5"/>
    <w:rsid w:val="009F1635"/>
    <w:rsid w:val="009F209A"/>
    <w:rsid w:val="009F3BB0"/>
    <w:rsid w:val="009F3BDE"/>
    <w:rsid w:val="009F5E15"/>
    <w:rsid w:val="009F6872"/>
    <w:rsid w:val="009F6EE3"/>
    <w:rsid w:val="00A000B0"/>
    <w:rsid w:val="00A00F5B"/>
    <w:rsid w:val="00A01510"/>
    <w:rsid w:val="00A022DF"/>
    <w:rsid w:val="00A03A89"/>
    <w:rsid w:val="00A03C51"/>
    <w:rsid w:val="00A044A8"/>
    <w:rsid w:val="00A04BD1"/>
    <w:rsid w:val="00A056AD"/>
    <w:rsid w:val="00A05EDB"/>
    <w:rsid w:val="00A06B71"/>
    <w:rsid w:val="00A07AC2"/>
    <w:rsid w:val="00A10FED"/>
    <w:rsid w:val="00A1144C"/>
    <w:rsid w:val="00A1277F"/>
    <w:rsid w:val="00A136E9"/>
    <w:rsid w:val="00A13F56"/>
    <w:rsid w:val="00A161AF"/>
    <w:rsid w:val="00A16553"/>
    <w:rsid w:val="00A16B56"/>
    <w:rsid w:val="00A17DB8"/>
    <w:rsid w:val="00A2081C"/>
    <w:rsid w:val="00A208D8"/>
    <w:rsid w:val="00A20E5F"/>
    <w:rsid w:val="00A21522"/>
    <w:rsid w:val="00A216BE"/>
    <w:rsid w:val="00A21DD2"/>
    <w:rsid w:val="00A23986"/>
    <w:rsid w:val="00A24730"/>
    <w:rsid w:val="00A254AD"/>
    <w:rsid w:val="00A265B0"/>
    <w:rsid w:val="00A27212"/>
    <w:rsid w:val="00A27979"/>
    <w:rsid w:val="00A300F2"/>
    <w:rsid w:val="00A30973"/>
    <w:rsid w:val="00A3372D"/>
    <w:rsid w:val="00A34A18"/>
    <w:rsid w:val="00A35248"/>
    <w:rsid w:val="00A35504"/>
    <w:rsid w:val="00A3582F"/>
    <w:rsid w:val="00A36EEE"/>
    <w:rsid w:val="00A36FF7"/>
    <w:rsid w:val="00A375B1"/>
    <w:rsid w:val="00A379A3"/>
    <w:rsid w:val="00A40AA1"/>
    <w:rsid w:val="00A42DEB"/>
    <w:rsid w:val="00A42FA6"/>
    <w:rsid w:val="00A43335"/>
    <w:rsid w:val="00A43875"/>
    <w:rsid w:val="00A438DC"/>
    <w:rsid w:val="00A44017"/>
    <w:rsid w:val="00A446AC"/>
    <w:rsid w:val="00A45E9B"/>
    <w:rsid w:val="00A467D0"/>
    <w:rsid w:val="00A46A9D"/>
    <w:rsid w:val="00A46F3D"/>
    <w:rsid w:val="00A478B6"/>
    <w:rsid w:val="00A47AB0"/>
    <w:rsid w:val="00A5107B"/>
    <w:rsid w:val="00A527A8"/>
    <w:rsid w:val="00A539E0"/>
    <w:rsid w:val="00A55A9A"/>
    <w:rsid w:val="00A55C6E"/>
    <w:rsid w:val="00A568A1"/>
    <w:rsid w:val="00A57B8E"/>
    <w:rsid w:val="00A60BA3"/>
    <w:rsid w:val="00A61797"/>
    <w:rsid w:val="00A61AD1"/>
    <w:rsid w:val="00A621A3"/>
    <w:rsid w:val="00A65AFF"/>
    <w:rsid w:val="00A665F2"/>
    <w:rsid w:val="00A66C65"/>
    <w:rsid w:val="00A673BF"/>
    <w:rsid w:val="00A70379"/>
    <w:rsid w:val="00A70C14"/>
    <w:rsid w:val="00A723EE"/>
    <w:rsid w:val="00A74039"/>
    <w:rsid w:val="00A74B12"/>
    <w:rsid w:val="00A7628F"/>
    <w:rsid w:val="00A76792"/>
    <w:rsid w:val="00A8021A"/>
    <w:rsid w:val="00A804D5"/>
    <w:rsid w:val="00A809D4"/>
    <w:rsid w:val="00A81695"/>
    <w:rsid w:val="00A81C7D"/>
    <w:rsid w:val="00A81E88"/>
    <w:rsid w:val="00A848BE"/>
    <w:rsid w:val="00A85C0D"/>
    <w:rsid w:val="00A85D7D"/>
    <w:rsid w:val="00A9014C"/>
    <w:rsid w:val="00A901E4"/>
    <w:rsid w:val="00A91455"/>
    <w:rsid w:val="00A91514"/>
    <w:rsid w:val="00A92982"/>
    <w:rsid w:val="00A92A62"/>
    <w:rsid w:val="00A9348C"/>
    <w:rsid w:val="00A937CA"/>
    <w:rsid w:val="00A9438C"/>
    <w:rsid w:val="00A95C58"/>
    <w:rsid w:val="00AA0C77"/>
    <w:rsid w:val="00AA1190"/>
    <w:rsid w:val="00AA11F7"/>
    <w:rsid w:val="00AA2844"/>
    <w:rsid w:val="00AA40FF"/>
    <w:rsid w:val="00AA44D2"/>
    <w:rsid w:val="00AA5476"/>
    <w:rsid w:val="00AA6197"/>
    <w:rsid w:val="00AA652B"/>
    <w:rsid w:val="00AA72DE"/>
    <w:rsid w:val="00AB2894"/>
    <w:rsid w:val="00AB2FBC"/>
    <w:rsid w:val="00AB37C1"/>
    <w:rsid w:val="00AB3814"/>
    <w:rsid w:val="00AB4A67"/>
    <w:rsid w:val="00AB53FA"/>
    <w:rsid w:val="00AB6EB7"/>
    <w:rsid w:val="00AB772C"/>
    <w:rsid w:val="00AB7DA2"/>
    <w:rsid w:val="00AC0564"/>
    <w:rsid w:val="00AC2CB1"/>
    <w:rsid w:val="00AC3243"/>
    <w:rsid w:val="00AC3C36"/>
    <w:rsid w:val="00AC3FEB"/>
    <w:rsid w:val="00AC55D3"/>
    <w:rsid w:val="00AC576D"/>
    <w:rsid w:val="00AC5DCF"/>
    <w:rsid w:val="00AC6901"/>
    <w:rsid w:val="00AC6F0E"/>
    <w:rsid w:val="00AC72FC"/>
    <w:rsid w:val="00AD0AA1"/>
    <w:rsid w:val="00AD1291"/>
    <w:rsid w:val="00AD272F"/>
    <w:rsid w:val="00AD3314"/>
    <w:rsid w:val="00AD4216"/>
    <w:rsid w:val="00AD472B"/>
    <w:rsid w:val="00AD4A80"/>
    <w:rsid w:val="00AD5043"/>
    <w:rsid w:val="00AD5BB9"/>
    <w:rsid w:val="00AD6824"/>
    <w:rsid w:val="00AE097F"/>
    <w:rsid w:val="00AE0AB5"/>
    <w:rsid w:val="00AE12CF"/>
    <w:rsid w:val="00AE13CA"/>
    <w:rsid w:val="00AE1411"/>
    <w:rsid w:val="00AE29E9"/>
    <w:rsid w:val="00AE2B46"/>
    <w:rsid w:val="00AE2F79"/>
    <w:rsid w:val="00AE31AF"/>
    <w:rsid w:val="00AE615E"/>
    <w:rsid w:val="00AE6BDB"/>
    <w:rsid w:val="00AE7164"/>
    <w:rsid w:val="00AF01B0"/>
    <w:rsid w:val="00AF0589"/>
    <w:rsid w:val="00AF058A"/>
    <w:rsid w:val="00AF07CC"/>
    <w:rsid w:val="00AF1C69"/>
    <w:rsid w:val="00AF1FD8"/>
    <w:rsid w:val="00AF21E2"/>
    <w:rsid w:val="00AF2FC3"/>
    <w:rsid w:val="00AF402D"/>
    <w:rsid w:val="00AF480F"/>
    <w:rsid w:val="00AF4BCB"/>
    <w:rsid w:val="00AF4C3D"/>
    <w:rsid w:val="00B00035"/>
    <w:rsid w:val="00B00D75"/>
    <w:rsid w:val="00B0138F"/>
    <w:rsid w:val="00B0233F"/>
    <w:rsid w:val="00B02E89"/>
    <w:rsid w:val="00B039EE"/>
    <w:rsid w:val="00B07B1B"/>
    <w:rsid w:val="00B11C2A"/>
    <w:rsid w:val="00B12AFC"/>
    <w:rsid w:val="00B12F2D"/>
    <w:rsid w:val="00B13317"/>
    <w:rsid w:val="00B135C0"/>
    <w:rsid w:val="00B15B63"/>
    <w:rsid w:val="00B15C36"/>
    <w:rsid w:val="00B16C93"/>
    <w:rsid w:val="00B16DAC"/>
    <w:rsid w:val="00B16E5D"/>
    <w:rsid w:val="00B177B3"/>
    <w:rsid w:val="00B2198C"/>
    <w:rsid w:val="00B24035"/>
    <w:rsid w:val="00B2554E"/>
    <w:rsid w:val="00B25954"/>
    <w:rsid w:val="00B260E7"/>
    <w:rsid w:val="00B3103F"/>
    <w:rsid w:val="00B31658"/>
    <w:rsid w:val="00B32964"/>
    <w:rsid w:val="00B34E5C"/>
    <w:rsid w:val="00B35468"/>
    <w:rsid w:val="00B37EBC"/>
    <w:rsid w:val="00B406EF"/>
    <w:rsid w:val="00B411E6"/>
    <w:rsid w:val="00B411F1"/>
    <w:rsid w:val="00B42F87"/>
    <w:rsid w:val="00B456A6"/>
    <w:rsid w:val="00B45805"/>
    <w:rsid w:val="00B45F31"/>
    <w:rsid w:val="00B461A5"/>
    <w:rsid w:val="00B4648A"/>
    <w:rsid w:val="00B46794"/>
    <w:rsid w:val="00B46DEC"/>
    <w:rsid w:val="00B476C4"/>
    <w:rsid w:val="00B47D96"/>
    <w:rsid w:val="00B508F9"/>
    <w:rsid w:val="00B50D67"/>
    <w:rsid w:val="00B510FF"/>
    <w:rsid w:val="00B51DA7"/>
    <w:rsid w:val="00B520C0"/>
    <w:rsid w:val="00B52114"/>
    <w:rsid w:val="00B5429B"/>
    <w:rsid w:val="00B56309"/>
    <w:rsid w:val="00B56E93"/>
    <w:rsid w:val="00B5728B"/>
    <w:rsid w:val="00B57BF9"/>
    <w:rsid w:val="00B57DAB"/>
    <w:rsid w:val="00B60FE7"/>
    <w:rsid w:val="00B6108B"/>
    <w:rsid w:val="00B61294"/>
    <w:rsid w:val="00B617FD"/>
    <w:rsid w:val="00B61A20"/>
    <w:rsid w:val="00B61F61"/>
    <w:rsid w:val="00B620C9"/>
    <w:rsid w:val="00B621F0"/>
    <w:rsid w:val="00B62B34"/>
    <w:rsid w:val="00B6339A"/>
    <w:rsid w:val="00B637F2"/>
    <w:rsid w:val="00B63D14"/>
    <w:rsid w:val="00B64EE5"/>
    <w:rsid w:val="00B671D3"/>
    <w:rsid w:val="00B67599"/>
    <w:rsid w:val="00B70E3E"/>
    <w:rsid w:val="00B738F1"/>
    <w:rsid w:val="00B7524C"/>
    <w:rsid w:val="00B752C1"/>
    <w:rsid w:val="00B75D82"/>
    <w:rsid w:val="00B76B83"/>
    <w:rsid w:val="00B76DE9"/>
    <w:rsid w:val="00B77AD8"/>
    <w:rsid w:val="00B8041B"/>
    <w:rsid w:val="00B811FE"/>
    <w:rsid w:val="00B817C7"/>
    <w:rsid w:val="00B81907"/>
    <w:rsid w:val="00B81A7B"/>
    <w:rsid w:val="00B825C0"/>
    <w:rsid w:val="00B82984"/>
    <w:rsid w:val="00B8373E"/>
    <w:rsid w:val="00B85000"/>
    <w:rsid w:val="00B85490"/>
    <w:rsid w:val="00B854AA"/>
    <w:rsid w:val="00B859A3"/>
    <w:rsid w:val="00B8601A"/>
    <w:rsid w:val="00B87B41"/>
    <w:rsid w:val="00B87DFA"/>
    <w:rsid w:val="00B90FD5"/>
    <w:rsid w:val="00B92095"/>
    <w:rsid w:val="00B92689"/>
    <w:rsid w:val="00B93E1F"/>
    <w:rsid w:val="00B94D3F"/>
    <w:rsid w:val="00B96E47"/>
    <w:rsid w:val="00BA005F"/>
    <w:rsid w:val="00BA012A"/>
    <w:rsid w:val="00BA3778"/>
    <w:rsid w:val="00BA3959"/>
    <w:rsid w:val="00BA3E53"/>
    <w:rsid w:val="00BA44EB"/>
    <w:rsid w:val="00BA4A7F"/>
    <w:rsid w:val="00BA5252"/>
    <w:rsid w:val="00BA5EB3"/>
    <w:rsid w:val="00BA6A95"/>
    <w:rsid w:val="00BA6D5C"/>
    <w:rsid w:val="00BA77BB"/>
    <w:rsid w:val="00BB23BD"/>
    <w:rsid w:val="00BB318C"/>
    <w:rsid w:val="00BB3B75"/>
    <w:rsid w:val="00BB456F"/>
    <w:rsid w:val="00BB6A3B"/>
    <w:rsid w:val="00BB7965"/>
    <w:rsid w:val="00BC03A3"/>
    <w:rsid w:val="00BC1284"/>
    <w:rsid w:val="00BC16CC"/>
    <w:rsid w:val="00BC1C8C"/>
    <w:rsid w:val="00BC21A4"/>
    <w:rsid w:val="00BC304F"/>
    <w:rsid w:val="00BC31DC"/>
    <w:rsid w:val="00BC3206"/>
    <w:rsid w:val="00BC3579"/>
    <w:rsid w:val="00BC4153"/>
    <w:rsid w:val="00BC4D1C"/>
    <w:rsid w:val="00BC563F"/>
    <w:rsid w:val="00BC5CEE"/>
    <w:rsid w:val="00BC5ED7"/>
    <w:rsid w:val="00BC7117"/>
    <w:rsid w:val="00BD0C6A"/>
    <w:rsid w:val="00BD1869"/>
    <w:rsid w:val="00BD26AA"/>
    <w:rsid w:val="00BD2763"/>
    <w:rsid w:val="00BD4121"/>
    <w:rsid w:val="00BD486C"/>
    <w:rsid w:val="00BD79CE"/>
    <w:rsid w:val="00BE0048"/>
    <w:rsid w:val="00BE02BE"/>
    <w:rsid w:val="00BE06EF"/>
    <w:rsid w:val="00BE0A40"/>
    <w:rsid w:val="00BE1FC6"/>
    <w:rsid w:val="00BE203C"/>
    <w:rsid w:val="00BE2F57"/>
    <w:rsid w:val="00BE3854"/>
    <w:rsid w:val="00BE3E6D"/>
    <w:rsid w:val="00BE4BE4"/>
    <w:rsid w:val="00BE4DAE"/>
    <w:rsid w:val="00BE553D"/>
    <w:rsid w:val="00BE611E"/>
    <w:rsid w:val="00BE6A3A"/>
    <w:rsid w:val="00BE7B66"/>
    <w:rsid w:val="00BF0999"/>
    <w:rsid w:val="00BF236A"/>
    <w:rsid w:val="00BF285B"/>
    <w:rsid w:val="00BF28A4"/>
    <w:rsid w:val="00BF2983"/>
    <w:rsid w:val="00BF2C0E"/>
    <w:rsid w:val="00BF4A00"/>
    <w:rsid w:val="00BF4F25"/>
    <w:rsid w:val="00BF5E03"/>
    <w:rsid w:val="00BF7087"/>
    <w:rsid w:val="00BF70B0"/>
    <w:rsid w:val="00C0117E"/>
    <w:rsid w:val="00C0201C"/>
    <w:rsid w:val="00C02EB0"/>
    <w:rsid w:val="00C043FE"/>
    <w:rsid w:val="00C052A6"/>
    <w:rsid w:val="00C07197"/>
    <w:rsid w:val="00C1004C"/>
    <w:rsid w:val="00C151C3"/>
    <w:rsid w:val="00C16FC8"/>
    <w:rsid w:val="00C1704D"/>
    <w:rsid w:val="00C17145"/>
    <w:rsid w:val="00C175BF"/>
    <w:rsid w:val="00C2033B"/>
    <w:rsid w:val="00C20523"/>
    <w:rsid w:val="00C215A0"/>
    <w:rsid w:val="00C21C60"/>
    <w:rsid w:val="00C22A4C"/>
    <w:rsid w:val="00C23AAC"/>
    <w:rsid w:val="00C24CC8"/>
    <w:rsid w:val="00C25BF9"/>
    <w:rsid w:val="00C26AA0"/>
    <w:rsid w:val="00C26CA8"/>
    <w:rsid w:val="00C31076"/>
    <w:rsid w:val="00C3420D"/>
    <w:rsid w:val="00C345BB"/>
    <w:rsid w:val="00C3555A"/>
    <w:rsid w:val="00C35674"/>
    <w:rsid w:val="00C3667C"/>
    <w:rsid w:val="00C40602"/>
    <w:rsid w:val="00C407CC"/>
    <w:rsid w:val="00C41DED"/>
    <w:rsid w:val="00C42283"/>
    <w:rsid w:val="00C4365D"/>
    <w:rsid w:val="00C448C8"/>
    <w:rsid w:val="00C45D54"/>
    <w:rsid w:val="00C467DE"/>
    <w:rsid w:val="00C4731D"/>
    <w:rsid w:val="00C475C2"/>
    <w:rsid w:val="00C47D23"/>
    <w:rsid w:val="00C5079B"/>
    <w:rsid w:val="00C512F0"/>
    <w:rsid w:val="00C513FE"/>
    <w:rsid w:val="00C5253A"/>
    <w:rsid w:val="00C53FF4"/>
    <w:rsid w:val="00C54706"/>
    <w:rsid w:val="00C54EB6"/>
    <w:rsid w:val="00C56953"/>
    <w:rsid w:val="00C56E00"/>
    <w:rsid w:val="00C604F1"/>
    <w:rsid w:val="00C61BBF"/>
    <w:rsid w:val="00C62F23"/>
    <w:rsid w:val="00C6334A"/>
    <w:rsid w:val="00C63984"/>
    <w:rsid w:val="00C63BD5"/>
    <w:rsid w:val="00C653C0"/>
    <w:rsid w:val="00C6553E"/>
    <w:rsid w:val="00C65723"/>
    <w:rsid w:val="00C65851"/>
    <w:rsid w:val="00C6669E"/>
    <w:rsid w:val="00C66BFB"/>
    <w:rsid w:val="00C67060"/>
    <w:rsid w:val="00C67902"/>
    <w:rsid w:val="00C70836"/>
    <w:rsid w:val="00C70C65"/>
    <w:rsid w:val="00C7391F"/>
    <w:rsid w:val="00C7491E"/>
    <w:rsid w:val="00C749C1"/>
    <w:rsid w:val="00C7588D"/>
    <w:rsid w:val="00C76369"/>
    <w:rsid w:val="00C76D6D"/>
    <w:rsid w:val="00C77D02"/>
    <w:rsid w:val="00C80FA3"/>
    <w:rsid w:val="00C81CA2"/>
    <w:rsid w:val="00C83992"/>
    <w:rsid w:val="00C839C0"/>
    <w:rsid w:val="00C86FF7"/>
    <w:rsid w:val="00C87667"/>
    <w:rsid w:val="00C9136D"/>
    <w:rsid w:val="00C91554"/>
    <w:rsid w:val="00C916B1"/>
    <w:rsid w:val="00C91F0E"/>
    <w:rsid w:val="00C9337F"/>
    <w:rsid w:val="00C93F9B"/>
    <w:rsid w:val="00C9429A"/>
    <w:rsid w:val="00C95666"/>
    <w:rsid w:val="00C95F32"/>
    <w:rsid w:val="00CA18E2"/>
    <w:rsid w:val="00CA3541"/>
    <w:rsid w:val="00CA44A5"/>
    <w:rsid w:val="00CA46F1"/>
    <w:rsid w:val="00CA4D6C"/>
    <w:rsid w:val="00CA5615"/>
    <w:rsid w:val="00CA650E"/>
    <w:rsid w:val="00CA729C"/>
    <w:rsid w:val="00CB0041"/>
    <w:rsid w:val="00CB07AE"/>
    <w:rsid w:val="00CB2C15"/>
    <w:rsid w:val="00CB3630"/>
    <w:rsid w:val="00CB36E4"/>
    <w:rsid w:val="00CB3A6E"/>
    <w:rsid w:val="00CB4E32"/>
    <w:rsid w:val="00CB6765"/>
    <w:rsid w:val="00CB69DC"/>
    <w:rsid w:val="00CB707A"/>
    <w:rsid w:val="00CC02F1"/>
    <w:rsid w:val="00CC098A"/>
    <w:rsid w:val="00CC0EE6"/>
    <w:rsid w:val="00CC196E"/>
    <w:rsid w:val="00CC278B"/>
    <w:rsid w:val="00CC439E"/>
    <w:rsid w:val="00CC4429"/>
    <w:rsid w:val="00CC4BD6"/>
    <w:rsid w:val="00CC56E5"/>
    <w:rsid w:val="00CC686F"/>
    <w:rsid w:val="00CC6EC3"/>
    <w:rsid w:val="00CD0443"/>
    <w:rsid w:val="00CD1277"/>
    <w:rsid w:val="00CD3608"/>
    <w:rsid w:val="00CD4561"/>
    <w:rsid w:val="00CD590A"/>
    <w:rsid w:val="00CD60CC"/>
    <w:rsid w:val="00CE0024"/>
    <w:rsid w:val="00CE1007"/>
    <w:rsid w:val="00CE16C0"/>
    <w:rsid w:val="00CE1BCF"/>
    <w:rsid w:val="00CE1CBA"/>
    <w:rsid w:val="00CE2AC0"/>
    <w:rsid w:val="00CE6438"/>
    <w:rsid w:val="00CE77DB"/>
    <w:rsid w:val="00CE7D06"/>
    <w:rsid w:val="00CF0DCC"/>
    <w:rsid w:val="00CF1E58"/>
    <w:rsid w:val="00CF33CD"/>
    <w:rsid w:val="00CF3CB6"/>
    <w:rsid w:val="00CF3F75"/>
    <w:rsid w:val="00CF417B"/>
    <w:rsid w:val="00CF42EB"/>
    <w:rsid w:val="00CF50F3"/>
    <w:rsid w:val="00CF70AE"/>
    <w:rsid w:val="00D01A82"/>
    <w:rsid w:val="00D02E8B"/>
    <w:rsid w:val="00D02FE8"/>
    <w:rsid w:val="00D03906"/>
    <w:rsid w:val="00D045E5"/>
    <w:rsid w:val="00D04C02"/>
    <w:rsid w:val="00D10B79"/>
    <w:rsid w:val="00D11455"/>
    <w:rsid w:val="00D11CAD"/>
    <w:rsid w:val="00D11E57"/>
    <w:rsid w:val="00D1249E"/>
    <w:rsid w:val="00D1268A"/>
    <w:rsid w:val="00D12E2E"/>
    <w:rsid w:val="00D139FF"/>
    <w:rsid w:val="00D14724"/>
    <w:rsid w:val="00D15173"/>
    <w:rsid w:val="00D215B7"/>
    <w:rsid w:val="00D23561"/>
    <w:rsid w:val="00D24C82"/>
    <w:rsid w:val="00D250BA"/>
    <w:rsid w:val="00D27DDA"/>
    <w:rsid w:val="00D32D71"/>
    <w:rsid w:val="00D351C5"/>
    <w:rsid w:val="00D373F4"/>
    <w:rsid w:val="00D40667"/>
    <w:rsid w:val="00D40A24"/>
    <w:rsid w:val="00D40AF0"/>
    <w:rsid w:val="00D41F41"/>
    <w:rsid w:val="00D42668"/>
    <w:rsid w:val="00D43320"/>
    <w:rsid w:val="00D454DB"/>
    <w:rsid w:val="00D45A54"/>
    <w:rsid w:val="00D50CDE"/>
    <w:rsid w:val="00D5115A"/>
    <w:rsid w:val="00D527F3"/>
    <w:rsid w:val="00D52C59"/>
    <w:rsid w:val="00D52EE6"/>
    <w:rsid w:val="00D53934"/>
    <w:rsid w:val="00D556DC"/>
    <w:rsid w:val="00D55D50"/>
    <w:rsid w:val="00D56693"/>
    <w:rsid w:val="00D56832"/>
    <w:rsid w:val="00D5707C"/>
    <w:rsid w:val="00D570B3"/>
    <w:rsid w:val="00D576FD"/>
    <w:rsid w:val="00D57F1B"/>
    <w:rsid w:val="00D62F28"/>
    <w:rsid w:val="00D6472E"/>
    <w:rsid w:val="00D64985"/>
    <w:rsid w:val="00D67A7F"/>
    <w:rsid w:val="00D67C6B"/>
    <w:rsid w:val="00D7028A"/>
    <w:rsid w:val="00D717EB"/>
    <w:rsid w:val="00D72444"/>
    <w:rsid w:val="00D724CC"/>
    <w:rsid w:val="00D734E9"/>
    <w:rsid w:val="00D74744"/>
    <w:rsid w:val="00D75A3D"/>
    <w:rsid w:val="00D764FE"/>
    <w:rsid w:val="00D76813"/>
    <w:rsid w:val="00D801DE"/>
    <w:rsid w:val="00D823A2"/>
    <w:rsid w:val="00D83978"/>
    <w:rsid w:val="00D84081"/>
    <w:rsid w:val="00D85463"/>
    <w:rsid w:val="00D85604"/>
    <w:rsid w:val="00D867F2"/>
    <w:rsid w:val="00D87CC0"/>
    <w:rsid w:val="00D90D56"/>
    <w:rsid w:val="00D90D79"/>
    <w:rsid w:val="00D91105"/>
    <w:rsid w:val="00D92E37"/>
    <w:rsid w:val="00D9451A"/>
    <w:rsid w:val="00D95B1F"/>
    <w:rsid w:val="00D95F18"/>
    <w:rsid w:val="00D9633B"/>
    <w:rsid w:val="00D97B80"/>
    <w:rsid w:val="00DA0272"/>
    <w:rsid w:val="00DA3352"/>
    <w:rsid w:val="00DA3998"/>
    <w:rsid w:val="00DA40F6"/>
    <w:rsid w:val="00DA4BDC"/>
    <w:rsid w:val="00DB0509"/>
    <w:rsid w:val="00DB0F18"/>
    <w:rsid w:val="00DB115D"/>
    <w:rsid w:val="00DB1B3D"/>
    <w:rsid w:val="00DB3BE8"/>
    <w:rsid w:val="00DB45C4"/>
    <w:rsid w:val="00DB5001"/>
    <w:rsid w:val="00DB5401"/>
    <w:rsid w:val="00DB54E9"/>
    <w:rsid w:val="00DB56BE"/>
    <w:rsid w:val="00DB56C4"/>
    <w:rsid w:val="00DB654E"/>
    <w:rsid w:val="00DC061A"/>
    <w:rsid w:val="00DC2448"/>
    <w:rsid w:val="00DC35E8"/>
    <w:rsid w:val="00DC49F5"/>
    <w:rsid w:val="00DC51DE"/>
    <w:rsid w:val="00DC5211"/>
    <w:rsid w:val="00DC6A25"/>
    <w:rsid w:val="00DC7B93"/>
    <w:rsid w:val="00DD13FD"/>
    <w:rsid w:val="00DD21E6"/>
    <w:rsid w:val="00DD3442"/>
    <w:rsid w:val="00DD3CD1"/>
    <w:rsid w:val="00DD448C"/>
    <w:rsid w:val="00DD652D"/>
    <w:rsid w:val="00DD6865"/>
    <w:rsid w:val="00DE09F5"/>
    <w:rsid w:val="00DE0C2F"/>
    <w:rsid w:val="00DE0D3D"/>
    <w:rsid w:val="00DE1414"/>
    <w:rsid w:val="00DE371F"/>
    <w:rsid w:val="00DE43CE"/>
    <w:rsid w:val="00DE4BCE"/>
    <w:rsid w:val="00DE5492"/>
    <w:rsid w:val="00DE5906"/>
    <w:rsid w:val="00DE6EEA"/>
    <w:rsid w:val="00DF25E3"/>
    <w:rsid w:val="00DF365F"/>
    <w:rsid w:val="00DF3D42"/>
    <w:rsid w:val="00DF628A"/>
    <w:rsid w:val="00DF69F2"/>
    <w:rsid w:val="00DF7B2A"/>
    <w:rsid w:val="00DF7E22"/>
    <w:rsid w:val="00DF7EA5"/>
    <w:rsid w:val="00E01C5D"/>
    <w:rsid w:val="00E01E85"/>
    <w:rsid w:val="00E020DC"/>
    <w:rsid w:val="00E05086"/>
    <w:rsid w:val="00E054CE"/>
    <w:rsid w:val="00E05E00"/>
    <w:rsid w:val="00E0712F"/>
    <w:rsid w:val="00E10B75"/>
    <w:rsid w:val="00E10FF8"/>
    <w:rsid w:val="00E11238"/>
    <w:rsid w:val="00E11EA3"/>
    <w:rsid w:val="00E12515"/>
    <w:rsid w:val="00E12ECB"/>
    <w:rsid w:val="00E1351F"/>
    <w:rsid w:val="00E13565"/>
    <w:rsid w:val="00E14051"/>
    <w:rsid w:val="00E1521F"/>
    <w:rsid w:val="00E15CCE"/>
    <w:rsid w:val="00E17906"/>
    <w:rsid w:val="00E17BBB"/>
    <w:rsid w:val="00E20474"/>
    <w:rsid w:val="00E20553"/>
    <w:rsid w:val="00E206C8"/>
    <w:rsid w:val="00E20B4B"/>
    <w:rsid w:val="00E20C0D"/>
    <w:rsid w:val="00E21266"/>
    <w:rsid w:val="00E213B4"/>
    <w:rsid w:val="00E214D1"/>
    <w:rsid w:val="00E21DBF"/>
    <w:rsid w:val="00E21F5B"/>
    <w:rsid w:val="00E2330D"/>
    <w:rsid w:val="00E23A2B"/>
    <w:rsid w:val="00E23A83"/>
    <w:rsid w:val="00E23C68"/>
    <w:rsid w:val="00E244BE"/>
    <w:rsid w:val="00E2543F"/>
    <w:rsid w:val="00E25CD3"/>
    <w:rsid w:val="00E26511"/>
    <w:rsid w:val="00E315DB"/>
    <w:rsid w:val="00E31B19"/>
    <w:rsid w:val="00E33390"/>
    <w:rsid w:val="00E33C51"/>
    <w:rsid w:val="00E33F36"/>
    <w:rsid w:val="00E346E9"/>
    <w:rsid w:val="00E35075"/>
    <w:rsid w:val="00E377C7"/>
    <w:rsid w:val="00E3797C"/>
    <w:rsid w:val="00E401D6"/>
    <w:rsid w:val="00E421D5"/>
    <w:rsid w:val="00E42E7C"/>
    <w:rsid w:val="00E434BE"/>
    <w:rsid w:val="00E43C17"/>
    <w:rsid w:val="00E44072"/>
    <w:rsid w:val="00E44600"/>
    <w:rsid w:val="00E45111"/>
    <w:rsid w:val="00E45D35"/>
    <w:rsid w:val="00E461AE"/>
    <w:rsid w:val="00E46364"/>
    <w:rsid w:val="00E5013B"/>
    <w:rsid w:val="00E50197"/>
    <w:rsid w:val="00E51C9E"/>
    <w:rsid w:val="00E52FE0"/>
    <w:rsid w:val="00E53653"/>
    <w:rsid w:val="00E54C37"/>
    <w:rsid w:val="00E54E54"/>
    <w:rsid w:val="00E55FAE"/>
    <w:rsid w:val="00E570F1"/>
    <w:rsid w:val="00E5739D"/>
    <w:rsid w:val="00E57866"/>
    <w:rsid w:val="00E61AE9"/>
    <w:rsid w:val="00E62C19"/>
    <w:rsid w:val="00E656F8"/>
    <w:rsid w:val="00E67420"/>
    <w:rsid w:val="00E67525"/>
    <w:rsid w:val="00E67ADB"/>
    <w:rsid w:val="00E71580"/>
    <w:rsid w:val="00E71E18"/>
    <w:rsid w:val="00E72028"/>
    <w:rsid w:val="00E7211E"/>
    <w:rsid w:val="00E729B5"/>
    <w:rsid w:val="00E73151"/>
    <w:rsid w:val="00E75D98"/>
    <w:rsid w:val="00E76693"/>
    <w:rsid w:val="00E77E64"/>
    <w:rsid w:val="00E80139"/>
    <w:rsid w:val="00E801B3"/>
    <w:rsid w:val="00E81427"/>
    <w:rsid w:val="00E82A0D"/>
    <w:rsid w:val="00E83129"/>
    <w:rsid w:val="00E8467A"/>
    <w:rsid w:val="00E852E2"/>
    <w:rsid w:val="00E85C2A"/>
    <w:rsid w:val="00E86B68"/>
    <w:rsid w:val="00E86F84"/>
    <w:rsid w:val="00E87356"/>
    <w:rsid w:val="00E87E42"/>
    <w:rsid w:val="00E917B0"/>
    <w:rsid w:val="00E9275C"/>
    <w:rsid w:val="00E937D7"/>
    <w:rsid w:val="00E93BB1"/>
    <w:rsid w:val="00E9438B"/>
    <w:rsid w:val="00E94608"/>
    <w:rsid w:val="00E952A9"/>
    <w:rsid w:val="00E96F86"/>
    <w:rsid w:val="00E97921"/>
    <w:rsid w:val="00E97B3E"/>
    <w:rsid w:val="00EA0D74"/>
    <w:rsid w:val="00EA1F9D"/>
    <w:rsid w:val="00EA237C"/>
    <w:rsid w:val="00EA245F"/>
    <w:rsid w:val="00EA39F9"/>
    <w:rsid w:val="00EA43A4"/>
    <w:rsid w:val="00EA50F6"/>
    <w:rsid w:val="00EA7136"/>
    <w:rsid w:val="00EB0173"/>
    <w:rsid w:val="00EB02B5"/>
    <w:rsid w:val="00EB0544"/>
    <w:rsid w:val="00EB0ACA"/>
    <w:rsid w:val="00EB0F18"/>
    <w:rsid w:val="00EB1256"/>
    <w:rsid w:val="00EB2B68"/>
    <w:rsid w:val="00EB2C3D"/>
    <w:rsid w:val="00EB3B3E"/>
    <w:rsid w:val="00EB4446"/>
    <w:rsid w:val="00EB4837"/>
    <w:rsid w:val="00EB4FDA"/>
    <w:rsid w:val="00EB6819"/>
    <w:rsid w:val="00EB7EEC"/>
    <w:rsid w:val="00EC0193"/>
    <w:rsid w:val="00EC01EC"/>
    <w:rsid w:val="00EC04E1"/>
    <w:rsid w:val="00EC10B2"/>
    <w:rsid w:val="00EC1B1F"/>
    <w:rsid w:val="00EC2858"/>
    <w:rsid w:val="00EC29BD"/>
    <w:rsid w:val="00EC2FE4"/>
    <w:rsid w:val="00EC4C99"/>
    <w:rsid w:val="00EC5AC7"/>
    <w:rsid w:val="00EC7286"/>
    <w:rsid w:val="00EC738A"/>
    <w:rsid w:val="00EC772E"/>
    <w:rsid w:val="00ED1077"/>
    <w:rsid w:val="00ED2157"/>
    <w:rsid w:val="00ED35CE"/>
    <w:rsid w:val="00ED39E5"/>
    <w:rsid w:val="00ED3D46"/>
    <w:rsid w:val="00ED5DD8"/>
    <w:rsid w:val="00EE04A0"/>
    <w:rsid w:val="00EE0A06"/>
    <w:rsid w:val="00EE0BC6"/>
    <w:rsid w:val="00EE269B"/>
    <w:rsid w:val="00EE29B1"/>
    <w:rsid w:val="00EE4BF7"/>
    <w:rsid w:val="00EE4D1D"/>
    <w:rsid w:val="00EE78CE"/>
    <w:rsid w:val="00EE7DFE"/>
    <w:rsid w:val="00EF0064"/>
    <w:rsid w:val="00EF1D03"/>
    <w:rsid w:val="00EF25D5"/>
    <w:rsid w:val="00EF2751"/>
    <w:rsid w:val="00EF3D03"/>
    <w:rsid w:val="00EF3DAB"/>
    <w:rsid w:val="00EF3F07"/>
    <w:rsid w:val="00EF415F"/>
    <w:rsid w:val="00EF441B"/>
    <w:rsid w:val="00EF53E5"/>
    <w:rsid w:val="00EF5DF5"/>
    <w:rsid w:val="00EF6071"/>
    <w:rsid w:val="00EF6691"/>
    <w:rsid w:val="00EF724E"/>
    <w:rsid w:val="00EF7C19"/>
    <w:rsid w:val="00F00791"/>
    <w:rsid w:val="00F02238"/>
    <w:rsid w:val="00F026BB"/>
    <w:rsid w:val="00F031C6"/>
    <w:rsid w:val="00F0419A"/>
    <w:rsid w:val="00F0440E"/>
    <w:rsid w:val="00F047B3"/>
    <w:rsid w:val="00F0501E"/>
    <w:rsid w:val="00F114EC"/>
    <w:rsid w:val="00F119FE"/>
    <w:rsid w:val="00F12A89"/>
    <w:rsid w:val="00F13AF3"/>
    <w:rsid w:val="00F13EFA"/>
    <w:rsid w:val="00F140EE"/>
    <w:rsid w:val="00F15630"/>
    <w:rsid w:val="00F1601D"/>
    <w:rsid w:val="00F16828"/>
    <w:rsid w:val="00F17340"/>
    <w:rsid w:val="00F216CC"/>
    <w:rsid w:val="00F216EA"/>
    <w:rsid w:val="00F21C0B"/>
    <w:rsid w:val="00F21F19"/>
    <w:rsid w:val="00F2383B"/>
    <w:rsid w:val="00F2428C"/>
    <w:rsid w:val="00F249E4"/>
    <w:rsid w:val="00F24ACE"/>
    <w:rsid w:val="00F259B6"/>
    <w:rsid w:val="00F307F9"/>
    <w:rsid w:val="00F30AE6"/>
    <w:rsid w:val="00F30E9E"/>
    <w:rsid w:val="00F30EBD"/>
    <w:rsid w:val="00F31DF3"/>
    <w:rsid w:val="00F326F3"/>
    <w:rsid w:val="00F33174"/>
    <w:rsid w:val="00F340CD"/>
    <w:rsid w:val="00F3444C"/>
    <w:rsid w:val="00F346DF"/>
    <w:rsid w:val="00F35BE0"/>
    <w:rsid w:val="00F35D30"/>
    <w:rsid w:val="00F361DE"/>
    <w:rsid w:val="00F37018"/>
    <w:rsid w:val="00F40229"/>
    <w:rsid w:val="00F40276"/>
    <w:rsid w:val="00F40C8B"/>
    <w:rsid w:val="00F410BB"/>
    <w:rsid w:val="00F4313F"/>
    <w:rsid w:val="00F43769"/>
    <w:rsid w:val="00F4408A"/>
    <w:rsid w:val="00F44A37"/>
    <w:rsid w:val="00F45051"/>
    <w:rsid w:val="00F45152"/>
    <w:rsid w:val="00F453F5"/>
    <w:rsid w:val="00F45B3C"/>
    <w:rsid w:val="00F46FF9"/>
    <w:rsid w:val="00F47BEB"/>
    <w:rsid w:val="00F50307"/>
    <w:rsid w:val="00F51819"/>
    <w:rsid w:val="00F523DF"/>
    <w:rsid w:val="00F52516"/>
    <w:rsid w:val="00F53880"/>
    <w:rsid w:val="00F54889"/>
    <w:rsid w:val="00F557D1"/>
    <w:rsid w:val="00F56A9A"/>
    <w:rsid w:val="00F56C2A"/>
    <w:rsid w:val="00F57864"/>
    <w:rsid w:val="00F578EF"/>
    <w:rsid w:val="00F60655"/>
    <w:rsid w:val="00F60B7C"/>
    <w:rsid w:val="00F6231F"/>
    <w:rsid w:val="00F62584"/>
    <w:rsid w:val="00F657D3"/>
    <w:rsid w:val="00F66B8F"/>
    <w:rsid w:val="00F67292"/>
    <w:rsid w:val="00F708C8"/>
    <w:rsid w:val="00F716D0"/>
    <w:rsid w:val="00F71B8A"/>
    <w:rsid w:val="00F72171"/>
    <w:rsid w:val="00F72A52"/>
    <w:rsid w:val="00F72F40"/>
    <w:rsid w:val="00F769CE"/>
    <w:rsid w:val="00F77460"/>
    <w:rsid w:val="00F77E31"/>
    <w:rsid w:val="00F82150"/>
    <w:rsid w:val="00F8257B"/>
    <w:rsid w:val="00F83936"/>
    <w:rsid w:val="00F84CAA"/>
    <w:rsid w:val="00F85639"/>
    <w:rsid w:val="00F86058"/>
    <w:rsid w:val="00F86978"/>
    <w:rsid w:val="00F87149"/>
    <w:rsid w:val="00F87DF4"/>
    <w:rsid w:val="00F905DF"/>
    <w:rsid w:val="00F90870"/>
    <w:rsid w:val="00F908D7"/>
    <w:rsid w:val="00F90E2D"/>
    <w:rsid w:val="00F92D2A"/>
    <w:rsid w:val="00F93D06"/>
    <w:rsid w:val="00F93F94"/>
    <w:rsid w:val="00F948E5"/>
    <w:rsid w:val="00F949DE"/>
    <w:rsid w:val="00F9537A"/>
    <w:rsid w:val="00F95617"/>
    <w:rsid w:val="00F9573D"/>
    <w:rsid w:val="00F95846"/>
    <w:rsid w:val="00F9671F"/>
    <w:rsid w:val="00F97AD0"/>
    <w:rsid w:val="00FA0487"/>
    <w:rsid w:val="00FA13E8"/>
    <w:rsid w:val="00FA14A7"/>
    <w:rsid w:val="00FA1E8E"/>
    <w:rsid w:val="00FA2283"/>
    <w:rsid w:val="00FA2570"/>
    <w:rsid w:val="00FA2777"/>
    <w:rsid w:val="00FA2C0C"/>
    <w:rsid w:val="00FA2C26"/>
    <w:rsid w:val="00FA2DD0"/>
    <w:rsid w:val="00FA3029"/>
    <w:rsid w:val="00FA363C"/>
    <w:rsid w:val="00FA393A"/>
    <w:rsid w:val="00FA3D1A"/>
    <w:rsid w:val="00FA4228"/>
    <w:rsid w:val="00FA5365"/>
    <w:rsid w:val="00FA5F11"/>
    <w:rsid w:val="00FA6BE5"/>
    <w:rsid w:val="00FA77BE"/>
    <w:rsid w:val="00FB0FB3"/>
    <w:rsid w:val="00FB1E2C"/>
    <w:rsid w:val="00FB202A"/>
    <w:rsid w:val="00FB2626"/>
    <w:rsid w:val="00FB3EC7"/>
    <w:rsid w:val="00FB4183"/>
    <w:rsid w:val="00FB498D"/>
    <w:rsid w:val="00FB618B"/>
    <w:rsid w:val="00FC15D3"/>
    <w:rsid w:val="00FC1F58"/>
    <w:rsid w:val="00FC24A8"/>
    <w:rsid w:val="00FC2AB9"/>
    <w:rsid w:val="00FC2C14"/>
    <w:rsid w:val="00FC3903"/>
    <w:rsid w:val="00FD042F"/>
    <w:rsid w:val="00FD04DF"/>
    <w:rsid w:val="00FD0B3E"/>
    <w:rsid w:val="00FD0E82"/>
    <w:rsid w:val="00FD1B35"/>
    <w:rsid w:val="00FD1F10"/>
    <w:rsid w:val="00FD2032"/>
    <w:rsid w:val="00FD3E18"/>
    <w:rsid w:val="00FD4B5E"/>
    <w:rsid w:val="00FD5BD9"/>
    <w:rsid w:val="00FD5DAC"/>
    <w:rsid w:val="00FD6A21"/>
    <w:rsid w:val="00FD6EF5"/>
    <w:rsid w:val="00FD7564"/>
    <w:rsid w:val="00FD7A03"/>
    <w:rsid w:val="00FD7EEA"/>
    <w:rsid w:val="00FD7EF3"/>
    <w:rsid w:val="00FD7F60"/>
    <w:rsid w:val="00FE0545"/>
    <w:rsid w:val="00FE0A49"/>
    <w:rsid w:val="00FE1B35"/>
    <w:rsid w:val="00FE216E"/>
    <w:rsid w:val="00FE39F0"/>
    <w:rsid w:val="00FE3D2B"/>
    <w:rsid w:val="00FE3EF9"/>
    <w:rsid w:val="00FE68A5"/>
    <w:rsid w:val="00FE6EB8"/>
    <w:rsid w:val="00FF0377"/>
    <w:rsid w:val="00FF0E89"/>
    <w:rsid w:val="00FF27B6"/>
    <w:rsid w:val="00FF388F"/>
    <w:rsid w:val="00FF5BC6"/>
    <w:rsid w:val="00FF615A"/>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992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140"/>
    <w:pPr>
      <w:spacing w:after="120" w:line="360" w:lineRule="auto"/>
      <w:jc w:val="both"/>
    </w:pPr>
    <w:rPr>
      <w:sz w:val="22"/>
      <w:lang w:eastAsia="ja-JP"/>
    </w:rPr>
  </w:style>
  <w:style w:type="paragraph" w:styleId="Heading1">
    <w:name w:val="heading 1"/>
    <w:basedOn w:val="Normal"/>
    <w:next w:val="Normal"/>
    <w:qFormat/>
    <w:rsid w:val="005C4148"/>
    <w:pPr>
      <w:keepNext/>
      <w:jc w:val="left"/>
      <w:outlineLvl w:val="0"/>
    </w:pPr>
    <w:rPr>
      <w:rFonts w:ascii="Times New Roman Bold" w:hAnsi="Times New Roman Bold" w:cs="Arial"/>
      <w:b/>
      <w:bCs/>
      <w:caps/>
      <w:kern w:val="32"/>
    </w:rPr>
  </w:style>
  <w:style w:type="paragraph" w:styleId="Heading2">
    <w:name w:val="heading 2"/>
    <w:basedOn w:val="Normal"/>
    <w:next w:val="Normal"/>
    <w:qFormat/>
    <w:rsid w:val="0034437B"/>
    <w:pPr>
      <w:keepNext/>
      <w:jc w:val="left"/>
      <w:outlineLvl w:val="1"/>
    </w:pPr>
    <w:rPr>
      <w:rFonts w:cs="Arial"/>
      <w:bCs/>
      <w:iCs/>
      <w:caps/>
    </w:rPr>
  </w:style>
  <w:style w:type="paragraph" w:styleId="Heading3">
    <w:name w:val="heading 3"/>
    <w:basedOn w:val="Normal"/>
    <w:next w:val="Normal"/>
    <w:qFormat/>
    <w:rsid w:val="00953BDC"/>
    <w:pPr>
      <w:keepNext/>
      <w:jc w:val="left"/>
      <w:outlineLvl w:val="2"/>
    </w:pPr>
    <w:rPr>
      <w:rFonts w:cs="Arial"/>
      <w:bCs/>
    </w:rPr>
  </w:style>
  <w:style w:type="paragraph" w:styleId="Heading4">
    <w:name w:val="heading 4"/>
    <w:basedOn w:val="Normal"/>
    <w:next w:val="Normal"/>
    <w:link w:val="Heading4Char"/>
    <w:semiHidden/>
    <w:unhideWhenUsed/>
    <w:qFormat/>
    <w:rsid w:val="00686D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itle">
    <w:name w:val="Heading - Title"/>
    <w:basedOn w:val="Normal"/>
    <w:next w:val="Normal"/>
    <w:rsid w:val="00953BDC"/>
    <w:pPr>
      <w:jc w:val="left"/>
    </w:pPr>
    <w:rPr>
      <w:rFonts w:ascii="Times New Roman Bold" w:hAnsi="Times New Roman Bold"/>
      <w:b/>
      <w:caps/>
      <w:sz w:val="24"/>
      <w:szCs w:val="24"/>
    </w:rPr>
  </w:style>
  <w:style w:type="numbering" w:customStyle="1" w:styleId="StandardBulletpoints">
    <w:name w:val="Standard Bulletpoints"/>
    <w:rsid w:val="00D823A2"/>
    <w:pPr>
      <w:numPr>
        <w:numId w:val="3"/>
      </w:numPr>
    </w:pPr>
  </w:style>
  <w:style w:type="paragraph" w:customStyle="1" w:styleId="StandardFigLabel">
    <w:name w:val="Standard Fig. Label"/>
    <w:basedOn w:val="Normal"/>
    <w:next w:val="Normal"/>
    <w:rsid w:val="00005B37"/>
    <w:rPr>
      <w:bCs/>
      <w:i/>
    </w:rPr>
  </w:style>
  <w:style w:type="character" w:customStyle="1" w:styleId="Normal-Bold">
    <w:name w:val="Normal - Bold"/>
    <w:rsid w:val="00AC3C36"/>
    <w:rPr>
      <w:b/>
      <w:bCs/>
    </w:rPr>
  </w:style>
  <w:style w:type="character" w:customStyle="1" w:styleId="Normal-Italic">
    <w:name w:val="Normal - Italic"/>
    <w:rsid w:val="00AC3C36"/>
    <w:rPr>
      <w:i/>
      <w:iCs/>
    </w:rPr>
  </w:style>
  <w:style w:type="paragraph" w:styleId="Header">
    <w:name w:val="header"/>
    <w:basedOn w:val="Normal"/>
    <w:link w:val="HeaderChar"/>
    <w:uiPriority w:val="99"/>
    <w:rsid w:val="00FE216E"/>
    <w:pPr>
      <w:tabs>
        <w:tab w:val="center" w:pos="4320"/>
        <w:tab w:val="right" w:pos="8640"/>
      </w:tabs>
    </w:pPr>
  </w:style>
  <w:style w:type="paragraph" w:styleId="Footer">
    <w:name w:val="footer"/>
    <w:basedOn w:val="Normal"/>
    <w:link w:val="FooterChar"/>
    <w:uiPriority w:val="99"/>
    <w:rsid w:val="00FE216E"/>
    <w:pPr>
      <w:tabs>
        <w:tab w:val="center" w:pos="4320"/>
        <w:tab w:val="right" w:pos="8640"/>
      </w:tabs>
    </w:pPr>
  </w:style>
  <w:style w:type="paragraph" w:customStyle="1" w:styleId="Firstparagraph">
    <w:name w:val="First paragraph"/>
    <w:basedOn w:val="Normal"/>
    <w:next w:val="Normal"/>
    <w:link w:val="FirstparagraphChar"/>
    <w:rsid w:val="00D717EB"/>
    <w:pPr>
      <w:tabs>
        <w:tab w:val="left" w:pos="4706"/>
      </w:tabs>
      <w:overflowPunct w:val="0"/>
      <w:autoSpaceDE w:val="0"/>
      <w:autoSpaceDN w:val="0"/>
      <w:adjustRightInd w:val="0"/>
      <w:spacing w:line="240" w:lineRule="exact"/>
      <w:textAlignment w:val="baseline"/>
    </w:pPr>
    <w:rPr>
      <w:rFonts w:eastAsia="Times New Roman"/>
      <w:lang w:val="en-US" w:eastAsia="en-US"/>
    </w:rPr>
  </w:style>
  <w:style w:type="character" w:customStyle="1" w:styleId="FirstparagraphChar">
    <w:name w:val="First paragraph Char"/>
    <w:link w:val="Firstparagraph"/>
    <w:rsid w:val="00D717EB"/>
    <w:rPr>
      <w:rFonts w:eastAsia="Times New Roman"/>
      <w:sz w:val="22"/>
      <w:lang w:val="en-US" w:eastAsia="en-US"/>
    </w:rPr>
  </w:style>
  <w:style w:type="table" w:styleId="TableGrid">
    <w:name w:val="Table Grid"/>
    <w:basedOn w:val="TableNormal"/>
    <w:rsid w:val="00E67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1D5"/>
    <w:pPr>
      <w:ind w:left="720"/>
      <w:contextualSpacing/>
    </w:pPr>
  </w:style>
  <w:style w:type="paragraph" w:customStyle="1" w:styleId="Figurecaption">
    <w:name w:val="Figure caption"/>
    <w:basedOn w:val="Normal"/>
    <w:next w:val="Normal"/>
    <w:rsid w:val="00F90870"/>
    <w:pPr>
      <w:overflowPunct w:val="0"/>
      <w:autoSpaceDE w:val="0"/>
      <w:autoSpaceDN w:val="0"/>
      <w:adjustRightInd w:val="0"/>
      <w:spacing w:line="220" w:lineRule="exact"/>
      <w:textAlignment w:val="baseline"/>
    </w:pPr>
    <w:rPr>
      <w:rFonts w:eastAsia="Times New Roman"/>
      <w:lang w:val="en-US" w:eastAsia="en-US"/>
    </w:rPr>
  </w:style>
  <w:style w:type="paragraph" w:styleId="BalloonText">
    <w:name w:val="Balloon Text"/>
    <w:basedOn w:val="Normal"/>
    <w:link w:val="BalloonTextChar"/>
    <w:rsid w:val="00E44600"/>
    <w:rPr>
      <w:rFonts w:ascii="Segoe UI" w:hAnsi="Segoe UI" w:cs="Segoe UI"/>
      <w:sz w:val="18"/>
      <w:szCs w:val="18"/>
    </w:rPr>
  </w:style>
  <w:style w:type="character" w:customStyle="1" w:styleId="BalloonTextChar">
    <w:name w:val="Balloon Text Char"/>
    <w:basedOn w:val="DefaultParagraphFont"/>
    <w:link w:val="BalloonText"/>
    <w:rsid w:val="00E44600"/>
    <w:rPr>
      <w:rFonts w:ascii="Segoe UI" w:hAnsi="Segoe UI" w:cs="Segoe UI"/>
      <w:sz w:val="18"/>
      <w:szCs w:val="18"/>
      <w:lang w:eastAsia="ja-JP"/>
    </w:rPr>
  </w:style>
  <w:style w:type="character" w:styleId="CommentReference">
    <w:name w:val="annotation reference"/>
    <w:basedOn w:val="DefaultParagraphFont"/>
    <w:rsid w:val="009D46A8"/>
    <w:rPr>
      <w:sz w:val="16"/>
      <w:szCs w:val="16"/>
    </w:rPr>
  </w:style>
  <w:style w:type="paragraph" w:styleId="CommentText">
    <w:name w:val="annotation text"/>
    <w:basedOn w:val="Normal"/>
    <w:link w:val="CommentTextChar"/>
    <w:rsid w:val="009D46A8"/>
  </w:style>
  <w:style w:type="character" w:customStyle="1" w:styleId="CommentTextChar">
    <w:name w:val="Comment Text Char"/>
    <w:basedOn w:val="DefaultParagraphFont"/>
    <w:link w:val="CommentText"/>
    <w:rsid w:val="009D46A8"/>
    <w:rPr>
      <w:lang w:eastAsia="ja-JP"/>
    </w:rPr>
  </w:style>
  <w:style w:type="paragraph" w:styleId="CommentSubject">
    <w:name w:val="annotation subject"/>
    <w:basedOn w:val="CommentText"/>
    <w:next w:val="CommentText"/>
    <w:link w:val="CommentSubjectChar"/>
    <w:rsid w:val="009D46A8"/>
    <w:rPr>
      <w:b/>
      <w:bCs/>
    </w:rPr>
  </w:style>
  <w:style w:type="character" w:customStyle="1" w:styleId="CommentSubjectChar">
    <w:name w:val="Comment Subject Char"/>
    <w:basedOn w:val="CommentTextChar"/>
    <w:link w:val="CommentSubject"/>
    <w:rsid w:val="009D46A8"/>
    <w:rPr>
      <w:b/>
      <w:bCs/>
      <w:lang w:eastAsia="ja-JP"/>
    </w:rPr>
  </w:style>
  <w:style w:type="paragraph" w:customStyle="1" w:styleId="Pa3">
    <w:name w:val="Pa3"/>
    <w:basedOn w:val="Normal"/>
    <w:next w:val="Normal"/>
    <w:uiPriority w:val="99"/>
    <w:rsid w:val="00844225"/>
    <w:pPr>
      <w:autoSpaceDE w:val="0"/>
      <w:autoSpaceDN w:val="0"/>
      <w:adjustRightInd w:val="0"/>
      <w:spacing w:line="241" w:lineRule="atLeast"/>
      <w:jc w:val="left"/>
    </w:pPr>
    <w:rPr>
      <w:rFonts w:ascii="Joanna MT Std" w:hAnsi="Joanna MT Std"/>
      <w:sz w:val="24"/>
      <w:szCs w:val="24"/>
      <w:lang w:eastAsia="en-GB"/>
    </w:rPr>
  </w:style>
  <w:style w:type="paragraph" w:styleId="NormalWeb">
    <w:name w:val="Normal (Web)"/>
    <w:basedOn w:val="Normal"/>
    <w:uiPriority w:val="99"/>
    <w:unhideWhenUsed/>
    <w:rsid w:val="00CA4D6C"/>
    <w:pPr>
      <w:spacing w:before="100" w:beforeAutospacing="1" w:after="100" w:afterAutospacing="1"/>
      <w:jc w:val="left"/>
    </w:pPr>
    <w:rPr>
      <w:rFonts w:eastAsia="Times New Roman"/>
      <w:sz w:val="24"/>
      <w:szCs w:val="24"/>
      <w:lang w:eastAsia="en-GB"/>
    </w:rPr>
  </w:style>
  <w:style w:type="character" w:styleId="Strong">
    <w:name w:val="Strong"/>
    <w:basedOn w:val="DefaultParagraphFont"/>
    <w:uiPriority w:val="22"/>
    <w:qFormat/>
    <w:rsid w:val="00CA4D6C"/>
    <w:rPr>
      <w:b/>
      <w:bCs/>
    </w:rPr>
  </w:style>
  <w:style w:type="character" w:customStyle="1" w:styleId="Heading4Char">
    <w:name w:val="Heading 4 Char"/>
    <w:basedOn w:val="DefaultParagraphFont"/>
    <w:link w:val="Heading4"/>
    <w:semiHidden/>
    <w:rsid w:val="00686DFD"/>
    <w:rPr>
      <w:rFonts w:asciiTheme="majorHAnsi" w:eastAsiaTheme="majorEastAsia" w:hAnsiTheme="majorHAnsi" w:cstheme="majorBidi"/>
      <w:i/>
      <w:iCs/>
      <w:color w:val="2F5496" w:themeColor="accent1" w:themeShade="BF"/>
      <w:lang w:eastAsia="ja-JP"/>
    </w:rPr>
  </w:style>
  <w:style w:type="character" w:styleId="Emphasis">
    <w:name w:val="Emphasis"/>
    <w:basedOn w:val="DefaultParagraphFont"/>
    <w:uiPriority w:val="20"/>
    <w:qFormat/>
    <w:rsid w:val="00686DFD"/>
    <w:rPr>
      <w:i/>
      <w:iCs/>
    </w:rPr>
  </w:style>
  <w:style w:type="character" w:styleId="Hyperlink">
    <w:name w:val="Hyperlink"/>
    <w:basedOn w:val="DefaultParagraphFont"/>
    <w:uiPriority w:val="99"/>
    <w:unhideWhenUsed/>
    <w:rsid w:val="00250434"/>
    <w:rPr>
      <w:color w:val="0000FF"/>
      <w:u w:val="single"/>
    </w:rPr>
  </w:style>
  <w:style w:type="character" w:customStyle="1" w:styleId="HeaderChar">
    <w:name w:val="Header Char"/>
    <w:basedOn w:val="DefaultParagraphFont"/>
    <w:link w:val="Header"/>
    <w:uiPriority w:val="99"/>
    <w:rsid w:val="00D40AF0"/>
    <w:rPr>
      <w:lang w:eastAsia="ja-JP"/>
    </w:rPr>
  </w:style>
  <w:style w:type="character" w:customStyle="1" w:styleId="FooterChar">
    <w:name w:val="Footer Char"/>
    <w:basedOn w:val="DefaultParagraphFont"/>
    <w:link w:val="Footer"/>
    <w:uiPriority w:val="99"/>
    <w:rsid w:val="001765BB"/>
    <w:rPr>
      <w:lang w:eastAsia="ja-JP"/>
    </w:rPr>
  </w:style>
  <w:style w:type="paragraph" w:styleId="Caption">
    <w:name w:val="caption"/>
    <w:basedOn w:val="Normal"/>
    <w:next w:val="Normal"/>
    <w:unhideWhenUsed/>
    <w:qFormat/>
    <w:rsid w:val="00AE2F79"/>
    <w:pPr>
      <w:jc w:val="center"/>
    </w:pPr>
    <w:rPr>
      <w:i/>
      <w:iCs/>
      <w:sz w:val="20"/>
      <w:szCs w:val="18"/>
    </w:rPr>
  </w:style>
  <w:style w:type="paragraph" w:styleId="TableofFigures">
    <w:name w:val="table of figures"/>
    <w:basedOn w:val="Normal"/>
    <w:next w:val="Normal"/>
    <w:uiPriority w:val="99"/>
    <w:rsid w:val="006A2FCD"/>
  </w:style>
  <w:style w:type="character" w:styleId="PlaceholderText">
    <w:name w:val="Placeholder Text"/>
    <w:basedOn w:val="DefaultParagraphFont"/>
    <w:uiPriority w:val="99"/>
    <w:semiHidden/>
    <w:rsid w:val="00D6472E"/>
    <w:rPr>
      <w:color w:val="808080"/>
    </w:rPr>
  </w:style>
  <w:style w:type="paragraph" w:customStyle="1" w:styleId="Pa17">
    <w:name w:val="Pa17"/>
    <w:basedOn w:val="Normal"/>
    <w:next w:val="Normal"/>
    <w:uiPriority w:val="99"/>
    <w:rsid w:val="00281805"/>
    <w:pPr>
      <w:autoSpaceDE w:val="0"/>
      <w:autoSpaceDN w:val="0"/>
      <w:adjustRightInd w:val="0"/>
      <w:spacing w:line="201" w:lineRule="atLeast"/>
      <w:jc w:val="left"/>
    </w:pPr>
    <w:rPr>
      <w:rFonts w:ascii="Joanna MT Std" w:hAnsi="Joanna MT Std"/>
      <w:sz w:val="24"/>
      <w:szCs w:val="24"/>
      <w:lang w:eastAsia="en-GB"/>
    </w:rPr>
  </w:style>
  <w:style w:type="paragraph" w:styleId="Revision">
    <w:name w:val="Revision"/>
    <w:hidden/>
    <w:uiPriority w:val="99"/>
    <w:semiHidden/>
    <w:rsid w:val="00A66C65"/>
    <w:rPr>
      <w:lang w:eastAsia="ja-JP"/>
    </w:rPr>
  </w:style>
  <w:style w:type="paragraph" w:styleId="NoSpacing">
    <w:name w:val="No Spacing"/>
    <w:uiPriority w:val="1"/>
    <w:qFormat/>
    <w:rsid w:val="00641E9C"/>
    <w:pPr>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292">
      <w:bodyDiv w:val="1"/>
      <w:marLeft w:val="0"/>
      <w:marRight w:val="0"/>
      <w:marTop w:val="0"/>
      <w:marBottom w:val="0"/>
      <w:divBdr>
        <w:top w:val="none" w:sz="0" w:space="0" w:color="auto"/>
        <w:left w:val="none" w:sz="0" w:space="0" w:color="auto"/>
        <w:bottom w:val="none" w:sz="0" w:space="0" w:color="auto"/>
        <w:right w:val="none" w:sz="0" w:space="0" w:color="auto"/>
      </w:divBdr>
    </w:div>
    <w:div w:id="11496251">
      <w:bodyDiv w:val="1"/>
      <w:marLeft w:val="0"/>
      <w:marRight w:val="0"/>
      <w:marTop w:val="0"/>
      <w:marBottom w:val="0"/>
      <w:divBdr>
        <w:top w:val="none" w:sz="0" w:space="0" w:color="auto"/>
        <w:left w:val="none" w:sz="0" w:space="0" w:color="auto"/>
        <w:bottom w:val="none" w:sz="0" w:space="0" w:color="auto"/>
        <w:right w:val="none" w:sz="0" w:space="0" w:color="auto"/>
      </w:divBdr>
    </w:div>
    <w:div w:id="16663487">
      <w:bodyDiv w:val="1"/>
      <w:marLeft w:val="0"/>
      <w:marRight w:val="0"/>
      <w:marTop w:val="0"/>
      <w:marBottom w:val="0"/>
      <w:divBdr>
        <w:top w:val="none" w:sz="0" w:space="0" w:color="auto"/>
        <w:left w:val="none" w:sz="0" w:space="0" w:color="auto"/>
        <w:bottom w:val="none" w:sz="0" w:space="0" w:color="auto"/>
        <w:right w:val="none" w:sz="0" w:space="0" w:color="auto"/>
      </w:divBdr>
    </w:div>
    <w:div w:id="17512880">
      <w:bodyDiv w:val="1"/>
      <w:marLeft w:val="0"/>
      <w:marRight w:val="0"/>
      <w:marTop w:val="0"/>
      <w:marBottom w:val="0"/>
      <w:divBdr>
        <w:top w:val="none" w:sz="0" w:space="0" w:color="auto"/>
        <w:left w:val="none" w:sz="0" w:space="0" w:color="auto"/>
        <w:bottom w:val="none" w:sz="0" w:space="0" w:color="auto"/>
        <w:right w:val="none" w:sz="0" w:space="0" w:color="auto"/>
      </w:divBdr>
    </w:div>
    <w:div w:id="48192674">
      <w:bodyDiv w:val="1"/>
      <w:marLeft w:val="0"/>
      <w:marRight w:val="0"/>
      <w:marTop w:val="0"/>
      <w:marBottom w:val="0"/>
      <w:divBdr>
        <w:top w:val="none" w:sz="0" w:space="0" w:color="auto"/>
        <w:left w:val="none" w:sz="0" w:space="0" w:color="auto"/>
        <w:bottom w:val="none" w:sz="0" w:space="0" w:color="auto"/>
        <w:right w:val="none" w:sz="0" w:space="0" w:color="auto"/>
      </w:divBdr>
    </w:div>
    <w:div w:id="51850885">
      <w:bodyDiv w:val="1"/>
      <w:marLeft w:val="0"/>
      <w:marRight w:val="0"/>
      <w:marTop w:val="0"/>
      <w:marBottom w:val="0"/>
      <w:divBdr>
        <w:top w:val="none" w:sz="0" w:space="0" w:color="auto"/>
        <w:left w:val="none" w:sz="0" w:space="0" w:color="auto"/>
        <w:bottom w:val="none" w:sz="0" w:space="0" w:color="auto"/>
        <w:right w:val="none" w:sz="0" w:space="0" w:color="auto"/>
      </w:divBdr>
    </w:div>
    <w:div w:id="64454376">
      <w:bodyDiv w:val="1"/>
      <w:marLeft w:val="0"/>
      <w:marRight w:val="0"/>
      <w:marTop w:val="0"/>
      <w:marBottom w:val="0"/>
      <w:divBdr>
        <w:top w:val="none" w:sz="0" w:space="0" w:color="auto"/>
        <w:left w:val="none" w:sz="0" w:space="0" w:color="auto"/>
        <w:bottom w:val="none" w:sz="0" w:space="0" w:color="auto"/>
        <w:right w:val="none" w:sz="0" w:space="0" w:color="auto"/>
      </w:divBdr>
    </w:div>
    <w:div w:id="68189249">
      <w:bodyDiv w:val="1"/>
      <w:marLeft w:val="0"/>
      <w:marRight w:val="0"/>
      <w:marTop w:val="0"/>
      <w:marBottom w:val="0"/>
      <w:divBdr>
        <w:top w:val="none" w:sz="0" w:space="0" w:color="auto"/>
        <w:left w:val="none" w:sz="0" w:space="0" w:color="auto"/>
        <w:bottom w:val="none" w:sz="0" w:space="0" w:color="auto"/>
        <w:right w:val="none" w:sz="0" w:space="0" w:color="auto"/>
      </w:divBdr>
    </w:div>
    <w:div w:id="95946284">
      <w:bodyDiv w:val="1"/>
      <w:marLeft w:val="0"/>
      <w:marRight w:val="0"/>
      <w:marTop w:val="0"/>
      <w:marBottom w:val="0"/>
      <w:divBdr>
        <w:top w:val="none" w:sz="0" w:space="0" w:color="auto"/>
        <w:left w:val="none" w:sz="0" w:space="0" w:color="auto"/>
        <w:bottom w:val="none" w:sz="0" w:space="0" w:color="auto"/>
        <w:right w:val="none" w:sz="0" w:space="0" w:color="auto"/>
      </w:divBdr>
    </w:div>
    <w:div w:id="103694117">
      <w:bodyDiv w:val="1"/>
      <w:marLeft w:val="0"/>
      <w:marRight w:val="0"/>
      <w:marTop w:val="0"/>
      <w:marBottom w:val="0"/>
      <w:divBdr>
        <w:top w:val="none" w:sz="0" w:space="0" w:color="auto"/>
        <w:left w:val="none" w:sz="0" w:space="0" w:color="auto"/>
        <w:bottom w:val="none" w:sz="0" w:space="0" w:color="auto"/>
        <w:right w:val="none" w:sz="0" w:space="0" w:color="auto"/>
      </w:divBdr>
    </w:div>
    <w:div w:id="104810953">
      <w:bodyDiv w:val="1"/>
      <w:marLeft w:val="0"/>
      <w:marRight w:val="0"/>
      <w:marTop w:val="0"/>
      <w:marBottom w:val="0"/>
      <w:divBdr>
        <w:top w:val="none" w:sz="0" w:space="0" w:color="auto"/>
        <w:left w:val="none" w:sz="0" w:space="0" w:color="auto"/>
        <w:bottom w:val="none" w:sz="0" w:space="0" w:color="auto"/>
        <w:right w:val="none" w:sz="0" w:space="0" w:color="auto"/>
      </w:divBdr>
    </w:div>
    <w:div w:id="113251588">
      <w:bodyDiv w:val="1"/>
      <w:marLeft w:val="0"/>
      <w:marRight w:val="0"/>
      <w:marTop w:val="0"/>
      <w:marBottom w:val="0"/>
      <w:divBdr>
        <w:top w:val="none" w:sz="0" w:space="0" w:color="auto"/>
        <w:left w:val="none" w:sz="0" w:space="0" w:color="auto"/>
        <w:bottom w:val="none" w:sz="0" w:space="0" w:color="auto"/>
        <w:right w:val="none" w:sz="0" w:space="0" w:color="auto"/>
      </w:divBdr>
    </w:div>
    <w:div w:id="116654109">
      <w:bodyDiv w:val="1"/>
      <w:marLeft w:val="0"/>
      <w:marRight w:val="0"/>
      <w:marTop w:val="0"/>
      <w:marBottom w:val="0"/>
      <w:divBdr>
        <w:top w:val="none" w:sz="0" w:space="0" w:color="auto"/>
        <w:left w:val="none" w:sz="0" w:space="0" w:color="auto"/>
        <w:bottom w:val="none" w:sz="0" w:space="0" w:color="auto"/>
        <w:right w:val="none" w:sz="0" w:space="0" w:color="auto"/>
      </w:divBdr>
    </w:div>
    <w:div w:id="119686552">
      <w:bodyDiv w:val="1"/>
      <w:marLeft w:val="0"/>
      <w:marRight w:val="0"/>
      <w:marTop w:val="0"/>
      <w:marBottom w:val="0"/>
      <w:divBdr>
        <w:top w:val="none" w:sz="0" w:space="0" w:color="auto"/>
        <w:left w:val="none" w:sz="0" w:space="0" w:color="auto"/>
        <w:bottom w:val="none" w:sz="0" w:space="0" w:color="auto"/>
        <w:right w:val="none" w:sz="0" w:space="0" w:color="auto"/>
      </w:divBdr>
    </w:div>
    <w:div w:id="126971417">
      <w:bodyDiv w:val="1"/>
      <w:marLeft w:val="0"/>
      <w:marRight w:val="0"/>
      <w:marTop w:val="0"/>
      <w:marBottom w:val="0"/>
      <w:divBdr>
        <w:top w:val="none" w:sz="0" w:space="0" w:color="auto"/>
        <w:left w:val="none" w:sz="0" w:space="0" w:color="auto"/>
        <w:bottom w:val="none" w:sz="0" w:space="0" w:color="auto"/>
        <w:right w:val="none" w:sz="0" w:space="0" w:color="auto"/>
      </w:divBdr>
    </w:div>
    <w:div w:id="140778676">
      <w:bodyDiv w:val="1"/>
      <w:marLeft w:val="0"/>
      <w:marRight w:val="0"/>
      <w:marTop w:val="0"/>
      <w:marBottom w:val="0"/>
      <w:divBdr>
        <w:top w:val="none" w:sz="0" w:space="0" w:color="auto"/>
        <w:left w:val="none" w:sz="0" w:space="0" w:color="auto"/>
        <w:bottom w:val="none" w:sz="0" w:space="0" w:color="auto"/>
        <w:right w:val="none" w:sz="0" w:space="0" w:color="auto"/>
      </w:divBdr>
    </w:div>
    <w:div w:id="156771376">
      <w:bodyDiv w:val="1"/>
      <w:marLeft w:val="0"/>
      <w:marRight w:val="0"/>
      <w:marTop w:val="0"/>
      <w:marBottom w:val="0"/>
      <w:divBdr>
        <w:top w:val="none" w:sz="0" w:space="0" w:color="auto"/>
        <w:left w:val="none" w:sz="0" w:space="0" w:color="auto"/>
        <w:bottom w:val="none" w:sz="0" w:space="0" w:color="auto"/>
        <w:right w:val="none" w:sz="0" w:space="0" w:color="auto"/>
      </w:divBdr>
    </w:div>
    <w:div w:id="164168342">
      <w:bodyDiv w:val="1"/>
      <w:marLeft w:val="0"/>
      <w:marRight w:val="0"/>
      <w:marTop w:val="0"/>
      <w:marBottom w:val="0"/>
      <w:divBdr>
        <w:top w:val="none" w:sz="0" w:space="0" w:color="auto"/>
        <w:left w:val="none" w:sz="0" w:space="0" w:color="auto"/>
        <w:bottom w:val="none" w:sz="0" w:space="0" w:color="auto"/>
        <w:right w:val="none" w:sz="0" w:space="0" w:color="auto"/>
      </w:divBdr>
    </w:div>
    <w:div w:id="182325291">
      <w:bodyDiv w:val="1"/>
      <w:marLeft w:val="0"/>
      <w:marRight w:val="0"/>
      <w:marTop w:val="0"/>
      <w:marBottom w:val="0"/>
      <w:divBdr>
        <w:top w:val="none" w:sz="0" w:space="0" w:color="auto"/>
        <w:left w:val="none" w:sz="0" w:space="0" w:color="auto"/>
        <w:bottom w:val="none" w:sz="0" w:space="0" w:color="auto"/>
        <w:right w:val="none" w:sz="0" w:space="0" w:color="auto"/>
      </w:divBdr>
    </w:div>
    <w:div w:id="190532252">
      <w:bodyDiv w:val="1"/>
      <w:marLeft w:val="0"/>
      <w:marRight w:val="0"/>
      <w:marTop w:val="0"/>
      <w:marBottom w:val="0"/>
      <w:divBdr>
        <w:top w:val="none" w:sz="0" w:space="0" w:color="auto"/>
        <w:left w:val="none" w:sz="0" w:space="0" w:color="auto"/>
        <w:bottom w:val="none" w:sz="0" w:space="0" w:color="auto"/>
        <w:right w:val="none" w:sz="0" w:space="0" w:color="auto"/>
      </w:divBdr>
    </w:div>
    <w:div w:id="195001235">
      <w:bodyDiv w:val="1"/>
      <w:marLeft w:val="0"/>
      <w:marRight w:val="0"/>
      <w:marTop w:val="0"/>
      <w:marBottom w:val="0"/>
      <w:divBdr>
        <w:top w:val="none" w:sz="0" w:space="0" w:color="auto"/>
        <w:left w:val="none" w:sz="0" w:space="0" w:color="auto"/>
        <w:bottom w:val="none" w:sz="0" w:space="0" w:color="auto"/>
        <w:right w:val="none" w:sz="0" w:space="0" w:color="auto"/>
      </w:divBdr>
    </w:div>
    <w:div w:id="201020959">
      <w:bodyDiv w:val="1"/>
      <w:marLeft w:val="0"/>
      <w:marRight w:val="0"/>
      <w:marTop w:val="0"/>
      <w:marBottom w:val="0"/>
      <w:divBdr>
        <w:top w:val="none" w:sz="0" w:space="0" w:color="auto"/>
        <w:left w:val="none" w:sz="0" w:space="0" w:color="auto"/>
        <w:bottom w:val="none" w:sz="0" w:space="0" w:color="auto"/>
        <w:right w:val="none" w:sz="0" w:space="0" w:color="auto"/>
      </w:divBdr>
    </w:div>
    <w:div w:id="201097034">
      <w:bodyDiv w:val="1"/>
      <w:marLeft w:val="0"/>
      <w:marRight w:val="0"/>
      <w:marTop w:val="0"/>
      <w:marBottom w:val="0"/>
      <w:divBdr>
        <w:top w:val="none" w:sz="0" w:space="0" w:color="auto"/>
        <w:left w:val="none" w:sz="0" w:space="0" w:color="auto"/>
        <w:bottom w:val="none" w:sz="0" w:space="0" w:color="auto"/>
        <w:right w:val="none" w:sz="0" w:space="0" w:color="auto"/>
      </w:divBdr>
    </w:div>
    <w:div w:id="205526239">
      <w:bodyDiv w:val="1"/>
      <w:marLeft w:val="0"/>
      <w:marRight w:val="0"/>
      <w:marTop w:val="0"/>
      <w:marBottom w:val="0"/>
      <w:divBdr>
        <w:top w:val="none" w:sz="0" w:space="0" w:color="auto"/>
        <w:left w:val="none" w:sz="0" w:space="0" w:color="auto"/>
        <w:bottom w:val="none" w:sz="0" w:space="0" w:color="auto"/>
        <w:right w:val="none" w:sz="0" w:space="0" w:color="auto"/>
      </w:divBdr>
    </w:div>
    <w:div w:id="213155032">
      <w:bodyDiv w:val="1"/>
      <w:marLeft w:val="0"/>
      <w:marRight w:val="0"/>
      <w:marTop w:val="0"/>
      <w:marBottom w:val="0"/>
      <w:divBdr>
        <w:top w:val="none" w:sz="0" w:space="0" w:color="auto"/>
        <w:left w:val="none" w:sz="0" w:space="0" w:color="auto"/>
        <w:bottom w:val="none" w:sz="0" w:space="0" w:color="auto"/>
        <w:right w:val="none" w:sz="0" w:space="0" w:color="auto"/>
      </w:divBdr>
    </w:div>
    <w:div w:id="229735034">
      <w:bodyDiv w:val="1"/>
      <w:marLeft w:val="0"/>
      <w:marRight w:val="0"/>
      <w:marTop w:val="0"/>
      <w:marBottom w:val="0"/>
      <w:divBdr>
        <w:top w:val="none" w:sz="0" w:space="0" w:color="auto"/>
        <w:left w:val="none" w:sz="0" w:space="0" w:color="auto"/>
        <w:bottom w:val="none" w:sz="0" w:space="0" w:color="auto"/>
        <w:right w:val="none" w:sz="0" w:space="0" w:color="auto"/>
      </w:divBdr>
    </w:div>
    <w:div w:id="241642020">
      <w:bodyDiv w:val="1"/>
      <w:marLeft w:val="0"/>
      <w:marRight w:val="0"/>
      <w:marTop w:val="0"/>
      <w:marBottom w:val="0"/>
      <w:divBdr>
        <w:top w:val="none" w:sz="0" w:space="0" w:color="auto"/>
        <w:left w:val="none" w:sz="0" w:space="0" w:color="auto"/>
        <w:bottom w:val="none" w:sz="0" w:space="0" w:color="auto"/>
        <w:right w:val="none" w:sz="0" w:space="0" w:color="auto"/>
      </w:divBdr>
    </w:div>
    <w:div w:id="284237415">
      <w:bodyDiv w:val="1"/>
      <w:marLeft w:val="0"/>
      <w:marRight w:val="0"/>
      <w:marTop w:val="0"/>
      <w:marBottom w:val="0"/>
      <w:divBdr>
        <w:top w:val="none" w:sz="0" w:space="0" w:color="auto"/>
        <w:left w:val="none" w:sz="0" w:space="0" w:color="auto"/>
        <w:bottom w:val="none" w:sz="0" w:space="0" w:color="auto"/>
        <w:right w:val="none" w:sz="0" w:space="0" w:color="auto"/>
      </w:divBdr>
    </w:div>
    <w:div w:id="329598152">
      <w:bodyDiv w:val="1"/>
      <w:marLeft w:val="0"/>
      <w:marRight w:val="0"/>
      <w:marTop w:val="0"/>
      <w:marBottom w:val="0"/>
      <w:divBdr>
        <w:top w:val="none" w:sz="0" w:space="0" w:color="auto"/>
        <w:left w:val="none" w:sz="0" w:space="0" w:color="auto"/>
        <w:bottom w:val="none" w:sz="0" w:space="0" w:color="auto"/>
        <w:right w:val="none" w:sz="0" w:space="0" w:color="auto"/>
      </w:divBdr>
    </w:div>
    <w:div w:id="334653398">
      <w:bodyDiv w:val="1"/>
      <w:marLeft w:val="0"/>
      <w:marRight w:val="0"/>
      <w:marTop w:val="0"/>
      <w:marBottom w:val="0"/>
      <w:divBdr>
        <w:top w:val="none" w:sz="0" w:space="0" w:color="auto"/>
        <w:left w:val="none" w:sz="0" w:space="0" w:color="auto"/>
        <w:bottom w:val="none" w:sz="0" w:space="0" w:color="auto"/>
        <w:right w:val="none" w:sz="0" w:space="0" w:color="auto"/>
      </w:divBdr>
    </w:div>
    <w:div w:id="349259611">
      <w:bodyDiv w:val="1"/>
      <w:marLeft w:val="0"/>
      <w:marRight w:val="0"/>
      <w:marTop w:val="0"/>
      <w:marBottom w:val="0"/>
      <w:divBdr>
        <w:top w:val="none" w:sz="0" w:space="0" w:color="auto"/>
        <w:left w:val="none" w:sz="0" w:space="0" w:color="auto"/>
        <w:bottom w:val="none" w:sz="0" w:space="0" w:color="auto"/>
        <w:right w:val="none" w:sz="0" w:space="0" w:color="auto"/>
      </w:divBdr>
    </w:div>
    <w:div w:id="350764142">
      <w:bodyDiv w:val="1"/>
      <w:marLeft w:val="0"/>
      <w:marRight w:val="0"/>
      <w:marTop w:val="0"/>
      <w:marBottom w:val="0"/>
      <w:divBdr>
        <w:top w:val="none" w:sz="0" w:space="0" w:color="auto"/>
        <w:left w:val="none" w:sz="0" w:space="0" w:color="auto"/>
        <w:bottom w:val="none" w:sz="0" w:space="0" w:color="auto"/>
        <w:right w:val="none" w:sz="0" w:space="0" w:color="auto"/>
      </w:divBdr>
    </w:div>
    <w:div w:id="351954605">
      <w:bodyDiv w:val="1"/>
      <w:marLeft w:val="0"/>
      <w:marRight w:val="0"/>
      <w:marTop w:val="0"/>
      <w:marBottom w:val="0"/>
      <w:divBdr>
        <w:top w:val="none" w:sz="0" w:space="0" w:color="auto"/>
        <w:left w:val="none" w:sz="0" w:space="0" w:color="auto"/>
        <w:bottom w:val="none" w:sz="0" w:space="0" w:color="auto"/>
        <w:right w:val="none" w:sz="0" w:space="0" w:color="auto"/>
      </w:divBdr>
    </w:div>
    <w:div w:id="353312355">
      <w:bodyDiv w:val="1"/>
      <w:marLeft w:val="0"/>
      <w:marRight w:val="0"/>
      <w:marTop w:val="0"/>
      <w:marBottom w:val="0"/>
      <w:divBdr>
        <w:top w:val="none" w:sz="0" w:space="0" w:color="auto"/>
        <w:left w:val="none" w:sz="0" w:space="0" w:color="auto"/>
        <w:bottom w:val="none" w:sz="0" w:space="0" w:color="auto"/>
        <w:right w:val="none" w:sz="0" w:space="0" w:color="auto"/>
      </w:divBdr>
    </w:div>
    <w:div w:id="359012695">
      <w:bodyDiv w:val="1"/>
      <w:marLeft w:val="0"/>
      <w:marRight w:val="0"/>
      <w:marTop w:val="0"/>
      <w:marBottom w:val="0"/>
      <w:divBdr>
        <w:top w:val="none" w:sz="0" w:space="0" w:color="auto"/>
        <w:left w:val="none" w:sz="0" w:space="0" w:color="auto"/>
        <w:bottom w:val="none" w:sz="0" w:space="0" w:color="auto"/>
        <w:right w:val="none" w:sz="0" w:space="0" w:color="auto"/>
      </w:divBdr>
    </w:div>
    <w:div w:id="359431257">
      <w:bodyDiv w:val="1"/>
      <w:marLeft w:val="0"/>
      <w:marRight w:val="0"/>
      <w:marTop w:val="0"/>
      <w:marBottom w:val="0"/>
      <w:divBdr>
        <w:top w:val="none" w:sz="0" w:space="0" w:color="auto"/>
        <w:left w:val="none" w:sz="0" w:space="0" w:color="auto"/>
        <w:bottom w:val="none" w:sz="0" w:space="0" w:color="auto"/>
        <w:right w:val="none" w:sz="0" w:space="0" w:color="auto"/>
      </w:divBdr>
    </w:div>
    <w:div w:id="363099332">
      <w:bodyDiv w:val="1"/>
      <w:marLeft w:val="0"/>
      <w:marRight w:val="0"/>
      <w:marTop w:val="0"/>
      <w:marBottom w:val="0"/>
      <w:divBdr>
        <w:top w:val="none" w:sz="0" w:space="0" w:color="auto"/>
        <w:left w:val="none" w:sz="0" w:space="0" w:color="auto"/>
        <w:bottom w:val="none" w:sz="0" w:space="0" w:color="auto"/>
        <w:right w:val="none" w:sz="0" w:space="0" w:color="auto"/>
      </w:divBdr>
    </w:div>
    <w:div w:id="372972526">
      <w:bodyDiv w:val="1"/>
      <w:marLeft w:val="0"/>
      <w:marRight w:val="0"/>
      <w:marTop w:val="0"/>
      <w:marBottom w:val="0"/>
      <w:divBdr>
        <w:top w:val="none" w:sz="0" w:space="0" w:color="auto"/>
        <w:left w:val="none" w:sz="0" w:space="0" w:color="auto"/>
        <w:bottom w:val="none" w:sz="0" w:space="0" w:color="auto"/>
        <w:right w:val="none" w:sz="0" w:space="0" w:color="auto"/>
      </w:divBdr>
    </w:div>
    <w:div w:id="374240435">
      <w:bodyDiv w:val="1"/>
      <w:marLeft w:val="0"/>
      <w:marRight w:val="0"/>
      <w:marTop w:val="0"/>
      <w:marBottom w:val="0"/>
      <w:divBdr>
        <w:top w:val="none" w:sz="0" w:space="0" w:color="auto"/>
        <w:left w:val="none" w:sz="0" w:space="0" w:color="auto"/>
        <w:bottom w:val="none" w:sz="0" w:space="0" w:color="auto"/>
        <w:right w:val="none" w:sz="0" w:space="0" w:color="auto"/>
      </w:divBdr>
    </w:div>
    <w:div w:id="390881971">
      <w:bodyDiv w:val="1"/>
      <w:marLeft w:val="0"/>
      <w:marRight w:val="0"/>
      <w:marTop w:val="0"/>
      <w:marBottom w:val="0"/>
      <w:divBdr>
        <w:top w:val="none" w:sz="0" w:space="0" w:color="auto"/>
        <w:left w:val="none" w:sz="0" w:space="0" w:color="auto"/>
        <w:bottom w:val="none" w:sz="0" w:space="0" w:color="auto"/>
        <w:right w:val="none" w:sz="0" w:space="0" w:color="auto"/>
      </w:divBdr>
    </w:div>
    <w:div w:id="396712707">
      <w:bodyDiv w:val="1"/>
      <w:marLeft w:val="0"/>
      <w:marRight w:val="0"/>
      <w:marTop w:val="0"/>
      <w:marBottom w:val="0"/>
      <w:divBdr>
        <w:top w:val="none" w:sz="0" w:space="0" w:color="auto"/>
        <w:left w:val="none" w:sz="0" w:space="0" w:color="auto"/>
        <w:bottom w:val="none" w:sz="0" w:space="0" w:color="auto"/>
        <w:right w:val="none" w:sz="0" w:space="0" w:color="auto"/>
      </w:divBdr>
    </w:div>
    <w:div w:id="396976365">
      <w:bodyDiv w:val="1"/>
      <w:marLeft w:val="0"/>
      <w:marRight w:val="0"/>
      <w:marTop w:val="0"/>
      <w:marBottom w:val="0"/>
      <w:divBdr>
        <w:top w:val="none" w:sz="0" w:space="0" w:color="auto"/>
        <w:left w:val="none" w:sz="0" w:space="0" w:color="auto"/>
        <w:bottom w:val="none" w:sz="0" w:space="0" w:color="auto"/>
        <w:right w:val="none" w:sz="0" w:space="0" w:color="auto"/>
      </w:divBdr>
    </w:div>
    <w:div w:id="399133106">
      <w:bodyDiv w:val="1"/>
      <w:marLeft w:val="0"/>
      <w:marRight w:val="0"/>
      <w:marTop w:val="0"/>
      <w:marBottom w:val="0"/>
      <w:divBdr>
        <w:top w:val="none" w:sz="0" w:space="0" w:color="auto"/>
        <w:left w:val="none" w:sz="0" w:space="0" w:color="auto"/>
        <w:bottom w:val="none" w:sz="0" w:space="0" w:color="auto"/>
        <w:right w:val="none" w:sz="0" w:space="0" w:color="auto"/>
      </w:divBdr>
    </w:div>
    <w:div w:id="417989560">
      <w:bodyDiv w:val="1"/>
      <w:marLeft w:val="0"/>
      <w:marRight w:val="0"/>
      <w:marTop w:val="0"/>
      <w:marBottom w:val="0"/>
      <w:divBdr>
        <w:top w:val="none" w:sz="0" w:space="0" w:color="auto"/>
        <w:left w:val="none" w:sz="0" w:space="0" w:color="auto"/>
        <w:bottom w:val="none" w:sz="0" w:space="0" w:color="auto"/>
        <w:right w:val="none" w:sz="0" w:space="0" w:color="auto"/>
      </w:divBdr>
    </w:div>
    <w:div w:id="418795472">
      <w:bodyDiv w:val="1"/>
      <w:marLeft w:val="0"/>
      <w:marRight w:val="0"/>
      <w:marTop w:val="0"/>
      <w:marBottom w:val="0"/>
      <w:divBdr>
        <w:top w:val="none" w:sz="0" w:space="0" w:color="auto"/>
        <w:left w:val="none" w:sz="0" w:space="0" w:color="auto"/>
        <w:bottom w:val="none" w:sz="0" w:space="0" w:color="auto"/>
        <w:right w:val="none" w:sz="0" w:space="0" w:color="auto"/>
      </w:divBdr>
    </w:div>
    <w:div w:id="419643834">
      <w:bodyDiv w:val="1"/>
      <w:marLeft w:val="0"/>
      <w:marRight w:val="0"/>
      <w:marTop w:val="0"/>
      <w:marBottom w:val="0"/>
      <w:divBdr>
        <w:top w:val="none" w:sz="0" w:space="0" w:color="auto"/>
        <w:left w:val="none" w:sz="0" w:space="0" w:color="auto"/>
        <w:bottom w:val="none" w:sz="0" w:space="0" w:color="auto"/>
        <w:right w:val="none" w:sz="0" w:space="0" w:color="auto"/>
      </w:divBdr>
    </w:div>
    <w:div w:id="425615355">
      <w:bodyDiv w:val="1"/>
      <w:marLeft w:val="0"/>
      <w:marRight w:val="0"/>
      <w:marTop w:val="0"/>
      <w:marBottom w:val="0"/>
      <w:divBdr>
        <w:top w:val="none" w:sz="0" w:space="0" w:color="auto"/>
        <w:left w:val="none" w:sz="0" w:space="0" w:color="auto"/>
        <w:bottom w:val="none" w:sz="0" w:space="0" w:color="auto"/>
        <w:right w:val="none" w:sz="0" w:space="0" w:color="auto"/>
      </w:divBdr>
    </w:div>
    <w:div w:id="436603238">
      <w:bodyDiv w:val="1"/>
      <w:marLeft w:val="0"/>
      <w:marRight w:val="0"/>
      <w:marTop w:val="0"/>
      <w:marBottom w:val="0"/>
      <w:divBdr>
        <w:top w:val="none" w:sz="0" w:space="0" w:color="auto"/>
        <w:left w:val="none" w:sz="0" w:space="0" w:color="auto"/>
        <w:bottom w:val="none" w:sz="0" w:space="0" w:color="auto"/>
        <w:right w:val="none" w:sz="0" w:space="0" w:color="auto"/>
      </w:divBdr>
      <w:divsChild>
        <w:div w:id="630406159">
          <w:marLeft w:val="240"/>
          <w:marRight w:val="240"/>
          <w:marTop w:val="0"/>
          <w:marBottom w:val="240"/>
          <w:divBdr>
            <w:top w:val="single" w:sz="6" w:space="3" w:color="E3E5E6"/>
            <w:left w:val="single" w:sz="6" w:space="3" w:color="E3E5E6"/>
            <w:bottom w:val="single" w:sz="6" w:space="3" w:color="E3E5E6"/>
            <w:right w:val="single" w:sz="6" w:space="3" w:color="E3E5E6"/>
          </w:divBdr>
        </w:div>
      </w:divsChild>
    </w:div>
    <w:div w:id="441652099">
      <w:bodyDiv w:val="1"/>
      <w:marLeft w:val="0"/>
      <w:marRight w:val="0"/>
      <w:marTop w:val="0"/>
      <w:marBottom w:val="0"/>
      <w:divBdr>
        <w:top w:val="none" w:sz="0" w:space="0" w:color="auto"/>
        <w:left w:val="none" w:sz="0" w:space="0" w:color="auto"/>
        <w:bottom w:val="none" w:sz="0" w:space="0" w:color="auto"/>
        <w:right w:val="none" w:sz="0" w:space="0" w:color="auto"/>
      </w:divBdr>
    </w:div>
    <w:div w:id="442961520">
      <w:bodyDiv w:val="1"/>
      <w:marLeft w:val="0"/>
      <w:marRight w:val="0"/>
      <w:marTop w:val="0"/>
      <w:marBottom w:val="0"/>
      <w:divBdr>
        <w:top w:val="none" w:sz="0" w:space="0" w:color="auto"/>
        <w:left w:val="none" w:sz="0" w:space="0" w:color="auto"/>
        <w:bottom w:val="none" w:sz="0" w:space="0" w:color="auto"/>
        <w:right w:val="none" w:sz="0" w:space="0" w:color="auto"/>
      </w:divBdr>
    </w:div>
    <w:div w:id="448815687">
      <w:bodyDiv w:val="1"/>
      <w:marLeft w:val="0"/>
      <w:marRight w:val="0"/>
      <w:marTop w:val="0"/>
      <w:marBottom w:val="0"/>
      <w:divBdr>
        <w:top w:val="none" w:sz="0" w:space="0" w:color="auto"/>
        <w:left w:val="none" w:sz="0" w:space="0" w:color="auto"/>
        <w:bottom w:val="none" w:sz="0" w:space="0" w:color="auto"/>
        <w:right w:val="none" w:sz="0" w:space="0" w:color="auto"/>
      </w:divBdr>
    </w:div>
    <w:div w:id="452598763">
      <w:bodyDiv w:val="1"/>
      <w:marLeft w:val="0"/>
      <w:marRight w:val="0"/>
      <w:marTop w:val="0"/>
      <w:marBottom w:val="0"/>
      <w:divBdr>
        <w:top w:val="none" w:sz="0" w:space="0" w:color="auto"/>
        <w:left w:val="none" w:sz="0" w:space="0" w:color="auto"/>
        <w:bottom w:val="none" w:sz="0" w:space="0" w:color="auto"/>
        <w:right w:val="none" w:sz="0" w:space="0" w:color="auto"/>
      </w:divBdr>
    </w:div>
    <w:div w:id="453401373">
      <w:bodyDiv w:val="1"/>
      <w:marLeft w:val="0"/>
      <w:marRight w:val="0"/>
      <w:marTop w:val="0"/>
      <w:marBottom w:val="0"/>
      <w:divBdr>
        <w:top w:val="none" w:sz="0" w:space="0" w:color="auto"/>
        <w:left w:val="none" w:sz="0" w:space="0" w:color="auto"/>
        <w:bottom w:val="none" w:sz="0" w:space="0" w:color="auto"/>
        <w:right w:val="none" w:sz="0" w:space="0" w:color="auto"/>
      </w:divBdr>
    </w:div>
    <w:div w:id="460852304">
      <w:bodyDiv w:val="1"/>
      <w:marLeft w:val="0"/>
      <w:marRight w:val="0"/>
      <w:marTop w:val="0"/>
      <w:marBottom w:val="0"/>
      <w:divBdr>
        <w:top w:val="none" w:sz="0" w:space="0" w:color="auto"/>
        <w:left w:val="none" w:sz="0" w:space="0" w:color="auto"/>
        <w:bottom w:val="none" w:sz="0" w:space="0" w:color="auto"/>
        <w:right w:val="none" w:sz="0" w:space="0" w:color="auto"/>
      </w:divBdr>
    </w:div>
    <w:div w:id="467866062">
      <w:bodyDiv w:val="1"/>
      <w:marLeft w:val="0"/>
      <w:marRight w:val="0"/>
      <w:marTop w:val="0"/>
      <w:marBottom w:val="0"/>
      <w:divBdr>
        <w:top w:val="none" w:sz="0" w:space="0" w:color="auto"/>
        <w:left w:val="none" w:sz="0" w:space="0" w:color="auto"/>
        <w:bottom w:val="none" w:sz="0" w:space="0" w:color="auto"/>
        <w:right w:val="none" w:sz="0" w:space="0" w:color="auto"/>
      </w:divBdr>
    </w:div>
    <w:div w:id="472216904">
      <w:bodyDiv w:val="1"/>
      <w:marLeft w:val="0"/>
      <w:marRight w:val="0"/>
      <w:marTop w:val="0"/>
      <w:marBottom w:val="0"/>
      <w:divBdr>
        <w:top w:val="none" w:sz="0" w:space="0" w:color="auto"/>
        <w:left w:val="none" w:sz="0" w:space="0" w:color="auto"/>
        <w:bottom w:val="none" w:sz="0" w:space="0" w:color="auto"/>
        <w:right w:val="none" w:sz="0" w:space="0" w:color="auto"/>
      </w:divBdr>
    </w:div>
    <w:div w:id="485821690">
      <w:bodyDiv w:val="1"/>
      <w:marLeft w:val="0"/>
      <w:marRight w:val="0"/>
      <w:marTop w:val="0"/>
      <w:marBottom w:val="0"/>
      <w:divBdr>
        <w:top w:val="none" w:sz="0" w:space="0" w:color="auto"/>
        <w:left w:val="none" w:sz="0" w:space="0" w:color="auto"/>
        <w:bottom w:val="none" w:sz="0" w:space="0" w:color="auto"/>
        <w:right w:val="none" w:sz="0" w:space="0" w:color="auto"/>
      </w:divBdr>
    </w:div>
    <w:div w:id="487283482">
      <w:bodyDiv w:val="1"/>
      <w:marLeft w:val="0"/>
      <w:marRight w:val="0"/>
      <w:marTop w:val="0"/>
      <w:marBottom w:val="0"/>
      <w:divBdr>
        <w:top w:val="none" w:sz="0" w:space="0" w:color="auto"/>
        <w:left w:val="none" w:sz="0" w:space="0" w:color="auto"/>
        <w:bottom w:val="none" w:sz="0" w:space="0" w:color="auto"/>
        <w:right w:val="none" w:sz="0" w:space="0" w:color="auto"/>
      </w:divBdr>
    </w:div>
    <w:div w:id="508913815">
      <w:bodyDiv w:val="1"/>
      <w:marLeft w:val="0"/>
      <w:marRight w:val="0"/>
      <w:marTop w:val="0"/>
      <w:marBottom w:val="0"/>
      <w:divBdr>
        <w:top w:val="none" w:sz="0" w:space="0" w:color="auto"/>
        <w:left w:val="none" w:sz="0" w:space="0" w:color="auto"/>
        <w:bottom w:val="none" w:sz="0" w:space="0" w:color="auto"/>
        <w:right w:val="none" w:sz="0" w:space="0" w:color="auto"/>
      </w:divBdr>
    </w:div>
    <w:div w:id="514534290">
      <w:bodyDiv w:val="1"/>
      <w:marLeft w:val="0"/>
      <w:marRight w:val="0"/>
      <w:marTop w:val="0"/>
      <w:marBottom w:val="0"/>
      <w:divBdr>
        <w:top w:val="none" w:sz="0" w:space="0" w:color="auto"/>
        <w:left w:val="none" w:sz="0" w:space="0" w:color="auto"/>
        <w:bottom w:val="none" w:sz="0" w:space="0" w:color="auto"/>
        <w:right w:val="none" w:sz="0" w:space="0" w:color="auto"/>
      </w:divBdr>
    </w:div>
    <w:div w:id="520633898">
      <w:bodyDiv w:val="1"/>
      <w:marLeft w:val="0"/>
      <w:marRight w:val="0"/>
      <w:marTop w:val="0"/>
      <w:marBottom w:val="0"/>
      <w:divBdr>
        <w:top w:val="none" w:sz="0" w:space="0" w:color="auto"/>
        <w:left w:val="none" w:sz="0" w:space="0" w:color="auto"/>
        <w:bottom w:val="none" w:sz="0" w:space="0" w:color="auto"/>
        <w:right w:val="none" w:sz="0" w:space="0" w:color="auto"/>
      </w:divBdr>
    </w:div>
    <w:div w:id="563565966">
      <w:bodyDiv w:val="1"/>
      <w:marLeft w:val="0"/>
      <w:marRight w:val="0"/>
      <w:marTop w:val="0"/>
      <w:marBottom w:val="0"/>
      <w:divBdr>
        <w:top w:val="none" w:sz="0" w:space="0" w:color="auto"/>
        <w:left w:val="none" w:sz="0" w:space="0" w:color="auto"/>
        <w:bottom w:val="none" w:sz="0" w:space="0" w:color="auto"/>
        <w:right w:val="none" w:sz="0" w:space="0" w:color="auto"/>
      </w:divBdr>
    </w:div>
    <w:div w:id="579564027">
      <w:bodyDiv w:val="1"/>
      <w:marLeft w:val="0"/>
      <w:marRight w:val="0"/>
      <w:marTop w:val="0"/>
      <w:marBottom w:val="0"/>
      <w:divBdr>
        <w:top w:val="none" w:sz="0" w:space="0" w:color="auto"/>
        <w:left w:val="none" w:sz="0" w:space="0" w:color="auto"/>
        <w:bottom w:val="none" w:sz="0" w:space="0" w:color="auto"/>
        <w:right w:val="none" w:sz="0" w:space="0" w:color="auto"/>
      </w:divBdr>
    </w:div>
    <w:div w:id="597103917">
      <w:bodyDiv w:val="1"/>
      <w:marLeft w:val="0"/>
      <w:marRight w:val="0"/>
      <w:marTop w:val="0"/>
      <w:marBottom w:val="0"/>
      <w:divBdr>
        <w:top w:val="none" w:sz="0" w:space="0" w:color="auto"/>
        <w:left w:val="none" w:sz="0" w:space="0" w:color="auto"/>
        <w:bottom w:val="none" w:sz="0" w:space="0" w:color="auto"/>
        <w:right w:val="none" w:sz="0" w:space="0" w:color="auto"/>
      </w:divBdr>
    </w:div>
    <w:div w:id="610089589">
      <w:bodyDiv w:val="1"/>
      <w:marLeft w:val="0"/>
      <w:marRight w:val="0"/>
      <w:marTop w:val="0"/>
      <w:marBottom w:val="0"/>
      <w:divBdr>
        <w:top w:val="none" w:sz="0" w:space="0" w:color="auto"/>
        <w:left w:val="none" w:sz="0" w:space="0" w:color="auto"/>
        <w:bottom w:val="none" w:sz="0" w:space="0" w:color="auto"/>
        <w:right w:val="none" w:sz="0" w:space="0" w:color="auto"/>
      </w:divBdr>
    </w:div>
    <w:div w:id="613950074">
      <w:bodyDiv w:val="1"/>
      <w:marLeft w:val="0"/>
      <w:marRight w:val="0"/>
      <w:marTop w:val="0"/>
      <w:marBottom w:val="0"/>
      <w:divBdr>
        <w:top w:val="none" w:sz="0" w:space="0" w:color="auto"/>
        <w:left w:val="none" w:sz="0" w:space="0" w:color="auto"/>
        <w:bottom w:val="none" w:sz="0" w:space="0" w:color="auto"/>
        <w:right w:val="none" w:sz="0" w:space="0" w:color="auto"/>
      </w:divBdr>
    </w:div>
    <w:div w:id="623199143">
      <w:bodyDiv w:val="1"/>
      <w:marLeft w:val="0"/>
      <w:marRight w:val="0"/>
      <w:marTop w:val="0"/>
      <w:marBottom w:val="0"/>
      <w:divBdr>
        <w:top w:val="none" w:sz="0" w:space="0" w:color="auto"/>
        <w:left w:val="none" w:sz="0" w:space="0" w:color="auto"/>
        <w:bottom w:val="none" w:sz="0" w:space="0" w:color="auto"/>
        <w:right w:val="none" w:sz="0" w:space="0" w:color="auto"/>
      </w:divBdr>
    </w:div>
    <w:div w:id="631131844">
      <w:bodyDiv w:val="1"/>
      <w:marLeft w:val="0"/>
      <w:marRight w:val="0"/>
      <w:marTop w:val="0"/>
      <w:marBottom w:val="0"/>
      <w:divBdr>
        <w:top w:val="none" w:sz="0" w:space="0" w:color="auto"/>
        <w:left w:val="none" w:sz="0" w:space="0" w:color="auto"/>
        <w:bottom w:val="none" w:sz="0" w:space="0" w:color="auto"/>
        <w:right w:val="none" w:sz="0" w:space="0" w:color="auto"/>
      </w:divBdr>
    </w:div>
    <w:div w:id="643435957">
      <w:bodyDiv w:val="1"/>
      <w:marLeft w:val="0"/>
      <w:marRight w:val="0"/>
      <w:marTop w:val="0"/>
      <w:marBottom w:val="0"/>
      <w:divBdr>
        <w:top w:val="none" w:sz="0" w:space="0" w:color="auto"/>
        <w:left w:val="none" w:sz="0" w:space="0" w:color="auto"/>
        <w:bottom w:val="none" w:sz="0" w:space="0" w:color="auto"/>
        <w:right w:val="none" w:sz="0" w:space="0" w:color="auto"/>
      </w:divBdr>
    </w:div>
    <w:div w:id="656112209">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665744698">
      <w:bodyDiv w:val="1"/>
      <w:marLeft w:val="0"/>
      <w:marRight w:val="0"/>
      <w:marTop w:val="0"/>
      <w:marBottom w:val="0"/>
      <w:divBdr>
        <w:top w:val="none" w:sz="0" w:space="0" w:color="auto"/>
        <w:left w:val="none" w:sz="0" w:space="0" w:color="auto"/>
        <w:bottom w:val="none" w:sz="0" w:space="0" w:color="auto"/>
        <w:right w:val="none" w:sz="0" w:space="0" w:color="auto"/>
      </w:divBdr>
    </w:div>
    <w:div w:id="669018751">
      <w:bodyDiv w:val="1"/>
      <w:marLeft w:val="0"/>
      <w:marRight w:val="0"/>
      <w:marTop w:val="0"/>
      <w:marBottom w:val="0"/>
      <w:divBdr>
        <w:top w:val="none" w:sz="0" w:space="0" w:color="auto"/>
        <w:left w:val="none" w:sz="0" w:space="0" w:color="auto"/>
        <w:bottom w:val="none" w:sz="0" w:space="0" w:color="auto"/>
        <w:right w:val="none" w:sz="0" w:space="0" w:color="auto"/>
      </w:divBdr>
    </w:div>
    <w:div w:id="678583425">
      <w:bodyDiv w:val="1"/>
      <w:marLeft w:val="0"/>
      <w:marRight w:val="0"/>
      <w:marTop w:val="0"/>
      <w:marBottom w:val="0"/>
      <w:divBdr>
        <w:top w:val="none" w:sz="0" w:space="0" w:color="auto"/>
        <w:left w:val="none" w:sz="0" w:space="0" w:color="auto"/>
        <w:bottom w:val="none" w:sz="0" w:space="0" w:color="auto"/>
        <w:right w:val="none" w:sz="0" w:space="0" w:color="auto"/>
      </w:divBdr>
    </w:div>
    <w:div w:id="695422105">
      <w:bodyDiv w:val="1"/>
      <w:marLeft w:val="0"/>
      <w:marRight w:val="0"/>
      <w:marTop w:val="0"/>
      <w:marBottom w:val="0"/>
      <w:divBdr>
        <w:top w:val="none" w:sz="0" w:space="0" w:color="auto"/>
        <w:left w:val="none" w:sz="0" w:space="0" w:color="auto"/>
        <w:bottom w:val="none" w:sz="0" w:space="0" w:color="auto"/>
        <w:right w:val="none" w:sz="0" w:space="0" w:color="auto"/>
      </w:divBdr>
    </w:div>
    <w:div w:id="723527779">
      <w:bodyDiv w:val="1"/>
      <w:marLeft w:val="0"/>
      <w:marRight w:val="0"/>
      <w:marTop w:val="0"/>
      <w:marBottom w:val="0"/>
      <w:divBdr>
        <w:top w:val="none" w:sz="0" w:space="0" w:color="auto"/>
        <w:left w:val="none" w:sz="0" w:space="0" w:color="auto"/>
        <w:bottom w:val="none" w:sz="0" w:space="0" w:color="auto"/>
        <w:right w:val="none" w:sz="0" w:space="0" w:color="auto"/>
      </w:divBdr>
    </w:div>
    <w:div w:id="734818691">
      <w:bodyDiv w:val="1"/>
      <w:marLeft w:val="0"/>
      <w:marRight w:val="0"/>
      <w:marTop w:val="0"/>
      <w:marBottom w:val="0"/>
      <w:divBdr>
        <w:top w:val="none" w:sz="0" w:space="0" w:color="auto"/>
        <w:left w:val="none" w:sz="0" w:space="0" w:color="auto"/>
        <w:bottom w:val="none" w:sz="0" w:space="0" w:color="auto"/>
        <w:right w:val="none" w:sz="0" w:space="0" w:color="auto"/>
      </w:divBdr>
    </w:div>
    <w:div w:id="749694313">
      <w:bodyDiv w:val="1"/>
      <w:marLeft w:val="0"/>
      <w:marRight w:val="0"/>
      <w:marTop w:val="0"/>
      <w:marBottom w:val="0"/>
      <w:divBdr>
        <w:top w:val="none" w:sz="0" w:space="0" w:color="auto"/>
        <w:left w:val="none" w:sz="0" w:space="0" w:color="auto"/>
        <w:bottom w:val="none" w:sz="0" w:space="0" w:color="auto"/>
        <w:right w:val="none" w:sz="0" w:space="0" w:color="auto"/>
      </w:divBdr>
    </w:div>
    <w:div w:id="754475911">
      <w:bodyDiv w:val="1"/>
      <w:marLeft w:val="0"/>
      <w:marRight w:val="0"/>
      <w:marTop w:val="0"/>
      <w:marBottom w:val="0"/>
      <w:divBdr>
        <w:top w:val="none" w:sz="0" w:space="0" w:color="auto"/>
        <w:left w:val="none" w:sz="0" w:space="0" w:color="auto"/>
        <w:bottom w:val="none" w:sz="0" w:space="0" w:color="auto"/>
        <w:right w:val="none" w:sz="0" w:space="0" w:color="auto"/>
      </w:divBdr>
    </w:div>
    <w:div w:id="781724780">
      <w:bodyDiv w:val="1"/>
      <w:marLeft w:val="0"/>
      <w:marRight w:val="0"/>
      <w:marTop w:val="0"/>
      <w:marBottom w:val="0"/>
      <w:divBdr>
        <w:top w:val="none" w:sz="0" w:space="0" w:color="auto"/>
        <w:left w:val="none" w:sz="0" w:space="0" w:color="auto"/>
        <w:bottom w:val="none" w:sz="0" w:space="0" w:color="auto"/>
        <w:right w:val="none" w:sz="0" w:space="0" w:color="auto"/>
      </w:divBdr>
    </w:div>
    <w:div w:id="830566310">
      <w:bodyDiv w:val="1"/>
      <w:marLeft w:val="0"/>
      <w:marRight w:val="0"/>
      <w:marTop w:val="0"/>
      <w:marBottom w:val="0"/>
      <w:divBdr>
        <w:top w:val="none" w:sz="0" w:space="0" w:color="auto"/>
        <w:left w:val="none" w:sz="0" w:space="0" w:color="auto"/>
        <w:bottom w:val="none" w:sz="0" w:space="0" w:color="auto"/>
        <w:right w:val="none" w:sz="0" w:space="0" w:color="auto"/>
      </w:divBdr>
    </w:div>
    <w:div w:id="832063578">
      <w:bodyDiv w:val="1"/>
      <w:marLeft w:val="0"/>
      <w:marRight w:val="0"/>
      <w:marTop w:val="0"/>
      <w:marBottom w:val="0"/>
      <w:divBdr>
        <w:top w:val="none" w:sz="0" w:space="0" w:color="auto"/>
        <w:left w:val="none" w:sz="0" w:space="0" w:color="auto"/>
        <w:bottom w:val="none" w:sz="0" w:space="0" w:color="auto"/>
        <w:right w:val="none" w:sz="0" w:space="0" w:color="auto"/>
      </w:divBdr>
    </w:div>
    <w:div w:id="850921603">
      <w:bodyDiv w:val="1"/>
      <w:marLeft w:val="0"/>
      <w:marRight w:val="0"/>
      <w:marTop w:val="0"/>
      <w:marBottom w:val="0"/>
      <w:divBdr>
        <w:top w:val="none" w:sz="0" w:space="0" w:color="auto"/>
        <w:left w:val="none" w:sz="0" w:space="0" w:color="auto"/>
        <w:bottom w:val="none" w:sz="0" w:space="0" w:color="auto"/>
        <w:right w:val="none" w:sz="0" w:space="0" w:color="auto"/>
      </w:divBdr>
    </w:div>
    <w:div w:id="854268188">
      <w:bodyDiv w:val="1"/>
      <w:marLeft w:val="0"/>
      <w:marRight w:val="0"/>
      <w:marTop w:val="0"/>
      <w:marBottom w:val="0"/>
      <w:divBdr>
        <w:top w:val="none" w:sz="0" w:space="0" w:color="auto"/>
        <w:left w:val="none" w:sz="0" w:space="0" w:color="auto"/>
        <w:bottom w:val="none" w:sz="0" w:space="0" w:color="auto"/>
        <w:right w:val="none" w:sz="0" w:space="0" w:color="auto"/>
      </w:divBdr>
    </w:div>
    <w:div w:id="854804963">
      <w:bodyDiv w:val="1"/>
      <w:marLeft w:val="0"/>
      <w:marRight w:val="0"/>
      <w:marTop w:val="0"/>
      <w:marBottom w:val="0"/>
      <w:divBdr>
        <w:top w:val="none" w:sz="0" w:space="0" w:color="auto"/>
        <w:left w:val="none" w:sz="0" w:space="0" w:color="auto"/>
        <w:bottom w:val="none" w:sz="0" w:space="0" w:color="auto"/>
        <w:right w:val="none" w:sz="0" w:space="0" w:color="auto"/>
      </w:divBdr>
    </w:div>
    <w:div w:id="866605363">
      <w:bodyDiv w:val="1"/>
      <w:marLeft w:val="0"/>
      <w:marRight w:val="0"/>
      <w:marTop w:val="0"/>
      <w:marBottom w:val="0"/>
      <w:divBdr>
        <w:top w:val="none" w:sz="0" w:space="0" w:color="auto"/>
        <w:left w:val="none" w:sz="0" w:space="0" w:color="auto"/>
        <w:bottom w:val="none" w:sz="0" w:space="0" w:color="auto"/>
        <w:right w:val="none" w:sz="0" w:space="0" w:color="auto"/>
      </w:divBdr>
    </w:div>
    <w:div w:id="905144882">
      <w:bodyDiv w:val="1"/>
      <w:marLeft w:val="0"/>
      <w:marRight w:val="0"/>
      <w:marTop w:val="0"/>
      <w:marBottom w:val="0"/>
      <w:divBdr>
        <w:top w:val="none" w:sz="0" w:space="0" w:color="auto"/>
        <w:left w:val="none" w:sz="0" w:space="0" w:color="auto"/>
        <w:bottom w:val="none" w:sz="0" w:space="0" w:color="auto"/>
        <w:right w:val="none" w:sz="0" w:space="0" w:color="auto"/>
      </w:divBdr>
    </w:div>
    <w:div w:id="915357706">
      <w:bodyDiv w:val="1"/>
      <w:marLeft w:val="0"/>
      <w:marRight w:val="0"/>
      <w:marTop w:val="0"/>
      <w:marBottom w:val="0"/>
      <w:divBdr>
        <w:top w:val="none" w:sz="0" w:space="0" w:color="auto"/>
        <w:left w:val="none" w:sz="0" w:space="0" w:color="auto"/>
        <w:bottom w:val="none" w:sz="0" w:space="0" w:color="auto"/>
        <w:right w:val="none" w:sz="0" w:space="0" w:color="auto"/>
      </w:divBdr>
    </w:div>
    <w:div w:id="918366794">
      <w:bodyDiv w:val="1"/>
      <w:marLeft w:val="0"/>
      <w:marRight w:val="0"/>
      <w:marTop w:val="0"/>
      <w:marBottom w:val="0"/>
      <w:divBdr>
        <w:top w:val="none" w:sz="0" w:space="0" w:color="auto"/>
        <w:left w:val="none" w:sz="0" w:space="0" w:color="auto"/>
        <w:bottom w:val="none" w:sz="0" w:space="0" w:color="auto"/>
        <w:right w:val="none" w:sz="0" w:space="0" w:color="auto"/>
      </w:divBdr>
    </w:div>
    <w:div w:id="935405369">
      <w:bodyDiv w:val="1"/>
      <w:marLeft w:val="0"/>
      <w:marRight w:val="0"/>
      <w:marTop w:val="0"/>
      <w:marBottom w:val="0"/>
      <w:divBdr>
        <w:top w:val="none" w:sz="0" w:space="0" w:color="auto"/>
        <w:left w:val="none" w:sz="0" w:space="0" w:color="auto"/>
        <w:bottom w:val="none" w:sz="0" w:space="0" w:color="auto"/>
        <w:right w:val="none" w:sz="0" w:space="0" w:color="auto"/>
      </w:divBdr>
    </w:div>
    <w:div w:id="943809753">
      <w:bodyDiv w:val="1"/>
      <w:marLeft w:val="0"/>
      <w:marRight w:val="0"/>
      <w:marTop w:val="0"/>
      <w:marBottom w:val="0"/>
      <w:divBdr>
        <w:top w:val="none" w:sz="0" w:space="0" w:color="auto"/>
        <w:left w:val="none" w:sz="0" w:space="0" w:color="auto"/>
        <w:bottom w:val="none" w:sz="0" w:space="0" w:color="auto"/>
        <w:right w:val="none" w:sz="0" w:space="0" w:color="auto"/>
      </w:divBdr>
    </w:div>
    <w:div w:id="947009920">
      <w:bodyDiv w:val="1"/>
      <w:marLeft w:val="0"/>
      <w:marRight w:val="0"/>
      <w:marTop w:val="0"/>
      <w:marBottom w:val="0"/>
      <w:divBdr>
        <w:top w:val="none" w:sz="0" w:space="0" w:color="auto"/>
        <w:left w:val="none" w:sz="0" w:space="0" w:color="auto"/>
        <w:bottom w:val="none" w:sz="0" w:space="0" w:color="auto"/>
        <w:right w:val="none" w:sz="0" w:space="0" w:color="auto"/>
      </w:divBdr>
    </w:div>
    <w:div w:id="956135090">
      <w:bodyDiv w:val="1"/>
      <w:marLeft w:val="0"/>
      <w:marRight w:val="0"/>
      <w:marTop w:val="0"/>
      <w:marBottom w:val="0"/>
      <w:divBdr>
        <w:top w:val="none" w:sz="0" w:space="0" w:color="auto"/>
        <w:left w:val="none" w:sz="0" w:space="0" w:color="auto"/>
        <w:bottom w:val="none" w:sz="0" w:space="0" w:color="auto"/>
        <w:right w:val="none" w:sz="0" w:space="0" w:color="auto"/>
      </w:divBdr>
    </w:div>
    <w:div w:id="962231891">
      <w:bodyDiv w:val="1"/>
      <w:marLeft w:val="0"/>
      <w:marRight w:val="0"/>
      <w:marTop w:val="0"/>
      <w:marBottom w:val="0"/>
      <w:divBdr>
        <w:top w:val="none" w:sz="0" w:space="0" w:color="auto"/>
        <w:left w:val="none" w:sz="0" w:space="0" w:color="auto"/>
        <w:bottom w:val="none" w:sz="0" w:space="0" w:color="auto"/>
        <w:right w:val="none" w:sz="0" w:space="0" w:color="auto"/>
      </w:divBdr>
    </w:div>
    <w:div w:id="978193711">
      <w:bodyDiv w:val="1"/>
      <w:marLeft w:val="0"/>
      <w:marRight w:val="0"/>
      <w:marTop w:val="0"/>
      <w:marBottom w:val="0"/>
      <w:divBdr>
        <w:top w:val="none" w:sz="0" w:space="0" w:color="auto"/>
        <w:left w:val="none" w:sz="0" w:space="0" w:color="auto"/>
        <w:bottom w:val="none" w:sz="0" w:space="0" w:color="auto"/>
        <w:right w:val="none" w:sz="0" w:space="0" w:color="auto"/>
      </w:divBdr>
    </w:div>
    <w:div w:id="982079455">
      <w:bodyDiv w:val="1"/>
      <w:marLeft w:val="0"/>
      <w:marRight w:val="0"/>
      <w:marTop w:val="0"/>
      <w:marBottom w:val="0"/>
      <w:divBdr>
        <w:top w:val="none" w:sz="0" w:space="0" w:color="auto"/>
        <w:left w:val="none" w:sz="0" w:space="0" w:color="auto"/>
        <w:bottom w:val="none" w:sz="0" w:space="0" w:color="auto"/>
        <w:right w:val="none" w:sz="0" w:space="0" w:color="auto"/>
      </w:divBdr>
    </w:div>
    <w:div w:id="986205185">
      <w:bodyDiv w:val="1"/>
      <w:marLeft w:val="0"/>
      <w:marRight w:val="0"/>
      <w:marTop w:val="0"/>
      <w:marBottom w:val="0"/>
      <w:divBdr>
        <w:top w:val="none" w:sz="0" w:space="0" w:color="auto"/>
        <w:left w:val="none" w:sz="0" w:space="0" w:color="auto"/>
        <w:bottom w:val="none" w:sz="0" w:space="0" w:color="auto"/>
        <w:right w:val="none" w:sz="0" w:space="0" w:color="auto"/>
      </w:divBdr>
    </w:div>
    <w:div w:id="988438624">
      <w:bodyDiv w:val="1"/>
      <w:marLeft w:val="0"/>
      <w:marRight w:val="0"/>
      <w:marTop w:val="0"/>
      <w:marBottom w:val="0"/>
      <w:divBdr>
        <w:top w:val="none" w:sz="0" w:space="0" w:color="auto"/>
        <w:left w:val="none" w:sz="0" w:space="0" w:color="auto"/>
        <w:bottom w:val="none" w:sz="0" w:space="0" w:color="auto"/>
        <w:right w:val="none" w:sz="0" w:space="0" w:color="auto"/>
      </w:divBdr>
    </w:div>
    <w:div w:id="995646736">
      <w:bodyDiv w:val="1"/>
      <w:marLeft w:val="0"/>
      <w:marRight w:val="0"/>
      <w:marTop w:val="0"/>
      <w:marBottom w:val="0"/>
      <w:divBdr>
        <w:top w:val="none" w:sz="0" w:space="0" w:color="auto"/>
        <w:left w:val="none" w:sz="0" w:space="0" w:color="auto"/>
        <w:bottom w:val="none" w:sz="0" w:space="0" w:color="auto"/>
        <w:right w:val="none" w:sz="0" w:space="0" w:color="auto"/>
      </w:divBdr>
    </w:div>
    <w:div w:id="1011487674">
      <w:bodyDiv w:val="1"/>
      <w:marLeft w:val="0"/>
      <w:marRight w:val="0"/>
      <w:marTop w:val="0"/>
      <w:marBottom w:val="0"/>
      <w:divBdr>
        <w:top w:val="none" w:sz="0" w:space="0" w:color="auto"/>
        <w:left w:val="none" w:sz="0" w:space="0" w:color="auto"/>
        <w:bottom w:val="none" w:sz="0" w:space="0" w:color="auto"/>
        <w:right w:val="none" w:sz="0" w:space="0" w:color="auto"/>
      </w:divBdr>
    </w:div>
    <w:div w:id="1035885325">
      <w:bodyDiv w:val="1"/>
      <w:marLeft w:val="0"/>
      <w:marRight w:val="0"/>
      <w:marTop w:val="0"/>
      <w:marBottom w:val="0"/>
      <w:divBdr>
        <w:top w:val="none" w:sz="0" w:space="0" w:color="auto"/>
        <w:left w:val="none" w:sz="0" w:space="0" w:color="auto"/>
        <w:bottom w:val="none" w:sz="0" w:space="0" w:color="auto"/>
        <w:right w:val="none" w:sz="0" w:space="0" w:color="auto"/>
      </w:divBdr>
    </w:div>
    <w:div w:id="1036925093">
      <w:bodyDiv w:val="1"/>
      <w:marLeft w:val="0"/>
      <w:marRight w:val="0"/>
      <w:marTop w:val="0"/>
      <w:marBottom w:val="0"/>
      <w:divBdr>
        <w:top w:val="none" w:sz="0" w:space="0" w:color="auto"/>
        <w:left w:val="none" w:sz="0" w:space="0" w:color="auto"/>
        <w:bottom w:val="none" w:sz="0" w:space="0" w:color="auto"/>
        <w:right w:val="none" w:sz="0" w:space="0" w:color="auto"/>
      </w:divBdr>
    </w:div>
    <w:div w:id="1060863707">
      <w:bodyDiv w:val="1"/>
      <w:marLeft w:val="0"/>
      <w:marRight w:val="0"/>
      <w:marTop w:val="0"/>
      <w:marBottom w:val="0"/>
      <w:divBdr>
        <w:top w:val="none" w:sz="0" w:space="0" w:color="auto"/>
        <w:left w:val="none" w:sz="0" w:space="0" w:color="auto"/>
        <w:bottom w:val="none" w:sz="0" w:space="0" w:color="auto"/>
        <w:right w:val="none" w:sz="0" w:space="0" w:color="auto"/>
      </w:divBdr>
    </w:div>
    <w:div w:id="1081606145">
      <w:bodyDiv w:val="1"/>
      <w:marLeft w:val="0"/>
      <w:marRight w:val="0"/>
      <w:marTop w:val="0"/>
      <w:marBottom w:val="0"/>
      <w:divBdr>
        <w:top w:val="none" w:sz="0" w:space="0" w:color="auto"/>
        <w:left w:val="none" w:sz="0" w:space="0" w:color="auto"/>
        <w:bottom w:val="none" w:sz="0" w:space="0" w:color="auto"/>
        <w:right w:val="none" w:sz="0" w:space="0" w:color="auto"/>
      </w:divBdr>
    </w:div>
    <w:div w:id="1112017210">
      <w:bodyDiv w:val="1"/>
      <w:marLeft w:val="0"/>
      <w:marRight w:val="0"/>
      <w:marTop w:val="0"/>
      <w:marBottom w:val="0"/>
      <w:divBdr>
        <w:top w:val="none" w:sz="0" w:space="0" w:color="auto"/>
        <w:left w:val="none" w:sz="0" w:space="0" w:color="auto"/>
        <w:bottom w:val="none" w:sz="0" w:space="0" w:color="auto"/>
        <w:right w:val="none" w:sz="0" w:space="0" w:color="auto"/>
      </w:divBdr>
    </w:div>
    <w:div w:id="1115976039">
      <w:bodyDiv w:val="1"/>
      <w:marLeft w:val="0"/>
      <w:marRight w:val="0"/>
      <w:marTop w:val="0"/>
      <w:marBottom w:val="0"/>
      <w:divBdr>
        <w:top w:val="none" w:sz="0" w:space="0" w:color="auto"/>
        <w:left w:val="none" w:sz="0" w:space="0" w:color="auto"/>
        <w:bottom w:val="none" w:sz="0" w:space="0" w:color="auto"/>
        <w:right w:val="none" w:sz="0" w:space="0" w:color="auto"/>
      </w:divBdr>
    </w:div>
    <w:div w:id="1152062973">
      <w:bodyDiv w:val="1"/>
      <w:marLeft w:val="0"/>
      <w:marRight w:val="0"/>
      <w:marTop w:val="0"/>
      <w:marBottom w:val="0"/>
      <w:divBdr>
        <w:top w:val="none" w:sz="0" w:space="0" w:color="auto"/>
        <w:left w:val="none" w:sz="0" w:space="0" w:color="auto"/>
        <w:bottom w:val="none" w:sz="0" w:space="0" w:color="auto"/>
        <w:right w:val="none" w:sz="0" w:space="0" w:color="auto"/>
      </w:divBdr>
    </w:div>
    <w:div w:id="1182475971">
      <w:bodyDiv w:val="1"/>
      <w:marLeft w:val="0"/>
      <w:marRight w:val="0"/>
      <w:marTop w:val="0"/>
      <w:marBottom w:val="0"/>
      <w:divBdr>
        <w:top w:val="none" w:sz="0" w:space="0" w:color="auto"/>
        <w:left w:val="none" w:sz="0" w:space="0" w:color="auto"/>
        <w:bottom w:val="none" w:sz="0" w:space="0" w:color="auto"/>
        <w:right w:val="none" w:sz="0" w:space="0" w:color="auto"/>
      </w:divBdr>
    </w:div>
    <w:div w:id="1184629377">
      <w:bodyDiv w:val="1"/>
      <w:marLeft w:val="0"/>
      <w:marRight w:val="0"/>
      <w:marTop w:val="0"/>
      <w:marBottom w:val="0"/>
      <w:divBdr>
        <w:top w:val="none" w:sz="0" w:space="0" w:color="auto"/>
        <w:left w:val="none" w:sz="0" w:space="0" w:color="auto"/>
        <w:bottom w:val="none" w:sz="0" w:space="0" w:color="auto"/>
        <w:right w:val="none" w:sz="0" w:space="0" w:color="auto"/>
      </w:divBdr>
    </w:div>
    <w:div w:id="1185172731">
      <w:bodyDiv w:val="1"/>
      <w:marLeft w:val="0"/>
      <w:marRight w:val="0"/>
      <w:marTop w:val="0"/>
      <w:marBottom w:val="0"/>
      <w:divBdr>
        <w:top w:val="none" w:sz="0" w:space="0" w:color="auto"/>
        <w:left w:val="none" w:sz="0" w:space="0" w:color="auto"/>
        <w:bottom w:val="none" w:sz="0" w:space="0" w:color="auto"/>
        <w:right w:val="none" w:sz="0" w:space="0" w:color="auto"/>
      </w:divBdr>
    </w:div>
    <w:div w:id="1194198066">
      <w:bodyDiv w:val="1"/>
      <w:marLeft w:val="0"/>
      <w:marRight w:val="0"/>
      <w:marTop w:val="0"/>
      <w:marBottom w:val="0"/>
      <w:divBdr>
        <w:top w:val="none" w:sz="0" w:space="0" w:color="auto"/>
        <w:left w:val="none" w:sz="0" w:space="0" w:color="auto"/>
        <w:bottom w:val="none" w:sz="0" w:space="0" w:color="auto"/>
        <w:right w:val="none" w:sz="0" w:space="0" w:color="auto"/>
      </w:divBdr>
    </w:div>
    <w:div w:id="1195197671">
      <w:bodyDiv w:val="1"/>
      <w:marLeft w:val="0"/>
      <w:marRight w:val="0"/>
      <w:marTop w:val="0"/>
      <w:marBottom w:val="0"/>
      <w:divBdr>
        <w:top w:val="none" w:sz="0" w:space="0" w:color="auto"/>
        <w:left w:val="none" w:sz="0" w:space="0" w:color="auto"/>
        <w:bottom w:val="none" w:sz="0" w:space="0" w:color="auto"/>
        <w:right w:val="none" w:sz="0" w:space="0" w:color="auto"/>
      </w:divBdr>
    </w:div>
    <w:div w:id="1214661719">
      <w:bodyDiv w:val="1"/>
      <w:marLeft w:val="0"/>
      <w:marRight w:val="0"/>
      <w:marTop w:val="0"/>
      <w:marBottom w:val="0"/>
      <w:divBdr>
        <w:top w:val="none" w:sz="0" w:space="0" w:color="auto"/>
        <w:left w:val="none" w:sz="0" w:space="0" w:color="auto"/>
        <w:bottom w:val="none" w:sz="0" w:space="0" w:color="auto"/>
        <w:right w:val="none" w:sz="0" w:space="0" w:color="auto"/>
      </w:divBdr>
    </w:div>
    <w:div w:id="1233733254">
      <w:bodyDiv w:val="1"/>
      <w:marLeft w:val="0"/>
      <w:marRight w:val="0"/>
      <w:marTop w:val="0"/>
      <w:marBottom w:val="0"/>
      <w:divBdr>
        <w:top w:val="none" w:sz="0" w:space="0" w:color="auto"/>
        <w:left w:val="none" w:sz="0" w:space="0" w:color="auto"/>
        <w:bottom w:val="none" w:sz="0" w:space="0" w:color="auto"/>
        <w:right w:val="none" w:sz="0" w:space="0" w:color="auto"/>
      </w:divBdr>
    </w:div>
    <w:div w:id="1290093612">
      <w:bodyDiv w:val="1"/>
      <w:marLeft w:val="0"/>
      <w:marRight w:val="0"/>
      <w:marTop w:val="0"/>
      <w:marBottom w:val="0"/>
      <w:divBdr>
        <w:top w:val="none" w:sz="0" w:space="0" w:color="auto"/>
        <w:left w:val="none" w:sz="0" w:space="0" w:color="auto"/>
        <w:bottom w:val="none" w:sz="0" w:space="0" w:color="auto"/>
        <w:right w:val="none" w:sz="0" w:space="0" w:color="auto"/>
      </w:divBdr>
    </w:div>
    <w:div w:id="1303341952">
      <w:bodyDiv w:val="1"/>
      <w:marLeft w:val="0"/>
      <w:marRight w:val="0"/>
      <w:marTop w:val="0"/>
      <w:marBottom w:val="0"/>
      <w:divBdr>
        <w:top w:val="none" w:sz="0" w:space="0" w:color="auto"/>
        <w:left w:val="none" w:sz="0" w:space="0" w:color="auto"/>
        <w:bottom w:val="none" w:sz="0" w:space="0" w:color="auto"/>
        <w:right w:val="none" w:sz="0" w:space="0" w:color="auto"/>
      </w:divBdr>
    </w:div>
    <w:div w:id="1313367336">
      <w:bodyDiv w:val="1"/>
      <w:marLeft w:val="0"/>
      <w:marRight w:val="0"/>
      <w:marTop w:val="0"/>
      <w:marBottom w:val="0"/>
      <w:divBdr>
        <w:top w:val="none" w:sz="0" w:space="0" w:color="auto"/>
        <w:left w:val="none" w:sz="0" w:space="0" w:color="auto"/>
        <w:bottom w:val="none" w:sz="0" w:space="0" w:color="auto"/>
        <w:right w:val="none" w:sz="0" w:space="0" w:color="auto"/>
      </w:divBdr>
    </w:div>
    <w:div w:id="1313677671">
      <w:bodyDiv w:val="1"/>
      <w:marLeft w:val="0"/>
      <w:marRight w:val="0"/>
      <w:marTop w:val="0"/>
      <w:marBottom w:val="0"/>
      <w:divBdr>
        <w:top w:val="none" w:sz="0" w:space="0" w:color="auto"/>
        <w:left w:val="none" w:sz="0" w:space="0" w:color="auto"/>
        <w:bottom w:val="none" w:sz="0" w:space="0" w:color="auto"/>
        <w:right w:val="none" w:sz="0" w:space="0" w:color="auto"/>
      </w:divBdr>
    </w:div>
    <w:div w:id="1313943938">
      <w:bodyDiv w:val="1"/>
      <w:marLeft w:val="0"/>
      <w:marRight w:val="0"/>
      <w:marTop w:val="0"/>
      <w:marBottom w:val="0"/>
      <w:divBdr>
        <w:top w:val="none" w:sz="0" w:space="0" w:color="auto"/>
        <w:left w:val="none" w:sz="0" w:space="0" w:color="auto"/>
        <w:bottom w:val="none" w:sz="0" w:space="0" w:color="auto"/>
        <w:right w:val="none" w:sz="0" w:space="0" w:color="auto"/>
      </w:divBdr>
    </w:div>
    <w:div w:id="1317880545">
      <w:bodyDiv w:val="1"/>
      <w:marLeft w:val="0"/>
      <w:marRight w:val="0"/>
      <w:marTop w:val="0"/>
      <w:marBottom w:val="0"/>
      <w:divBdr>
        <w:top w:val="none" w:sz="0" w:space="0" w:color="auto"/>
        <w:left w:val="none" w:sz="0" w:space="0" w:color="auto"/>
        <w:bottom w:val="none" w:sz="0" w:space="0" w:color="auto"/>
        <w:right w:val="none" w:sz="0" w:space="0" w:color="auto"/>
      </w:divBdr>
    </w:div>
    <w:div w:id="1339237646">
      <w:bodyDiv w:val="1"/>
      <w:marLeft w:val="0"/>
      <w:marRight w:val="0"/>
      <w:marTop w:val="0"/>
      <w:marBottom w:val="0"/>
      <w:divBdr>
        <w:top w:val="none" w:sz="0" w:space="0" w:color="auto"/>
        <w:left w:val="none" w:sz="0" w:space="0" w:color="auto"/>
        <w:bottom w:val="none" w:sz="0" w:space="0" w:color="auto"/>
        <w:right w:val="none" w:sz="0" w:space="0" w:color="auto"/>
      </w:divBdr>
    </w:div>
    <w:div w:id="1343389672">
      <w:bodyDiv w:val="1"/>
      <w:marLeft w:val="0"/>
      <w:marRight w:val="0"/>
      <w:marTop w:val="0"/>
      <w:marBottom w:val="0"/>
      <w:divBdr>
        <w:top w:val="none" w:sz="0" w:space="0" w:color="auto"/>
        <w:left w:val="none" w:sz="0" w:space="0" w:color="auto"/>
        <w:bottom w:val="none" w:sz="0" w:space="0" w:color="auto"/>
        <w:right w:val="none" w:sz="0" w:space="0" w:color="auto"/>
      </w:divBdr>
    </w:div>
    <w:div w:id="1352610423">
      <w:bodyDiv w:val="1"/>
      <w:marLeft w:val="0"/>
      <w:marRight w:val="0"/>
      <w:marTop w:val="0"/>
      <w:marBottom w:val="0"/>
      <w:divBdr>
        <w:top w:val="none" w:sz="0" w:space="0" w:color="auto"/>
        <w:left w:val="none" w:sz="0" w:space="0" w:color="auto"/>
        <w:bottom w:val="none" w:sz="0" w:space="0" w:color="auto"/>
        <w:right w:val="none" w:sz="0" w:space="0" w:color="auto"/>
      </w:divBdr>
    </w:div>
    <w:div w:id="1353258940">
      <w:bodyDiv w:val="1"/>
      <w:marLeft w:val="0"/>
      <w:marRight w:val="0"/>
      <w:marTop w:val="0"/>
      <w:marBottom w:val="0"/>
      <w:divBdr>
        <w:top w:val="none" w:sz="0" w:space="0" w:color="auto"/>
        <w:left w:val="none" w:sz="0" w:space="0" w:color="auto"/>
        <w:bottom w:val="none" w:sz="0" w:space="0" w:color="auto"/>
        <w:right w:val="none" w:sz="0" w:space="0" w:color="auto"/>
      </w:divBdr>
    </w:div>
    <w:div w:id="1356466107">
      <w:bodyDiv w:val="1"/>
      <w:marLeft w:val="0"/>
      <w:marRight w:val="0"/>
      <w:marTop w:val="0"/>
      <w:marBottom w:val="0"/>
      <w:divBdr>
        <w:top w:val="none" w:sz="0" w:space="0" w:color="auto"/>
        <w:left w:val="none" w:sz="0" w:space="0" w:color="auto"/>
        <w:bottom w:val="none" w:sz="0" w:space="0" w:color="auto"/>
        <w:right w:val="none" w:sz="0" w:space="0" w:color="auto"/>
      </w:divBdr>
    </w:div>
    <w:div w:id="1358236100">
      <w:bodyDiv w:val="1"/>
      <w:marLeft w:val="0"/>
      <w:marRight w:val="0"/>
      <w:marTop w:val="0"/>
      <w:marBottom w:val="0"/>
      <w:divBdr>
        <w:top w:val="none" w:sz="0" w:space="0" w:color="auto"/>
        <w:left w:val="none" w:sz="0" w:space="0" w:color="auto"/>
        <w:bottom w:val="none" w:sz="0" w:space="0" w:color="auto"/>
        <w:right w:val="none" w:sz="0" w:space="0" w:color="auto"/>
      </w:divBdr>
    </w:div>
    <w:div w:id="1374619364">
      <w:bodyDiv w:val="1"/>
      <w:marLeft w:val="0"/>
      <w:marRight w:val="0"/>
      <w:marTop w:val="0"/>
      <w:marBottom w:val="0"/>
      <w:divBdr>
        <w:top w:val="none" w:sz="0" w:space="0" w:color="auto"/>
        <w:left w:val="none" w:sz="0" w:space="0" w:color="auto"/>
        <w:bottom w:val="none" w:sz="0" w:space="0" w:color="auto"/>
        <w:right w:val="none" w:sz="0" w:space="0" w:color="auto"/>
      </w:divBdr>
    </w:div>
    <w:div w:id="1381393805">
      <w:bodyDiv w:val="1"/>
      <w:marLeft w:val="0"/>
      <w:marRight w:val="0"/>
      <w:marTop w:val="0"/>
      <w:marBottom w:val="0"/>
      <w:divBdr>
        <w:top w:val="none" w:sz="0" w:space="0" w:color="auto"/>
        <w:left w:val="none" w:sz="0" w:space="0" w:color="auto"/>
        <w:bottom w:val="none" w:sz="0" w:space="0" w:color="auto"/>
        <w:right w:val="none" w:sz="0" w:space="0" w:color="auto"/>
      </w:divBdr>
    </w:div>
    <w:div w:id="1382249128">
      <w:bodyDiv w:val="1"/>
      <w:marLeft w:val="0"/>
      <w:marRight w:val="0"/>
      <w:marTop w:val="0"/>
      <w:marBottom w:val="0"/>
      <w:divBdr>
        <w:top w:val="none" w:sz="0" w:space="0" w:color="auto"/>
        <w:left w:val="none" w:sz="0" w:space="0" w:color="auto"/>
        <w:bottom w:val="none" w:sz="0" w:space="0" w:color="auto"/>
        <w:right w:val="none" w:sz="0" w:space="0" w:color="auto"/>
      </w:divBdr>
    </w:div>
    <w:div w:id="1402755801">
      <w:bodyDiv w:val="1"/>
      <w:marLeft w:val="0"/>
      <w:marRight w:val="0"/>
      <w:marTop w:val="0"/>
      <w:marBottom w:val="0"/>
      <w:divBdr>
        <w:top w:val="none" w:sz="0" w:space="0" w:color="auto"/>
        <w:left w:val="none" w:sz="0" w:space="0" w:color="auto"/>
        <w:bottom w:val="none" w:sz="0" w:space="0" w:color="auto"/>
        <w:right w:val="none" w:sz="0" w:space="0" w:color="auto"/>
      </w:divBdr>
    </w:div>
    <w:div w:id="1411738036">
      <w:bodyDiv w:val="1"/>
      <w:marLeft w:val="0"/>
      <w:marRight w:val="0"/>
      <w:marTop w:val="0"/>
      <w:marBottom w:val="0"/>
      <w:divBdr>
        <w:top w:val="none" w:sz="0" w:space="0" w:color="auto"/>
        <w:left w:val="none" w:sz="0" w:space="0" w:color="auto"/>
        <w:bottom w:val="none" w:sz="0" w:space="0" w:color="auto"/>
        <w:right w:val="none" w:sz="0" w:space="0" w:color="auto"/>
      </w:divBdr>
    </w:div>
    <w:div w:id="1419324293">
      <w:bodyDiv w:val="1"/>
      <w:marLeft w:val="0"/>
      <w:marRight w:val="0"/>
      <w:marTop w:val="0"/>
      <w:marBottom w:val="0"/>
      <w:divBdr>
        <w:top w:val="none" w:sz="0" w:space="0" w:color="auto"/>
        <w:left w:val="none" w:sz="0" w:space="0" w:color="auto"/>
        <w:bottom w:val="none" w:sz="0" w:space="0" w:color="auto"/>
        <w:right w:val="none" w:sz="0" w:space="0" w:color="auto"/>
      </w:divBdr>
    </w:div>
    <w:div w:id="1432430210">
      <w:bodyDiv w:val="1"/>
      <w:marLeft w:val="0"/>
      <w:marRight w:val="0"/>
      <w:marTop w:val="0"/>
      <w:marBottom w:val="0"/>
      <w:divBdr>
        <w:top w:val="none" w:sz="0" w:space="0" w:color="auto"/>
        <w:left w:val="none" w:sz="0" w:space="0" w:color="auto"/>
        <w:bottom w:val="none" w:sz="0" w:space="0" w:color="auto"/>
        <w:right w:val="none" w:sz="0" w:space="0" w:color="auto"/>
      </w:divBdr>
    </w:div>
    <w:div w:id="1462842112">
      <w:bodyDiv w:val="1"/>
      <w:marLeft w:val="0"/>
      <w:marRight w:val="0"/>
      <w:marTop w:val="0"/>
      <w:marBottom w:val="0"/>
      <w:divBdr>
        <w:top w:val="none" w:sz="0" w:space="0" w:color="auto"/>
        <w:left w:val="none" w:sz="0" w:space="0" w:color="auto"/>
        <w:bottom w:val="none" w:sz="0" w:space="0" w:color="auto"/>
        <w:right w:val="none" w:sz="0" w:space="0" w:color="auto"/>
      </w:divBdr>
    </w:div>
    <w:div w:id="1484199751">
      <w:bodyDiv w:val="1"/>
      <w:marLeft w:val="0"/>
      <w:marRight w:val="0"/>
      <w:marTop w:val="0"/>
      <w:marBottom w:val="0"/>
      <w:divBdr>
        <w:top w:val="none" w:sz="0" w:space="0" w:color="auto"/>
        <w:left w:val="none" w:sz="0" w:space="0" w:color="auto"/>
        <w:bottom w:val="none" w:sz="0" w:space="0" w:color="auto"/>
        <w:right w:val="none" w:sz="0" w:space="0" w:color="auto"/>
      </w:divBdr>
    </w:div>
    <w:div w:id="1485126839">
      <w:bodyDiv w:val="1"/>
      <w:marLeft w:val="0"/>
      <w:marRight w:val="0"/>
      <w:marTop w:val="0"/>
      <w:marBottom w:val="0"/>
      <w:divBdr>
        <w:top w:val="none" w:sz="0" w:space="0" w:color="auto"/>
        <w:left w:val="none" w:sz="0" w:space="0" w:color="auto"/>
        <w:bottom w:val="none" w:sz="0" w:space="0" w:color="auto"/>
        <w:right w:val="none" w:sz="0" w:space="0" w:color="auto"/>
      </w:divBdr>
    </w:div>
    <w:div w:id="1485242689">
      <w:bodyDiv w:val="1"/>
      <w:marLeft w:val="0"/>
      <w:marRight w:val="0"/>
      <w:marTop w:val="0"/>
      <w:marBottom w:val="0"/>
      <w:divBdr>
        <w:top w:val="none" w:sz="0" w:space="0" w:color="auto"/>
        <w:left w:val="none" w:sz="0" w:space="0" w:color="auto"/>
        <w:bottom w:val="none" w:sz="0" w:space="0" w:color="auto"/>
        <w:right w:val="none" w:sz="0" w:space="0" w:color="auto"/>
      </w:divBdr>
    </w:div>
    <w:div w:id="1487818881">
      <w:bodyDiv w:val="1"/>
      <w:marLeft w:val="0"/>
      <w:marRight w:val="0"/>
      <w:marTop w:val="0"/>
      <w:marBottom w:val="0"/>
      <w:divBdr>
        <w:top w:val="none" w:sz="0" w:space="0" w:color="auto"/>
        <w:left w:val="none" w:sz="0" w:space="0" w:color="auto"/>
        <w:bottom w:val="none" w:sz="0" w:space="0" w:color="auto"/>
        <w:right w:val="none" w:sz="0" w:space="0" w:color="auto"/>
      </w:divBdr>
    </w:div>
    <w:div w:id="1488941201">
      <w:bodyDiv w:val="1"/>
      <w:marLeft w:val="0"/>
      <w:marRight w:val="0"/>
      <w:marTop w:val="0"/>
      <w:marBottom w:val="0"/>
      <w:divBdr>
        <w:top w:val="none" w:sz="0" w:space="0" w:color="auto"/>
        <w:left w:val="none" w:sz="0" w:space="0" w:color="auto"/>
        <w:bottom w:val="none" w:sz="0" w:space="0" w:color="auto"/>
        <w:right w:val="none" w:sz="0" w:space="0" w:color="auto"/>
      </w:divBdr>
    </w:div>
    <w:div w:id="1501970397">
      <w:bodyDiv w:val="1"/>
      <w:marLeft w:val="0"/>
      <w:marRight w:val="0"/>
      <w:marTop w:val="0"/>
      <w:marBottom w:val="0"/>
      <w:divBdr>
        <w:top w:val="none" w:sz="0" w:space="0" w:color="auto"/>
        <w:left w:val="none" w:sz="0" w:space="0" w:color="auto"/>
        <w:bottom w:val="none" w:sz="0" w:space="0" w:color="auto"/>
        <w:right w:val="none" w:sz="0" w:space="0" w:color="auto"/>
      </w:divBdr>
    </w:div>
    <w:div w:id="1506018295">
      <w:bodyDiv w:val="1"/>
      <w:marLeft w:val="0"/>
      <w:marRight w:val="0"/>
      <w:marTop w:val="0"/>
      <w:marBottom w:val="0"/>
      <w:divBdr>
        <w:top w:val="none" w:sz="0" w:space="0" w:color="auto"/>
        <w:left w:val="none" w:sz="0" w:space="0" w:color="auto"/>
        <w:bottom w:val="none" w:sz="0" w:space="0" w:color="auto"/>
        <w:right w:val="none" w:sz="0" w:space="0" w:color="auto"/>
      </w:divBdr>
    </w:div>
    <w:div w:id="1526019655">
      <w:bodyDiv w:val="1"/>
      <w:marLeft w:val="0"/>
      <w:marRight w:val="0"/>
      <w:marTop w:val="0"/>
      <w:marBottom w:val="0"/>
      <w:divBdr>
        <w:top w:val="none" w:sz="0" w:space="0" w:color="auto"/>
        <w:left w:val="none" w:sz="0" w:space="0" w:color="auto"/>
        <w:bottom w:val="none" w:sz="0" w:space="0" w:color="auto"/>
        <w:right w:val="none" w:sz="0" w:space="0" w:color="auto"/>
      </w:divBdr>
    </w:div>
    <w:div w:id="1539708849">
      <w:bodyDiv w:val="1"/>
      <w:marLeft w:val="0"/>
      <w:marRight w:val="0"/>
      <w:marTop w:val="0"/>
      <w:marBottom w:val="0"/>
      <w:divBdr>
        <w:top w:val="none" w:sz="0" w:space="0" w:color="auto"/>
        <w:left w:val="none" w:sz="0" w:space="0" w:color="auto"/>
        <w:bottom w:val="none" w:sz="0" w:space="0" w:color="auto"/>
        <w:right w:val="none" w:sz="0" w:space="0" w:color="auto"/>
      </w:divBdr>
    </w:div>
    <w:div w:id="1542278393">
      <w:bodyDiv w:val="1"/>
      <w:marLeft w:val="0"/>
      <w:marRight w:val="0"/>
      <w:marTop w:val="0"/>
      <w:marBottom w:val="0"/>
      <w:divBdr>
        <w:top w:val="none" w:sz="0" w:space="0" w:color="auto"/>
        <w:left w:val="none" w:sz="0" w:space="0" w:color="auto"/>
        <w:bottom w:val="none" w:sz="0" w:space="0" w:color="auto"/>
        <w:right w:val="none" w:sz="0" w:space="0" w:color="auto"/>
      </w:divBdr>
    </w:div>
    <w:div w:id="1543135171">
      <w:bodyDiv w:val="1"/>
      <w:marLeft w:val="0"/>
      <w:marRight w:val="0"/>
      <w:marTop w:val="0"/>
      <w:marBottom w:val="0"/>
      <w:divBdr>
        <w:top w:val="none" w:sz="0" w:space="0" w:color="auto"/>
        <w:left w:val="none" w:sz="0" w:space="0" w:color="auto"/>
        <w:bottom w:val="none" w:sz="0" w:space="0" w:color="auto"/>
        <w:right w:val="none" w:sz="0" w:space="0" w:color="auto"/>
      </w:divBdr>
    </w:div>
    <w:div w:id="1581327681">
      <w:bodyDiv w:val="1"/>
      <w:marLeft w:val="0"/>
      <w:marRight w:val="0"/>
      <w:marTop w:val="0"/>
      <w:marBottom w:val="0"/>
      <w:divBdr>
        <w:top w:val="none" w:sz="0" w:space="0" w:color="auto"/>
        <w:left w:val="none" w:sz="0" w:space="0" w:color="auto"/>
        <w:bottom w:val="none" w:sz="0" w:space="0" w:color="auto"/>
        <w:right w:val="none" w:sz="0" w:space="0" w:color="auto"/>
      </w:divBdr>
    </w:div>
    <w:div w:id="1611932254">
      <w:bodyDiv w:val="1"/>
      <w:marLeft w:val="0"/>
      <w:marRight w:val="0"/>
      <w:marTop w:val="0"/>
      <w:marBottom w:val="0"/>
      <w:divBdr>
        <w:top w:val="none" w:sz="0" w:space="0" w:color="auto"/>
        <w:left w:val="none" w:sz="0" w:space="0" w:color="auto"/>
        <w:bottom w:val="none" w:sz="0" w:space="0" w:color="auto"/>
        <w:right w:val="none" w:sz="0" w:space="0" w:color="auto"/>
      </w:divBdr>
    </w:div>
    <w:div w:id="1638533060">
      <w:bodyDiv w:val="1"/>
      <w:marLeft w:val="0"/>
      <w:marRight w:val="0"/>
      <w:marTop w:val="0"/>
      <w:marBottom w:val="0"/>
      <w:divBdr>
        <w:top w:val="none" w:sz="0" w:space="0" w:color="auto"/>
        <w:left w:val="none" w:sz="0" w:space="0" w:color="auto"/>
        <w:bottom w:val="none" w:sz="0" w:space="0" w:color="auto"/>
        <w:right w:val="none" w:sz="0" w:space="0" w:color="auto"/>
      </w:divBdr>
    </w:div>
    <w:div w:id="1654412195">
      <w:bodyDiv w:val="1"/>
      <w:marLeft w:val="0"/>
      <w:marRight w:val="0"/>
      <w:marTop w:val="0"/>
      <w:marBottom w:val="0"/>
      <w:divBdr>
        <w:top w:val="none" w:sz="0" w:space="0" w:color="auto"/>
        <w:left w:val="none" w:sz="0" w:space="0" w:color="auto"/>
        <w:bottom w:val="none" w:sz="0" w:space="0" w:color="auto"/>
        <w:right w:val="none" w:sz="0" w:space="0" w:color="auto"/>
      </w:divBdr>
    </w:div>
    <w:div w:id="1655066978">
      <w:bodyDiv w:val="1"/>
      <w:marLeft w:val="0"/>
      <w:marRight w:val="0"/>
      <w:marTop w:val="0"/>
      <w:marBottom w:val="0"/>
      <w:divBdr>
        <w:top w:val="none" w:sz="0" w:space="0" w:color="auto"/>
        <w:left w:val="none" w:sz="0" w:space="0" w:color="auto"/>
        <w:bottom w:val="none" w:sz="0" w:space="0" w:color="auto"/>
        <w:right w:val="none" w:sz="0" w:space="0" w:color="auto"/>
      </w:divBdr>
    </w:div>
    <w:div w:id="1657413903">
      <w:bodyDiv w:val="1"/>
      <w:marLeft w:val="0"/>
      <w:marRight w:val="0"/>
      <w:marTop w:val="0"/>
      <w:marBottom w:val="0"/>
      <w:divBdr>
        <w:top w:val="none" w:sz="0" w:space="0" w:color="auto"/>
        <w:left w:val="none" w:sz="0" w:space="0" w:color="auto"/>
        <w:bottom w:val="none" w:sz="0" w:space="0" w:color="auto"/>
        <w:right w:val="none" w:sz="0" w:space="0" w:color="auto"/>
      </w:divBdr>
    </w:div>
    <w:div w:id="1667396439">
      <w:bodyDiv w:val="1"/>
      <w:marLeft w:val="0"/>
      <w:marRight w:val="0"/>
      <w:marTop w:val="0"/>
      <w:marBottom w:val="0"/>
      <w:divBdr>
        <w:top w:val="none" w:sz="0" w:space="0" w:color="auto"/>
        <w:left w:val="none" w:sz="0" w:space="0" w:color="auto"/>
        <w:bottom w:val="none" w:sz="0" w:space="0" w:color="auto"/>
        <w:right w:val="none" w:sz="0" w:space="0" w:color="auto"/>
      </w:divBdr>
    </w:div>
    <w:div w:id="1685398982">
      <w:bodyDiv w:val="1"/>
      <w:marLeft w:val="0"/>
      <w:marRight w:val="0"/>
      <w:marTop w:val="0"/>
      <w:marBottom w:val="0"/>
      <w:divBdr>
        <w:top w:val="none" w:sz="0" w:space="0" w:color="auto"/>
        <w:left w:val="none" w:sz="0" w:space="0" w:color="auto"/>
        <w:bottom w:val="none" w:sz="0" w:space="0" w:color="auto"/>
        <w:right w:val="none" w:sz="0" w:space="0" w:color="auto"/>
      </w:divBdr>
    </w:div>
    <w:div w:id="1691563131">
      <w:bodyDiv w:val="1"/>
      <w:marLeft w:val="0"/>
      <w:marRight w:val="0"/>
      <w:marTop w:val="0"/>
      <w:marBottom w:val="0"/>
      <w:divBdr>
        <w:top w:val="none" w:sz="0" w:space="0" w:color="auto"/>
        <w:left w:val="none" w:sz="0" w:space="0" w:color="auto"/>
        <w:bottom w:val="none" w:sz="0" w:space="0" w:color="auto"/>
        <w:right w:val="none" w:sz="0" w:space="0" w:color="auto"/>
      </w:divBdr>
    </w:div>
    <w:div w:id="1698579511">
      <w:bodyDiv w:val="1"/>
      <w:marLeft w:val="0"/>
      <w:marRight w:val="0"/>
      <w:marTop w:val="0"/>
      <w:marBottom w:val="0"/>
      <w:divBdr>
        <w:top w:val="none" w:sz="0" w:space="0" w:color="auto"/>
        <w:left w:val="none" w:sz="0" w:space="0" w:color="auto"/>
        <w:bottom w:val="none" w:sz="0" w:space="0" w:color="auto"/>
        <w:right w:val="none" w:sz="0" w:space="0" w:color="auto"/>
      </w:divBdr>
    </w:div>
    <w:div w:id="1704596093">
      <w:bodyDiv w:val="1"/>
      <w:marLeft w:val="0"/>
      <w:marRight w:val="0"/>
      <w:marTop w:val="0"/>
      <w:marBottom w:val="0"/>
      <w:divBdr>
        <w:top w:val="none" w:sz="0" w:space="0" w:color="auto"/>
        <w:left w:val="none" w:sz="0" w:space="0" w:color="auto"/>
        <w:bottom w:val="none" w:sz="0" w:space="0" w:color="auto"/>
        <w:right w:val="none" w:sz="0" w:space="0" w:color="auto"/>
      </w:divBdr>
    </w:div>
    <w:div w:id="1719166425">
      <w:bodyDiv w:val="1"/>
      <w:marLeft w:val="0"/>
      <w:marRight w:val="0"/>
      <w:marTop w:val="0"/>
      <w:marBottom w:val="0"/>
      <w:divBdr>
        <w:top w:val="none" w:sz="0" w:space="0" w:color="auto"/>
        <w:left w:val="none" w:sz="0" w:space="0" w:color="auto"/>
        <w:bottom w:val="none" w:sz="0" w:space="0" w:color="auto"/>
        <w:right w:val="none" w:sz="0" w:space="0" w:color="auto"/>
      </w:divBdr>
    </w:div>
    <w:div w:id="1726221601">
      <w:bodyDiv w:val="1"/>
      <w:marLeft w:val="0"/>
      <w:marRight w:val="0"/>
      <w:marTop w:val="0"/>
      <w:marBottom w:val="0"/>
      <w:divBdr>
        <w:top w:val="none" w:sz="0" w:space="0" w:color="auto"/>
        <w:left w:val="none" w:sz="0" w:space="0" w:color="auto"/>
        <w:bottom w:val="none" w:sz="0" w:space="0" w:color="auto"/>
        <w:right w:val="none" w:sz="0" w:space="0" w:color="auto"/>
      </w:divBdr>
    </w:div>
    <w:div w:id="1736317592">
      <w:bodyDiv w:val="1"/>
      <w:marLeft w:val="0"/>
      <w:marRight w:val="0"/>
      <w:marTop w:val="0"/>
      <w:marBottom w:val="0"/>
      <w:divBdr>
        <w:top w:val="none" w:sz="0" w:space="0" w:color="auto"/>
        <w:left w:val="none" w:sz="0" w:space="0" w:color="auto"/>
        <w:bottom w:val="none" w:sz="0" w:space="0" w:color="auto"/>
        <w:right w:val="none" w:sz="0" w:space="0" w:color="auto"/>
      </w:divBdr>
    </w:div>
    <w:div w:id="1769423490">
      <w:bodyDiv w:val="1"/>
      <w:marLeft w:val="0"/>
      <w:marRight w:val="0"/>
      <w:marTop w:val="0"/>
      <w:marBottom w:val="0"/>
      <w:divBdr>
        <w:top w:val="none" w:sz="0" w:space="0" w:color="auto"/>
        <w:left w:val="none" w:sz="0" w:space="0" w:color="auto"/>
        <w:bottom w:val="none" w:sz="0" w:space="0" w:color="auto"/>
        <w:right w:val="none" w:sz="0" w:space="0" w:color="auto"/>
      </w:divBdr>
    </w:div>
    <w:div w:id="1795519664">
      <w:bodyDiv w:val="1"/>
      <w:marLeft w:val="0"/>
      <w:marRight w:val="0"/>
      <w:marTop w:val="0"/>
      <w:marBottom w:val="0"/>
      <w:divBdr>
        <w:top w:val="none" w:sz="0" w:space="0" w:color="auto"/>
        <w:left w:val="none" w:sz="0" w:space="0" w:color="auto"/>
        <w:bottom w:val="none" w:sz="0" w:space="0" w:color="auto"/>
        <w:right w:val="none" w:sz="0" w:space="0" w:color="auto"/>
      </w:divBdr>
    </w:div>
    <w:div w:id="1801652460">
      <w:bodyDiv w:val="1"/>
      <w:marLeft w:val="0"/>
      <w:marRight w:val="0"/>
      <w:marTop w:val="0"/>
      <w:marBottom w:val="0"/>
      <w:divBdr>
        <w:top w:val="none" w:sz="0" w:space="0" w:color="auto"/>
        <w:left w:val="none" w:sz="0" w:space="0" w:color="auto"/>
        <w:bottom w:val="none" w:sz="0" w:space="0" w:color="auto"/>
        <w:right w:val="none" w:sz="0" w:space="0" w:color="auto"/>
      </w:divBdr>
    </w:div>
    <w:div w:id="1805155432">
      <w:bodyDiv w:val="1"/>
      <w:marLeft w:val="0"/>
      <w:marRight w:val="0"/>
      <w:marTop w:val="0"/>
      <w:marBottom w:val="0"/>
      <w:divBdr>
        <w:top w:val="none" w:sz="0" w:space="0" w:color="auto"/>
        <w:left w:val="none" w:sz="0" w:space="0" w:color="auto"/>
        <w:bottom w:val="none" w:sz="0" w:space="0" w:color="auto"/>
        <w:right w:val="none" w:sz="0" w:space="0" w:color="auto"/>
      </w:divBdr>
    </w:div>
    <w:div w:id="1805462076">
      <w:bodyDiv w:val="1"/>
      <w:marLeft w:val="0"/>
      <w:marRight w:val="0"/>
      <w:marTop w:val="0"/>
      <w:marBottom w:val="0"/>
      <w:divBdr>
        <w:top w:val="none" w:sz="0" w:space="0" w:color="auto"/>
        <w:left w:val="none" w:sz="0" w:space="0" w:color="auto"/>
        <w:bottom w:val="none" w:sz="0" w:space="0" w:color="auto"/>
        <w:right w:val="none" w:sz="0" w:space="0" w:color="auto"/>
      </w:divBdr>
    </w:div>
    <w:div w:id="1811243560">
      <w:bodyDiv w:val="1"/>
      <w:marLeft w:val="0"/>
      <w:marRight w:val="0"/>
      <w:marTop w:val="0"/>
      <w:marBottom w:val="0"/>
      <w:divBdr>
        <w:top w:val="none" w:sz="0" w:space="0" w:color="auto"/>
        <w:left w:val="none" w:sz="0" w:space="0" w:color="auto"/>
        <w:bottom w:val="none" w:sz="0" w:space="0" w:color="auto"/>
        <w:right w:val="none" w:sz="0" w:space="0" w:color="auto"/>
      </w:divBdr>
    </w:div>
    <w:div w:id="1814055202">
      <w:bodyDiv w:val="1"/>
      <w:marLeft w:val="0"/>
      <w:marRight w:val="0"/>
      <w:marTop w:val="0"/>
      <w:marBottom w:val="0"/>
      <w:divBdr>
        <w:top w:val="none" w:sz="0" w:space="0" w:color="auto"/>
        <w:left w:val="none" w:sz="0" w:space="0" w:color="auto"/>
        <w:bottom w:val="none" w:sz="0" w:space="0" w:color="auto"/>
        <w:right w:val="none" w:sz="0" w:space="0" w:color="auto"/>
      </w:divBdr>
    </w:div>
    <w:div w:id="1821532141">
      <w:bodyDiv w:val="1"/>
      <w:marLeft w:val="0"/>
      <w:marRight w:val="0"/>
      <w:marTop w:val="0"/>
      <w:marBottom w:val="0"/>
      <w:divBdr>
        <w:top w:val="none" w:sz="0" w:space="0" w:color="auto"/>
        <w:left w:val="none" w:sz="0" w:space="0" w:color="auto"/>
        <w:bottom w:val="none" w:sz="0" w:space="0" w:color="auto"/>
        <w:right w:val="none" w:sz="0" w:space="0" w:color="auto"/>
      </w:divBdr>
    </w:div>
    <w:div w:id="1827696480">
      <w:bodyDiv w:val="1"/>
      <w:marLeft w:val="0"/>
      <w:marRight w:val="0"/>
      <w:marTop w:val="0"/>
      <w:marBottom w:val="0"/>
      <w:divBdr>
        <w:top w:val="none" w:sz="0" w:space="0" w:color="auto"/>
        <w:left w:val="none" w:sz="0" w:space="0" w:color="auto"/>
        <w:bottom w:val="none" w:sz="0" w:space="0" w:color="auto"/>
        <w:right w:val="none" w:sz="0" w:space="0" w:color="auto"/>
      </w:divBdr>
    </w:div>
    <w:div w:id="1842155006">
      <w:bodyDiv w:val="1"/>
      <w:marLeft w:val="0"/>
      <w:marRight w:val="0"/>
      <w:marTop w:val="0"/>
      <w:marBottom w:val="0"/>
      <w:divBdr>
        <w:top w:val="none" w:sz="0" w:space="0" w:color="auto"/>
        <w:left w:val="none" w:sz="0" w:space="0" w:color="auto"/>
        <w:bottom w:val="none" w:sz="0" w:space="0" w:color="auto"/>
        <w:right w:val="none" w:sz="0" w:space="0" w:color="auto"/>
      </w:divBdr>
    </w:div>
    <w:div w:id="1849709203">
      <w:bodyDiv w:val="1"/>
      <w:marLeft w:val="0"/>
      <w:marRight w:val="0"/>
      <w:marTop w:val="0"/>
      <w:marBottom w:val="0"/>
      <w:divBdr>
        <w:top w:val="none" w:sz="0" w:space="0" w:color="auto"/>
        <w:left w:val="none" w:sz="0" w:space="0" w:color="auto"/>
        <w:bottom w:val="none" w:sz="0" w:space="0" w:color="auto"/>
        <w:right w:val="none" w:sz="0" w:space="0" w:color="auto"/>
      </w:divBdr>
    </w:div>
    <w:div w:id="1859654692">
      <w:bodyDiv w:val="1"/>
      <w:marLeft w:val="0"/>
      <w:marRight w:val="0"/>
      <w:marTop w:val="0"/>
      <w:marBottom w:val="0"/>
      <w:divBdr>
        <w:top w:val="none" w:sz="0" w:space="0" w:color="auto"/>
        <w:left w:val="none" w:sz="0" w:space="0" w:color="auto"/>
        <w:bottom w:val="none" w:sz="0" w:space="0" w:color="auto"/>
        <w:right w:val="none" w:sz="0" w:space="0" w:color="auto"/>
      </w:divBdr>
    </w:div>
    <w:div w:id="1865511409">
      <w:bodyDiv w:val="1"/>
      <w:marLeft w:val="0"/>
      <w:marRight w:val="0"/>
      <w:marTop w:val="0"/>
      <w:marBottom w:val="0"/>
      <w:divBdr>
        <w:top w:val="none" w:sz="0" w:space="0" w:color="auto"/>
        <w:left w:val="none" w:sz="0" w:space="0" w:color="auto"/>
        <w:bottom w:val="none" w:sz="0" w:space="0" w:color="auto"/>
        <w:right w:val="none" w:sz="0" w:space="0" w:color="auto"/>
      </w:divBdr>
      <w:divsChild>
        <w:div w:id="1229682378">
          <w:marLeft w:val="240"/>
          <w:marRight w:val="240"/>
          <w:marTop w:val="0"/>
          <w:marBottom w:val="240"/>
          <w:divBdr>
            <w:top w:val="single" w:sz="6" w:space="3" w:color="E3E5E6"/>
            <w:left w:val="single" w:sz="6" w:space="3" w:color="E3E5E6"/>
            <w:bottom w:val="single" w:sz="6" w:space="3" w:color="E3E5E6"/>
            <w:right w:val="single" w:sz="6" w:space="3" w:color="E3E5E6"/>
          </w:divBdr>
        </w:div>
      </w:divsChild>
    </w:div>
    <w:div w:id="1867863966">
      <w:bodyDiv w:val="1"/>
      <w:marLeft w:val="0"/>
      <w:marRight w:val="0"/>
      <w:marTop w:val="0"/>
      <w:marBottom w:val="0"/>
      <w:divBdr>
        <w:top w:val="none" w:sz="0" w:space="0" w:color="auto"/>
        <w:left w:val="none" w:sz="0" w:space="0" w:color="auto"/>
        <w:bottom w:val="none" w:sz="0" w:space="0" w:color="auto"/>
        <w:right w:val="none" w:sz="0" w:space="0" w:color="auto"/>
      </w:divBdr>
    </w:div>
    <w:div w:id="1876195615">
      <w:bodyDiv w:val="1"/>
      <w:marLeft w:val="0"/>
      <w:marRight w:val="0"/>
      <w:marTop w:val="0"/>
      <w:marBottom w:val="0"/>
      <w:divBdr>
        <w:top w:val="none" w:sz="0" w:space="0" w:color="auto"/>
        <w:left w:val="none" w:sz="0" w:space="0" w:color="auto"/>
        <w:bottom w:val="none" w:sz="0" w:space="0" w:color="auto"/>
        <w:right w:val="none" w:sz="0" w:space="0" w:color="auto"/>
      </w:divBdr>
    </w:div>
    <w:div w:id="1885604077">
      <w:bodyDiv w:val="1"/>
      <w:marLeft w:val="0"/>
      <w:marRight w:val="0"/>
      <w:marTop w:val="0"/>
      <w:marBottom w:val="0"/>
      <w:divBdr>
        <w:top w:val="none" w:sz="0" w:space="0" w:color="auto"/>
        <w:left w:val="none" w:sz="0" w:space="0" w:color="auto"/>
        <w:bottom w:val="none" w:sz="0" w:space="0" w:color="auto"/>
        <w:right w:val="none" w:sz="0" w:space="0" w:color="auto"/>
      </w:divBdr>
    </w:div>
    <w:div w:id="1920826789">
      <w:bodyDiv w:val="1"/>
      <w:marLeft w:val="0"/>
      <w:marRight w:val="0"/>
      <w:marTop w:val="0"/>
      <w:marBottom w:val="0"/>
      <w:divBdr>
        <w:top w:val="none" w:sz="0" w:space="0" w:color="auto"/>
        <w:left w:val="none" w:sz="0" w:space="0" w:color="auto"/>
        <w:bottom w:val="none" w:sz="0" w:space="0" w:color="auto"/>
        <w:right w:val="none" w:sz="0" w:space="0" w:color="auto"/>
      </w:divBdr>
    </w:div>
    <w:div w:id="1947344636">
      <w:bodyDiv w:val="1"/>
      <w:marLeft w:val="0"/>
      <w:marRight w:val="0"/>
      <w:marTop w:val="0"/>
      <w:marBottom w:val="0"/>
      <w:divBdr>
        <w:top w:val="none" w:sz="0" w:space="0" w:color="auto"/>
        <w:left w:val="none" w:sz="0" w:space="0" w:color="auto"/>
        <w:bottom w:val="none" w:sz="0" w:space="0" w:color="auto"/>
        <w:right w:val="none" w:sz="0" w:space="0" w:color="auto"/>
      </w:divBdr>
    </w:div>
    <w:div w:id="1949316183">
      <w:bodyDiv w:val="1"/>
      <w:marLeft w:val="0"/>
      <w:marRight w:val="0"/>
      <w:marTop w:val="0"/>
      <w:marBottom w:val="0"/>
      <w:divBdr>
        <w:top w:val="none" w:sz="0" w:space="0" w:color="auto"/>
        <w:left w:val="none" w:sz="0" w:space="0" w:color="auto"/>
        <w:bottom w:val="none" w:sz="0" w:space="0" w:color="auto"/>
        <w:right w:val="none" w:sz="0" w:space="0" w:color="auto"/>
      </w:divBdr>
    </w:div>
    <w:div w:id="1952973066">
      <w:bodyDiv w:val="1"/>
      <w:marLeft w:val="0"/>
      <w:marRight w:val="0"/>
      <w:marTop w:val="0"/>
      <w:marBottom w:val="0"/>
      <w:divBdr>
        <w:top w:val="none" w:sz="0" w:space="0" w:color="auto"/>
        <w:left w:val="none" w:sz="0" w:space="0" w:color="auto"/>
        <w:bottom w:val="none" w:sz="0" w:space="0" w:color="auto"/>
        <w:right w:val="none" w:sz="0" w:space="0" w:color="auto"/>
      </w:divBdr>
    </w:div>
    <w:div w:id="1962497032">
      <w:bodyDiv w:val="1"/>
      <w:marLeft w:val="0"/>
      <w:marRight w:val="0"/>
      <w:marTop w:val="0"/>
      <w:marBottom w:val="0"/>
      <w:divBdr>
        <w:top w:val="none" w:sz="0" w:space="0" w:color="auto"/>
        <w:left w:val="none" w:sz="0" w:space="0" w:color="auto"/>
        <w:bottom w:val="none" w:sz="0" w:space="0" w:color="auto"/>
        <w:right w:val="none" w:sz="0" w:space="0" w:color="auto"/>
      </w:divBdr>
    </w:div>
    <w:div w:id="1968733147">
      <w:bodyDiv w:val="1"/>
      <w:marLeft w:val="0"/>
      <w:marRight w:val="0"/>
      <w:marTop w:val="0"/>
      <w:marBottom w:val="0"/>
      <w:divBdr>
        <w:top w:val="none" w:sz="0" w:space="0" w:color="auto"/>
        <w:left w:val="none" w:sz="0" w:space="0" w:color="auto"/>
        <w:bottom w:val="none" w:sz="0" w:space="0" w:color="auto"/>
        <w:right w:val="none" w:sz="0" w:space="0" w:color="auto"/>
      </w:divBdr>
    </w:div>
    <w:div w:id="1984768325">
      <w:bodyDiv w:val="1"/>
      <w:marLeft w:val="0"/>
      <w:marRight w:val="0"/>
      <w:marTop w:val="0"/>
      <w:marBottom w:val="0"/>
      <w:divBdr>
        <w:top w:val="none" w:sz="0" w:space="0" w:color="auto"/>
        <w:left w:val="none" w:sz="0" w:space="0" w:color="auto"/>
        <w:bottom w:val="none" w:sz="0" w:space="0" w:color="auto"/>
        <w:right w:val="none" w:sz="0" w:space="0" w:color="auto"/>
      </w:divBdr>
    </w:div>
    <w:div w:id="1985500790">
      <w:bodyDiv w:val="1"/>
      <w:marLeft w:val="0"/>
      <w:marRight w:val="0"/>
      <w:marTop w:val="0"/>
      <w:marBottom w:val="0"/>
      <w:divBdr>
        <w:top w:val="none" w:sz="0" w:space="0" w:color="auto"/>
        <w:left w:val="none" w:sz="0" w:space="0" w:color="auto"/>
        <w:bottom w:val="none" w:sz="0" w:space="0" w:color="auto"/>
        <w:right w:val="none" w:sz="0" w:space="0" w:color="auto"/>
      </w:divBdr>
    </w:div>
    <w:div w:id="1986347720">
      <w:bodyDiv w:val="1"/>
      <w:marLeft w:val="0"/>
      <w:marRight w:val="0"/>
      <w:marTop w:val="0"/>
      <w:marBottom w:val="0"/>
      <w:divBdr>
        <w:top w:val="none" w:sz="0" w:space="0" w:color="auto"/>
        <w:left w:val="none" w:sz="0" w:space="0" w:color="auto"/>
        <w:bottom w:val="none" w:sz="0" w:space="0" w:color="auto"/>
        <w:right w:val="none" w:sz="0" w:space="0" w:color="auto"/>
      </w:divBdr>
    </w:div>
    <w:div w:id="1986885171">
      <w:bodyDiv w:val="1"/>
      <w:marLeft w:val="0"/>
      <w:marRight w:val="0"/>
      <w:marTop w:val="0"/>
      <w:marBottom w:val="0"/>
      <w:divBdr>
        <w:top w:val="none" w:sz="0" w:space="0" w:color="auto"/>
        <w:left w:val="none" w:sz="0" w:space="0" w:color="auto"/>
        <w:bottom w:val="none" w:sz="0" w:space="0" w:color="auto"/>
        <w:right w:val="none" w:sz="0" w:space="0" w:color="auto"/>
      </w:divBdr>
    </w:div>
    <w:div w:id="1989894982">
      <w:bodyDiv w:val="1"/>
      <w:marLeft w:val="0"/>
      <w:marRight w:val="0"/>
      <w:marTop w:val="0"/>
      <w:marBottom w:val="0"/>
      <w:divBdr>
        <w:top w:val="none" w:sz="0" w:space="0" w:color="auto"/>
        <w:left w:val="none" w:sz="0" w:space="0" w:color="auto"/>
        <w:bottom w:val="none" w:sz="0" w:space="0" w:color="auto"/>
        <w:right w:val="none" w:sz="0" w:space="0" w:color="auto"/>
      </w:divBdr>
    </w:div>
    <w:div w:id="2000886694">
      <w:bodyDiv w:val="1"/>
      <w:marLeft w:val="0"/>
      <w:marRight w:val="0"/>
      <w:marTop w:val="0"/>
      <w:marBottom w:val="0"/>
      <w:divBdr>
        <w:top w:val="none" w:sz="0" w:space="0" w:color="auto"/>
        <w:left w:val="none" w:sz="0" w:space="0" w:color="auto"/>
        <w:bottom w:val="none" w:sz="0" w:space="0" w:color="auto"/>
        <w:right w:val="none" w:sz="0" w:space="0" w:color="auto"/>
      </w:divBdr>
    </w:div>
    <w:div w:id="2021157890">
      <w:bodyDiv w:val="1"/>
      <w:marLeft w:val="0"/>
      <w:marRight w:val="0"/>
      <w:marTop w:val="0"/>
      <w:marBottom w:val="0"/>
      <w:divBdr>
        <w:top w:val="none" w:sz="0" w:space="0" w:color="auto"/>
        <w:left w:val="none" w:sz="0" w:space="0" w:color="auto"/>
        <w:bottom w:val="none" w:sz="0" w:space="0" w:color="auto"/>
        <w:right w:val="none" w:sz="0" w:space="0" w:color="auto"/>
      </w:divBdr>
    </w:div>
    <w:div w:id="2028870496">
      <w:bodyDiv w:val="1"/>
      <w:marLeft w:val="0"/>
      <w:marRight w:val="0"/>
      <w:marTop w:val="0"/>
      <w:marBottom w:val="0"/>
      <w:divBdr>
        <w:top w:val="none" w:sz="0" w:space="0" w:color="auto"/>
        <w:left w:val="none" w:sz="0" w:space="0" w:color="auto"/>
        <w:bottom w:val="none" w:sz="0" w:space="0" w:color="auto"/>
        <w:right w:val="none" w:sz="0" w:space="0" w:color="auto"/>
      </w:divBdr>
    </w:div>
    <w:div w:id="2029599267">
      <w:bodyDiv w:val="1"/>
      <w:marLeft w:val="0"/>
      <w:marRight w:val="0"/>
      <w:marTop w:val="0"/>
      <w:marBottom w:val="0"/>
      <w:divBdr>
        <w:top w:val="none" w:sz="0" w:space="0" w:color="auto"/>
        <w:left w:val="none" w:sz="0" w:space="0" w:color="auto"/>
        <w:bottom w:val="none" w:sz="0" w:space="0" w:color="auto"/>
        <w:right w:val="none" w:sz="0" w:space="0" w:color="auto"/>
      </w:divBdr>
    </w:div>
    <w:div w:id="2037001123">
      <w:bodyDiv w:val="1"/>
      <w:marLeft w:val="0"/>
      <w:marRight w:val="0"/>
      <w:marTop w:val="0"/>
      <w:marBottom w:val="0"/>
      <w:divBdr>
        <w:top w:val="none" w:sz="0" w:space="0" w:color="auto"/>
        <w:left w:val="none" w:sz="0" w:space="0" w:color="auto"/>
        <w:bottom w:val="none" w:sz="0" w:space="0" w:color="auto"/>
        <w:right w:val="none" w:sz="0" w:space="0" w:color="auto"/>
      </w:divBdr>
    </w:div>
    <w:div w:id="2059085164">
      <w:bodyDiv w:val="1"/>
      <w:marLeft w:val="0"/>
      <w:marRight w:val="0"/>
      <w:marTop w:val="0"/>
      <w:marBottom w:val="0"/>
      <w:divBdr>
        <w:top w:val="none" w:sz="0" w:space="0" w:color="auto"/>
        <w:left w:val="none" w:sz="0" w:space="0" w:color="auto"/>
        <w:bottom w:val="none" w:sz="0" w:space="0" w:color="auto"/>
        <w:right w:val="none" w:sz="0" w:space="0" w:color="auto"/>
      </w:divBdr>
    </w:div>
    <w:div w:id="2072146140">
      <w:bodyDiv w:val="1"/>
      <w:marLeft w:val="0"/>
      <w:marRight w:val="0"/>
      <w:marTop w:val="0"/>
      <w:marBottom w:val="0"/>
      <w:divBdr>
        <w:top w:val="none" w:sz="0" w:space="0" w:color="auto"/>
        <w:left w:val="none" w:sz="0" w:space="0" w:color="auto"/>
        <w:bottom w:val="none" w:sz="0" w:space="0" w:color="auto"/>
        <w:right w:val="none" w:sz="0" w:space="0" w:color="auto"/>
      </w:divBdr>
    </w:div>
    <w:div w:id="2081245008">
      <w:bodyDiv w:val="1"/>
      <w:marLeft w:val="0"/>
      <w:marRight w:val="0"/>
      <w:marTop w:val="0"/>
      <w:marBottom w:val="0"/>
      <w:divBdr>
        <w:top w:val="none" w:sz="0" w:space="0" w:color="auto"/>
        <w:left w:val="none" w:sz="0" w:space="0" w:color="auto"/>
        <w:bottom w:val="none" w:sz="0" w:space="0" w:color="auto"/>
        <w:right w:val="none" w:sz="0" w:space="0" w:color="auto"/>
      </w:divBdr>
    </w:div>
    <w:div w:id="2143033119">
      <w:bodyDiv w:val="1"/>
      <w:marLeft w:val="0"/>
      <w:marRight w:val="0"/>
      <w:marTop w:val="0"/>
      <w:marBottom w:val="0"/>
      <w:divBdr>
        <w:top w:val="none" w:sz="0" w:space="0" w:color="auto"/>
        <w:left w:val="none" w:sz="0" w:space="0" w:color="auto"/>
        <w:bottom w:val="none" w:sz="0" w:space="0" w:color="auto"/>
        <w:right w:val="none" w:sz="0" w:space="0" w:color="auto"/>
      </w:divBdr>
    </w:div>
    <w:div w:id="2144155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2.xml"/><Relationship Id="rId38" Type="http://schemas.openxmlformats.org/officeDocument/2006/relationships/chart" Target="charts/chart27.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eader" Target="header1.xml"/><Relationship Id="rId41"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5.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oter" Target="footer1.xml"/><Relationship Id="rId35" Type="http://schemas.openxmlformats.org/officeDocument/2006/relationships/chart" Target="charts/chart24.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G:\University%20of%20Edinburgh\Data\9.%20PD7974-7%20DATA%20UPDATED\1.%20USA\2.%20Frequency%20(tot%20buildings)\Frequency%20UK,%20USA%20and%20NZ.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University%20of%20Edinburgh\1.%20Data\9.%20PD7974-7%20DATA%20UPDATED\1.%20USA\1d.%20Frequency%20ignition%20TOTAL%20AREA%20PER%20BUILDING%20AT%20RISKS%20and%20average%20area%20calculated\TABLE%20A.1.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D:\University%20of%20Edinburgh\1.%20Data\9.%20PD7974-7%20DATA%20UPDATED\1.%20USA\1d.%20Frequency%20ignition%20TOTAL%20AREA%20PER%20BUILDING%20AT%20RISKS%20and%20average%20area%20calculated\TABLE%20A.1.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D:\University%20of%20Edinburgh\1.%20Data\9.%20PD7974-7%20DATA%20UPDATED\1.%20USA\1d.%20Frequency%20ignition%20TOTAL%20AREA%20PER%20BUILDING%20AT%20RISKS%20and%20average%20area%20calculated\TABLE%20A.1.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D:\University%20of%20Edinburgh\1.%20Data\9.%20PD7974-7%20DATA%20UPDATED\1.%20USA\1d.%20Frequency%20ignition%20TOTAL%20AREA%20PER%20BUILDING%20AT%20RISKS%20and%20average%20area%20calculated\TABLE%20A.1.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D:\University%20of%20Edinburgh\1.%20Data\9.%20PD7974-7%20DATA%20UPDATED\1.%20USA\1d.%20Frequency%20ignition%20TOTAL%20AREA%20PER%20BUILDING%20AT%20RISKS%20and%20average%20area%20calculated\TABLE%20A.1.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D:\University%20of%20Edinburgh\1.%20Data\9.%20PD7974-7%20DATA%20UPDATED\1.%20USA\1d.%20Frequency%20ignition%20TOTAL%20AREA%20PER%20BUILDING%20AT%20RISKS%20and%20average%20area%20calculated\TABLE%20A.1.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D:\University%20of%20Edinburgh\1.%20Data\9.%20PD7974-7%20DATA%20UPDATED\1.%20USA\1d.%20Frequency%20ignition%20TOTAL%20AREA%20PER%20BUILDING%20AT%20RISKS%20and%20average%20area%20calculated\TABLE%20A.1.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file:///D:\University%20of%20Edinburgh\Data\9.%20PD7974-7%20DATA%20UPDATED\1.%20USA\4b.%20Fire%20spread%20and%20damage\2.%20Educational.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file:///D:\University%20of%20Edinburgh\Data\9.%20PD7974-7%20DATA%20UPDATED\1.%20USA\4b.%20Fire%20spread%20and%20damage\1.%20Assembly.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D:\University%20of%20Edinburgh\Data\9.%20PD7974-7%20DATA%20UPDATED\1.%20USA\4b.%20Fire%20spread%20and%20damage\7.%20Manufacturing,%20Processing.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G:\University%20of%20Edinburgh\Data\9.%20PD7974-7%20DATA%20UPDATED\1.%20USA\2.%20Frequency%20(tot%20buildings)\Frequency%20UK,%20USA%20and%20NZ.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University%20of%20Edinburgh\1.%20Data\9.%20PD7974-7%20DATA%20UPDATED\1.%20USA\5.%20Area%20damage%20per%20sq.m%20and%20origin%20of%20fire\TABLE%20A.6,%20A.7,%20A.8\Offices.xlsx" TargetMode="External"/><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oleObject" Target="file:///D:\University%20of%20Edinburgh\1.%20Data\9.%20PD7974-7%20DATA%20UPDATED\1.%20USA\5.%20Area%20damage%20per%20sq.m%20and%20origin%20of%20fire\TABLE%20A.6,%20A.7,%20A.8\Offices.xlsx" TargetMode="External"/><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oleObject" Target="file:///D:\University%20of%20Edinburgh\1.%20Data\9.%20PD7974-7%20DATA%20UPDATED\1.%20USA\5.%20Area%20damage%20per%20sq.m%20and%20origin%20of%20fire\TABLE%20A.6,%20A.7,%20A.8\Retail%20premises.xlsx" TargetMode="External"/><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oleObject" Target="file:///D:\University%20of%20Edinburgh\1.%20Data\9.%20PD7974-7%20DATA%20UPDATED\1.%20USA\5.%20Area%20damage%20per%20sq.m%20and%20origin%20of%20fire\TABLE%20A.6,%20A.7,%20A.8\Retail%20premises.xlsx" TargetMode="External"/><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oleObject" Target="file:///D:\University%20of%20Edinburgh\1.%20Data\9.%20PD7974-7%20DATA%20UPDATED\1.%20USA\5.%20Area%20damage%20per%20sq.m%20and%20origin%20of%20fire\TABLE%20A.6,%20A.7,%20A.8\Hotels.xlsx" TargetMode="External"/><Relationship Id="rId2" Type="http://schemas.microsoft.com/office/2011/relationships/chartColorStyle" Target="colors23.xml"/><Relationship Id="rId1" Type="http://schemas.microsoft.com/office/2011/relationships/chartStyle" Target="style23.xml"/></Relationships>
</file>

<file path=word/charts/_rels/chart25.xml.rels><?xml version="1.0" encoding="UTF-8" standalone="yes"?>
<Relationships xmlns="http://schemas.openxmlformats.org/package/2006/relationships"><Relationship Id="rId3" Type="http://schemas.openxmlformats.org/officeDocument/2006/relationships/oleObject" Target="file:///D:\University%20of%20Edinburgh\1.%20Data\9.%20PD7974-7%20DATA%20UPDATED\1.%20USA\5.%20Area%20damage%20per%20sq.m%20and%20origin%20of%20fire\TABLE%20A.6,%20A.7,%20A.8\Hotels.xlsx" TargetMode="External"/><Relationship Id="rId2" Type="http://schemas.microsoft.com/office/2011/relationships/chartColorStyle" Target="colors24.xml"/><Relationship Id="rId1" Type="http://schemas.microsoft.com/office/2011/relationships/chartStyle" Target="style24.xml"/></Relationships>
</file>

<file path=word/charts/_rels/chart26.xml.rels><?xml version="1.0" encoding="UTF-8" standalone="yes"?>
<Relationships xmlns="http://schemas.openxmlformats.org/package/2006/relationships"><Relationship Id="rId3" Type="http://schemas.openxmlformats.org/officeDocument/2006/relationships/oleObject" Target="file:///D:\University%20of%20Edinburgh\Data\9.%20PD7974-7%20DATA%20UPDATED\1.%20USA\4b.%20Fire%20spread%20and%20damage\3.%20Health%20care,%20detection%20and%20correction.xlsx" TargetMode="External"/><Relationship Id="rId2" Type="http://schemas.microsoft.com/office/2011/relationships/chartColorStyle" Target="colors25.xml"/><Relationship Id="rId1" Type="http://schemas.microsoft.com/office/2011/relationships/chartStyle" Target="style25.xml"/></Relationships>
</file>

<file path=word/charts/_rels/chart27.xml.rels><?xml version="1.0" encoding="UTF-8" standalone="yes"?>
<Relationships xmlns="http://schemas.openxmlformats.org/package/2006/relationships"><Relationship Id="rId3" Type="http://schemas.openxmlformats.org/officeDocument/2006/relationships/oleObject" Target="file:///D:\University%20of%20Edinburgh\Data\9.%20PD7974-7%20DATA%20UPDATED\1.%20USA\4b.%20Fire%20spread%20and%20damage\6.%20Industry,%20Utility,%20Defense,%20Agricultural,%20mining.xlsx" TargetMode="External"/><Relationship Id="rId2" Type="http://schemas.microsoft.com/office/2011/relationships/chartColorStyle" Target="colors26.xml"/><Relationship Id="rId1" Type="http://schemas.microsoft.com/office/2011/relationships/chartStyle" Target="style26.xml"/></Relationships>
</file>

<file path=word/charts/_rels/chart28.xml.rels><?xml version="1.0" encoding="UTF-8" standalone="yes"?>
<Relationships xmlns="http://schemas.openxmlformats.org/package/2006/relationships"><Relationship Id="rId3" Type="http://schemas.openxmlformats.org/officeDocument/2006/relationships/oleObject" Target="file:///D:\University%20of%20Edinburgh\Data\9.%20PD7974-7%20DATA%20UPDATED\1.%20USA\4b.%20Fire%20spread%20and%20damage\8.%20Storage.xlsx" TargetMode="External"/><Relationship Id="rId2" Type="http://schemas.microsoft.com/office/2011/relationships/chartColorStyle" Target="colors27.xml"/><Relationship Id="rId1" Type="http://schemas.microsoft.com/office/2011/relationships/chartStyle" Target="style27.xml"/></Relationships>
</file>

<file path=word/charts/_rels/chart29.xml.rels><?xml version="1.0" encoding="UTF-8" standalone="yes"?>
<Relationships xmlns="http://schemas.openxmlformats.org/package/2006/relationships"><Relationship Id="rId3" Type="http://schemas.openxmlformats.org/officeDocument/2006/relationships/oleObject" Target="file:///D:\University%20of%20Edinburgh\Data\9.%20PD7974-7%20DATA%20UPDATED\1.%20USA\4b.%20Fire%20spread%20and%20damage\4.%20Residential.xlsx" TargetMode="External"/><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oleObject" Target="file:///D:\University%20of%20Edinburgh\1.%20Data\9.%20PD7974-7%20DATA%20UPDATED\1.%20USA\1d.%20Frequency%20ignition%20TOTAL%20AREA%20PER%20BUILDING%20AT%20RISKS%20and%20average%20area%20calculated\TABLE%20A.1.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D:\University%20of%20Edinburgh\Data\9.%20PD7974-7%20DATA%20UPDATED\1.%20USA\4b.%20Fire%20spread%20and%20damage\5.%20Mercantile,%20Business.xlsx" TargetMode="External"/><Relationship Id="rId2" Type="http://schemas.microsoft.com/office/2011/relationships/chartColorStyle" Target="colors29.xml"/><Relationship Id="rId1" Type="http://schemas.microsoft.com/office/2011/relationships/chartStyle" Target="style29.xml"/></Relationships>
</file>

<file path=word/charts/_rels/chart4.xml.rels><?xml version="1.0" encoding="UTF-8" standalone="yes"?>
<Relationships xmlns="http://schemas.openxmlformats.org/package/2006/relationships"><Relationship Id="rId3" Type="http://schemas.openxmlformats.org/officeDocument/2006/relationships/oleObject" Target="file:///D:\University%20of%20Edinburgh\1.%20Data\9.%20PD7974-7%20DATA%20UPDATED\1.%20USA\1d.%20Frequency%20ignition%20TOTAL%20AREA%20PER%20BUILDING%20AT%20RISKS%20and%20average%20area%20calculated\TABLE%20A.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D:\University%20of%20Edinburgh\1.%20Data\9.%20PD7974-7%20DATA%20UPDATED\1.%20USA\1d.%20Frequency%20ignition%20TOTAL%20AREA%20PER%20BUILDING%20AT%20RISKS%20and%20average%20area%20calculated\TABLE%20A.1.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D:\University%20of%20Edinburgh\1.%20Data\9.%20PD7974-7%20DATA%20UPDATED\1.%20USA\1d.%20Frequency%20ignition%20TOTAL%20AREA%20PER%20BUILDING%20AT%20RISKS%20and%20average%20area%20calculated\TABLE%20A.1.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D:\University%20of%20Edinburgh\1.%20Data\9.%20PD7974-7%20DATA%20UPDATED\1.%20USA\1d.%20Frequency%20ignition%20TOTAL%20AREA%20PER%20BUILDING%20AT%20RISKS%20and%20average%20area%20calculated\TABLE%20A.1.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D:\University%20of%20Edinburgh\1.%20Data\9.%20PD7974-7%20DATA%20UPDATED\1.%20USA\1d.%20Frequency%20ignition%20TOTAL%20AREA%20PER%20BUILDING%20AT%20RISKS%20and%20average%20area%20calculated\TABLE%20A.1.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D:\University%20of%20Edinburgh\1.%20Data\9.%20PD7974-7%20DATA%20UPDATED\1.%20USA\1d.%20Frequency%20ignition%20TOTAL%20AREA%20PER%20BUILDING%20AT%20RISKS%20and%20average%20area%20calculated\TABLE%20A.1.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Comparison!$A$5:$A$6</c:f>
              <c:strCache>
                <c:ptCount val="2"/>
                <c:pt idx="0">
                  <c:v>UK</c:v>
                </c:pt>
                <c:pt idx="1">
                  <c:v>USA</c:v>
                </c:pt>
              </c:strCache>
            </c:strRef>
          </c:cat>
          <c:val>
            <c:numRef>
              <c:f>Comparison!$B$5:$B$6</c:f>
              <c:numCache>
                <c:formatCode>0.000%</c:formatCode>
                <c:ptCount val="2"/>
                <c:pt idx="0">
                  <c:v>1.3307167822759404E-3</c:v>
                </c:pt>
                <c:pt idx="1">
                  <c:v>1.510415738678545E-3</c:v>
                </c:pt>
              </c:numCache>
            </c:numRef>
          </c:val>
          <c:extLst>
            <c:ext xmlns:c16="http://schemas.microsoft.com/office/drawing/2014/chart" uri="{C3380CC4-5D6E-409C-BE32-E72D297353CC}">
              <c16:uniqueId val="{00000000-03EC-4C99-9543-64B4BCE21401}"/>
            </c:ext>
          </c:extLst>
        </c:ser>
        <c:dLbls>
          <c:showLegendKey val="0"/>
          <c:showVal val="0"/>
          <c:showCatName val="0"/>
          <c:showSerName val="0"/>
          <c:showPercent val="0"/>
          <c:showBubbleSize val="0"/>
        </c:dLbls>
        <c:gapWidth val="150"/>
        <c:axId val="480671304"/>
        <c:axId val="480667696"/>
      </c:barChart>
      <c:catAx>
        <c:axId val="480671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0667696"/>
        <c:crosses val="autoZero"/>
        <c:auto val="1"/>
        <c:lblAlgn val="ctr"/>
        <c:lblOffset val="100"/>
        <c:noMultiLvlLbl val="0"/>
      </c:catAx>
      <c:valAx>
        <c:axId val="480667696"/>
        <c:scaling>
          <c:orientation val="minMax"/>
          <c:max val="1.6000000000000003E-3"/>
          <c:min val="1.0000000000000002E-3"/>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067130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46296296296297"/>
          <c:y val="4.5653594771241833E-2"/>
          <c:w val="0.76308271604938271"/>
          <c:h val="0.79533398692810453"/>
        </c:manualLayout>
      </c:layout>
      <c:scatterChart>
        <c:scatterStyle val="lineMarker"/>
        <c:varyColors val="0"/>
        <c:ser>
          <c:idx val="0"/>
          <c:order val="0"/>
          <c:tx>
            <c:v>USA-Improved</c:v>
          </c:tx>
          <c:spPr>
            <a:ln w="19050" cap="rnd">
              <a:noFill/>
              <a:round/>
            </a:ln>
            <a:effectLst/>
          </c:spPr>
          <c:marker>
            <c:symbol val="circle"/>
            <c:size val="5"/>
            <c:spPr>
              <a:noFill/>
              <a:ln w="9525">
                <a:noFill/>
              </a:ln>
              <a:effectLst/>
            </c:spPr>
          </c:marker>
          <c:trendline>
            <c:spPr>
              <a:ln w="19050" cap="rnd">
                <a:solidFill>
                  <a:schemeClr val="accent1"/>
                </a:solidFill>
                <a:prstDash val="dashDot"/>
              </a:ln>
              <a:effectLst/>
            </c:spPr>
            <c:trendlineType val="power"/>
            <c:dispRSqr val="0"/>
            <c:dispEq val="0"/>
          </c:trendline>
          <c:trendline>
            <c:spPr>
              <a:ln w="19050" cap="rnd">
                <a:solidFill>
                  <a:srgbClr val="FF0000"/>
                </a:solidFill>
                <a:prstDash val="lgDashDotDot"/>
              </a:ln>
              <a:effectLst/>
            </c:spPr>
            <c:trendlineType val="poly"/>
            <c:order val="3"/>
            <c:dispRSqr val="0"/>
            <c:dispEq val="0"/>
          </c:trendline>
          <c:xVal>
            <c:numRef>
              <c:f>'Mercantile, Business'!$I$13:$I$20</c:f>
              <c:numCache>
                <c:formatCode>General</c:formatCode>
                <c:ptCount val="8"/>
                <c:pt idx="0">
                  <c:v>265.97762572721399</c:v>
                </c:pt>
                <c:pt idx="1">
                  <c:v>676.57953388429746</c:v>
                </c:pt>
                <c:pt idx="2">
                  <c:v>1456.729749279539</c:v>
                </c:pt>
                <c:pt idx="3">
                  <c:v>3278.7612615384619</c:v>
                </c:pt>
                <c:pt idx="4">
                  <c:v>6586.5023448275861</c:v>
                </c:pt>
                <c:pt idx="5">
                  <c:v>12682.757935483871</c:v>
                </c:pt>
                <c:pt idx="6">
                  <c:v>27110.784545454546</c:v>
                </c:pt>
                <c:pt idx="7">
                  <c:v>68446.285250000001</c:v>
                </c:pt>
              </c:numCache>
            </c:numRef>
          </c:xVal>
          <c:yVal>
            <c:numRef>
              <c:f>'Mercantile, Business'!$J$13:$J$20</c:f>
              <c:numCache>
                <c:formatCode>0.00%</c:formatCode>
                <c:ptCount val="8"/>
                <c:pt idx="0">
                  <c:v>8.8558500323206201E-4</c:v>
                </c:pt>
                <c:pt idx="1">
                  <c:v>7.7024793388429753E-4</c:v>
                </c:pt>
                <c:pt idx="2">
                  <c:v>1.0835734870317003E-3</c:v>
                </c:pt>
                <c:pt idx="3">
                  <c:v>1.623076923076923E-3</c:v>
                </c:pt>
                <c:pt idx="4">
                  <c:v>2.3965517241379308E-3</c:v>
                </c:pt>
                <c:pt idx="5">
                  <c:v>2.7419354838709676E-3</c:v>
                </c:pt>
                <c:pt idx="6">
                  <c:v>4.5454545454545452E-3</c:v>
                </c:pt>
                <c:pt idx="7">
                  <c:v>1.025E-2</c:v>
                </c:pt>
              </c:numCache>
            </c:numRef>
          </c:yVal>
          <c:smooth val="0"/>
          <c:extLst>
            <c:ext xmlns:c16="http://schemas.microsoft.com/office/drawing/2014/chart" uri="{C3380CC4-5D6E-409C-BE32-E72D297353CC}">
              <c16:uniqueId val="{00000000-8F13-4201-8DBB-50089F721515}"/>
            </c:ext>
          </c:extLst>
        </c:ser>
        <c:ser>
          <c:idx val="1"/>
          <c:order val="1"/>
          <c:tx>
            <c:v>USA-Rutstein</c:v>
          </c:tx>
          <c:spPr>
            <a:ln w="25400" cap="rnd">
              <a:noFill/>
              <a:round/>
            </a:ln>
            <a:effectLst/>
          </c:spPr>
          <c:marker>
            <c:symbol val="none"/>
          </c:marker>
          <c:trendline>
            <c:spPr>
              <a:ln w="19050" cap="rnd">
                <a:solidFill>
                  <a:srgbClr val="00B050"/>
                </a:solidFill>
                <a:prstDash val="sysDot"/>
              </a:ln>
              <a:effectLst/>
            </c:spPr>
            <c:trendlineType val="power"/>
            <c:dispRSqr val="0"/>
            <c:dispEq val="0"/>
          </c:trendline>
          <c:xVal>
            <c:numRef>
              <c:f>'Mercantile, Business'!$I$36:$I$43</c:f>
              <c:numCache>
                <c:formatCode>General</c:formatCode>
                <c:ptCount val="8"/>
                <c:pt idx="0">
                  <c:v>265.97762572721399</c:v>
                </c:pt>
                <c:pt idx="1">
                  <c:v>676.57953388429746</c:v>
                </c:pt>
                <c:pt idx="2">
                  <c:v>1456.729749279539</c:v>
                </c:pt>
                <c:pt idx="3">
                  <c:v>3278.7612615384619</c:v>
                </c:pt>
                <c:pt idx="4">
                  <c:v>6586.5023448275861</c:v>
                </c:pt>
                <c:pt idx="5">
                  <c:v>12682.757935483871</c:v>
                </c:pt>
                <c:pt idx="6">
                  <c:v>27110.784545454546</c:v>
                </c:pt>
                <c:pt idx="7">
                  <c:v>68446.285250000001</c:v>
                </c:pt>
              </c:numCache>
            </c:numRef>
          </c:xVal>
          <c:yVal>
            <c:numRef>
              <c:f>'Mercantile, Business'!$J$36:$J$43</c:f>
              <c:numCache>
                <c:formatCode>0.000%</c:formatCode>
                <c:ptCount val="8"/>
                <c:pt idx="0">
                  <c:v>1.3922700399339725E-3</c:v>
                </c:pt>
                <c:pt idx="1">
                  <c:v>1.4710371983229188E-3</c:v>
                </c:pt>
                <c:pt idx="2">
                  <c:v>1.5390598044613495E-3</c:v>
                </c:pt>
                <c:pt idx="3">
                  <c:v>1.6144448879422369E-3</c:v>
                </c:pt>
                <c:pt idx="4">
                  <c:v>1.6822090574832753E-3</c:v>
                </c:pt>
                <c:pt idx="5">
                  <c:v>1.7484489499402667E-3</c:v>
                </c:pt>
                <c:pt idx="6">
                  <c:v>1.8285220428716988E-3</c:v>
                </c:pt>
                <c:pt idx="7">
                  <c:v>1.9311138093253226E-3</c:v>
                </c:pt>
              </c:numCache>
            </c:numRef>
          </c:yVal>
          <c:smooth val="0"/>
          <c:extLst>
            <c:ext xmlns:c16="http://schemas.microsoft.com/office/drawing/2014/chart" uri="{C3380CC4-5D6E-409C-BE32-E72D297353CC}">
              <c16:uniqueId val="{00000001-8F13-4201-8DBB-50089F721515}"/>
            </c:ext>
          </c:extLst>
        </c:ser>
        <c:ser>
          <c:idx val="2"/>
          <c:order val="2"/>
          <c:tx>
            <c:v>USA fire statistics</c:v>
          </c:tx>
          <c:spPr>
            <a:ln w="25400" cap="rnd">
              <a:noFill/>
              <a:round/>
            </a:ln>
            <a:effectLst/>
          </c:spPr>
          <c:marker>
            <c:symbol val="circle"/>
            <c:size val="5"/>
            <c:spPr>
              <a:solidFill>
                <a:schemeClr val="accent5">
                  <a:lumMod val="50000"/>
                </a:schemeClr>
              </a:solidFill>
              <a:ln w="9525">
                <a:solidFill>
                  <a:schemeClr val="accent5">
                    <a:lumMod val="50000"/>
                  </a:schemeClr>
                </a:solidFill>
              </a:ln>
              <a:effectLst/>
            </c:spPr>
          </c:marker>
          <c:xVal>
            <c:numRef>
              <c:f>'Mercantile, Business'!$I$13:$I$20</c:f>
              <c:numCache>
                <c:formatCode>General</c:formatCode>
                <c:ptCount val="8"/>
                <c:pt idx="0">
                  <c:v>265.97762572721399</c:v>
                </c:pt>
                <c:pt idx="1">
                  <c:v>676.57953388429746</c:v>
                </c:pt>
                <c:pt idx="2">
                  <c:v>1456.729749279539</c:v>
                </c:pt>
                <c:pt idx="3">
                  <c:v>3278.7612615384619</c:v>
                </c:pt>
                <c:pt idx="4">
                  <c:v>6586.5023448275861</c:v>
                </c:pt>
                <c:pt idx="5">
                  <c:v>12682.757935483871</c:v>
                </c:pt>
                <c:pt idx="6">
                  <c:v>27110.784545454546</c:v>
                </c:pt>
                <c:pt idx="7">
                  <c:v>68446.285250000001</c:v>
                </c:pt>
              </c:numCache>
            </c:numRef>
          </c:xVal>
          <c:yVal>
            <c:numRef>
              <c:f>'Mercantile, Business'!$J$13:$J$20</c:f>
              <c:numCache>
                <c:formatCode>0.00%</c:formatCode>
                <c:ptCount val="8"/>
                <c:pt idx="0">
                  <c:v>8.8558500323206201E-4</c:v>
                </c:pt>
                <c:pt idx="1">
                  <c:v>7.7024793388429753E-4</c:v>
                </c:pt>
                <c:pt idx="2">
                  <c:v>1.0835734870317003E-3</c:v>
                </c:pt>
                <c:pt idx="3">
                  <c:v>1.623076923076923E-3</c:v>
                </c:pt>
                <c:pt idx="4">
                  <c:v>2.3965517241379308E-3</c:v>
                </c:pt>
                <c:pt idx="5">
                  <c:v>2.7419354838709676E-3</c:v>
                </c:pt>
                <c:pt idx="6">
                  <c:v>4.5454545454545452E-3</c:v>
                </c:pt>
                <c:pt idx="7">
                  <c:v>1.025E-2</c:v>
                </c:pt>
              </c:numCache>
            </c:numRef>
          </c:yVal>
          <c:smooth val="0"/>
          <c:extLst>
            <c:ext xmlns:c16="http://schemas.microsoft.com/office/drawing/2014/chart" uri="{C3380CC4-5D6E-409C-BE32-E72D297353CC}">
              <c16:uniqueId val="{00000002-8F13-4201-8DBB-50089F721515}"/>
            </c:ext>
          </c:extLst>
        </c:ser>
        <c:dLbls>
          <c:showLegendKey val="0"/>
          <c:showVal val="0"/>
          <c:showCatName val="0"/>
          <c:showSerName val="0"/>
          <c:showPercent val="0"/>
          <c:showBubbleSize val="0"/>
        </c:dLbls>
        <c:axId val="-2069190168"/>
        <c:axId val="-2068970040"/>
      </c:scatterChart>
      <c:valAx>
        <c:axId val="-20691901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Tot floor space [m</a:t>
                </a:r>
                <a:r>
                  <a:rPr lang="en-GB" baseline="30000"/>
                  <a:t>2</a:t>
                </a:r>
                <a:r>
                  <a:rPr lang="en-GB"/>
                  <a: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68970040"/>
        <c:crosses val="autoZero"/>
        <c:crossBetween val="midCat"/>
      </c:valAx>
      <c:valAx>
        <c:axId val="-2068970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Probability of fire</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69190168"/>
        <c:crosses val="autoZero"/>
        <c:crossBetween val="midCat"/>
      </c:valAx>
      <c:spPr>
        <a:noFill/>
        <a:ln>
          <a:noFill/>
        </a:ln>
        <a:effectLst/>
      </c:spPr>
    </c:plotArea>
    <c:legend>
      <c:legendPos val="r"/>
      <c:legendEntry>
        <c:idx val="0"/>
        <c:delete val="1"/>
      </c:legendEntry>
      <c:legendEntry>
        <c:idx val="1"/>
        <c:delete val="1"/>
      </c:legendEntry>
      <c:layout>
        <c:manualLayout>
          <c:xMode val="edge"/>
          <c:yMode val="edge"/>
          <c:x val="0.16403386660164143"/>
          <c:y val="4.7261417976551187E-2"/>
          <c:w val="0.4714322313003701"/>
          <c:h val="0.15426797385620916"/>
        </c:manualLayout>
      </c:layout>
      <c:overlay val="0"/>
      <c:spPr>
        <a:solidFill>
          <a:schemeClr val="bg1">
            <a:alpha val="75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250061728395062"/>
          <c:y val="4.5653594771241833E-2"/>
          <c:w val="0.73412530864197534"/>
          <c:h val="0.77005816993464049"/>
        </c:manualLayout>
      </c:layout>
      <c:scatterChart>
        <c:scatterStyle val="lineMarker"/>
        <c:varyColors val="0"/>
        <c:ser>
          <c:idx val="0"/>
          <c:order val="0"/>
          <c:tx>
            <c:v>USA-Improved</c:v>
          </c:tx>
          <c:spPr>
            <a:ln w="25400" cap="rnd">
              <a:noFill/>
              <a:round/>
            </a:ln>
            <a:effectLst/>
          </c:spPr>
          <c:marker>
            <c:symbol val="circle"/>
            <c:size val="5"/>
            <c:spPr>
              <a:noFill/>
              <a:ln w="9525">
                <a:noFill/>
              </a:ln>
              <a:effectLst/>
            </c:spPr>
          </c:marker>
          <c:trendline>
            <c:spPr>
              <a:ln w="19050" cap="rnd">
                <a:solidFill>
                  <a:schemeClr val="accent1"/>
                </a:solidFill>
                <a:prstDash val="dashDot"/>
              </a:ln>
              <a:effectLst/>
            </c:spPr>
            <c:trendlineType val="power"/>
            <c:dispRSqr val="0"/>
            <c:dispEq val="0"/>
          </c:trendline>
          <c:xVal>
            <c:numRef>
              <c:f>Hotels!$I$13:$I$20</c:f>
              <c:numCache>
                <c:formatCode>General</c:formatCode>
                <c:ptCount val="8"/>
                <c:pt idx="0">
                  <c:v>232.25749999999999</c:v>
                </c:pt>
                <c:pt idx="1">
                  <c:v>710.04435714285717</c:v>
                </c:pt>
                <c:pt idx="2">
                  <c:v>1488.5594318181818</c:v>
                </c:pt>
                <c:pt idx="3">
                  <c:v>3379.8996190476191</c:v>
                </c:pt>
                <c:pt idx="4">
                  <c:v>5899.3405000000002</c:v>
                </c:pt>
                <c:pt idx="5">
                  <c:v>13087.710125</c:v>
                </c:pt>
                <c:pt idx="6">
                  <c:v>28459.285666666663</c:v>
                </c:pt>
                <c:pt idx="7">
                  <c:v>68934.025999999998</c:v>
                </c:pt>
              </c:numCache>
            </c:numRef>
          </c:xVal>
          <c:yVal>
            <c:numRef>
              <c:f>Hotels!$J$13:$J$20</c:f>
              <c:numCache>
                <c:formatCode>0.00%</c:formatCode>
                <c:ptCount val="8"/>
                <c:pt idx="0">
                  <c:v>4.0588235294117649E-3</c:v>
                </c:pt>
                <c:pt idx="1">
                  <c:v>2.3571428571428571E-3</c:v>
                </c:pt>
                <c:pt idx="2">
                  <c:v>2.1136363636363635E-3</c:v>
                </c:pt>
                <c:pt idx="3">
                  <c:v>4.7619047619047623E-3</c:v>
                </c:pt>
                <c:pt idx="4">
                  <c:v>3.7000000000000002E-3</c:v>
                </c:pt>
                <c:pt idx="5">
                  <c:v>5.875E-3</c:v>
                </c:pt>
                <c:pt idx="6">
                  <c:v>1.2333333333333333E-2</c:v>
                </c:pt>
                <c:pt idx="7">
                  <c:v>2.7E-2</c:v>
                </c:pt>
              </c:numCache>
            </c:numRef>
          </c:yVal>
          <c:smooth val="0"/>
          <c:extLst>
            <c:ext xmlns:c16="http://schemas.microsoft.com/office/drawing/2014/chart" uri="{C3380CC4-5D6E-409C-BE32-E72D297353CC}">
              <c16:uniqueId val="{00000000-1EFB-4362-8AE1-795CE27926E4}"/>
            </c:ext>
          </c:extLst>
        </c:ser>
        <c:ser>
          <c:idx val="1"/>
          <c:order val="1"/>
          <c:tx>
            <c:v>PD</c:v>
          </c:tx>
          <c:spPr>
            <a:ln w="25400" cap="rnd">
              <a:noFill/>
              <a:round/>
            </a:ln>
            <a:effectLst/>
          </c:spPr>
          <c:marker>
            <c:symbol val="none"/>
          </c:marker>
          <c:trendline>
            <c:spPr>
              <a:ln w="19050" cap="rnd">
                <a:solidFill>
                  <a:schemeClr val="accent2"/>
                </a:solidFill>
                <a:prstDash val="dash"/>
              </a:ln>
              <a:effectLst/>
            </c:spPr>
            <c:trendlineType val="power"/>
            <c:dispRSqr val="0"/>
            <c:dispEq val="0"/>
          </c:trendline>
          <c:xVal>
            <c:numRef>
              <c:f>Hotels!$I$24:$I$31</c:f>
              <c:numCache>
                <c:formatCode>General</c:formatCode>
                <c:ptCount val="8"/>
                <c:pt idx="0">
                  <c:v>232.25749999999999</c:v>
                </c:pt>
                <c:pt idx="1">
                  <c:v>710.04435714285717</c:v>
                </c:pt>
                <c:pt idx="2">
                  <c:v>1488.5594318181818</c:v>
                </c:pt>
                <c:pt idx="3">
                  <c:v>3379.8996190476191</c:v>
                </c:pt>
                <c:pt idx="4">
                  <c:v>5899.3405000000002</c:v>
                </c:pt>
                <c:pt idx="5">
                  <c:v>13087.710125</c:v>
                </c:pt>
                <c:pt idx="6">
                  <c:v>28459.285666666663</c:v>
                </c:pt>
                <c:pt idx="7">
                  <c:v>68934.025999999998</c:v>
                </c:pt>
              </c:numCache>
            </c:numRef>
          </c:xVal>
          <c:yVal>
            <c:numRef>
              <c:f>Hotels!$J$24:$J$31</c:f>
              <c:numCache>
                <c:formatCode>0.00%</c:formatCode>
                <c:ptCount val="8"/>
                <c:pt idx="0">
                  <c:v>1.8580600000000003E-2</c:v>
                </c:pt>
                <c:pt idx="1">
                  <c:v>5.680354857142858E-2</c:v>
                </c:pt>
                <c:pt idx="2">
                  <c:v>0.11908475454545456</c:v>
                </c:pt>
                <c:pt idx="3">
                  <c:v>0.27039196952380956</c:v>
                </c:pt>
                <c:pt idx="4">
                  <c:v>0.47194724000000005</c:v>
                </c:pt>
                <c:pt idx="5">
                  <c:v>1.0470168100000001</c:v>
                </c:pt>
                <c:pt idx="6">
                  <c:v>2.2767428533333334</c:v>
                </c:pt>
                <c:pt idx="7">
                  <c:v>5.5147220800000003</c:v>
                </c:pt>
              </c:numCache>
            </c:numRef>
          </c:yVal>
          <c:smooth val="0"/>
          <c:extLst>
            <c:ext xmlns:c16="http://schemas.microsoft.com/office/drawing/2014/chart" uri="{C3380CC4-5D6E-409C-BE32-E72D297353CC}">
              <c16:uniqueId val="{00000001-1EFB-4362-8AE1-795CE27926E4}"/>
            </c:ext>
          </c:extLst>
        </c:ser>
        <c:ser>
          <c:idx val="2"/>
          <c:order val="2"/>
          <c:tx>
            <c:v>USA fire statistics</c:v>
          </c:tx>
          <c:spPr>
            <a:ln w="25400" cap="rnd">
              <a:noFill/>
              <a:round/>
            </a:ln>
            <a:effectLst/>
          </c:spPr>
          <c:marker>
            <c:symbol val="circle"/>
            <c:size val="5"/>
            <c:spPr>
              <a:solidFill>
                <a:schemeClr val="accent5">
                  <a:lumMod val="50000"/>
                </a:schemeClr>
              </a:solidFill>
              <a:ln w="9525">
                <a:solidFill>
                  <a:schemeClr val="accent5">
                    <a:lumMod val="50000"/>
                  </a:schemeClr>
                </a:solidFill>
              </a:ln>
              <a:effectLst/>
            </c:spPr>
          </c:marker>
          <c:xVal>
            <c:numRef>
              <c:f>Hotels!$I$13:$I$20</c:f>
              <c:numCache>
                <c:formatCode>General</c:formatCode>
                <c:ptCount val="8"/>
                <c:pt idx="0">
                  <c:v>232.25749999999999</c:v>
                </c:pt>
                <c:pt idx="1">
                  <c:v>710.04435714285717</c:v>
                </c:pt>
                <c:pt idx="2">
                  <c:v>1488.5594318181818</c:v>
                </c:pt>
                <c:pt idx="3">
                  <c:v>3379.8996190476191</c:v>
                </c:pt>
                <c:pt idx="4">
                  <c:v>5899.3405000000002</c:v>
                </c:pt>
                <c:pt idx="5">
                  <c:v>13087.710125</c:v>
                </c:pt>
                <c:pt idx="6">
                  <c:v>28459.285666666663</c:v>
                </c:pt>
                <c:pt idx="7">
                  <c:v>68934.025999999998</c:v>
                </c:pt>
              </c:numCache>
            </c:numRef>
          </c:xVal>
          <c:yVal>
            <c:numRef>
              <c:f>Hotels!$J$13:$J$20</c:f>
              <c:numCache>
                <c:formatCode>0.00%</c:formatCode>
                <c:ptCount val="8"/>
                <c:pt idx="0">
                  <c:v>4.0588235294117649E-3</c:v>
                </c:pt>
                <c:pt idx="1">
                  <c:v>2.3571428571428571E-3</c:v>
                </c:pt>
                <c:pt idx="2">
                  <c:v>2.1136363636363635E-3</c:v>
                </c:pt>
                <c:pt idx="3">
                  <c:v>4.7619047619047623E-3</c:v>
                </c:pt>
                <c:pt idx="4">
                  <c:v>3.7000000000000002E-3</c:v>
                </c:pt>
                <c:pt idx="5">
                  <c:v>5.875E-3</c:v>
                </c:pt>
                <c:pt idx="6">
                  <c:v>1.2333333333333333E-2</c:v>
                </c:pt>
                <c:pt idx="7">
                  <c:v>2.7E-2</c:v>
                </c:pt>
              </c:numCache>
            </c:numRef>
          </c:yVal>
          <c:smooth val="0"/>
          <c:extLst>
            <c:ext xmlns:c16="http://schemas.microsoft.com/office/drawing/2014/chart" uri="{C3380CC4-5D6E-409C-BE32-E72D297353CC}">
              <c16:uniqueId val="{00000002-1EFB-4362-8AE1-795CE27926E4}"/>
            </c:ext>
          </c:extLst>
        </c:ser>
        <c:dLbls>
          <c:showLegendKey val="0"/>
          <c:showVal val="0"/>
          <c:showCatName val="0"/>
          <c:showSerName val="0"/>
          <c:showPercent val="0"/>
          <c:showBubbleSize val="0"/>
        </c:dLbls>
        <c:axId val="-2077103544"/>
        <c:axId val="2106592520"/>
      </c:scatterChart>
      <c:valAx>
        <c:axId val="-20771035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Tot floor space [m</a:t>
                </a:r>
                <a:r>
                  <a:rPr lang="en-GB" baseline="30000"/>
                  <a:t>2</a:t>
                </a:r>
                <a:r>
                  <a:rPr lang="en-GB"/>
                  <a: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06592520"/>
        <c:crosses val="autoZero"/>
        <c:crossBetween val="midCat"/>
      </c:valAx>
      <c:valAx>
        <c:axId val="210659252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Probability of fire</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77103544"/>
        <c:crosses val="autoZero"/>
        <c:crossBetween val="midCat"/>
      </c:valAx>
      <c:spPr>
        <a:noFill/>
        <a:ln>
          <a:noFill/>
        </a:ln>
        <a:effectLst/>
      </c:spPr>
    </c:plotArea>
    <c:legend>
      <c:legendPos val="r"/>
      <c:legendEntry>
        <c:idx val="0"/>
        <c:delete val="1"/>
      </c:legendEntry>
      <c:legendEntry>
        <c:idx val="1"/>
        <c:delete val="1"/>
      </c:legendEntry>
      <c:layout>
        <c:manualLayout>
          <c:xMode val="edge"/>
          <c:yMode val="edge"/>
          <c:x val="0.46054188592279621"/>
          <c:y val="5.3273975871322439E-2"/>
          <c:w val="0.44144697522565779"/>
          <c:h val="0.13800130718954248"/>
        </c:manualLayout>
      </c:layout>
      <c:overlay val="0"/>
      <c:spPr>
        <a:solidFill>
          <a:schemeClr val="bg1">
            <a:alpha val="75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54417253289856"/>
          <c:y val="4.5653594771241833E-2"/>
          <c:w val="0.74748286493628924"/>
          <c:h val="0.79533398692810453"/>
        </c:manualLayout>
      </c:layout>
      <c:scatterChart>
        <c:scatterStyle val="lineMarker"/>
        <c:varyColors val="0"/>
        <c:ser>
          <c:idx val="0"/>
          <c:order val="0"/>
          <c:tx>
            <c:v>USA-Improved</c:v>
          </c:tx>
          <c:spPr>
            <a:ln w="25400" cap="rnd">
              <a:noFill/>
              <a:round/>
            </a:ln>
            <a:effectLst/>
          </c:spPr>
          <c:marker>
            <c:symbol val="circle"/>
            <c:size val="5"/>
            <c:spPr>
              <a:noFill/>
              <a:ln w="9525">
                <a:noFill/>
              </a:ln>
              <a:effectLst/>
            </c:spPr>
          </c:marker>
          <c:trendline>
            <c:spPr>
              <a:ln w="19050" cap="rnd">
                <a:solidFill>
                  <a:schemeClr val="accent1"/>
                </a:solidFill>
                <a:prstDash val="dashDot"/>
              </a:ln>
              <a:effectLst/>
            </c:spPr>
            <c:trendlineType val="power"/>
            <c:dispRSqr val="0"/>
            <c:dispEq val="0"/>
          </c:trendline>
          <c:trendline>
            <c:spPr>
              <a:ln w="19050" cap="rnd">
                <a:solidFill>
                  <a:srgbClr val="FF0000"/>
                </a:solidFill>
                <a:prstDash val="lgDashDotDot"/>
              </a:ln>
              <a:effectLst/>
            </c:spPr>
            <c:trendlineType val="poly"/>
            <c:order val="3"/>
            <c:dispRSqr val="0"/>
            <c:dispEq val="0"/>
          </c:trendline>
          <c:xVal>
            <c:numRef>
              <c:f>Hotels!$I$13:$I$20</c:f>
              <c:numCache>
                <c:formatCode>General</c:formatCode>
                <c:ptCount val="8"/>
                <c:pt idx="0">
                  <c:v>232.25749999999999</c:v>
                </c:pt>
                <c:pt idx="1">
                  <c:v>710.04435714285717</c:v>
                </c:pt>
                <c:pt idx="2">
                  <c:v>1488.5594318181818</c:v>
                </c:pt>
                <c:pt idx="3">
                  <c:v>3379.8996190476191</c:v>
                </c:pt>
                <c:pt idx="4">
                  <c:v>5899.3405000000002</c:v>
                </c:pt>
                <c:pt idx="5">
                  <c:v>13087.710125</c:v>
                </c:pt>
                <c:pt idx="6">
                  <c:v>28459.285666666663</c:v>
                </c:pt>
                <c:pt idx="7">
                  <c:v>68934.025999999998</c:v>
                </c:pt>
              </c:numCache>
            </c:numRef>
          </c:xVal>
          <c:yVal>
            <c:numRef>
              <c:f>Hotels!$J$13:$J$20</c:f>
              <c:numCache>
                <c:formatCode>0.00%</c:formatCode>
                <c:ptCount val="8"/>
                <c:pt idx="0">
                  <c:v>4.0588235294117649E-3</c:v>
                </c:pt>
                <c:pt idx="1">
                  <c:v>2.3571428571428571E-3</c:v>
                </c:pt>
                <c:pt idx="2">
                  <c:v>2.1136363636363635E-3</c:v>
                </c:pt>
                <c:pt idx="3">
                  <c:v>4.7619047619047623E-3</c:v>
                </c:pt>
                <c:pt idx="4">
                  <c:v>3.7000000000000002E-3</c:v>
                </c:pt>
                <c:pt idx="5">
                  <c:v>5.875E-3</c:v>
                </c:pt>
                <c:pt idx="6">
                  <c:v>1.2333333333333333E-2</c:v>
                </c:pt>
                <c:pt idx="7">
                  <c:v>2.7E-2</c:v>
                </c:pt>
              </c:numCache>
            </c:numRef>
          </c:yVal>
          <c:smooth val="0"/>
          <c:extLst>
            <c:ext xmlns:c16="http://schemas.microsoft.com/office/drawing/2014/chart" uri="{C3380CC4-5D6E-409C-BE32-E72D297353CC}">
              <c16:uniqueId val="{00000000-72CA-49BD-A2C5-810487FC72B0}"/>
            </c:ext>
          </c:extLst>
        </c:ser>
        <c:ser>
          <c:idx val="1"/>
          <c:order val="1"/>
          <c:tx>
            <c:v>USA-Rutstein</c:v>
          </c:tx>
          <c:spPr>
            <a:ln w="25400" cap="rnd">
              <a:noFill/>
              <a:round/>
            </a:ln>
            <a:effectLst/>
          </c:spPr>
          <c:marker>
            <c:symbol val="none"/>
          </c:marker>
          <c:trendline>
            <c:spPr>
              <a:ln w="19050" cap="rnd">
                <a:solidFill>
                  <a:srgbClr val="00B050"/>
                </a:solidFill>
                <a:prstDash val="sysDot"/>
              </a:ln>
              <a:effectLst/>
            </c:spPr>
            <c:trendlineType val="power"/>
            <c:dispRSqr val="0"/>
            <c:dispEq val="0"/>
          </c:trendline>
          <c:xVal>
            <c:numRef>
              <c:f>Hotels!$I$36:$I$43</c:f>
              <c:numCache>
                <c:formatCode>General</c:formatCode>
                <c:ptCount val="8"/>
                <c:pt idx="0">
                  <c:v>232.25749999999999</c:v>
                </c:pt>
                <c:pt idx="1">
                  <c:v>710.04435714285717</c:v>
                </c:pt>
                <c:pt idx="2">
                  <c:v>1488.5594318181818</c:v>
                </c:pt>
                <c:pt idx="3">
                  <c:v>3379.8996190476191</c:v>
                </c:pt>
                <c:pt idx="4">
                  <c:v>5899.3405000000002</c:v>
                </c:pt>
                <c:pt idx="5">
                  <c:v>13087.710125</c:v>
                </c:pt>
                <c:pt idx="6">
                  <c:v>28459.285666666663</c:v>
                </c:pt>
                <c:pt idx="7">
                  <c:v>68934.025999999998</c:v>
                </c:pt>
              </c:numCache>
            </c:numRef>
          </c:xVal>
          <c:yVal>
            <c:numRef>
              <c:f>Hotels!$J$36:$J$43</c:f>
              <c:numCache>
                <c:formatCode>0.000%</c:formatCode>
                <c:ptCount val="8"/>
                <c:pt idx="0">
                  <c:v>3.9189514275130809E-3</c:v>
                </c:pt>
                <c:pt idx="1">
                  <c:v>3.9742077204449463E-3</c:v>
                </c:pt>
                <c:pt idx="2">
                  <c:v>4.0112386485708302E-3</c:v>
                </c:pt>
                <c:pt idx="3">
                  <c:v>4.0526646443090177E-3</c:v>
                </c:pt>
                <c:pt idx="4">
                  <c:v>4.08104617637557E-3</c:v>
                </c:pt>
                <c:pt idx="5">
                  <c:v>4.121994537871084E-3</c:v>
                </c:pt>
                <c:pt idx="6">
                  <c:v>4.1623089369848725E-3</c:v>
                </c:pt>
                <c:pt idx="7">
                  <c:v>4.2087022462738164E-3</c:v>
                </c:pt>
              </c:numCache>
            </c:numRef>
          </c:yVal>
          <c:smooth val="0"/>
          <c:extLst>
            <c:ext xmlns:c16="http://schemas.microsoft.com/office/drawing/2014/chart" uri="{C3380CC4-5D6E-409C-BE32-E72D297353CC}">
              <c16:uniqueId val="{00000001-72CA-49BD-A2C5-810487FC72B0}"/>
            </c:ext>
          </c:extLst>
        </c:ser>
        <c:ser>
          <c:idx val="2"/>
          <c:order val="2"/>
          <c:tx>
            <c:v>USA fire statistics</c:v>
          </c:tx>
          <c:spPr>
            <a:ln w="25400" cap="rnd">
              <a:noFill/>
              <a:round/>
            </a:ln>
            <a:effectLst/>
          </c:spPr>
          <c:marker>
            <c:symbol val="circle"/>
            <c:size val="5"/>
            <c:spPr>
              <a:solidFill>
                <a:schemeClr val="accent5">
                  <a:lumMod val="50000"/>
                </a:schemeClr>
              </a:solidFill>
              <a:ln w="9525">
                <a:solidFill>
                  <a:schemeClr val="accent5">
                    <a:lumMod val="50000"/>
                  </a:schemeClr>
                </a:solidFill>
              </a:ln>
              <a:effectLst/>
            </c:spPr>
          </c:marker>
          <c:xVal>
            <c:numRef>
              <c:f>Hotels!$I$13:$I$20</c:f>
              <c:numCache>
                <c:formatCode>General</c:formatCode>
                <c:ptCount val="8"/>
                <c:pt idx="0">
                  <c:v>232.25749999999999</c:v>
                </c:pt>
                <c:pt idx="1">
                  <c:v>710.04435714285717</c:v>
                </c:pt>
                <c:pt idx="2">
                  <c:v>1488.5594318181818</c:v>
                </c:pt>
                <c:pt idx="3">
                  <c:v>3379.8996190476191</c:v>
                </c:pt>
                <c:pt idx="4">
                  <c:v>5899.3405000000002</c:v>
                </c:pt>
                <c:pt idx="5">
                  <c:v>13087.710125</c:v>
                </c:pt>
                <c:pt idx="6">
                  <c:v>28459.285666666663</c:v>
                </c:pt>
                <c:pt idx="7">
                  <c:v>68934.025999999998</c:v>
                </c:pt>
              </c:numCache>
            </c:numRef>
          </c:xVal>
          <c:yVal>
            <c:numRef>
              <c:f>Hotels!$J$13:$J$20</c:f>
              <c:numCache>
                <c:formatCode>0.00%</c:formatCode>
                <c:ptCount val="8"/>
                <c:pt idx="0">
                  <c:v>4.0588235294117649E-3</c:v>
                </c:pt>
                <c:pt idx="1">
                  <c:v>2.3571428571428571E-3</c:v>
                </c:pt>
                <c:pt idx="2">
                  <c:v>2.1136363636363635E-3</c:v>
                </c:pt>
                <c:pt idx="3">
                  <c:v>4.7619047619047623E-3</c:v>
                </c:pt>
                <c:pt idx="4">
                  <c:v>3.7000000000000002E-3</c:v>
                </c:pt>
                <c:pt idx="5">
                  <c:v>5.875E-3</c:v>
                </c:pt>
                <c:pt idx="6">
                  <c:v>1.2333333333333333E-2</c:v>
                </c:pt>
                <c:pt idx="7">
                  <c:v>2.7E-2</c:v>
                </c:pt>
              </c:numCache>
            </c:numRef>
          </c:yVal>
          <c:smooth val="0"/>
          <c:extLst>
            <c:ext xmlns:c16="http://schemas.microsoft.com/office/drawing/2014/chart" uri="{C3380CC4-5D6E-409C-BE32-E72D297353CC}">
              <c16:uniqueId val="{00000002-72CA-49BD-A2C5-810487FC72B0}"/>
            </c:ext>
          </c:extLst>
        </c:ser>
        <c:dLbls>
          <c:showLegendKey val="0"/>
          <c:showVal val="0"/>
          <c:showCatName val="0"/>
          <c:showSerName val="0"/>
          <c:showPercent val="0"/>
          <c:showBubbleSize val="0"/>
        </c:dLbls>
        <c:axId val="-2077204024"/>
        <c:axId val="-2077197288"/>
      </c:scatterChart>
      <c:valAx>
        <c:axId val="-20772040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Tot floor space [m</a:t>
                </a:r>
                <a:r>
                  <a:rPr lang="en-GB" baseline="30000"/>
                  <a:t>2</a:t>
                </a:r>
                <a:r>
                  <a:rPr lang="en-GB"/>
                  <a: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77197288"/>
        <c:crosses val="autoZero"/>
        <c:crossBetween val="midCat"/>
      </c:valAx>
      <c:valAx>
        <c:axId val="-2077197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Probability of fire </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77204024"/>
        <c:crosses val="autoZero"/>
        <c:crossBetween val="midCat"/>
      </c:valAx>
      <c:spPr>
        <a:noFill/>
        <a:ln>
          <a:noFill/>
        </a:ln>
        <a:effectLst/>
      </c:spPr>
    </c:plotArea>
    <c:legend>
      <c:legendPos val="r"/>
      <c:legendEntry>
        <c:idx val="0"/>
        <c:delete val="1"/>
      </c:legendEntry>
      <c:legendEntry>
        <c:idx val="1"/>
        <c:delete val="1"/>
      </c:legendEntry>
      <c:layout>
        <c:manualLayout>
          <c:xMode val="edge"/>
          <c:yMode val="edge"/>
          <c:x val="0.15896888256975727"/>
          <c:y val="5.1410883726707254E-2"/>
          <c:w val="0.45244233577770393"/>
          <c:h val="0.15011764705882352"/>
        </c:manualLayout>
      </c:layout>
      <c:overlay val="0"/>
      <c:spPr>
        <a:solidFill>
          <a:schemeClr val="bg1">
            <a:alpha val="75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7037037037037"/>
          <c:y val="4.5653594771241833E-2"/>
          <c:w val="0.76308271604938271"/>
          <c:h val="0.79533398692810453"/>
        </c:manualLayout>
      </c:layout>
      <c:scatterChart>
        <c:scatterStyle val="lineMarker"/>
        <c:varyColors val="0"/>
        <c:ser>
          <c:idx val="0"/>
          <c:order val="0"/>
          <c:tx>
            <c:v>USA-Improved</c:v>
          </c:tx>
          <c:spPr>
            <a:ln w="19050" cap="rnd">
              <a:noFill/>
              <a:round/>
            </a:ln>
            <a:effectLst/>
          </c:spPr>
          <c:marker>
            <c:symbol val="circle"/>
            <c:size val="5"/>
            <c:spPr>
              <a:noFill/>
              <a:ln w="9525">
                <a:noFill/>
              </a:ln>
              <a:effectLst/>
            </c:spPr>
          </c:marker>
          <c:trendline>
            <c:spPr>
              <a:ln w="19050" cap="rnd">
                <a:solidFill>
                  <a:schemeClr val="accent1"/>
                </a:solidFill>
                <a:prstDash val="lgDashDot"/>
              </a:ln>
              <a:effectLst/>
            </c:spPr>
            <c:trendlineType val="power"/>
            <c:dispRSqr val="0"/>
            <c:dispEq val="0"/>
          </c:trendline>
          <c:xVal>
            <c:numRef>
              <c:f>Schools!$I$13:$I$19</c:f>
              <c:numCache>
                <c:formatCode>General</c:formatCode>
                <c:ptCount val="7"/>
                <c:pt idx="0">
                  <c:v>254.02148951048952</c:v>
                </c:pt>
                <c:pt idx="1">
                  <c:v>643.03449019607842</c:v>
                </c:pt>
                <c:pt idx="2">
                  <c:v>1501.3124800000001</c:v>
                </c:pt>
                <c:pt idx="3">
                  <c:v>3380.762829268293</c:v>
                </c:pt>
                <c:pt idx="4">
                  <c:v>6509.0164375000004</c:v>
                </c:pt>
                <c:pt idx="5">
                  <c:v>12753.048181818182</c:v>
                </c:pt>
                <c:pt idx="6">
                  <c:v>24340.585999999999</c:v>
                </c:pt>
              </c:numCache>
            </c:numRef>
          </c:xVal>
          <c:yVal>
            <c:numRef>
              <c:f>Schools!$J$13:$J$19</c:f>
              <c:numCache>
                <c:formatCode>0.00%</c:formatCode>
                <c:ptCount val="7"/>
                <c:pt idx="0">
                  <c:v>9.0209790209790205E-4</c:v>
                </c:pt>
                <c:pt idx="1">
                  <c:v>1.0588235294117646E-3</c:v>
                </c:pt>
                <c:pt idx="2">
                  <c:v>1.16E-3</c:v>
                </c:pt>
                <c:pt idx="3">
                  <c:v>1.3902439024390243E-3</c:v>
                </c:pt>
                <c:pt idx="4">
                  <c:v>1.25E-3</c:v>
                </c:pt>
                <c:pt idx="5">
                  <c:v>1.6818181818181819E-3</c:v>
                </c:pt>
                <c:pt idx="6">
                  <c:v>3.1111111111111109E-3</c:v>
                </c:pt>
              </c:numCache>
            </c:numRef>
          </c:yVal>
          <c:smooth val="0"/>
          <c:extLst>
            <c:ext xmlns:c16="http://schemas.microsoft.com/office/drawing/2014/chart" uri="{C3380CC4-5D6E-409C-BE32-E72D297353CC}">
              <c16:uniqueId val="{00000000-EA3B-4D79-B1FD-93EE173B007F}"/>
            </c:ext>
          </c:extLst>
        </c:ser>
        <c:ser>
          <c:idx val="1"/>
          <c:order val="1"/>
          <c:tx>
            <c:v>PD</c:v>
          </c:tx>
          <c:spPr>
            <a:ln w="25400" cap="rnd">
              <a:noFill/>
              <a:round/>
            </a:ln>
            <a:effectLst/>
          </c:spPr>
          <c:marker>
            <c:symbol val="none"/>
          </c:marker>
          <c:trendline>
            <c:spPr>
              <a:ln w="19050" cap="rnd">
                <a:solidFill>
                  <a:schemeClr val="accent2"/>
                </a:solidFill>
                <a:prstDash val="dash"/>
              </a:ln>
              <a:effectLst/>
            </c:spPr>
            <c:trendlineType val="power"/>
            <c:dispRSqr val="0"/>
            <c:dispEq val="0"/>
          </c:trendline>
          <c:xVal>
            <c:numRef>
              <c:f>Schools!$I$26:$I$32</c:f>
              <c:numCache>
                <c:formatCode>General</c:formatCode>
                <c:ptCount val="7"/>
                <c:pt idx="0">
                  <c:v>254.02148951048952</c:v>
                </c:pt>
                <c:pt idx="1">
                  <c:v>643.03449019607842</c:v>
                </c:pt>
                <c:pt idx="2">
                  <c:v>1501.3124800000001</c:v>
                </c:pt>
                <c:pt idx="3">
                  <c:v>3380.762829268293</c:v>
                </c:pt>
                <c:pt idx="4">
                  <c:v>6509.0164375000004</c:v>
                </c:pt>
                <c:pt idx="5">
                  <c:v>12753.048181818182</c:v>
                </c:pt>
                <c:pt idx="6">
                  <c:v>24340.585999999999</c:v>
                </c:pt>
              </c:numCache>
            </c:numRef>
          </c:xVal>
          <c:yVal>
            <c:numRef>
              <c:f>Schools!$J$26:$J$32</c:f>
              <c:numCache>
                <c:formatCode>0.00%</c:formatCode>
                <c:ptCount val="7"/>
                <c:pt idx="0">
                  <c:v>1.2725733948114713E-2</c:v>
                </c:pt>
                <c:pt idx="1">
                  <c:v>2.5539106337398775E-2</c:v>
                </c:pt>
                <c:pt idx="2">
                  <c:v>4.8237336189906783E-2</c:v>
                </c:pt>
                <c:pt idx="3">
                  <c:v>8.867292290250274E-2</c:v>
                </c:pt>
                <c:pt idx="4">
                  <c:v>0.14493274638002876</c:v>
                </c:pt>
                <c:pt idx="5">
                  <c:v>0.24001616707569201</c:v>
                </c:pt>
                <c:pt idx="6">
                  <c:v>0.38974294988131131</c:v>
                </c:pt>
              </c:numCache>
            </c:numRef>
          </c:yVal>
          <c:smooth val="0"/>
          <c:extLst>
            <c:ext xmlns:c16="http://schemas.microsoft.com/office/drawing/2014/chart" uri="{C3380CC4-5D6E-409C-BE32-E72D297353CC}">
              <c16:uniqueId val="{00000001-EA3B-4D79-B1FD-93EE173B007F}"/>
            </c:ext>
          </c:extLst>
        </c:ser>
        <c:ser>
          <c:idx val="2"/>
          <c:order val="2"/>
          <c:tx>
            <c:v>USA fire statistics</c:v>
          </c:tx>
          <c:spPr>
            <a:ln w="25400" cap="rnd">
              <a:noFill/>
              <a:round/>
            </a:ln>
            <a:effectLst/>
          </c:spPr>
          <c:marker>
            <c:symbol val="circle"/>
            <c:size val="5"/>
            <c:spPr>
              <a:solidFill>
                <a:schemeClr val="accent5">
                  <a:lumMod val="50000"/>
                </a:schemeClr>
              </a:solidFill>
              <a:ln w="9525">
                <a:solidFill>
                  <a:schemeClr val="accent5">
                    <a:lumMod val="50000"/>
                  </a:schemeClr>
                </a:solidFill>
              </a:ln>
              <a:effectLst/>
            </c:spPr>
          </c:marker>
          <c:xVal>
            <c:numRef>
              <c:f>Schools!$I$13:$I$19</c:f>
              <c:numCache>
                <c:formatCode>General</c:formatCode>
                <c:ptCount val="7"/>
                <c:pt idx="0">
                  <c:v>254.02148951048952</c:v>
                </c:pt>
                <c:pt idx="1">
                  <c:v>643.03449019607842</c:v>
                </c:pt>
                <c:pt idx="2">
                  <c:v>1501.3124800000001</c:v>
                </c:pt>
                <c:pt idx="3">
                  <c:v>3380.762829268293</c:v>
                </c:pt>
                <c:pt idx="4">
                  <c:v>6509.0164375000004</c:v>
                </c:pt>
                <c:pt idx="5">
                  <c:v>12753.048181818182</c:v>
                </c:pt>
                <c:pt idx="6">
                  <c:v>24340.585999999999</c:v>
                </c:pt>
              </c:numCache>
            </c:numRef>
          </c:xVal>
          <c:yVal>
            <c:numRef>
              <c:f>Schools!$J$13:$J$19</c:f>
              <c:numCache>
                <c:formatCode>0.00%</c:formatCode>
                <c:ptCount val="7"/>
                <c:pt idx="0">
                  <c:v>9.0209790209790205E-4</c:v>
                </c:pt>
                <c:pt idx="1">
                  <c:v>1.0588235294117646E-3</c:v>
                </c:pt>
                <c:pt idx="2">
                  <c:v>1.16E-3</c:v>
                </c:pt>
                <c:pt idx="3">
                  <c:v>1.3902439024390243E-3</c:v>
                </c:pt>
                <c:pt idx="4">
                  <c:v>1.25E-3</c:v>
                </c:pt>
                <c:pt idx="5">
                  <c:v>1.6818181818181819E-3</c:v>
                </c:pt>
                <c:pt idx="6">
                  <c:v>3.1111111111111109E-3</c:v>
                </c:pt>
              </c:numCache>
            </c:numRef>
          </c:yVal>
          <c:smooth val="0"/>
          <c:extLst>
            <c:ext xmlns:c16="http://schemas.microsoft.com/office/drawing/2014/chart" uri="{C3380CC4-5D6E-409C-BE32-E72D297353CC}">
              <c16:uniqueId val="{00000002-EA3B-4D79-B1FD-93EE173B007F}"/>
            </c:ext>
          </c:extLst>
        </c:ser>
        <c:dLbls>
          <c:showLegendKey val="0"/>
          <c:showVal val="0"/>
          <c:showCatName val="0"/>
          <c:showSerName val="0"/>
          <c:showPercent val="0"/>
          <c:showBubbleSize val="0"/>
        </c:dLbls>
        <c:axId val="-2076553112"/>
        <c:axId val="-2076315608"/>
      </c:scatterChart>
      <c:valAx>
        <c:axId val="-2076553112"/>
        <c:scaling>
          <c:orientation val="minMax"/>
          <c:max val="25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Tot floor space [m</a:t>
                </a:r>
                <a:r>
                  <a:rPr lang="en-GB" baseline="30000"/>
                  <a:t>2</a:t>
                </a:r>
                <a:r>
                  <a:rPr lang="en-GB"/>
                  <a: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76315608"/>
        <c:crosses val="autoZero"/>
        <c:crossBetween val="midCat"/>
      </c:valAx>
      <c:valAx>
        <c:axId val="-2076315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Probability of fire</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76553112"/>
        <c:crosses val="autoZero"/>
        <c:crossBetween val="midCat"/>
      </c:valAx>
      <c:spPr>
        <a:noFill/>
        <a:ln>
          <a:noFill/>
        </a:ln>
        <a:effectLst/>
      </c:spPr>
    </c:plotArea>
    <c:legend>
      <c:legendPos val="r"/>
      <c:legendEntry>
        <c:idx val="0"/>
        <c:delete val="1"/>
      </c:legendEntry>
      <c:legendEntry>
        <c:idx val="1"/>
        <c:delete val="1"/>
      </c:legendEntry>
      <c:layout>
        <c:manualLayout>
          <c:xMode val="edge"/>
          <c:yMode val="edge"/>
          <c:x val="0.15227377252088883"/>
          <c:y val="5.8761599382891584E-2"/>
          <c:w val="0.44791111111111109"/>
          <c:h val="0.11465567115443075"/>
        </c:manualLayout>
      </c:layout>
      <c:overlay val="0"/>
      <c:spPr>
        <a:solidFill>
          <a:schemeClr val="bg1">
            <a:alpha val="75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449999999999999"/>
          <c:y val="4.5653594771241833E-2"/>
          <c:w val="0.70820617283950615"/>
          <c:h val="0.79533398692810453"/>
        </c:manualLayout>
      </c:layout>
      <c:scatterChart>
        <c:scatterStyle val="lineMarker"/>
        <c:varyColors val="0"/>
        <c:ser>
          <c:idx val="0"/>
          <c:order val="0"/>
          <c:tx>
            <c:v>USA-Improved</c:v>
          </c:tx>
          <c:spPr>
            <a:ln w="19050" cap="rnd">
              <a:noFill/>
              <a:round/>
            </a:ln>
            <a:effectLst/>
          </c:spPr>
          <c:marker>
            <c:symbol val="circle"/>
            <c:size val="5"/>
            <c:spPr>
              <a:noFill/>
              <a:ln w="9525">
                <a:noFill/>
              </a:ln>
              <a:effectLst/>
            </c:spPr>
          </c:marker>
          <c:trendline>
            <c:spPr>
              <a:ln w="19050" cap="rnd">
                <a:solidFill>
                  <a:schemeClr val="accent1"/>
                </a:solidFill>
                <a:prstDash val="dashDot"/>
              </a:ln>
              <a:effectLst/>
            </c:spPr>
            <c:trendlineType val="power"/>
            <c:dispRSqr val="0"/>
            <c:dispEq val="0"/>
          </c:trendline>
          <c:trendline>
            <c:spPr>
              <a:ln w="19050" cap="rnd">
                <a:solidFill>
                  <a:srgbClr val="FF0000"/>
                </a:solidFill>
                <a:prstDash val="lgDashDotDot"/>
              </a:ln>
              <a:effectLst/>
            </c:spPr>
            <c:trendlineType val="poly"/>
            <c:order val="3"/>
            <c:dispRSqr val="0"/>
            <c:dispEq val="0"/>
          </c:trendline>
          <c:xVal>
            <c:numRef>
              <c:f>Schools!$I$13:$I$19</c:f>
              <c:numCache>
                <c:formatCode>General</c:formatCode>
                <c:ptCount val="7"/>
                <c:pt idx="0">
                  <c:v>254.02148951048952</c:v>
                </c:pt>
                <c:pt idx="1">
                  <c:v>643.03449019607842</c:v>
                </c:pt>
                <c:pt idx="2">
                  <c:v>1501.3124800000001</c:v>
                </c:pt>
                <c:pt idx="3">
                  <c:v>3380.762829268293</c:v>
                </c:pt>
                <c:pt idx="4">
                  <c:v>6509.0164375000004</c:v>
                </c:pt>
                <c:pt idx="5">
                  <c:v>12753.048181818182</c:v>
                </c:pt>
                <c:pt idx="6">
                  <c:v>24340.585999999999</c:v>
                </c:pt>
              </c:numCache>
            </c:numRef>
          </c:xVal>
          <c:yVal>
            <c:numRef>
              <c:f>Schools!$J$13:$J$19</c:f>
              <c:numCache>
                <c:formatCode>0.00%</c:formatCode>
                <c:ptCount val="7"/>
                <c:pt idx="0">
                  <c:v>9.0209790209790205E-4</c:v>
                </c:pt>
                <c:pt idx="1">
                  <c:v>1.0588235294117646E-3</c:v>
                </c:pt>
                <c:pt idx="2">
                  <c:v>1.16E-3</c:v>
                </c:pt>
                <c:pt idx="3">
                  <c:v>1.3902439024390243E-3</c:v>
                </c:pt>
                <c:pt idx="4">
                  <c:v>1.25E-3</c:v>
                </c:pt>
                <c:pt idx="5">
                  <c:v>1.6818181818181819E-3</c:v>
                </c:pt>
                <c:pt idx="6">
                  <c:v>3.1111111111111109E-3</c:v>
                </c:pt>
              </c:numCache>
            </c:numRef>
          </c:yVal>
          <c:smooth val="0"/>
          <c:extLst>
            <c:ext xmlns:c16="http://schemas.microsoft.com/office/drawing/2014/chart" uri="{C3380CC4-5D6E-409C-BE32-E72D297353CC}">
              <c16:uniqueId val="{00000000-1A7E-4390-8D53-8E941580C391}"/>
            </c:ext>
          </c:extLst>
        </c:ser>
        <c:ser>
          <c:idx val="1"/>
          <c:order val="1"/>
          <c:tx>
            <c:v>USA-Rutstein</c:v>
          </c:tx>
          <c:spPr>
            <a:ln w="25400" cap="rnd">
              <a:noFill/>
              <a:round/>
            </a:ln>
            <a:effectLst/>
          </c:spPr>
          <c:marker>
            <c:symbol val="none"/>
          </c:marker>
          <c:trendline>
            <c:spPr>
              <a:ln w="19050" cap="rnd">
                <a:solidFill>
                  <a:srgbClr val="00B050"/>
                </a:solidFill>
                <a:prstDash val="sysDot"/>
              </a:ln>
              <a:effectLst/>
            </c:spPr>
            <c:trendlineType val="power"/>
            <c:dispRSqr val="0"/>
            <c:dispEq val="0"/>
          </c:trendline>
          <c:xVal>
            <c:numRef>
              <c:f>Schools!$I$38:$I$44</c:f>
              <c:numCache>
                <c:formatCode>General</c:formatCode>
                <c:ptCount val="7"/>
                <c:pt idx="0">
                  <c:v>254.02148951048952</c:v>
                </c:pt>
                <c:pt idx="1">
                  <c:v>643.03449019607842</c:v>
                </c:pt>
                <c:pt idx="2">
                  <c:v>1501.3124800000001</c:v>
                </c:pt>
                <c:pt idx="3">
                  <c:v>3380.762829268293</c:v>
                </c:pt>
                <c:pt idx="4">
                  <c:v>6509.0164375000004</c:v>
                </c:pt>
                <c:pt idx="5">
                  <c:v>12753.048181818182</c:v>
                </c:pt>
                <c:pt idx="6">
                  <c:v>24340.585999999999</c:v>
                </c:pt>
              </c:numCache>
            </c:numRef>
          </c:xVal>
          <c:yVal>
            <c:numRef>
              <c:f>Schools!$J$38:$J$44</c:f>
              <c:numCache>
                <c:formatCode>0.000%</c:formatCode>
                <c:ptCount val="7"/>
                <c:pt idx="0">
                  <c:v>1.2807253681643082E-3</c:v>
                </c:pt>
                <c:pt idx="1">
                  <c:v>1.2928436506511754E-3</c:v>
                </c:pt>
                <c:pt idx="2">
                  <c:v>1.3040067040144343E-3</c:v>
                </c:pt>
                <c:pt idx="3">
                  <c:v>1.3147843216435625E-3</c:v>
                </c:pt>
                <c:pt idx="4">
                  <c:v>1.3235467101427763E-3</c:v>
                </c:pt>
                <c:pt idx="5">
                  <c:v>1.3326038706550824E-3</c:v>
                </c:pt>
                <c:pt idx="6">
                  <c:v>1.341366517930691E-3</c:v>
                </c:pt>
              </c:numCache>
            </c:numRef>
          </c:yVal>
          <c:smooth val="0"/>
          <c:extLst>
            <c:ext xmlns:c16="http://schemas.microsoft.com/office/drawing/2014/chart" uri="{C3380CC4-5D6E-409C-BE32-E72D297353CC}">
              <c16:uniqueId val="{00000001-1A7E-4390-8D53-8E941580C391}"/>
            </c:ext>
          </c:extLst>
        </c:ser>
        <c:ser>
          <c:idx val="2"/>
          <c:order val="2"/>
          <c:tx>
            <c:v>USA fire statistics</c:v>
          </c:tx>
          <c:spPr>
            <a:ln w="25400" cap="rnd">
              <a:noFill/>
              <a:round/>
            </a:ln>
            <a:effectLst/>
          </c:spPr>
          <c:marker>
            <c:symbol val="circle"/>
            <c:size val="5"/>
            <c:spPr>
              <a:solidFill>
                <a:schemeClr val="accent5">
                  <a:lumMod val="50000"/>
                </a:schemeClr>
              </a:solidFill>
              <a:ln w="9525">
                <a:solidFill>
                  <a:schemeClr val="accent5">
                    <a:lumMod val="50000"/>
                  </a:schemeClr>
                </a:solidFill>
              </a:ln>
              <a:effectLst/>
            </c:spPr>
          </c:marker>
          <c:xVal>
            <c:numRef>
              <c:f>Schools!$I$13:$I$19</c:f>
              <c:numCache>
                <c:formatCode>General</c:formatCode>
                <c:ptCount val="7"/>
                <c:pt idx="0">
                  <c:v>254.02148951048952</c:v>
                </c:pt>
                <c:pt idx="1">
                  <c:v>643.03449019607842</c:v>
                </c:pt>
                <c:pt idx="2">
                  <c:v>1501.3124800000001</c:v>
                </c:pt>
                <c:pt idx="3">
                  <c:v>3380.762829268293</c:v>
                </c:pt>
                <c:pt idx="4">
                  <c:v>6509.0164375000004</c:v>
                </c:pt>
                <c:pt idx="5">
                  <c:v>12753.048181818182</c:v>
                </c:pt>
                <c:pt idx="6">
                  <c:v>24340.585999999999</c:v>
                </c:pt>
              </c:numCache>
            </c:numRef>
          </c:xVal>
          <c:yVal>
            <c:numRef>
              <c:f>Schools!$J$13:$J$19</c:f>
              <c:numCache>
                <c:formatCode>0.00%</c:formatCode>
                <c:ptCount val="7"/>
                <c:pt idx="0">
                  <c:v>9.0209790209790205E-4</c:v>
                </c:pt>
                <c:pt idx="1">
                  <c:v>1.0588235294117646E-3</c:v>
                </c:pt>
                <c:pt idx="2">
                  <c:v>1.16E-3</c:v>
                </c:pt>
                <c:pt idx="3">
                  <c:v>1.3902439024390243E-3</c:v>
                </c:pt>
                <c:pt idx="4">
                  <c:v>1.25E-3</c:v>
                </c:pt>
                <c:pt idx="5">
                  <c:v>1.6818181818181819E-3</c:v>
                </c:pt>
                <c:pt idx="6">
                  <c:v>3.1111111111111109E-3</c:v>
                </c:pt>
              </c:numCache>
            </c:numRef>
          </c:yVal>
          <c:smooth val="0"/>
          <c:extLst>
            <c:ext xmlns:c16="http://schemas.microsoft.com/office/drawing/2014/chart" uri="{C3380CC4-5D6E-409C-BE32-E72D297353CC}">
              <c16:uniqueId val="{00000002-1A7E-4390-8D53-8E941580C391}"/>
            </c:ext>
          </c:extLst>
        </c:ser>
        <c:dLbls>
          <c:showLegendKey val="0"/>
          <c:showVal val="0"/>
          <c:showCatName val="0"/>
          <c:showSerName val="0"/>
          <c:showPercent val="0"/>
          <c:showBubbleSize val="0"/>
        </c:dLbls>
        <c:axId val="2030350632"/>
        <c:axId val="-2076743096"/>
      </c:scatterChart>
      <c:valAx>
        <c:axId val="2030350632"/>
        <c:scaling>
          <c:orientation val="minMax"/>
          <c:max val="25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Tot floor space [m</a:t>
                </a:r>
                <a:r>
                  <a:rPr lang="en-GB" baseline="30000"/>
                  <a:t>2</a:t>
                </a:r>
                <a:r>
                  <a:rPr lang="en-GB"/>
                  <a: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76743096"/>
        <c:crosses val="autoZero"/>
        <c:crossBetween val="midCat"/>
      </c:valAx>
      <c:valAx>
        <c:axId val="-2076743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Probability of fire</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30350632"/>
        <c:crosses val="autoZero"/>
        <c:crossBetween val="midCat"/>
      </c:valAx>
      <c:spPr>
        <a:noFill/>
        <a:ln>
          <a:noFill/>
        </a:ln>
        <a:effectLst/>
      </c:spPr>
    </c:plotArea>
    <c:legend>
      <c:legendPos val="r"/>
      <c:legendEntry>
        <c:idx val="0"/>
        <c:delete val="1"/>
      </c:legendEntry>
      <c:legendEntry>
        <c:idx val="1"/>
        <c:delete val="1"/>
      </c:legendEntry>
      <c:layout>
        <c:manualLayout>
          <c:xMode val="edge"/>
          <c:yMode val="edge"/>
          <c:x val="0.21431841419979428"/>
          <c:y val="5.1328188584148025E-2"/>
          <c:w val="0.45221748223017827"/>
          <c:h val="0.15014561535972384"/>
        </c:manualLayout>
      </c:layout>
      <c:overlay val="0"/>
      <c:spPr>
        <a:solidFill>
          <a:schemeClr val="bg1">
            <a:alpha val="75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54320987654321"/>
          <c:y val="4.5653594771241833E-2"/>
          <c:w val="0.74740370370370368"/>
          <c:h val="0.79533398692810453"/>
        </c:manualLayout>
      </c:layout>
      <c:scatterChart>
        <c:scatterStyle val="lineMarker"/>
        <c:varyColors val="0"/>
        <c:ser>
          <c:idx val="0"/>
          <c:order val="0"/>
          <c:tx>
            <c:v>USA-Improved</c:v>
          </c:tx>
          <c:spPr>
            <a:ln w="19050" cap="rnd">
              <a:noFill/>
              <a:round/>
            </a:ln>
            <a:effectLst/>
          </c:spPr>
          <c:marker>
            <c:symbol val="circle"/>
            <c:size val="5"/>
            <c:spPr>
              <a:noFill/>
              <a:ln w="9525">
                <a:noFill/>
              </a:ln>
              <a:effectLst/>
            </c:spPr>
          </c:marker>
          <c:trendline>
            <c:spPr>
              <a:ln w="19050" cap="rnd">
                <a:solidFill>
                  <a:schemeClr val="accent1"/>
                </a:solidFill>
                <a:prstDash val="dashDot"/>
              </a:ln>
              <a:effectLst/>
            </c:spPr>
            <c:trendlineType val="power"/>
            <c:dispRSqr val="0"/>
            <c:dispEq val="0"/>
          </c:trendline>
          <c:xVal>
            <c:numRef>
              <c:f>Hospitals!$I$13:$I$20</c:f>
              <c:numCache>
                <c:formatCode>General</c:formatCode>
                <c:ptCount val="8"/>
                <c:pt idx="0">
                  <c:v>307.38276543209878</c:v>
                </c:pt>
                <c:pt idx="1">
                  <c:v>703.62599999999998</c:v>
                </c:pt>
                <c:pt idx="2">
                  <c:v>1610.3186666666666</c:v>
                </c:pt>
                <c:pt idx="3">
                  <c:v>3669.6684999999998</c:v>
                </c:pt>
                <c:pt idx="4">
                  <c:v>6143.2108749999998</c:v>
                </c:pt>
                <c:pt idx="5">
                  <c:v>16258.025</c:v>
                </c:pt>
                <c:pt idx="6">
                  <c:v>26601.225666666665</c:v>
                </c:pt>
                <c:pt idx="7">
                  <c:v>113991.981</c:v>
                </c:pt>
              </c:numCache>
            </c:numRef>
          </c:xVal>
          <c:yVal>
            <c:numRef>
              <c:f>Hospitals!$J$13:$J$20</c:f>
              <c:numCache>
                <c:formatCode>0.00%</c:formatCode>
                <c:ptCount val="8"/>
                <c:pt idx="0">
                  <c:v>1.8271604938271606E-3</c:v>
                </c:pt>
                <c:pt idx="1">
                  <c:v>1.4262295081967212E-3</c:v>
                </c:pt>
                <c:pt idx="2">
                  <c:v>4.0000000000000001E-3</c:v>
                </c:pt>
                <c:pt idx="3">
                  <c:v>9.2499999999999995E-3</c:v>
                </c:pt>
                <c:pt idx="4">
                  <c:v>6.3749999999999996E-3</c:v>
                </c:pt>
                <c:pt idx="5">
                  <c:v>0.02</c:v>
                </c:pt>
                <c:pt idx="6">
                  <c:v>8.3333333333333332E-3</c:v>
                </c:pt>
                <c:pt idx="7">
                  <c:v>2.7E-2</c:v>
                </c:pt>
              </c:numCache>
            </c:numRef>
          </c:yVal>
          <c:smooth val="0"/>
          <c:extLst>
            <c:ext xmlns:c16="http://schemas.microsoft.com/office/drawing/2014/chart" uri="{C3380CC4-5D6E-409C-BE32-E72D297353CC}">
              <c16:uniqueId val="{00000000-EE95-4C6B-AE37-84C3AB6A489A}"/>
            </c:ext>
          </c:extLst>
        </c:ser>
        <c:ser>
          <c:idx val="1"/>
          <c:order val="1"/>
          <c:tx>
            <c:v>PD</c:v>
          </c:tx>
          <c:spPr>
            <a:ln w="25400" cap="rnd">
              <a:noFill/>
              <a:round/>
            </a:ln>
            <a:effectLst/>
          </c:spPr>
          <c:marker>
            <c:symbol val="none"/>
          </c:marker>
          <c:trendline>
            <c:spPr>
              <a:ln w="19050" cap="rnd">
                <a:solidFill>
                  <a:schemeClr val="accent2"/>
                </a:solidFill>
                <a:prstDash val="dash"/>
              </a:ln>
              <a:effectLst/>
            </c:spPr>
            <c:trendlineType val="power"/>
            <c:dispRSqr val="0"/>
            <c:dispEq val="0"/>
          </c:trendline>
          <c:xVal>
            <c:numRef>
              <c:f>Hospitals!$I$25:$I$32</c:f>
              <c:numCache>
                <c:formatCode>General</c:formatCode>
                <c:ptCount val="8"/>
                <c:pt idx="0">
                  <c:v>307.38276543209878</c:v>
                </c:pt>
                <c:pt idx="1">
                  <c:v>703.62599999999998</c:v>
                </c:pt>
                <c:pt idx="2">
                  <c:v>1610.3186666666666</c:v>
                </c:pt>
                <c:pt idx="3">
                  <c:v>3669.6684999999998</c:v>
                </c:pt>
                <c:pt idx="4">
                  <c:v>6143.2108749999998</c:v>
                </c:pt>
                <c:pt idx="5">
                  <c:v>16258.025</c:v>
                </c:pt>
                <c:pt idx="6">
                  <c:v>26601.225666666665</c:v>
                </c:pt>
                <c:pt idx="7">
                  <c:v>113991.981</c:v>
                </c:pt>
              </c:numCache>
            </c:numRef>
          </c:xVal>
          <c:yVal>
            <c:numRef>
              <c:f>Hospitals!$J$25:$J$32</c:f>
              <c:numCache>
                <c:formatCode>0.00%</c:formatCode>
                <c:ptCount val="8"/>
                <c:pt idx="0">
                  <c:v>5.1387521931204903E-2</c:v>
                </c:pt>
                <c:pt idx="1">
                  <c:v>9.5632266596131096E-2</c:v>
                </c:pt>
                <c:pt idx="2">
                  <c:v>0.17794341065215241</c:v>
                </c:pt>
                <c:pt idx="3">
                  <c:v>0.33004120607403709</c:v>
                </c:pt>
                <c:pt idx="4">
                  <c:v>0.48572964215948761</c:v>
                </c:pt>
                <c:pt idx="5">
                  <c:v>1.0078569159250845</c:v>
                </c:pt>
                <c:pt idx="6">
                  <c:v>1.4580562391255392</c:v>
                </c:pt>
                <c:pt idx="7">
                  <c:v>4.3426393749649312</c:v>
                </c:pt>
              </c:numCache>
            </c:numRef>
          </c:yVal>
          <c:smooth val="0"/>
          <c:extLst>
            <c:ext xmlns:c16="http://schemas.microsoft.com/office/drawing/2014/chart" uri="{C3380CC4-5D6E-409C-BE32-E72D297353CC}">
              <c16:uniqueId val="{00000001-EE95-4C6B-AE37-84C3AB6A489A}"/>
            </c:ext>
          </c:extLst>
        </c:ser>
        <c:ser>
          <c:idx val="2"/>
          <c:order val="2"/>
          <c:tx>
            <c:v>USA fire statistics</c:v>
          </c:tx>
          <c:spPr>
            <a:ln w="25400" cap="rnd">
              <a:noFill/>
              <a:round/>
            </a:ln>
            <a:effectLst/>
          </c:spPr>
          <c:marker>
            <c:symbol val="circle"/>
            <c:size val="5"/>
            <c:spPr>
              <a:solidFill>
                <a:schemeClr val="accent5">
                  <a:lumMod val="50000"/>
                </a:schemeClr>
              </a:solidFill>
              <a:ln w="9525">
                <a:solidFill>
                  <a:schemeClr val="accent5">
                    <a:lumMod val="50000"/>
                  </a:schemeClr>
                </a:solidFill>
              </a:ln>
              <a:effectLst/>
            </c:spPr>
          </c:marker>
          <c:xVal>
            <c:numRef>
              <c:f>Hospitals!$I$13:$I$20</c:f>
              <c:numCache>
                <c:formatCode>General</c:formatCode>
                <c:ptCount val="8"/>
                <c:pt idx="0">
                  <c:v>307.38276543209878</c:v>
                </c:pt>
                <c:pt idx="1">
                  <c:v>703.62599999999998</c:v>
                </c:pt>
                <c:pt idx="2">
                  <c:v>1610.3186666666666</c:v>
                </c:pt>
                <c:pt idx="3">
                  <c:v>3669.6684999999998</c:v>
                </c:pt>
                <c:pt idx="4">
                  <c:v>6143.2108749999998</c:v>
                </c:pt>
                <c:pt idx="5">
                  <c:v>16258.025</c:v>
                </c:pt>
                <c:pt idx="6">
                  <c:v>26601.225666666665</c:v>
                </c:pt>
                <c:pt idx="7">
                  <c:v>113991.981</c:v>
                </c:pt>
              </c:numCache>
            </c:numRef>
          </c:xVal>
          <c:yVal>
            <c:numRef>
              <c:f>Hospitals!$J$13:$J$20</c:f>
              <c:numCache>
                <c:formatCode>0.00%</c:formatCode>
                <c:ptCount val="8"/>
                <c:pt idx="0">
                  <c:v>1.8271604938271606E-3</c:v>
                </c:pt>
                <c:pt idx="1">
                  <c:v>1.4262295081967212E-3</c:v>
                </c:pt>
                <c:pt idx="2">
                  <c:v>4.0000000000000001E-3</c:v>
                </c:pt>
                <c:pt idx="3">
                  <c:v>9.2499999999999995E-3</c:v>
                </c:pt>
                <c:pt idx="4">
                  <c:v>6.3749999999999996E-3</c:v>
                </c:pt>
                <c:pt idx="5">
                  <c:v>0.02</c:v>
                </c:pt>
                <c:pt idx="6">
                  <c:v>8.3333333333333332E-3</c:v>
                </c:pt>
                <c:pt idx="7">
                  <c:v>2.7E-2</c:v>
                </c:pt>
              </c:numCache>
            </c:numRef>
          </c:yVal>
          <c:smooth val="0"/>
          <c:extLst>
            <c:ext xmlns:c16="http://schemas.microsoft.com/office/drawing/2014/chart" uri="{C3380CC4-5D6E-409C-BE32-E72D297353CC}">
              <c16:uniqueId val="{00000002-EE95-4C6B-AE37-84C3AB6A489A}"/>
            </c:ext>
          </c:extLst>
        </c:ser>
        <c:dLbls>
          <c:showLegendKey val="0"/>
          <c:showVal val="0"/>
          <c:showCatName val="0"/>
          <c:showSerName val="0"/>
          <c:showPercent val="0"/>
          <c:showBubbleSize val="0"/>
        </c:dLbls>
        <c:axId val="2107377352"/>
        <c:axId val="2107465896"/>
      </c:scatterChart>
      <c:valAx>
        <c:axId val="21073773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Tot floor space [m</a:t>
                </a:r>
                <a:r>
                  <a:rPr lang="en-GB" baseline="30000"/>
                  <a:t>2</a:t>
                </a:r>
                <a:r>
                  <a:rPr lang="en-GB"/>
                  <a: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07465896"/>
        <c:crosses val="autoZero"/>
        <c:crossBetween val="midCat"/>
      </c:valAx>
      <c:valAx>
        <c:axId val="210746589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Probability of fire</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07377352"/>
        <c:crosses val="autoZero"/>
        <c:crossBetween val="midCat"/>
      </c:valAx>
      <c:spPr>
        <a:noFill/>
        <a:ln>
          <a:noFill/>
        </a:ln>
        <a:effectLst/>
      </c:spPr>
    </c:plotArea>
    <c:legend>
      <c:legendPos val="r"/>
      <c:legendEntry>
        <c:idx val="0"/>
        <c:delete val="1"/>
      </c:legendEntry>
      <c:legendEntry>
        <c:idx val="1"/>
        <c:delete val="1"/>
      </c:legendEntry>
      <c:layout>
        <c:manualLayout>
          <c:xMode val="edge"/>
          <c:yMode val="edge"/>
          <c:x val="0.43057747926550344"/>
          <c:y val="5.4610499341380583E-2"/>
          <c:w val="0.45182991385190924"/>
          <c:h val="0.13126072503701669"/>
        </c:manualLayout>
      </c:layout>
      <c:overlay val="0"/>
      <c:spPr>
        <a:solidFill>
          <a:schemeClr val="bg1">
            <a:alpha val="75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69954039947278"/>
          <c:y val="4.5653594771241833E-2"/>
          <c:w val="0.74348827231562731"/>
          <c:h val="0.79533398692810453"/>
        </c:manualLayout>
      </c:layout>
      <c:scatterChart>
        <c:scatterStyle val="lineMarker"/>
        <c:varyColors val="0"/>
        <c:ser>
          <c:idx val="0"/>
          <c:order val="0"/>
          <c:tx>
            <c:v>USA-Improved</c:v>
          </c:tx>
          <c:spPr>
            <a:ln w="19050" cap="rnd">
              <a:noFill/>
              <a:round/>
            </a:ln>
            <a:effectLst/>
          </c:spPr>
          <c:marker>
            <c:symbol val="circle"/>
            <c:size val="5"/>
            <c:spPr>
              <a:noFill/>
              <a:ln w="9525">
                <a:noFill/>
              </a:ln>
              <a:effectLst/>
            </c:spPr>
          </c:marker>
          <c:trendline>
            <c:spPr>
              <a:ln w="19050" cap="rnd">
                <a:solidFill>
                  <a:schemeClr val="accent1"/>
                </a:solidFill>
                <a:prstDash val="dashDot"/>
              </a:ln>
              <a:effectLst/>
            </c:spPr>
            <c:trendlineType val="power"/>
            <c:dispRSqr val="0"/>
            <c:dispEq val="0"/>
          </c:trendline>
          <c:trendline>
            <c:spPr>
              <a:ln w="19050" cap="rnd">
                <a:solidFill>
                  <a:srgbClr val="FF0000"/>
                </a:solidFill>
                <a:prstDash val="lgDashDotDot"/>
              </a:ln>
              <a:effectLst/>
            </c:spPr>
            <c:trendlineType val="poly"/>
            <c:order val="2"/>
            <c:dispRSqr val="0"/>
            <c:dispEq val="0"/>
          </c:trendline>
          <c:xVal>
            <c:numRef>
              <c:f>Hospitals!$I$13:$I$20</c:f>
              <c:numCache>
                <c:formatCode>General</c:formatCode>
                <c:ptCount val="8"/>
                <c:pt idx="0">
                  <c:v>307.38276543209878</c:v>
                </c:pt>
                <c:pt idx="1">
                  <c:v>703.62599999999998</c:v>
                </c:pt>
                <c:pt idx="2">
                  <c:v>1610.3186666666666</c:v>
                </c:pt>
                <c:pt idx="3">
                  <c:v>3669.6684999999998</c:v>
                </c:pt>
                <c:pt idx="4">
                  <c:v>6143.2108749999998</c:v>
                </c:pt>
                <c:pt idx="5">
                  <c:v>16258.025</c:v>
                </c:pt>
                <c:pt idx="6">
                  <c:v>26601.225666666665</c:v>
                </c:pt>
                <c:pt idx="7">
                  <c:v>113991.981</c:v>
                </c:pt>
              </c:numCache>
            </c:numRef>
          </c:xVal>
          <c:yVal>
            <c:numRef>
              <c:f>Hospitals!$J$13:$J$20</c:f>
              <c:numCache>
                <c:formatCode>0.00%</c:formatCode>
                <c:ptCount val="8"/>
                <c:pt idx="0">
                  <c:v>1.8271604938271606E-3</c:v>
                </c:pt>
                <c:pt idx="1">
                  <c:v>1.4262295081967212E-3</c:v>
                </c:pt>
                <c:pt idx="2">
                  <c:v>4.0000000000000001E-3</c:v>
                </c:pt>
                <c:pt idx="3">
                  <c:v>9.2499999999999995E-3</c:v>
                </c:pt>
                <c:pt idx="4">
                  <c:v>6.3749999999999996E-3</c:v>
                </c:pt>
                <c:pt idx="5">
                  <c:v>0.02</c:v>
                </c:pt>
                <c:pt idx="6">
                  <c:v>8.3333333333333332E-3</c:v>
                </c:pt>
                <c:pt idx="7">
                  <c:v>2.7E-2</c:v>
                </c:pt>
              </c:numCache>
            </c:numRef>
          </c:yVal>
          <c:smooth val="0"/>
          <c:extLst>
            <c:ext xmlns:c16="http://schemas.microsoft.com/office/drawing/2014/chart" uri="{C3380CC4-5D6E-409C-BE32-E72D297353CC}">
              <c16:uniqueId val="{00000000-9429-49E3-86A9-32FD5A513A0A}"/>
            </c:ext>
          </c:extLst>
        </c:ser>
        <c:ser>
          <c:idx val="1"/>
          <c:order val="1"/>
          <c:tx>
            <c:v>USA-Rutstein</c:v>
          </c:tx>
          <c:spPr>
            <a:ln w="25400" cap="rnd">
              <a:noFill/>
              <a:round/>
            </a:ln>
            <a:effectLst/>
          </c:spPr>
          <c:marker>
            <c:symbol val="none"/>
          </c:marker>
          <c:trendline>
            <c:spPr>
              <a:ln w="19050" cap="rnd">
                <a:solidFill>
                  <a:srgbClr val="00B050"/>
                </a:solidFill>
                <a:prstDash val="sysDot"/>
              </a:ln>
              <a:effectLst/>
            </c:spPr>
            <c:trendlineType val="power"/>
            <c:dispRSqr val="0"/>
            <c:dispEq val="0"/>
          </c:trendline>
          <c:xVal>
            <c:numRef>
              <c:f>Hospitals!$I$37:$I$44</c:f>
              <c:numCache>
                <c:formatCode>General</c:formatCode>
                <c:ptCount val="8"/>
                <c:pt idx="0">
                  <c:v>307.38276543209878</c:v>
                </c:pt>
                <c:pt idx="1">
                  <c:v>703.62599999999998</c:v>
                </c:pt>
                <c:pt idx="2">
                  <c:v>1610.3186666666666</c:v>
                </c:pt>
                <c:pt idx="3">
                  <c:v>3669.6684999999998</c:v>
                </c:pt>
                <c:pt idx="4">
                  <c:v>6143.2108749999998</c:v>
                </c:pt>
                <c:pt idx="5">
                  <c:v>16258.025</c:v>
                </c:pt>
                <c:pt idx="6">
                  <c:v>26601.225666666665</c:v>
                </c:pt>
                <c:pt idx="7">
                  <c:v>113991.981</c:v>
                </c:pt>
              </c:numCache>
            </c:numRef>
          </c:xVal>
          <c:yVal>
            <c:numRef>
              <c:f>Hospitals!$J$37:$J$44</c:f>
              <c:numCache>
                <c:formatCode>0.000%</c:formatCode>
                <c:ptCount val="8"/>
                <c:pt idx="0">
                  <c:v>3.0952697083559575E-3</c:v>
                </c:pt>
                <c:pt idx="1">
                  <c:v>3.1249901758217363E-3</c:v>
                </c:pt>
                <c:pt idx="2">
                  <c:v>3.1549882691798369E-3</c:v>
                </c:pt>
                <c:pt idx="3">
                  <c:v>3.1851173441332634E-3</c:v>
                </c:pt>
                <c:pt idx="4">
                  <c:v>3.2041106975210496E-3</c:v>
                </c:pt>
                <c:pt idx="5">
                  <c:v>3.2402964554814708E-3</c:v>
                </c:pt>
                <c:pt idx="6">
                  <c:v>3.2587585485376967E-3</c:v>
                </c:pt>
                <c:pt idx="7">
                  <c:v>3.3139392429171874E-3</c:v>
                </c:pt>
              </c:numCache>
            </c:numRef>
          </c:yVal>
          <c:smooth val="0"/>
          <c:extLst>
            <c:ext xmlns:c16="http://schemas.microsoft.com/office/drawing/2014/chart" uri="{C3380CC4-5D6E-409C-BE32-E72D297353CC}">
              <c16:uniqueId val="{00000001-9429-49E3-86A9-32FD5A513A0A}"/>
            </c:ext>
          </c:extLst>
        </c:ser>
        <c:ser>
          <c:idx val="2"/>
          <c:order val="2"/>
          <c:tx>
            <c:v>USA fire statistics</c:v>
          </c:tx>
          <c:spPr>
            <a:ln w="25400" cap="rnd">
              <a:noFill/>
              <a:round/>
            </a:ln>
            <a:effectLst/>
          </c:spPr>
          <c:marker>
            <c:symbol val="circle"/>
            <c:size val="5"/>
            <c:spPr>
              <a:solidFill>
                <a:schemeClr val="accent5">
                  <a:lumMod val="50000"/>
                </a:schemeClr>
              </a:solidFill>
              <a:ln w="9525">
                <a:solidFill>
                  <a:schemeClr val="accent5">
                    <a:lumMod val="50000"/>
                  </a:schemeClr>
                </a:solidFill>
              </a:ln>
              <a:effectLst/>
            </c:spPr>
          </c:marker>
          <c:xVal>
            <c:numRef>
              <c:f>Hospitals!$I$13:$I$20</c:f>
              <c:numCache>
                <c:formatCode>General</c:formatCode>
                <c:ptCount val="8"/>
                <c:pt idx="0">
                  <c:v>307.38276543209878</c:v>
                </c:pt>
                <c:pt idx="1">
                  <c:v>703.62599999999998</c:v>
                </c:pt>
                <c:pt idx="2">
                  <c:v>1610.3186666666666</c:v>
                </c:pt>
                <c:pt idx="3">
                  <c:v>3669.6684999999998</c:v>
                </c:pt>
                <c:pt idx="4">
                  <c:v>6143.2108749999998</c:v>
                </c:pt>
                <c:pt idx="5">
                  <c:v>16258.025</c:v>
                </c:pt>
                <c:pt idx="6">
                  <c:v>26601.225666666665</c:v>
                </c:pt>
                <c:pt idx="7">
                  <c:v>113991.981</c:v>
                </c:pt>
              </c:numCache>
            </c:numRef>
          </c:xVal>
          <c:yVal>
            <c:numRef>
              <c:f>Hospitals!$J$13:$J$20</c:f>
              <c:numCache>
                <c:formatCode>0.00%</c:formatCode>
                <c:ptCount val="8"/>
                <c:pt idx="0">
                  <c:v>1.8271604938271606E-3</c:v>
                </c:pt>
                <c:pt idx="1">
                  <c:v>1.4262295081967212E-3</c:v>
                </c:pt>
                <c:pt idx="2">
                  <c:v>4.0000000000000001E-3</c:v>
                </c:pt>
                <c:pt idx="3">
                  <c:v>9.2499999999999995E-3</c:v>
                </c:pt>
                <c:pt idx="4">
                  <c:v>6.3749999999999996E-3</c:v>
                </c:pt>
                <c:pt idx="5">
                  <c:v>0.02</c:v>
                </c:pt>
                <c:pt idx="6">
                  <c:v>8.3333333333333332E-3</c:v>
                </c:pt>
                <c:pt idx="7">
                  <c:v>2.7E-2</c:v>
                </c:pt>
              </c:numCache>
            </c:numRef>
          </c:yVal>
          <c:smooth val="0"/>
          <c:extLst>
            <c:ext xmlns:c16="http://schemas.microsoft.com/office/drawing/2014/chart" uri="{C3380CC4-5D6E-409C-BE32-E72D297353CC}">
              <c16:uniqueId val="{00000002-9429-49E3-86A9-32FD5A513A0A}"/>
            </c:ext>
          </c:extLst>
        </c:ser>
        <c:dLbls>
          <c:showLegendKey val="0"/>
          <c:showVal val="0"/>
          <c:showCatName val="0"/>
          <c:showSerName val="0"/>
          <c:showPercent val="0"/>
          <c:showBubbleSize val="0"/>
        </c:dLbls>
        <c:axId val="-2076586616"/>
        <c:axId val="-2076583752"/>
      </c:scatterChart>
      <c:valAx>
        <c:axId val="-2076586616"/>
        <c:scaling>
          <c:orientation val="minMax"/>
          <c:max val="1200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Tot floor space [m2]</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76583752"/>
        <c:crosses val="autoZero"/>
        <c:crossBetween val="midCat"/>
        <c:majorUnit val="20000"/>
      </c:valAx>
      <c:valAx>
        <c:axId val="-2076583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Probability of fire</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76586616"/>
        <c:crosses val="autoZero"/>
        <c:crossBetween val="midCat"/>
      </c:valAx>
      <c:spPr>
        <a:noFill/>
        <a:ln>
          <a:noFill/>
        </a:ln>
        <a:effectLst/>
      </c:spPr>
    </c:plotArea>
    <c:legend>
      <c:legendPos val="r"/>
      <c:legendEntry>
        <c:idx val="0"/>
        <c:delete val="1"/>
      </c:legendEntry>
      <c:legendEntry>
        <c:idx val="1"/>
        <c:delete val="1"/>
      </c:legendEntry>
      <c:layout>
        <c:manualLayout>
          <c:xMode val="edge"/>
          <c:yMode val="edge"/>
          <c:x val="0.15613392308713273"/>
          <c:y val="5.5479288625659026E-2"/>
          <c:w val="0.44010284680702644"/>
          <c:h val="0.16675001552576788"/>
        </c:manualLayout>
      </c:layout>
      <c:overlay val="0"/>
      <c:spPr>
        <a:solidFill>
          <a:schemeClr val="bg1">
            <a:alpha val="75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554803456585471E-2"/>
          <c:y val="6.4686856806821527E-2"/>
          <c:w val="0.88400270141670889"/>
          <c:h val="0.61483259902715037"/>
        </c:manualLayout>
      </c:layout>
      <c:barChart>
        <c:barDir val="col"/>
        <c:grouping val="clustered"/>
        <c:varyColors val="0"/>
        <c:ser>
          <c:idx val="0"/>
          <c:order val="0"/>
          <c:tx>
            <c:strRef>
              <c:f>Summary!$A$46</c:f>
              <c:strCache>
                <c:ptCount val="1"/>
                <c:pt idx="0">
                  <c:v>Confined to object</c:v>
                </c:pt>
              </c:strCache>
            </c:strRef>
          </c:tx>
          <c:spPr>
            <a:solidFill>
              <a:schemeClr val="accent1"/>
            </a:solidFill>
            <a:ln>
              <a:noFill/>
            </a:ln>
            <a:effectLst/>
          </c:spPr>
          <c:invertIfNegative val="0"/>
          <c:errBars>
            <c:errBarType val="both"/>
            <c:errValType val="cust"/>
            <c:noEndCap val="0"/>
            <c:plus>
              <c:numRef>
                <c:f>Summary!$B$54:$B$63</c:f>
                <c:numCache>
                  <c:formatCode>General</c:formatCode>
                  <c:ptCount val="10"/>
                  <c:pt idx="0">
                    <c:v>31.101393056556528</c:v>
                  </c:pt>
                  <c:pt idx="1">
                    <c:v>0</c:v>
                  </c:pt>
                  <c:pt idx="2">
                    <c:v>0</c:v>
                  </c:pt>
                  <c:pt idx="3">
                    <c:v>0</c:v>
                  </c:pt>
                  <c:pt idx="4">
                    <c:v>0</c:v>
                  </c:pt>
                  <c:pt idx="5">
                    <c:v>105.43765953099131</c:v>
                  </c:pt>
                  <c:pt idx="6">
                    <c:v>0.31852470857142856</c:v>
                  </c:pt>
                  <c:pt idx="7">
                    <c:v>0</c:v>
                  </c:pt>
                  <c:pt idx="8">
                    <c:v>81.940481279999972</c:v>
                  </c:pt>
                  <c:pt idx="9">
                    <c:v>0</c:v>
                  </c:pt>
                </c:numCache>
              </c:numRef>
            </c:plus>
            <c:minus>
              <c:numRef>
                <c:f>Summary!$B$54:$B$63</c:f>
                <c:numCache>
                  <c:formatCode>General</c:formatCode>
                  <c:ptCount val="10"/>
                  <c:pt idx="0">
                    <c:v>31.101393056556528</c:v>
                  </c:pt>
                  <c:pt idx="1">
                    <c:v>0</c:v>
                  </c:pt>
                  <c:pt idx="2">
                    <c:v>0</c:v>
                  </c:pt>
                  <c:pt idx="3">
                    <c:v>0</c:v>
                  </c:pt>
                  <c:pt idx="4">
                    <c:v>0</c:v>
                  </c:pt>
                  <c:pt idx="5">
                    <c:v>105.43765953099131</c:v>
                  </c:pt>
                  <c:pt idx="6">
                    <c:v>0.31852470857142856</c:v>
                  </c:pt>
                  <c:pt idx="7">
                    <c:v>0</c:v>
                  </c:pt>
                  <c:pt idx="8">
                    <c:v>81.940481279999972</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Summary!$B$46:$K$46</c:f>
              <c:numCache>
                <c:formatCode>0.00</c:formatCode>
                <c:ptCount val="10"/>
                <c:pt idx="0">
                  <c:v>31.101393056556528</c:v>
                </c:pt>
                <c:pt idx="1">
                  <c:v>0</c:v>
                </c:pt>
                <c:pt idx="2">
                  <c:v>0</c:v>
                </c:pt>
                <c:pt idx="3">
                  <c:v>0</c:v>
                </c:pt>
                <c:pt idx="4">
                  <c:v>31.101393056556528</c:v>
                </c:pt>
                <c:pt idx="5">
                  <c:v>105.43765953099131</c:v>
                </c:pt>
                <c:pt idx="6">
                  <c:v>0.98211785142857144</c:v>
                </c:pt>
                <c:pt idx="7">
                  <c:v>0</c:v>
                </c:pt>
                <c:pt idx="8">
                  <c:v>600.89686272000006</c:v>
                </c:pt>
                <c:pt idx="9">
                  <c:v>143.8243836389764</c:v>
                </c:pt>
              </c:numCache>
            </c:numRef>
          </c:val>
          <c:extLst>
            <c:ext xmlns:c16="http://schemas.microsoft.com/office/drawing/2014/chart" uri="{C3380CC4-5D6E-409C-BE32-E72D297353CC}">
              <c16:uniqueId val="{00000000-096E-4FB9-A73A-0E5C140A7BB5}"/>
            </c:ext>
          </c:extLst>
        </c:ser>
        <c:ser>
          <c:idx val="1"/>
          <c:order val="1"/>
          <c:tx>
            <c:strRef>
              <c:f>Summary!$A$47</c:f>
              <c:strCache>
                <c:ptCount val="1"/>
                <c:pt idx="0">
                  <c:v>Confined to room</c:v>
                </c:pt>
              </c:strCache>
            </c:strRef>
          </c:tx>
          <c:spPr>
            <a:solidFill>
              <a:schemeClr val="accent2"/>
            </a:solidFill>
            <a:ln>
              <a:noFill/>
            </a:ln>
            <a:effectLst/>
          </c:spPr>
          <c:invertIfNegative val="0"/>
          <c:errBars>
            <c:errBarType val="both"/>
            <c:errValType val="cust"/>
            <c:noEndCap val="0"/>
            <c:plus>
              <c:numRef>
                <c:f>Summary!$C$54:$C$63</c:f>
                <c:numCache>
                  <c:formatCode>General</c:formatCode>
                  <c:ptCount val="10"/>
                  <c:pt idx="0">
                    <c:v>133.90422139158261</c:v>
                  </c:pt>
                  <c:pt idx="1">
                    <c:v>2.2429448228571447</c:v>
                  </c:pt>
                  <c:pt idx="2">
                    <c:v>0</c:v>
                  </c:pt>
                  <c:pt idx="3">
                    <c:v>0</c:v>
                  </c:pt>
                  <c:pt idx="4">
                    <c:v>0</c:v>
                  </c:pt>
                  <c:pt idx="5">
                    <c:v>347.17159177043487</c:v>
                  </c:pt>
                  <c:pt idx="6">
                    <c:v>36.444004531199994</c:v>
                  </c:pt>
                  <c:pt idx="7">
                    <c:v>102.19334400000002</c:v>
                  </c:pt>
                  <c:pt idx="8">
                    <c:v>0</c:v>
                  </c:pt>
                  <c:pt idx="9">
                    <c:v>0</c:v>
                  </c:pt>
                </c:numCache>
              </c:numRef>
            </c:plus>
            <c:minus>
              <c:numRef>
                <c:f>Summary!$C$54:$C$63</c:f>
                <c:numCache>
                  <c:formatCode>General</c:formatCode>
                  <c:ptCount val="10"/>
                  <c:pt idx="0">
                    <c:v>133.90422139158261</c:v>
                  </c:pt>
                  <c:pt idx="1">
                    <c:v>2.2429448228571447</c:v>
                  </c:pt>
                  <c:pt idx="2">
                    <c:v>0</c:v>
                  </c:pt>
                  <c:pt idx="3">
                    <c:v>0</c:v>
                  </c:pt>
                  <c:pt idx="4">
                    <c:v>0</c:v>
                  </c:pt>
                  <c:pt idx="5">
                    <c:v>347.17159177043487</c:v>
                  </c:pt>
                  <c:pt idx="6">
                    <c:v>36.444004531199994</c:v>
                  </c:pt>
                  <c:pt idx="7">
                    <c:v>102.19334400000002</c:v>
                  </c:pt>
                  <c:pt idx="8">
                    <c:v>0</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Summary!$B$47:$K$47</c:f>
              <c:numCache>
                <c:formatCode>0.00</c:formatCode>
                <c:ptCount val="10"/>
                <c:pt idx="0">
                  <c:v>133.90422139158261</c:v>
                </c:pt>
                <c:pt idx="1">
                  <c:v>6.9157465371428577</c:v>
                </c:pt>
                <c:pt idx="2">
                  <c:v>0</c:v>
                </c:pt>
                <c:pt idx="3">
                  <c:v>0</c:v>
                </c:pt>
                <c:pt idx="4">
                  <c:v>130.37676375673703</c:v>
                </c:pt>
                <c:pt idx="5">
                  <c:v>347.17159177043487</c:v>
                </c:pt>
                <c:pt idx="6">
                  <c:v>112.36901397120002</c:v>
                </c:pt>
                <c:pt idx="7">
                  <c:v>527.99894400000005</c:v>
                </c:pt>
                <c:pt idx="8">
                  <c:v>0</c:v>
                </c:pt>
                <c:pt idx="9">
                  <c:v>333.40280898167146</c:v>
                </c:pt>
              </c:numCache>
            </c:numRef>
          </c:val>
          <c:extLst>
            <c:ext xmlns:c16="http://schemas.microsoft.com/office/drawing/2014/chart" uri="{C3380CC4-5D6E-409C-BE32-E72D297353CC}">
              <c16:uniqueId val="{00000001-096E-4FB9-A73A-0E5C140A7BB5}"/>
            </c:ext>
          </c:extLst>
        </c:ser>
        <c:ser>
          <c:idx val="2"/>
          <c:order val="2"/>
          <c:tx>
            <c:strRef>
              <c:f>Summary!$A$48</c:f>
              <c:strCache>
                <c:ptCount val="1"/>
                <c:pt idx="0">
                  <c:v>Confined to floor</c:v>
                </c:pt>
              </c:strCache>
            </c:strRef>
          </c:tx>
          <c:spPr>
            <a:solidFill>
              <a:schemeClr val="accent3"/>
            </a:solidFill>
            <a:ln>
              <a:noFill/>
            </a:ln>
            <a:effectLst/>
          </c:spPr>
          <c:invertIfNegative val="0"/>
          <c:errBars>
            <c:errBarType val="both"/>
            <c:errValType val="cust"/>
            <c:noEndCap val="0"/>
            <c:plus>
              <c:numRef>
                <c:f>Summary!$D$54:$D$63</c:f>
                <c:numCache>
                  <c:formatCode>General</c:formatCode>
                  <c:ptCount val="10"/>
                  <c:pt idx="0">
                    <c:v>13.531267187060871</c:v>
                  </c:pt>
                  <c:pt idx="1">
                    <c:v>0</c:v>
                  </c:pt>
                  <c:pt idx="2">
                    <c:v>0</c:v>
                  </c:pt>
                  <c:pt idx="3">
                    <c:v>0</c:v>
                  </c:pt>
                  <c:pt idx="4">
                    <c:v>0</c:v>
                  </c:pt>
                  <c:pt idx="5">
                    <c:v>8.9386861899130459</c:v>
                  </c:pt>
                  <c:pt idx="6">
                    <c:v>25.884910442057119</c:v>
                  </c:pt>
                  <c:pt idx="7">
                    <c:v>37.161215999999996</c:v>
                  </c:pt>
                  <c:pt idx="8">
                    <c:v>0</c:v>
                  </c:pt>
                  <c:pt idx="9">
                    <c:v>0</c:v>
                  </c:pt>
                </c:numCache>
              </c:numRef>
            </c:plus>
            <c:minus>
              <c:numRef>
                <c:f>Summary!$D$54:$D$63</c:f>
                <c:numCache>
                  <c:formatCode>General</c:formatCode>
                  <c:ptCount val="10"/>
                  <c:pt idx="0">
                    <c:v>13.531267187060871</c:v>
                  </c:pt>
                  <c:pt idx="1">
                    <c:v>0</c:v>
                  </c:pt>
                  <c:pt idx="2">
                    <c:v>0</c:v>
                  </c:pt>
                  <c:pt idx="3">
                    <c:v>0</c:v>
                  </c:pt>
                  <c:pt idx="4">
                    <c:v>0</c:v>
                  </c:pt>
                  <c:pt idx="5">
                    <c:v>8.9386861899130459</c:v>
                  </c:pt>
                  <c:pt idx="6">
                    <c:v>25.884910442057119</c:v>
                  </c:pt>
                  <c:pt idx="7">
                    <c:v>37.161215999999996</c:v>
                  </c:pt>
                  <c:pt idx="8">
                    <c:v>0</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Summary!$B$48:$K$48</c:f>
              <c:numCache>
                <c:formatCode>0.00</c:formatCode>
                <c:ptCount val="10"/>
                <c:pt idx="0">
                  <c:v>13.531267187060871</c:v>
                </c:pt>
                <c:pt idx="1">
                  <c:v>0</c:v>
                </c:pt>
                <c:pt idx="2">
                  <c:v>0</c:v>
                </c:pt>
                <c:pt idx="3">
                  <c:v>0</c:v>
                </c:pt>
                <c:pt idx="4">
                  <c:v>13.531267187060871</c:v>
                </c:pt>
                <c:pt idx="5">
                  <c:v>8.9386861899130459</c:v>
                </c:pt>
                <c:pt idx="6">
                  <c:v>79.811807196342869</c:v>
                </c:pt>
                <c:pt idx="7">
                  <c:v>191.99961600000003</c:v>
                </c:pt>
                <c:pt idx="8">
                  <c:v>0</c:v>
                </c:pt>
                <c:pt idx="9">
                  <c:v>58.398722793585108</c:v>
                </c:pt>
              </c:numCache>
            </c:numRef>
          </c:val>
          <c:extLst>
            <c:ext xmlns:c16="http://schemas.microsoft.com/office/drawing/2014/chart" uri="{C3380CC4-5D6E-409C-BE32-E72D297353CC}">
              <c16:uniqueId val="{00000002-096E-4FB9-A73A-0E5C140A7BB5}"/>
            </c:ext>
          </c:extLst>
        </c:ser>
        <c:ser>
          <c:idx val="3"/>
          <c:order val="3"/>
          <c:tx>
            <c:strRef>
              <c:f>Summary!$A$49</c:f>
              <c:strCache>
                <c:ptCount val="1"/>
                <c:pt idx="0">
                  <c:v>Confined to building</c:v>
                </c:pt>
              </c:strCache>
            </c:strRef>
          </c:tx>
          <c:spPr>
            <a:solidFill>
              <a:schemeClr val="accent4"/>
            </a:solidFill>
            <a:ln>
              <a:noFill/>
            </a:ln>
            <a:effectLst/>
          </c:spPr>
          <c:invertIfNegative val="0"/>
          <c:errBars>
            <c:errBarType val="both"/>
            <c:errValType val="cust"/>
            <c:noEndCap val="0"/>
            <c:plus>
              <c:numRef>
                <c:f>Summary!$E$54:$E$63</c:f>
                <c:numCache>
                  <c:formatCode>General</c:formatCode>
                  <c:ptCount val="10"/>
                  <c:pt idx="0">
                    <c:v>6.452722017391304</c:v>
                  </c:pt>
                  <c:pt idx="1">
                    <c:v>0.21234980571428586</c:v>
                  </c:pt>
                  <c:pt idx="2">
                    <c:v>0</c:v>
                  </c:pt>
                  <c:pt idx="3">
                    <c:v>20.240475648000029</c:v>
                  </c:pt>
                  <c:pt idx="4">
                    <c:v>0</c:v>
                  </c:pt>
                  <c:pt idx="5">
                    <c:v>50.652292524104347</c:v>
                  </c:pt>
                  <c:pt idx="6">
                    <c:v>20.32983952457144</c:v>
                  </c:pt>
                  <c:pt idx="7">
                    <c:v>414.34755840000071</c:v>
                  </c:pt>
                  <c:pt idx="8">
                    <c:v>362.77150671359959</c:v>
                  </c:pt>
                  <c:pt idx="9">
                    <c:v>0</c:v>
                  </c:pt>
                </c:numCache>
              </c:numRef>
            </c:plus>
            <c:minus>
              <c:numRef>
                <c:f>Summary!$E$54:$E$63</c:f>
                <c:numCache>
                  <c:formatCode>General</c:formatCode>
                  <c:ptCount val="10"/>
                  <c:pt idx="0">
                    <c:v>6.452722017391304</c:v>
                  </c:pt>
                  <c:pt idx="1">
                    <c:v>0.21234980571428586</c:v>
                  </c:pt>
                  <c:pt idx="2">
                    <c:v>0</c:v>
                  </c:pt>
                  <c:pt idx="3">
                    <c:v>20.240475648000029</c:v>
                  </c:pt>
                  <c:pt idx="4">
                    <c:v>0</c:v>
                  </c:pt>
                  <c:pt idx="5">
                    <c:v>50.652292524104347</c:v>
                  </c:pt>
                  <c:pt idx="6">
                    <c:v>20.32983952457144</c:v>
                  </c:pt>
                  <c:pt idx="7">
                    <c:v>414.34755840000071</c:v>
                  </c:pt>
                  <c:pt idx="8">
                    <c:v>362.77150671359959</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Summary!$B$49:$K$49</c:f>
              <c:numCache>
                <c:formatCode>0.00</c:formatCode>
                <c:ptCount val="10"/>
                <c:pt idx="0">
                  <c:v>6.452722017391304</c:v>
                </c:pt>
                <c:pt idx="1">
                  <c:v>0.65474523428571429</c:v>
                </c:pt>
                <c:pt idx="2">
                  <c:v>0</c:v>
                </c:pt>
                <c:pt idx="3">
                  <c:v>148.43015475199999</c:v>
                </c:pt>
                <c:pt idx="4">
                  <c:v>52.8122034650766</c:v>
                </c:pt>
                <c:pt idx="5">
                  <c:v>50.652292524104347</c:v>
                </c:pt>
                <c:pt idx="6">
                  <c:v>62.683671867428572</c:v>
                </c:pt>
                <c:pt idx="7">
                  <c:v>2140.7957184000002</c:v>
                </c:pt>
                <c:pt idx="8">
                  <c:v>2660.3243825664003</c:v>
                </c:pt>
                <c:pt idx="9">
                  <c:v>875.86522141408386</c:v>
                </c:pt>
              </c:numCache>
            </c:numRef>
          </c:val>
          <c:extLst>
            <c:ext xmlns:c16="http://schemas.microsoft.com/office/drawing/2014/chart" uri="{C3380CC4-5D6E-409C-BE32-E72D297353CC}">
              <c16:uniqueId val="{00000003-096E-4FB9-A73A-0E5C140A7BB5}"/>
            </c:ext>
          </c:extLst>
        </c:ser>
        <c:ser>
          <c:idx val="4"/>
          <c:order val="4"/>
          <c:tx>
            <c:strRef>
              <c:f>Summary!$A$50</c:f>
              <c:strCache>
                <c:ptCount val="1"/>
                <c:pt idx="0">
                  <c:v>Beyond building of origin</c:v>
                </c:pt>
              </c:strCache>
            </c:strRef>
          </c:tx>
          <c:spPr>
            <a:solidFill>
              <a:schemeClr val="accent5"/>
            </a:solidFill>
            <a:ln>
              <a:noFill/>
            </a:ln>
            <a:effectLst/>
          </c:spPr>
          <c:invertIfNegative val="0"/>
          <c:errBars>
            <c:errBarType val="both"/>
            <c:errValType val="cust"/>
            <c:noEndCap val="0"/>
            <c:plus>
              <c:numRef>
                <c:f>Summary!$F$54:$F$63</c:f>
                <c:numCache>
                  <c:formatCode>General</c:formatCode>
                  <c:ptCount val="10"/>
                  <c:pt idx="0">
                    <c:v>0</c:v>
                  </c:pt>
                  <c:pt idx="1">
                    <c:v>0</c:v>
                  </c:pt>
                  <c:pt idx="2">
                    <c:v>0</c:v>
                  </c:pt>
                  <c:pt idx="3">
                    <c:v>0</c:v>
                  </c:pt>
                  <c:pt idx="4">
                    <c:v>0</c:v>
                  </c:pt>
                  <c:pt idx="5">
                    <c:v>0</c:v>
                  </c:pt>
                  <c:pt idx="6">
                    <c:v>0</c:v>
                  </c:pt>
                  <c:pt idx="7">
                    <c:v>0</c:v>
                  </c:pt>
                  <c:pt idx="8">
                    <c:v>20.535287961600005</c:v>
                  </c:pt>
                  <c:pt idx="9">
                    <c:v>0</c:v>
                  </c:pt>
                </c:numCache>
              </c:numRef>
            </c:plus>
            <c:minus>
              <c:numRef>
                <c:f>Summary!$F$54:$F$63</c:f>
                <c:numCache>
                  <c:formatCode>General</c:formatCode>
                  <c:ptCount val="10"/>
                  <c:pt idx="0">
                    <c:v>0</c:v>
                  </c:pt>
                  <c:pt idx="1">
                    <c:v>0</c:v>
                  </c:pt>
                  <c:pt idx="2">
                    <c:v>0</c:v>
                  </c:pt>
                  <c:pt idx="3">
                    <c:v>0</c:v>
                  </c:pt>
                  <c:pt idx="4">
                    <c:v>0</c:v>
                  </c:pt>
                  <c:pt idx="5">
                    <c:v>0</c:v>
                  </c:pt>
                  <c:pt idx="6">
                    <c:v>0</c:v>
                  </c:pt>
                  <c:pt idx="7">
                    <c:v>0</c:v>
                  </c:pt>
                  <c:pt idx="8">
                    <c:v>20.535287961600005</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Summary!$B$50:$K$50</c:f>
              <c:numCache>
                <c:formatCode>0.00</c:formatCode>
                <c:ptCount val="10"/>
                <c:pt idx="0">
                  <c:v>0</c:v>
                </c:pt>
                <c:pt idx="1">
                  <c:v>0</c:v>
                </c:pt>
                <c:pt idx="2">
                  <c:v>0</c:v>
                </c:pt>
                <c:pt idx="3">
                  <c:v>0</c:v>
                </c:pt>
                <c:pt idx="4">
                  <c:v>0</c:v>
                </c:pt>
                <c:pt idx="5">
                  <c:v>0</c:v>
                </c:pt>
                <c:pt idx="6">
                  <c:v>0</c:v>
                </c:pt>
                <c:pt idx="7">
                  <c:v>0</c:v>
                </c:pt>
                <c:pt idx="8">
                  <c:v>150.59211171839999</c:v>
                </c:pt>
                <c:pt idx="9">
                  <c:v>150.59211171839999</c:v>
                </c:pt>
              </c:numCache>
            </c:numRef>
          </c:val>
          <c:extLst>
            <c:ext xmlns:c16="http://schemas.microsoft.com/office/drawing/2014/chart" uri="{C3380CC4-5D6E-409C-BE32-E72D297353CC}">
              <c16:uniqueId val="{00000004-096E-4FB9-A73A-0E5C140A7BB5}"/>
            </c:ext>
          </c:extLst>
        </c:ser>
        <c:dLbls>
          <c:showLegendKey val="0"/>
          <c:showVal val="0"/>
          <c:showCatName val="0"/>
          <c:showSerName val="0"/>
          <c:showPercent val="0"/>
          <c:showBubbleSize val="0"/>
        </c:dLbls>
        <c:gapWidth val="219"/>
        <c:overlap val="-27"/>
        <c:axId val="563984448"/>
        <c:axId val="563986088"/>
      </c:barChart>
      <c:catAx>
        <c:axId val="563984448"/>
        <c:scaling>
          <c:orientation val="minMax"/>
        </c:scaling>
        <c:delete val="0"/>
        <c:axPos val="b"/>
        <c:numFmt formatCode="General" sourceLinked="1"/>
        <c:majorTickMark val="out"/>
        <c:minorTickMark val="none"/>
        <c:tickLblPos val="nextTo"/>
        <c:spPr>
          <a:noFill/>
          <a:ln w="9525" cap="flat" cmpd="sng" algn="ctr">
            <a:solidFill>
              <a:schemeClr val="bg2">
                <a:lumMod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986088"/>
        <c:crosses val="autoZero"/>
        <c:auto val="1"/>
        <c:lblAlgn val="ctr"/>
        <c:lblOffset val="100"/>
        <c:tickMarkSkip val="1"/>
        <c:noMultiLvlLbl val="0"/>
      </c:catAx>
      <c:valAx>
        <c:axId val="563986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Area</a:t>
                </a:r>
                <a:r>
                  <a:rPr lang="en-GB" baseline="0"/>
                  <a:t> damage [</a:t>
                </a:r>
                <a:r>
                  <a:rPr lang="en-GB" sz="800" b="0" i="0" u="none" strike="noStrike" baseline="0">
                    <a:effectLst/>
                  </a:rPr>
                  <a:t>m</a:t>
                </a:r>
                <a:r>
                  <a:rPr lang="en-GB" sz="800" b="0" i="0" u="none" strike="noStrike" baseline="30000">
                    <a:effectLst/>
                  </a:rPr>
                  <a:t>2</a:t>
                </a:r>
                <a:r>
                  <a:rPr lang="en-GB" baseline="0"/>
                  <a:t>]</a:t>
                </a:r>
                <a:endParaRPr lang="en-GB"/>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98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960261546254087E-2"/>
          <c:y val="6.4686856806821527E-2"/>
          <c:w val="0.89959724332704027"/>
          <c:h val="0.61483259902715037"/>
        </c:manualLayout>
      </c:layout>
      <c:barChart>
        <c:barDir val="col"/>
        <c:grouping val="clustered"/>
        <c:varyColors val="0"/>
        <c:ser>
          <c:idx val="0"/>
          <c:order val="0"/>
          <c:tx>
            <c:strRef>
              <c:f>Summary!$A$46</c:f>
              <c:strCache>
                <c:ptCount val="1"/>
                <c:pt idx="0">
                  <c:v>Confined to object</c:v>
                </c:pt>
              </c:strCache>
            </c:strRef>
          </c:tx>
          <c:spPr>
            <a:solidFill>
              <a:schemeClr val="accent1"/>
            </a:solidFill>
            <a:ln>
              <a:noFill/>
            </a:ln>
            <a:effectLst/>
          </c:spPr>
          <c:invertIfNegative val="0"/>
          <c:errBars>
            <c:errBarType val="both"/>
            <c:errValType val="cust"/>
            <c:noEndCap val="0"/>
            <c:plus>
              <c:numRef>
                <c:f>Summary!$B$54:$B$63</c:f>
                <c:numCache>
                  <c:formatCode>General</c:formatCode>
                  <c:ptCount val="10"/>
                  <c:pt idx="0">
                    <c:v>29.864295467781027</c:v>
                  </c:pt>
                  <c:pt idx="1">
                    <c:v>2.2171467074157292</c:v>
                  </c:pt>
                  <c:pt idx="2">
                    <c:v>0</c:v>
                  </c:pt>
                  <c:pt idx="3">
                    <c:v>0</c:v>
                  </c:pt>
                  <c:pt idx="4">
                    <c:v>0</c:v>
                  </c:pt>
                  <c:pt idx="5">
                    <c:v>12.529326109859038</c:v>
                  </c:pt>
                  <c:pt idx="6">
                    <c:v>3.4797929679101127</c:v>
                  </c:pt>
                  <c:pt idx="7">
                    <c:v>0.1274098834285714</c:v>
                  </c:pt>
                  <c:pt idx="8">
                    <c:v>0.17285079368807321</c:v>
                  </c:pt>
                  <c:pt idx="9">
                    <c:v>0</c:v>
                  </c:pt>
                </c:numCache>
              </c:numRef>
            </c:plus>
            <c:minus>
              <c:numRef>
                <c:f>Summary!$B$54:$B$63</c:f>
                <c:numCache>
                  <c:formatCode>General</c:formatCode>
                  <c:ptCount val="10"/>
                  <c:pt idx="0">
                    <c:v>29.864295467781027</c:v>
                  </c:pt>
                  <c:pt idx="1">
                    <c:v>2.2171467074157292</c:v>
                  </c:pt>
                  <c:pt idx="2">
                    <c:v>0</c:v>
                  </c:pt>
                  <c:pt idx="3">
                    <c:v>0</c:v>
                  </c:pt>
                  <c:pt idx="4">
                    <c:v>0</c:v>
                  </c:pt>
                  <c:pt idx="5">
                    <c:v>12.529326109859038</c:v>
                  </c:pt>
                  <c:pt idx="6">
                    <c:v>3.4797929679101127</c:v>
                  </c:pt>
                  <c:pt idx="7">
                    <c:v>0.1274098834285714</c:v>
                  </c:pt>
                  <c:pt idx="8">
                    <c:v>0.17285079368807321</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Summary!$B$46:$K$46</c:f>
              <c:numCache>
                <c:formatCode>0.00</c:formatCode>
                <c:ptCount val="10"/>
                <c:pt idx="0">
                  <c:v>29.864295467781027</c:v>
                </c:pt>
                <c:pt idx="1">
                  <c:v>6.8362023478651697</c:v>
                </c:pt>
                <c:pt idx="2">
                  <c:v>0</c:v>
                </c:pt>
                <c:pt idx="3">
                  <c:v>0</c:v>
                </c:pt>
                <c:pt idx="4">
                  <c:v>29.176889703007422</c:v>
                </c:pt>
                <c:pt idx="5">
                  <c:v>12.529326109859038</c:v>
                </c:pt>
                <c:pt idx="6">
                  <c:v>10.72936165105618</c:v>
                </c:pt>
                <c:pt idx="7">
                  <c:v>0.65828439771428582</c:v>
                </c:pt>
                <c:pt idx="8">
                  <c:v>1.2675724870458716</c:v>
                </c:pt>
                <c:pt idx="9">
                  <c:v>11.591776221465302</c:v>
                </c:pt>
              </c:numCache>
            </c:numRef>
          </c:val>
          <c:extLst>
            <c:ext xmlns:c16="http://schemas.microsoft.com/office/drawing/2014/chart" uri="{C3380CC4-5D6E-409C-BE32-E72D297353CC}">
              <c16:uniqueId val="{00000000-04D8-4189-91E1-A1DEFED4F2EA}"/>
            </c:ext>
          </c:extLst>
        </c:ser>
        <c:ser>
          <c:idx val="1"/>
          <c:order val="1"/>
          <c:tx>
            <c:strRef>
              <c:f>Summary!$A$47</c:f>
              <c:strCache>
                <c:ptCount val="1"/>
                <c:pt idx="0">
                  <c:v>Confined to room</c:v>
                </c:pt>
              </c:strCache>
            </c:strRef>
          </c:tx>
          <c:spPr>
            <a:solidFill>
              <a:schemeClr val="accent2"/>
            </a:solidFill>
            <a:ln>
              <a:noFill/>
            </a:ln>
            <a:effectLst/>
          </c:spPr>
          <c:invertIfNegative val="0"/>
          <c:errBars>
            <c:errBarType val="both"/>
            <c:errValType val="cust"/>
            <c:noEndCap val="0"/>
            <c:plus>
              <c:numRef>
                <c:f>Summary!$C$54:$C$63</c:f>
                <c:numCache>
                  <c:formatCode>General</c:formatCode>
                  <c:ptCount val="10"/>
                  <c:pt idx="0">
                    <c:v>25.383729762186757</c:v>
                  </c:pt>
                  <c:pt idx="1">
                    <c:v>3.9269801851685386</c:v>
                  </c:pt>
                  <c:pt idx="2">
                    <c:v>25.99161621942855</c:v>
                  </c:pt>
                  <c:pt idx="3">
                    <c:v>0.25569644036697259</c:v>
                  </c:pt>
                  <c:pt idx="4">
                    <c:v>0</c:v>
                  </c:pt>
                  <c:pt idx="5">
                    <c:v>12.31088596736458</c:v>
                  </c:pt>
                  <c:pt idx="6">
                    <c:v>12.885380245860659</c:v>
                  </c:pt>
                  <c:pt idx="7">
                    <c:v>8.8317345945599897</c:v>
                  </c:pt>
                  <c:pt idx="8">
                    <c:v>1.1250643376146785E-2</c:v>
                  </c:pt>
                  <c:pt idx="9">
                    <c:v>0</c:v>
                  </c:pt>
                </c:numCache>
              </c:numRef>
            </c:plus>
            <c:minus>
              <c:numRef>
                <c:f>Summary!$C$54:$C$63</c:f>
                <c:numCache>
                  <c:formatCode>General</c:formatCode>
                  <c:ptCount val="10"/>
                  <c:pt idx="0">
                    <c:v>25.383729762186757</c:v>
                  </c:pt>
                  <c:pt idx="1">
                    <c:v>3.9269801851685386</c:v>
                  </c:pt>
                  <c:pt idx="2">
                    <c:v>25.99161621942855</c:v>
                  </c:pt>
                  <c:pt idx="3">
                    <c:v>0.25569644036697259</c:v>
                  </c:pt>
                  <c:pt idx="4">
                    <c:v>0</c:v>
                  </c:pt>
                  <c:pt idx="5">
                    <c:v>12.31088596736458</c:v>
                  </c:pt>
                  <c:pt idx="6">
                    <c:v>12.885380245860659</c:v>
                  </c:pt>
                  <c:pt idx="7">
                    <c:v>8.8317345945599897</c:v>
                  </c:pt>
                  <c:pt idx="8">
                    <c:v>1.1250643376146785E-2</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Summary!$B$47:$K$47</c:f>
              <c:numCache>
                <c:formatCode>0.00</c:formatCode>
                <c:ptCount val="10"/>
                <c:pt idx="0">
                  <c:v>25.383729762186757</c:v>
                </c:pt>
                <c:pt idx="1">
                  <c:v>12.108188904269664</c:v>
                </c:pt>
                <c:pt idx="2">
                  <c:v>134.29001713371431</c:v>
                </c:pt>
                <c:pt idx="3">
                  <c:v>1.8751072293577984</c:v>
                </c:pt>
                <c:pt idx="4">
                  <c:v>25.672082453320961</c:v>
                </c:pt>
                <c:pt idx="5">
                  <c:v>12.31088596736458</c:v>
                </c:pt>
                <c:pt idx="6">
                  <c:v>39.729922424737083</c:v>
                </c:pt>
                <c:pt idx="7">
                  <c:v>45.630628738560013</c:v>
                </c:pt>
                <c:pt idx="8">
                  <c:v>8.2504718091743132E-2</c:v>
                </c:pt>
                <c:pt idx="9">
                  <c:v>18.324036708894969</c:v>
                </c:pt>
              </c:numCache>
            </c:numRef>
          </c:val>
          <c:extLst>
            <c:ext xmlns:c16="http://schemas.microsoft.com/office/drawing/2014/chart" uri="{C3380CC4-5D6E-409C-BE32-E72D297353CC}">
              <c16:uniqueId val="{00000001-04D8-4189-91E1-A1DEFED4F2EA}"/>
            </c:ext>
          </c:extLst>
        </c:ser>
        <c:ser>
          <c:idx val="2"/>
          <c:order val="2"/>
          <c:tx>
            <c:strRef>
              <c:f>Summary!$A$48</c:f>
              <c:strCache>
                <c:ptCount val="1"/>
                <c:pt idx="0">
                  <c:v>Confined to floor</c:v>
                </c:pt>
              </c:strCache>
            </c:strRef>
          </c:tx>
          <c:spPr>
            <a:solidFill>
              <a:schemeClr val="accent3"/>
            </a:solidFill>
            <a:ln>
              <a:noFill/>
            </a:ln>
            <a:effectLst/>
          </c:spPr>
          <c:invertIfNegative val="0"/>
          <c:errBars>
            <c:errBarType val="both"/>
            <c:errValType val="cust"/>
            <c:noEndCap val="0"/>
            <c:plus>
              <c:numRef>
                <c:f>Summary!$D$54:$D$63</c:f>
                <c:numCache>
                  <c:formatCode>General</c:formatCode>
                  <c:ptCount val="10"/>
                  <c:pt idx="0">
                    <c:v>1.6863746525194991</c:v>
                  </c:pt>
                  <c:pt idx="1">
                    <c:v>0</c:v>
                  </c:pt>
                  <c:pt idx="2">
                    <c:v>0.6370494171428569</c:v>
                  </c:pt>
                  <c:pt idx="3">
                    <c:v>0</c:v>
                  </c:pt>
                  <c:pt idx="4">
                    <c:v>0</c:v>
                  </c:pt>
                  <c:pt idx="5">
                    <c:v>1.1804303473116282</c:v>
                  </c:pt>
                  <c:pt idx="6">
                    <c:v>2.6981548066516865</c:v>
                  </c:pt>
                  <c:pt idx="7">
                    <c:v>3.3481724741485728</c:v>
                  </c:pt>
                  <c:pt idx="8">
                    <c:v>0.67759556697247714</c:v>
                  </c:pt>
                  <c:pt idx="9">
                    <c:v>0</c:v>
                  </c:pt>
                </c:numCache>
              </c:numRef>
            </c:plus>
            <c:minus>
              <c:numRef>
                <c:f>Summary!$D$54:$D$63</c:f>
                <c:numCache>
                  <c:formatCode>General</c:formatCode>
                  <c:ptCount val="10"/>
                  <c:pt idx="0">
                    <c:v>1.6863746525194991</c:v>
                  </c:pt>
                  <c:pt idx="1">
                    <c:v>0</c:v>
                  </c:pt>
                  <c:pt idx="2">
                    <c:v>0.6370494171428569</c:v>
                  </c:pt>
                  <c:pt idx="3">
                    <c:v>0</c:v>
                  </c:pt>
                  <c:pt idx="4">
                    <c:v>0</c:v>
                  </c:pt>
                  <c:pt idx="5">
                    <c:v>1.1804303473116282</c:v>
                  </c:pt>
                  <c:pt idx="6">
                    <c:v>2.6981548066516865</c:v>
                  </c:pt>
                  <c:pt idx="7">
                    <c:v>3.3481724741485728</c:v>
                  </c:pt>
                  <c:pt idx="8">
                    <c:v>0.67759556697247714</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Summary!$B$48:$K$48</c:f>
              <c:numCache>
                <c:formatCode>0.00</c:formatCode>
                <c:ptCount val="10"/>
                <c:pt idx="0">
                  <c:v>1.6863746525194991</c:v>
                </c:pt>
                <c:pt idx="1">
                  <c:v>0</c:v>
                </c:pt>
                <c:pt idx="2">
                  <c:v>3.2914219885714284</c:v>
                </c:pt>
                <c:pt idx="3">
                  <c:v>0</c:v>
                </c:pt>
                <c:pt idx="4">
                  <c:v>1.8322880467060381</c:v>
                </c:pt>
                <c:pt idx="5">
                  <c:v>1.1804303473116282</c:v>
                </c:pt>
                <c:pt idx="6">
                  <c:v>8.3193106538426971</c:v>
                </c:pt>
                <c:pt idx="7">
                  <c:v>17.298891116434287</c:v>
                </c:pt>
                <c:pt idx="8">
                  <c:v>4.9690341577981654</c:v>
                </c:pt>
                <c:pt idx="9">
                  <c:v>5.8682625199137046</c:v>
                </c:pt>
              </c:numCache>
            </c:numRef>
          </c:val>
          <c:extLst>
            <c:ext xmlns:c16="http://schemas.microsoft.com/office/drawing/2014/chart" uri="{C3380CC4-5D6E-409C-BE32-E72D297353CC}">
              <c16:uniqueId val="{00000002-04D8-4189-91E1-A1DEFED4F2EA}"/>
            </c:ext>
          </c:extLst>
        </c:ser>
        <c:ser>
          <c:idx val="3"/>
          <c:order val="3"/>
          <c:tx>
            <c:strRef>
              <c:f>Summary!$A$49</c:f>
              <c:strCache>
                <c:ptCount val="1"/>
                <c:pt idx="0">
                  <c:v>Confined to building</c:v>
                </c:pt>
              </c:strCache>
            </c:strRef>
          </c:tx>
          <c:spPr>
            <a:solidFill>
              <a:schemeClr val="accent4"/>
            </a:solidFill>
            <a:ln>
              <a:noFill/>
            </a:ln>
            <a:effectLst/>
          </c:spPr>
          <c:invertIfNegative val="0"/>
          <c:errBars>
            <c:errBarType val="both"/>
            <c:errValType val="cust"/>
            <c:noEndCap val="0"/>
            <c:plus>
              <c:numRef>
                <c:f>Summary!$E$54:$E$63</c:f>
                <c:numCache>
                  <c:formatCode>General</c:formatCode>
                  <c:ptCount val="10"/>
                  <c:pt idx="0">
                    <c:v>5.5741824000000015</c:v>
                  </c:pt>
                  <c:pt idx="1">
                    <c:v>14.916261577348315</c:v>
                  </c:pt>
                  <c:pt idx="2">
                    <c:v>26.835388172434278</c:v>
                  </c:pt>
                  <c:pt idx="3">
                    <c:v>2.5988986198899156</c:v>
                  </c:pt>
                  <c:pt idx="4">
                    <c:v>0</c:v>
                  </c:pt>
                  <c:pt idx="5">
                    <c:v>5.7929017501996434</c:v>
                  </c:pt>
                  <c:pt idx="6">
                    <c:v>13.737791734220231</c:v>
                  </c:pt>
                  <c:pt idx="7">
                    <c:v>14.770149998811448</c:v>
                  </c:pt>
                  <c:pt idx="8">
                    <c:v>37.973376080322794</c:v>
                  </c:pt>
                  <c:pt idx="9">
                    <c:v>0</c:v>
                  </c:pt>
                </c:numCache>
              </c:numRef>
            </c:plus>
            <c:minus>
              <c:numRef>
                <c:f>Summary!$E$54:$E$63</c:f>
                <c:numCache>
                  <c:formatCode>General</c:formatCode>
                  <c:ptCount val="10"/>
                  <c:pt idx="0">
                    <c:v>5.5741824000000015</c:v>
                  </c:pt>
                  <c:pt idx="1">
                    <c:v>14.916261577348315</c:v>
                  </c:pt>
                  <c:pt idx="2">
                    <c:v>26.835388172434278</c:v>
                  </c:pt>
                  <c:pt idx="3">
                    <c:v>2.5988986198899156</c:v>
                  </c:pt>
                  <c:pt idx="4">
                    <c:v>0</c:v>
                  </c:pt>
                  <c:pt idx="5">
                    <c:v>5.7929017501996434</c:v>
                  </c:pt>
                  <c:pt idx="6">
                    <c:v>13.737791734220231</c:v>
                  </c:pt>
                  <c:pt idx="7">
                    <c:v>14.770149998811448</c:v>
                  </c:pt>
                  <c:pt idx="8">
                    <c:v>37.973376080322794</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Summary!$B$49:$K$49</c:f>
              <c:numCache>
                <c:formatCode>0.00</c:formatCode>
                <c:ptCount val="10"/>
                <c:pt idx="0">
                  <c:v>5.5741824000000015</c:v>
                </c:pt>
                <c:pt idx="1">
                  <c:v>45.991806530157305</c:v>
                </c:pt>
                <c:pt idx="2">
                  <c:v>138.64950555757716</c:v>
                </c:pt>
                <c:pt idx="3">
                  <c:v>19.05858987919266</c:v>
                </c:pt>
                <c:pt idx="4">
                  <c:v>29.068532716603425</c:v>
                </c:pt>
                <c:pt idx="5">
                  <c:v>5.7929017501996434</c:v>
                </c:pt>
                <c:pt idx="6">
                  <c:v>42.358191180512357</c:v>
                </c:pt>
                <c:pt idx="7">
                  <c:v>76.312441660525707</c:v>
                </c:pt>
                <c:pt idx="8">
                  <c:v>278.47142458903494</c:v>
                </c:pt>
                <c:pt idx="9">
                  <c:v>115.7054577355602</c:v>
                </c:pt>
              </c:numCache>
            </c:numRef>
          </c:val>
          <c:extLst>
            <c:ext xmlns:c16="http://schemas.microsoft.com/office/drawing/2014/chart" uri="{C3380CC4-5D6E-409C-BE32-E72D297353CC}">
              <c16:uniqueId val="{00000003-04D8-4189-91E1-A1DEFED4F2EA}"/>
            </c:ext>
          </c:extLst>
        </c:ser>
        <c:ser>
          <c:idx val="4"/>
          <c:order val="4"/>
          <c:tx>
            <c:strRef>
              <c:f>Summary!$A$50</c:f>
              <c:strCache>
                <c:ptCount val="1"/>
                <c:pt idx="0">
                  <c:v>Beyond building of origin</c:v>
                </c:pt>
              </c:strCache>
            </c:strRef>
          </c:tx>
          <c:spPr>
            <a:solidFill>
              <a:schemeClr val="accent5"/>
            </a:solidFill>
            <a:ln>
              <a:noFill/>
            </a:ln>
            <a:effectLst/>
          </c:spPr>
          <c:invertIfNegative val="0"/>
          <c:errBars>
            <c:errBarType val="both"/>
            <c:errValType val="cust"/>
            <c:noEndCap val="0"/>
            <c:plus>
              <c:numRef>
                <c:f>Summary!$F$54:$F$63</c:f>
                <c:numCache>
                  <c:formatCode>General</c:formatCode>
                  <c:ptCount val="10"/>
                  <c:pt idx="0">
                    <c:v>0.12763780808586764</c:v>
                  </c:pt>
                  <c:pt idx="1">
                    <c:v>0.67641763955056211</c:v>
                  </c:pt>
                  <c:pt idx="2">
                    <c:v>0.22296729599999998</c:v>
                  </c:pt>
                  <c:pt idx="3">
                    <c:v>0</c:v>
                  </c:pt>
                  <c:pt idx="4">
                    <c:v>0</c:v>
                  </c:pt>
                  <c:pt idx="5">
                    <c:v>0.37196449353273703</c:v>
                  </c:pt>
                  <c:pt idx="6">
                    <c:v>7.0147014471910119</c:v>
                  </c:pt>
                  <c:pt idx="7">
                    <c:v>2.500418962285714</c:v>
                  </c:pt>
                  <c:pt idx="8">
                    <c:v>26.582611054855079</c:v>
                  </c:pt>
                  <c:pt idx="9">
                    <c:v>0</c:v>
                  </c:pt>
                </c:numCache>
              </c:numRef>
            </c:plus>
            <c:minus>
              <c:numRef>
                <c:f>Summary!$F$54:$F$63</c:f>
                <c:numCache>
                  <c:formatCode>General</c:formatCode>
                  <c:ptCount val="10"/>
                  <c:pt idx="0">
                    <c:v>0.12763780808586764</c:v>
                  </c:pt>
                  <c:pt idx="1">
                    <c:v>0.67641763955056211</c:v>
                  </c:pt>
                  <c:pt idx="2">
                    <c:v>0.22296729599999998</c:v>
                  </c:pt>
                  <c:pt idx="3">
                    <c:v>0</c:v>
                  </c:pt>
                  <c:pt idx="4">
                    <c:v>0</c:v>
                  </c:pt>
                  <c:pt idx="5">
                    <c:v>0.37196449353273703</c:v>
                  </c:pt>
                  <c:pt idx="6">
                    <c:v>7.0147014471910119</c:v>
                  </c:pt>
                  <c:pt idx="7">
                    <c:v>2.500418962285714</c:v>
                  </c:pt>
                  <c:pt idx="8">
                    <c:v>26.582611054855079</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Summary!$B$50:$K$50</c:f>
              <c:numCache>
                <c:formatCode>0.00</c:formatCode>
                <c:ptCount val="10"/>
                <c:pt idx="0">
                  <c:v>0.12763780808586764</c:v>
                </c:pt>
                <c:pt idx="1">
                  <c:v>2.0856210552808987</c:v>
                </c:pt>
                <c:pt idx="2">
                  <c:v>1.151997696</c:v>
                </c:pt>
                <c:pt idx="3">
                  <c:v>0</c:v>
                </c:pt>
                <c:pt idx="4">
                  <c:v>1.3627194036619161</c:v>
                </c:pt>
                <c:pt idx="5">
                  <c:v>0.37196449353273703</c:v>
                </c:pt>
                <c:pt idx="6">
                  <c:v>21.628662795505619</c:v>
                </c:pt>
                <c:pt idx="7">
                  <c:v>12.918831305142859</c:v>
                </c:pt>
                <c:pt idx="8">
                  <c:v>194.93914773560371</c:v>
                </c:pt>
                <c:pt idx="9">
                  <c:v>124.60296910932496</c:v>
                </c:pt>
              </c:numCache>
            </c:numRef>
          </c:val>
          <c:extLst>
            <c:ext xmlns:c16="http://schemas.microsoft.com/office/drawing/2014/chart" uri="{C3380CC4-5D6E-409C-BE32-E72D297353CC}">
              <c16:uniqueId val="{00000004-04D8-4189-91E1-A1DEFED4F2EA}"/>
            </c:ext>
          </c:extLst>
        </c:ser>
        <c:dLbls>
          <c:showLegendKey val="0"/>
          <c:showVal val="0"/>
          <c:showCatName val="0"/>
          <c:showSerName val="0"/>
          <c:showPercent val="0"/>
          <c:showBubbleSize val="0"/>
        </c:dLbls>
        <c:gapWidth val="219"/>
        <c:overlap val="-27"/>
        <c:axId val="563984448"/>
        <c:axId val="563986088"/>
      </c:barChart>
      <c:catAx>
        <c:axId val="563984448"/>
        <c:scaling>
          <c:orientation val="minMax"/>
        </c:scaling>
        <c:delete val="0"/>
        <c:axPos val="b"/>
        <c:numFmt formatCode="General" sourceLinked="1"/>
        <c:majorTickMark val="out"/>
        <c:minorTickMark val="none"/>
        <c:tickLblPos val="nextTo"/>
        <c:spPr>
          <a:noFill/>
          <a:ln w="9525" cap="flat" cmpd="sng" algn="ctr">
            <a:solidFill>
              <a:schemeClr val="bg2">
                <a:lumMod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986088"/>
        <c:crosses val="autoZero"/>
        <c:auto val="1"/>
        <c:lblAlgn val="ctr"/>
        <c:lblOffset val="100"/>
        <c:noMultiLvlLbl val="0"/>
      </c:catAx>
      <c:valAx>
        <c:axId val="563986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Area</a:t>
                </a:r>
                <a:r>
                  <a:rPr lang="en-GB" baseline="0"/>
                  <a:t> damage [</a:t>
                </a:r>
                <a:r>
                  <a:rPr lang="en-GB" sz="800" b="0" i="0" u="none" strike="noStrike" baseline="0">
                    <a:effectLst/>
                  </a:rPr>
                  <a:t>m</a:t>
                </a:r>
                <a:r>
                  <a:rPr lang="en-GB" sz="800" b="0" i="0" u="none" strike="noStrike" baseline="30000">
                    <a:effectLst/>
                  </a:rPr>
                  <a:t>2</a:t>
                </a:r>
                <a:r>
                  <a:rPr lang="en-GB" baseline="0"/>
                  <a:t>]</a:t>
                </a:r>
                <a:endParaRPr lang="en-GB"/>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98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80821476262837E-2"/>
          <c:y val="6.4686856806821527E-2"/>
          <c:w val="0.89374929011066595"/>
          <c:h val="0.61483259902715037"/>
        </c:manualLayout>
      </c:layout>
      <c:barChart>
        <c:barDir val="col"/>
        <c:grouping val="clustered"/>
        <c:varyColors val="0"/>
        <c:ser>
          <c:idx val="0"/>
          <c:order val="0"/>
          <c:tx>
            <c:strRef>
              <c:f>Summary!$A$46</c:f>
              <c:strCache>
                <c:ptCount val="1"/>
                <c:pt idx="0">
                  <c:v>Confined to object</c:v>
                </c:pt>
              </c:strCache>
            </c:strRef>
          </c:tx>
          <c:spPr>
            <a:solidFill>
              <a:schemeClr val="accent1"/>
            </a:solidFill>
            <a:ln>
              <a:noFill/>
            </a:ln>
            <a:effectLst/>
          </c:spPr>
          <c:invertIfNegative val="0"/>
          <c:errBars>
            <c:errBarType val="both"/>
            <c:errValType val="cust"/>
            <c:noEndCap val="0"/>
            <c:plus>
              <c:numRef>
                <c:f>Summary!$B$54:$B$63</c:f>
                <c:numCache>
                  <c:formatCode>General</c:formatCode>
                  <c:ptCount val="10"/>
                  <c:pt idx="0">
                    <c:v>203.12179402073426</c:v>
                  </c:pt>
                  <c:pt idx="1">
                    <c:v>39.019276800000014</c:v>
                  </c:pt>
                  <c:pt idx="2">
                    <c:v>48.1318532452174</c:v>
                  </c:pt>
                  <c:pt idx="3">
                    <c:v>0</c:v>
                  </c:pt>
                  <c:pt idx="4">
                    <c:v>0</c:v>
                  </c:pt>
                  <c:pt idx="5">
                    <c:v>10.928070057205481</c:v>
                  </c:pt>
                  <c:pt idx="6">
                    <c:v>1.5202315636363641</c:v>
                  </c:pt>
                  <c:pt idx="7">
                    <c:v>0</c:v>
                  </c:pt>
                  <c:pt idx="8">
                    <c:v>39.282783604363658</c:v>
                  </c:pt>
                  <c:pt idx="9">
                    <c:v>0</c:v>
                  </c:pt>
                </c:numCache>
              </c:numRef>
            </c:plus>
            <c:minus>
              <c:numRef>
                <c:f>Summary!$B$54:$B$63</c:f>
                <c:numCache>
                  <c:formatCode>General</c:formatCode>
                  <c:ptCount val="10"/>
                  <c:pt idx="0">
                    <c:v>203.12179402073426</c:v>
                  </c:pt>
                  <c:pt idx="1">
                    <c:v>39.019276800000014</c:v>
                  </c:pt>
                  <c:pt idx="2">
                    <c:v>48.1318532452174</c:v>
                  </c:pt>
                  <c:pt idx="3">
                    <c:v>0</c:v>
                  </c:pt>
                  <c:pt idx="4">
                    <c:v>0</c:v>
                  </c:pt>
                  <c:pt idx="5">
                    <c:v>10.928070057205481</c:v>
                  </c:pt>
                  <c:pt idx="6">
                    <c:v>1.5202315636363641</c:v>
                  </c:pt>
                  <c:pt idx="7">
                    <c:v>0</c:v>
                  </c:pt>
                  <c:pt idx="8">
                    <c:v>39.282783604363658</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Summary!$B$46:$K$46</c:f>
              <c:numCache>
                <c:formatCode>0.00</c:formatCode>
                <c:ptCount val="10"/>
                <c:pt idx="0">
                  <c:v>203.12179402073426</c:v>
                </c:pt>
                <c:pt idx="1">
                  <c:v>120.3094368</c:v>
                </c:pt>
                <c:pt idx="2">
                  <c:v>248.68124176695656</c:v>
                </c:pt>
                <c:pt idx="3">
                  <c:v>0</c:v>
                </c:pt>
                <c:pt idx="4">
                  <c:v>199.62390395321734</c:v>
                </c:pt>
                <c:pt idx="5">
                  <c:v>10.928070057205481</c:v>
                </c:pt>
                <c:pt idx="6">
                  <c:v>4.6873806545454553</c:v>
                </c:pt>
                <c:pt idx="7">
                  <c:v>0</c:v>
                </c:pt>
                <c:pt idx="8">
                  <c:v>288.07374643200001</c:v>
                </c:pt>
                <c:pt idx="9">
                  <c:v>58.855983800532357</c:v>
                </c:pt>
              </c:numCache>
            </c:numRef>
          </c:val>
          <c:extLst>
            <c:ext xmlns:c16="http://schemas.microsoft.com/office/drawing/2014/chart" uri="{C3380CC4-5D6E-409C-BE32-E72D297353CC}">
              <c16:uniqueId val="{00000000-5638-4756-A883-D458F581B43C}"/>
            </c:ext>
          </c:extLst>
        </c:ser>
        <c:ser>
          <c:idx val="1"/>
          <c:order val="1"/>
          <c:tx>
            <c:strRef>
              <c:f>Summary!$A$47</c:f>
              <c:strCache>
                <c:ptCount val="1"/>
                <c:pt idx="0">
                  <c:v>Confined to room</c:v>
                </c:pt>
              </c:strCache>
            </c:strRef>
          </c:tx>
          <c:spPr>
            <a:solidFill>
              <a:schemeClr val="accent2"/>
            </a:solidFill>
            <a:ln>
              <a:noFill/>
            </a:ln>
            <a:effectLst/>
          </c:spPr>
          <c:invertIfNegative val="0"/>
          <c:errBars>
            <c:errBarType val="both"/>
            <c:errValType val="cust"/>
            <c:noEndCap val="0"/>
            <c:plus>
              <c:numRef>
                <c:f>Summary!$C$54:$C$63</c:f>
                <c:numCache>
                  <c:formatCode>General</c:formatCode>
                  <c:ptCount val="10"/>
                  <c:pt idx="0">
                    <c:v>420.4131597022685</c:v>
                  </c:pt>
                  <c:pt idx="1">
                    <c:v>27.972260770909074</c:v>
                  </c:pt>
                  <c:pt idx="2">
                    <c:v>11.633076313043475</c:v>
                  </c:pt>
                  <c:pt idx="3">
                    <c:v>0</c:v>
                  </c:pt>
                  <c:pt idx="4">
                    <c:v>0</c:v>
                  </c:pt>
                  <c:pt idx="5">
                    <c:v>52.915064474564396</c:v>
                  </c:pt>
                  <c:pt idx="6">
                    <c:v>12.845956712727272</c:v>
                  </c:pt>
                  <c:pt idx="7">
                    <c:v>0.581653815652174</c:v>
                  </c:pt>
                  <c:pt idx="8">
                    <c:v>0</c:v>
                  </c:pt>
                  <c:pt idx="9">
                    <c:v>0</c:v>
                  </c:pt>
                </c:numCache>
              </c:numRef>
            </c:plus>
            <c:minus>
              <c:numRef>
                <c:f>Summary!$C$54:$C$63</c:f>
                <c:numCache>
                  <c:formatCode>General</c:formatCode>
                  <c:ptCount val="10"/>
                  <c:pt idx="0">
                    <c:v>420.4131597022685</c:v>
                  </c:pt>
                  <c:pt idx="1">
                    <c:v>27.972260770909074</c:v>
                  </c:pt>
                  <c:pt idx="2">
                    <c:v>11.633076313043475</c:v>
                  </c:pt>
                  <c:pt idx="3">
                    <c:v>0</c:v>
                  </c:pt>
                  <c:pt idx="4">
                    <c:v>0</c:v>
                  </c:pt>
                  <c:pt idx="5">
                    <c:v>52.915064474564396</c:v>
                  </c:pt>
                  <c:pt idx="6">
                    <c:v>12.845956712727272</c:v>
                  </c:pt>
                  <c:pt idx="7">
                    <c:v>0.581653815652174</c:v>
                  </c:pt>
                  <c:pt idx="8">
                    <c:v>0</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Summary!$B$47:$K$47</c:f>
              <c:numCache>
                <c:formatCode>0.00</c:formatCode>
                <c:ptCount val="10"/>
                <c:pt idx="0">
                  <c:v>420.4131597022685</c:v>
                </c:pt>
                <c:pt idx="1">
                  <c:v>86.247804043636378</c:v>
                </c:pt>
                <c:pt idx="2">
                  <c:v>60.104227617391317</c:v>
                </c:pt>
                <c:pt idx="3">
                  <c:v>0</c:v>
                </c:pt>
                <c:pt idx="4">
                  <c:v>404.38015971331828</c:v>
                </c:pt>
                <c:pt idx="5">
                  <c:v>52.915064474564396</c:v>
                </c:pt>
                <c:pt idx="6">
                  <c:v>39.608366530909095</c:v>
                </c:pt>
                <c:pt idx="7">
                  <c:v>3.0052113808695649</c:v>
                </c:pt>
                <c:pt idx="8">
                  <c:v>0</c:v>
                </c:pt>
                <c:pt idx="9">
                  <c:v>48.423567128331356</c:v>
                </c:pt>
              </c:numCache>
            </c:numRef>
          </c:val>
          <c:extLst>
            <c:ext xmlns:c16="http://schemas.microsoft.com/office/drawing/2014/chart" uri="{C3380CC4-5D6E-409C-BE32-E72D297353CC}">
              <c16:uniqueId val="{00000001-5638-4756-A883-D458F581B43C}"/>
            </c:ext>
          </c:extLst>
        </c:ser>
        <c:ser>
          <c:idx val="2"/>
          <c:order val="2"/>
          <c:tx>
            <c:strRef>
              <c:f>Summary!$A$48</c:f>
              <c:strCache>
                <c:ptCount val="1"/>
                <c:pt idx="0">
                  <c:v>Confined to floor</c:v>
                </c:pt>
              </c:strCache>
            </c:strRef>
          </c:tx>
          <c:spPr>
            <a:solidFill>
              <a:schemeClr val="accent3"/>
            </a:solidFill>
            <a:ln>
              <a:noFill/>
            </a:ln>
            <a:effectLst/>
          </c:spPr>
          <c:invertIfNegative val="0"/>
          <c:errBars>
            <c:errBarType val="both"/>
            <c:errValType val="cust"/>
            <c:noEndCap val="0"/>
            <c:plus>
              <c:numRef>
                <c:f>Summary!$D$54:$D$63</c:f>
                <c:numCache>
                  <c:formatCode>General</c:formatCode>
                  <c:ptCount val="10"/>
                  <c:pt idx="0">
                    <c:v>100.02698509808219</c:v>
                  </c:pt>
                  <c:pt idx="1">
                    <c:v>0</c:v>
                  </c:pt>
                  <c:pt idx="2">
                    <c:v>0</c:v>
                  </c:pt>
                  <c:pt idx="3">
                    <c:v>0.304046312727273</c:v>
                  </c:pt>
                  <c:pt idx="4">
                    <c:v>0</c:v>
                  </c:pt>
                  <c:pt idx="5">
                    <c:v>13.574814034586298</c:v>
                  </c:pt>
                  <c:pt idx="6">
                    <c:v>3.800578909090909</c:v>
                  </c:pt>
                  <c:pt idx="7">
                    <c:v>22.597250738086942</c:v>
                  </c:pt>
                  <c:pt idx="8">
                    <c:v>17.610565130705453</c:v>
                  </c:pt>
                  <c:pt idx="9">
                    <c:v>0</c:v>
                  </c:pt>
                </c:numCache>
              </c:numRef>
            </c:plus>
            <c:minus>
              <c:numRef>
                <c:f>Summary!$D$54:$D$63</c:f>
                <c:numCache>
                  <c:formatCode>General</c:formatCode>
                  <c:ptCount val="10"/>
                  <c:pt idx="0">
                    <c:v>100.02698509808219</c:v>
                  </c:pt>
                  <c:pt idx="1">
                    <c:v>0</c:v>
                  </c:pt>
                  <c:pt idx="2">
                    <c:v>0</c:v>
                  </c:pt>
                  <c:pt idx="3">
                    <c:v>0.304046312727273</c:v>
                  </c:pt>
                  <c:pt idx="4">
                    <c:v>0</c:v>
                  </c:pt>
                  <c:pt idx="5">
                    <c:v>13.574814034586298</c:v>
                  </c:pt>
                  <c:pt idx="6">
                    <c:v>3.800578909090909</c:v>
                  </c:pt>
                  <c:pt idx="7">
                    <c:v>22.597250738086942</c:v>
                  </c:pt>
                  <c:pt idx="8">
                    <c:v>17.610565130705453</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Summary!$B$48:$K$48</c:f>
              <c:numCache>
                <c:formatCode>0.00</c:formatCode>
                <c:ptCount val="10"/>
                <c:pt idx="0">
                  <c:v>100.02698509808219</c:v>
                </c:pt>
                <c:pt idx="1">
                  <c:v>0</c:v>
                </c:pt>
                <c:pt idx="2">
                  <c:v>0</c:v>
                </c:pt>
                <c:pt idx="3">
                  <c:v>2.2296729600000003</c:v>
                </c:pt>
                <c:pt idx="4">
                  <c:v>95.58165272816936</c:v>
                </c:pt>
                <c:pt idx="5">
                  <c:v>13.574814034586298</c:v>
                </c:pt>
                <c:pt idx="6">
                  <c:v>11.718451636363637</c:v>
                </c:pt>
                <c:pt idx="7">
                  <c:v>116.75246214678263</c:v>
                </c:pt>
                <c:pt idx="8">
                  <c:v>129.14414429184001</c:v>
                </c:pt>
                <c:pt idx="9">
                  <c:v>46.360263903935909</c:v>
                </c:pt>
              </c:numCache>
            </c:numRef>
          </c:val>
          <c:extLst>
            <c:ext xmlns:c16="http://schemas.microsoft.com/office/drawing/2014/chart" uri="{C3380CC4-5D6E-409C-BE32-E72D297353CC}">
              <c16:uniqueId val="{00000002-5638-4756-A883-D458F581B43C}"/>
            </c:ext>
          </c:extLst>
        </c:ser>
        <c:ser>
          <c:idx val="3"/>
          <c:order val="3"/>
          <c:tx>
            <c:strRef>
              <c:f>Summary!$A$49</c:f>
              <c:strCache>
                <c:ptCount val="1"/>
                <c:pt idx="0">
                  <c:v>Confined to building</c:v>
                </c:pt>
              </c:strCache>
            </c:strRef>
          </c:tx>
          <c:spPr>
            <a:solidFill>
              <a:schemeClr val="accent4"/>
            </a:solidFill>
            <a:ln>
              <a:noFill/>
            </a:ln>
            <a:effectLst/>
          </c:spPr>
          <c:invertIfNegative val="0"/>
          <c:errBars>
            <c:errBarType val="both"/>
            <c:errValType val="cust"/>
            <c:noEndCap val="0"/>
            <c:plus>
              <c:numRef>
                <c:f>Summary!$E$54:$E$63</c:f>
                <c:numCache>
                  <c:formatCode>General</c:formatCode>
                  <c:ptCount val="10"/>
                  <c:pt idx="0">
                    <c:v>204.14595458840552</c:v>
                  </c:pt>
                  <c:pt idx="1">
                    <c:v>926.46712066909049</c:v>
                  </c:pt>
                  <c:pt idx="2">
                    <c:v>0.94034033530434691</c:v>
                  </c:pt>
                  <c:pt idx="3">
                    <c:v>55.987088025599974</c:v>
                  </c:pt>
                  <c:pt idx="4">
                    <c:v>0</c:v>
                  </c:pt>
                  <c:pt idx="5">
                    <c:v>19.654719859726029</c:v>
                  </c:pt>
                  <c:pt idx="6">
                    <c:v>149.00676356945445</c:v>
                  </c:pt>
                  <c:pt idx="7">
                    <c:v>27.967854302608686</c:v>
                  </c:pt>
                  <c:pt idx="8">
                    <c:v>273.78762368465459</c:v>
                  </c:pt>
                  <c:pt idx="9">
                    <c:v>0</c:v>
                  </c:pt>
                </c:numCache>
              </c:numRef>
            </c:plus>
            <c:minus>
              <c:numRef>
                <c:f>Summary!$E$54:$E$63</c:f>
                <c:numCache>
                  <c:formatCode>General</c:formatCode>
                  <c:ptCount val="10"/>
                  <c:pt idx="0">
                    <c:v>204.14595458840552</c:v>
                  </c:pt>
                  <c:pt idx="1">
                    <c:v>926.46712066909049</c:v>
                  </c:pt>
                  <c:pt idx="2">
                    <c:v>0.94034033530434691</c:v>
                  </c:pt>
                  <c:pt idx="3">
                    <c:v>55.987088025599974</c:v>
                  </c:pt>
                  <c:pt idx="4">
                    <c:v>0</c:v>
                  </c:pt>
                  <c:pt idx="5">
                    <c:v>19.654719859726029</c:v>
                  </c:pt>
                  <c:pt idx="6">
                    <c:v>149.00676356945445</c:v>
                  </c:pt>
                  <c:pt idx="7">
                    <c:v>27.967854302608686</c:v>
                  </c:pt>
                  <c:pt idx="8">
                    <c:v>273.78762368465459</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Summary!$B$49:$K$49</c:f>
              <c:numCache>
                <c:formatCode>0.00</c:formatCode>
                <c:ptCount val="10"/>
                <c:pt idx="0">
                  <c:v>204.14595458840552</c:v>
                </c:pt>
                <c:pt idx="1">
                  <c:v>2856.6069553963639</c:v>
                </c:pt>
                <c:pt idx="2">
                  <c:v>4.8584250657391319</c:v>
                </c:pt>
                <c:pt idx="3">
                  <c:v>410.57197885440002</c:v>
                </c:pt>
                <c:pt idx="4">
                  <c:v>843.41278486595661</c:v>
                </c:pt>
                <c:pt idx="5">
                  <c:v>19.654719859726029</c:v>
                </c:pt>
                <c:pt idx="6">
                  <c:v>459.43752100581827</c:v>
                </c:pt>
                <c:pt idx="7">
                  <c:v>144.50058056347828</c:v>
                </c:pt>
                <c:pt idx="8">
                  <c:v>2007.7759070207999</c:v>
                </c:pt>
                <c:pt idx="9">
                  <c:v>839.55698480697049</c:v>
                </c:pt>
              </c:numCache>
            </c:numRef>
          </c:val>
          <c:extLst>
            <c:ext xmlns:c16="http://schemas.microsoft.com/office/drawing/2014/chart" uri="{C3380CC4-5D6E-409C-BE32-E72D297353CC}">
              <c16:uniqueId val="{00000003-5638-4756-A883-D458F581B43C}"/>
            </c:ext>
          </c:extLst>
        </c:ser>
        <c:ser>
          <c:idx val="4"/>
          <c:order val="4"/>
          <c:tx>
            <c:strRef>
              <c:f>Summary!$A$50</c:f>
              <c:strCache>
                <c:ptCount val="1"/>
                <c:pt idx="0">
                  <c:v>Beyond building of origin</c:v>
                </c:pt>
              </c:strCache>
            </c:strRef>
          </c:tx>
          <c:spPr>
            <a:solidFill>
              <a:schemeClr val="accent5"/>
            </a:solidFill>
            <a:ln>
              <a:noFill/>
            </a:ln>
            <a:effectLst/>
          </c:spPr>
          <c:invertIfNegative val="0"/>
          <c:errBars>
            <c:errBarType val="both"/>
            <c:errValType val="cust"/>
            <c:noEndCap val="0"/>
            <c:plus>
              <c:numRef>
                <c:f>Summary!$F$54:$F$63</c:f>
                <c:numCache>
                  <c:formatCode>General</c:formatCode>
                  <c:ptCount val="10"/>
                  <c:pt idx="0">
                    <c:v>41.615471342465753</c:v>
                  </c:pt>
                  <c:pt idx="1">
                    <c:v>0</c:v>
                  </c:pt>
                  <c:pt idx="2">
                    <c:v>38.776921043478268</c:v>
                  </c:pt>
                  <c:pt idx="3">
                    <c:v>13.378037760000012</c:v>
                  </c:pt>
                  <c:pt idx="4">
                    <c:v>0</c:v>
                  </c:pt>
                  <c:pt idx="5">
                    <c:v>0</c:v>
                  </c:pt>
                  <c:pt idx="6">
                    <c:v>0</c:v>
                  </c:pt>
                  <c:pt idx="7">
                    <c:v>5.6953602782608748</c:v>
                  </c:pt>
                  <c:pt idx="8">
                    <c:v>32.788354364509104</c:v>
                  </c:pt>
                  <c:pt idx="9">
                    <c:v>0</c:v>
                  </c:pt>
                </c:numCache>
              </c:numRef>
            </c:plus>
            <c:minus>
              <c:numRef>
                <c:f>Summary!$F$54:$F$63</c:f>
                <c:numCache>
                  <c:formatCode>General</c:formatCode>
                  <c:ptCount val="10"/>
                  <c:pt idx="0">
                    <c:v>41.615471342465753</c:v>
                  </c:pt>
                  <c:pt idx="1">
                    <c:v>0</c:v>
                  </c:pt>
                  <c:pt idx="2">
                    <c:v>38.776921043478268</c:v>
                  </c:pt>
                  <c:pt idx="3">
                    <c:v>13.378037760000012</c:v>
                  </c:pt>
                  <c:pt idx="4">
                    <c:v>0</c:v>
                  </c:pt>
                  <c:pt idx="5">
                    <c:v>0</c:v>
                  </c:pt>
                  <c:pt idx="6">
                    <c:v>0</c:v>
                  </c:pt>
                  <c:pt idx="7">
                    <c:v>5.6953602782608748</c:v>
                  </c:pt>
                  <c:pt idx="8">
                    <c:v>32.788354364509104</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Summary!$B$50:$K$50</c:f>
              <c:numCache>
                <c:formatCode>0.00</c:formatCode>
                <c:ptCount val="10"/>
                <c:pt idx="0">
                  <c:v>41.615471342465753</c:v>
                </c:pt>
                <c:pt idx="1">
                  <c:v>0</c:v>
                </c:pt>
                <c:pt idx="2">
                  <c:v>200.34742539130437</c:v>
                </c:pt>
                <c:pt idx="3">
                  <c:v>98.105610240000004</c:v>
                </c:pt>
                <c:pt idx="4">
                  <c:v>95.42099457905897</c:v>
                </c:pt>
                <c:pt idx="5">
                  <c:v>0</c:v>
                </c:pt>
                <c:pt idx="6">
                  <c:v>0</c:v>
                </c:pt>
                <c:pt idx="7">
                  <c:v>29.426028104347825</c:v>
                </c:pt>
                <c:pt idx="8">
                  <c:v>240.44793200640001</c:v>
                </c:pt>
                <c:pt idx="9">
                  <c:v>202.0803131151178</c:v>
                </c:pt>
              </c:numCache>
            </c:numRef>
          </c:val>
          <c:extLst>
            <c:ext xmlns:c16="http://schemas.microsoft.com/office/drawing/2014/chart" uri="{C3380CC4-5D6E-409C-BE32-E72D297353CC}">
              <c16:uniqueId val="{00000004-5638-4756-A883-D458F581B43C}"/>
            </c:ext>
          </c:extLst>
        </c:ser>
        <c:dLbls>
          <c:showLegendKey val="0"/>
          <c:showVal val="0"/>
          <c:showCatName val="0"/>
          <c:showSerName val="0"/>
          <c:showPercent val="0"/>
          <c:showBubbleSize val="0"/>
        </c:dLbls>
        <c:gapWidth val="219"/>
        <c:overlap val="-27"/>
        <c:axId val="563984448"/>
        <c:axId val="563986088"/>
      </c:barChart>
      <c:catAx>
        <c:axId val="563984448"/>
        <c:scaling>
          <c:orientation val="minMax"/>
        </c:scaling>
        <c:delete val="0"/>
        <c:axPos val="b"/>
        <c:numFmt formatCode="General" sourceLinked="1"/>
        <c:majorTickMark val="out"/>
        <c:minorTickMark val="none"/>
        <c:tickLblPos val="nextTo"/>
        <c:spPr>
          <a:noFill/>
          <a:ln w="9525" cap="flat" cmpd="sng" algn="ctr">
            <a:solidFill>
              <a:schemeClr val="bg2">
                <a:lumMod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986088"/>
        <c:crosses val="autoZero"/>
        <c:auto val="1"/>
        <c:lblAlgn val="ctr"/>
        <c:lblOffset val="100"/>
        <c:noMultiLvlLbl val="0"/>
      </c:catAx>
      <c:valAx>
        <c:axId val="563986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Area</a:t>
                </a:r>
                <a:r>
                  <a:rPr lang="en-GB" baseline="0"/>
                  <a:t> damage [</a:t>
                </a:r>
                <a:r>
                  <a:rPr lang="en-GB" sz="800" b="0" i="0" u="none" strike="noStrike" baseline="0">
                    <a:effectLst/>
                  </a:rPr>
                  <a:t>m</a:t>
                </a:r>
                <a:r>
                  <a:rPr lang="en-GB" sz="800" b="0" i="0" u="none" strike="noStrike" baseline="30000">
                    <a:effectLst/>
                  </a:rPr>
                  <a:t>2</a:t>
                </a:r>
                <a:r>
                  <a:rPr lang="en-GB" baseline="0"/>
                  <a:t>]</a:t>
                </a:r>
                <a:endParaRPr lang="en-GB"/>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98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Comparison!$B$76</c:f>
              <c:strCache>
                <c:ptCount val="1"/>
                <c:pt idx="0">
                  <c:v>UK</c:v>
                </c:pt>
              </c:strCache>
            </c:strRef>
          </c:tx>
          <c:spPr>
            <a:solidFill>
              <a:schemeClr val="accent1"/>
            </a:solidFill>
            <a:ln>
              <a:noFill/>
            </a:ln>
            <a:effectLst/>
          </c:spPr>
          <c:invertIfNegative val="0"/>
          <c:cat>
            <c:strRef>
              <c:f>Comparison!$A$77:$A$83</c:f>
              <c:strCache>
                <c:ptCount val="7"/>
                <c:pt idx="0">
                  <c:v>A</c:v>
                </c:pt>
                <c:pt idx="1">
                  <c:v>B</c:v>
                </c:pt>
                <c:pt idx="2">
                  <c:v>C</c:v>
                </c:pt>
                <c:pt idx="3">
                  <c:v>D</c:v>
                </c:pt>
                <c:pt idx="4">
                  <c:v>E</c:v>
                </c:pt>
                <c:pt idx="5">
                  <c:v>F</c:v>
                </c:pt>
                <c:pt idx="6">
                  <c:v>G</c:v>
                </c:pt>
              </c:strCache>
            </c:strRef>
          </c:cat>
          <c:val>
            <c:numRef>
              <c:f>Comparison!$B$77:$B$83</c:f>
              <c:numCache>
                <c:formatCode>0.000%</c:formatCode>
                <c:ptCount val="7"/>
                <c:pt idx="0">
                  <c:v>3.6878500137517193E-3</c:v>
                </c:pt>
                <c:pt idx="1">
                  <c:v>9.0272003800926474E-3</c:v>
                </c:pt>
                <c:pt idx="2">
                  <c:v>1.362098138747885E-2</c:v>
                </c:pt>
                <c:pt idx="3">
                  <c:v>2.5710123816460307E-2</c:v>
                </c:pt>
                <c:pt idx="4">
                  <c:v>4.608619089189582E-2</c:v>
                </c:pt>
                <c:pt idx="5">
                  <c:v>6.867671691792295E-3</c:v>
                </c:pt>
                <c:pt idx="6">
                  <c:v>1.8175711982804942E-2</c:v>
                </c:pt>
              </c:numCache>
            </c:numRef>
          </c:val>
          <c:extLst>
            <c:ext xmlns:c16="http://schemas.microsoft.com/office/drawing/2014/chart" uri="{C3380CC4-5D6E-409C-BE32-E72D297353CC}">
              <c16:uniqueId val="{00000000-D181-4ED9-98B4-8F59B761DBD5}"/>
            </c:ext>
          </c:extLst>
        </c:ser>
        <c:ser>
          <c:idx val="1"/>
          <c:order val="1"/>
          <c:tx>
            <c:strRef>
              <c:f>Comparison!$C$76</c:f>
              <c:strCache>
                <c:ptCount val="1"/>
                <c:pt idx="0">
                  <c:v>USA</c:v>
                </c:pt>
              </c:strCache>
            </c:strRef>
          </c:tx>
          <c:spPr>
            <a:solidFill>
              <a:schemeClr val="accent2"/>
            </a:solidFill>
            <a:ln>
              <a:noFill/>
            </a:ln>
            <a:effectLst/>
          </c:spPr>
          <c:invertIfNegative val="0"/>
          <c:cat>
            <c:strRef>
              <c:f>Comparison!$A$77:$A$83</c:f>
              <c:strCache>
                <c:ptCount val="7"/>
                <c:pt idx="0">
                  <c:v>A</c:v>
                </c:pt>
                <c:pt idx="1">
                  <c:v>B</c:v>
                </c:pt>
                <c:pt idx="2">
                  <c:v>C</c:v>
                </c:pt>
                <c:pt idx="3">
                  <c:v>D</c:v>
                </c:pt>
                <c:pt idx="4">
                  <c:v>E</c:v>
                </c:pt>
                <c:pt idx="5">
                  <c:v>F</c:v>
                </c:pt>
                <c:pt idx="6">
                  <c:v>G</c:v>
                </c:pt>
              </c:strCache>
            </c:strRef>
          </c:cat>
          <c:val>
            <c:numRef>
              <c:f>Comparison!$C$77:$C$83</c:f>
              <c:numCache>
                <c:formatCode>0.00%</c:formatCode>
                <c:ptCount val="7"/>
                <c:pt idx="0">
                  <c:v>4.2336786792102638E-3</c:v>
                </c:pt>
                <c:pt idx="1">
                  <c:v>1.1213214134980623E-2</c:v>
                </c:pt>
                <c:pt idx="2">
                  <c:v>5.5120659211300764E-2</c:v>
                </c:pt>
                <c:pt idx="3">
                  <c:v>3.6292422859053801E-3</c:v>
                </c:pt>
                <c:pt idx="4">
                  <c:v>1.9535418701291645E-2</c:v>
                </c:pt>
                <c:pt idx="5" formatCode="0.000%">
                  <c:v>5.4458187188480708E-2</c:v>
                </c:pt>
                <c:pt idx="6">
                  <c:v>6.2678051920836864E-4</c:v>
                </c:pt>
              </c:numCache>
            </c:numRef>
          </c:val>
          <c:extLst>
            <c:ext xmlns:c16="http://schemas.microsoft.com/office/drawing/2014/chart" uri="{C3380CC4-5D6E-409C-BE32-E72D297353CC}">
              <c16:uniqueId val="{00000001-D181-4ED9-98B4-8F59B761DBD5}"/>
            </c:ext>
          </c:extLst>
        </c:ser>
        <c:dLbls>
          <c:showLegendKey val="0"/>
          <c:showVal val="0"/>
          <c:showCatName val="0"/>
          <c:showSerName val="0"/>
          <c:showPercent val="0"/>
          <c:showBubbleSize val="0"/>
        </c:dLbls>
        <c:gapWidth val="150"/>
        <c:axId val="532152648"/>
        <c:axId val="532149040"/>
      </c:barChart>
      <c:catAx>
        <c:axId val="532152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32149040"/>
        <c:crosses val="autoZero"/>
        <c:auto val="1"/>
        <c:lblAlgn val="ctr"/>
        <c:lblOffset val="100"/>
        <c:noMultiLvlLbl val="0"/>
      </c:catAx>
      <c:valAx>
        <c:axId val="532149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32152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16533889751432"/>
          <c:y val="4.8591439558788335E-2"/>
          <c:w val="0.81812875605367053"/>
          <c:h val="0.68864526994765118"/>
        </c:manualLayout>
      </c:layout>
      <c:lineChart>
        <c:grouping val="standard"/>
        <c:varyColors val="0"/>
        <c:ser>
          <c:idx val="0"/>
          <c:order val="0"/>
          <c:tx>
            <c:v>PD Office rooms</c:v>
          </c:tx>
          <c:spPr>
            <a:ln w="19050" cap="rnd">
              <a:solidFill>
                <a:schemeClr val="accent1"/>
              </a:solidFill>
              <a:round/>
            </a:ln>
            <a:effectLst/>
          </c:spPr>
          <c:marker>
            <c:symbol val="circle"/>
            <c:size val="5"/>
            <c:spPr>
              <a:solidFill>
                <a:schemeClr val="accent1"/>
              </a:solidFill>
              <a:ln w="19050">
                <a:solidFill>
                  <a:schemeClr val="accent1"/>
                </a:solidFill>
              </a:ln>
              <a:effectLst/>
            </c:spPr>
          </c:marker>
          <c:cat>
            <c:strRef>
              <c:f>Summary!$A$73:$A$81</c:f>
              <c:strCache>
                <c:ptCount val="9"/>
                <c:pt idx="0">
                  <c:v>0-1</c:v>
                </c:pt>
                <c:pt idx="1">
                  <c:v>2-4</c:v>
                </c:pt>
                <c:pt idx="2">
                  <c:v>5-9</c:v>
                </c:pt>
                <c:pt idx="3">
                  <c:v>10-19</c:v>
                </c:pt>
                <c:pt idx="4">
                  <c:v>20-49</c:v>
                </c:pt>
                <c:pt idx="5">
                  <c:v>50-99</c:v>
                </c:pt>
                <c:pt idx="6">
                  <c:v>100-199</c:v>
                </c:pt>
                <c:pt idx="7">
                  <c:v>200-499</c:v>
                </c:pt>
                <c:pt idx="8">
                  <c:v>500-999</c:v>
                </c:pt>
              </c:strCache>
            </c:strRef>
          </c:cat>
          <c:val>
            <c:numRef>
              <c:f>Summary!$C$73:$C$81</c:f>
              <c:numCache>
                <c:formatCode>0.0%</c:formatCode>
                <c:ptCount val="9"/>
                <c:pt idx="0">
                  <c:v>0.27777777777777779</c:v>
                </c:pt>
                <c:pt idx="1">
                  <c:v>0.11111111111111116</c:v>
                </c:pt>
                <c:pt idx="2">
                  <c:v>0.11111111111111116</c:v>
                </c:pt>
                <c:pt idx="3">
                  <c:v>0</c:v>
                </c:pt>
                <c:pt idx="4">
                  <c:v>0</c:v>
                </c:pt>
                <c:pt idx="5">
                  <c:v>0</c:v>
                </c:pt>
                <c:pt idx="6">
                  <c:v>0</c:v>
                </c:pt>
                <c:pt idx="7">
                  <c:v>0</c:v>
                </c:pt>
                <c:pt idx="8">
                  <c:v>0</c:v>
                </c:pt>
              </c:numCache>
            </c:numRef>
          </c:val>
          <c:smooth val="0"/>
          <c:extLst>
            <c:ext xmlns:c16="http://schemas.microsoft.com/office/drawing/2014/chart" uri="{C3380CC4-5D6E-409C-BE32-E72D297353CC}">
              <c16:uniqueId val="{00000000-26AB-4FD2-A1F8-64BB3514938D}"/>
            </c:ext>
          </c:extLst>
        </c:ser>
        <c:ser>
          <c:idx val="1"/>
          <c:order val="1"/>
          <c:tx>
            <c:v>USA Office rooms</c:v>
          </c:tx>
          <c:spPr>
            <a:ln w="19050" cap="rnd">
              <a:solidFill>
                <a:schemeClr val="accent2"/>
              </a:solidFill>
              <a:round/>
            </a:ln>
            <a:effectLst/>
          </c:spPr>
          <c:marker>
            <c:symbol val="circle"/>
            <c:size val="5"/>
            <c:spPr>
              <a:noFill/>
              <a:ln w="19050">
                <a:solidFill>
                  <a:schemeClr val="accent2"/>
                </a:solidFill>
              </a:ln>
              <a:effectLst/>
            </c:spPr>
          </c:marker>
          <c:val>
            <c:numRef>
              <c:f>Summary!$E$73:$E$81</c:f>
              <c:numCache>
                <c:formatCode>0.00%</c:formatCode>
                <c:ptCount val="9"/>
                <c:pt idx="0">
                  <c:v>0.34782608695652173</c:v>
                </c:pt>
                <c:pt idx="1">
                  <c:v>0.34782608695652173</c:v>
                </c:pt>
                <c:pt idx="2">
                  <c:v>0.34782608695652173</c:v>
                </c:pt>
                <c:pt idx="3">
                  <c:v>0.34782608695652173</c:v>
                </c:pt>
                <c:pt idx="4">
                  <c:v>0.30434782608695654</c:v>
                </c:pt>
                <c:pt idx="5">
                  <c:v>0.30434782608695654</c:v>
                </c:pt>
                <c:pt idx="6">
                  <c:v>0.26086956521739135</c:v>
                </c:pt>
                <c:pt idx="7">
                  <c:v>8.6956521739130488E-2</c:v>
                </c:pt>
                <c:pt idx="8">
                  <c:v>8.6956521739130488E-2</c:v>
                </c:pt>
              </c:numCache>
            </c:numRef>
          </c:val>
          <c:smooth val="0"/>
          <c:extLst>
            <c:ext xmlns:c16="http://schemas.microsoft.com/office/drawing/2014/chart" uri="{C3380CC4-5D6E-409C-BE32-E72D297353CC}">
              <c16:uniqueId val="{00000001-26AB-4FD2-A1F8-64BB3514938D}"/>
            </c:ext>
          </c:extLst>
        </c:ser>
        <c:ser>
          <c:idx val="2"/>
          <c:order val="2"/>
          <c:tx>
            <c:v>PD Other areas</c:v>
          </c:tx>
          <c:spPr>
            <a:ln w="19050" cap="rnd">
              <a:solidFill>
                <a:schemeClr val="accent3"/>
              </a:solidFill>
              <a:prstDash val="sysDash"/>
              <a:round/>
            </a:ln>
            <a:effectLst/>
          </c:spPr>
          <c:marker>
            <c:symbol val="triangle"/>
            <c:size val="5"/>
            <c:spPr>
              <a:solidFill>
                <a:schemeClr val="accent3"/>
              </a:solidFill>
              <a:ln w="19050">
                <a:solidFill>
                  <a:schemeClr val="accent3"/>
                </a:solidFill>
                <a:prstDash val="solid"/>
              </a:ln>
              <a:effectLst/>
            </c:spPr>
          </c:marker>
          <c:val>
            <c:numRef>
              <c:f>Summary!$C$88:$C$96</c:f>
              <c:numCache>
                <c:formatCode>0.0%</c:formatCode>
                <c:ptCount val="9"/>
                <c:pt idx="0">
                  <c:v>0.25196850393700787</c:v>
                </c:pt>
                <c:pt idx="1">
                  <c:v>0.11811023622047245</c:v>
                </c:pt>
                <c:pt idx="2">
                  <c:v>4.7244094488189003E-2</c:v>
                </c:pt>
                <c:pt idx="3">
                  <c:v>3.1496062992126039E-2</c:v>
                </c:pt>
                <c:pt idx="4">
                  <c:v>7.8740157480314821E-3</c:v>
                </c:pt>
                <c:pt idx="5">
                  <c:v>0</c:v>
                </c:pt>
                <c:pt idx="6">
                  <c:v>0</c:v>
                </c:pt>
                <c:pt idx="7">
                  <c:v>0</c:v>
                </c:pt>
                <c:pt idx="8">
                  <c:v>0</c:v>
                </c:pt>
              </c:numCache>
            </c:numRef>
          </c:val>
          <c:smooth val="0"/>
          <c:extLst>
            <c:ext xmlns:c16="http://schemas.microsoft.com/office/drawing/2014/chart" uri="{C3380CC4-5D6E-409C-BE32-E72D297353CC}">
              <c16:uniqueId val="{00000002-26AB-4FD2-A1F8-64BB3514938D}"/>
            </c:ext>
          </c:extLst>
        </c:ser>
        <c:ser>
          <c:idx val="3"/>
          <c:order val="3"/>
          <c:tx>
            <c:v>USA Other areas</c:v>
          </c:tx>
          <c:spPr>
            <a:ln w="19050" cap="rnd">
              <a:solidFill>
                <a:schemeClr val="accent4"/>
              </a:solidFill>
              <a:prstDash val="sysDash"/>
              <a:round/>
            </a:ln>
            <a:effectLst/>
          </c:spPr>
          <c:marker>
            <c:symbol val="triangle"/>
            <c:size val="5"/>
            <c:spPr>
              <a:noFill/>
              <a:ln w="19050">
                <a:solidFill>
                  <a:schemeClr val="accent4"/>
                </a:solidFill>
                <a:prstDash val="solid"/>
              </a:ln>
              <a:effectLst/>
            </c:spPr>
          </c:marker>
          <c:val>
            <c:numRef>
              <c:f>Summary!$E$88:$E$96</c:f>
              <c:numCache>
                <c:formatCode>0.00%</c:formatCode>
                <c:ptCount val="9"/>
                <c:pt idx="0">
                  <c:v>0.37735849056603776</c:v>
                </c:pt>
                <c:pt idx="1">
                  <c:v>0.37735849056603776</c:v>
                </c:pt>
                <c:pt idx="2">
                  <c:v>0.35849056603773588</c:v>
                </c:pt>
                <c:pt idx="3">
                  <c:v>0.339622641509434</c:v>
                </c:pt>
                <c:pt idx="4">
                  <c:v>0.33018867924528306</c:v>
                </c:pt>
                <c:pt idx="5">
                  <c:v>0.30188679245283023</c:v>
                </c:pt>
                <c:pt idx="6">
                  <c:v>0.24528301886792447</c:v>
                </c:pt>
                <c:pt idx="7">
                  <c:v>0.15094339622641506</c:v>
                </c:pt>
                <c:pt idx="8">
                  <c:v>0.12264150943396224</c:v>
                </c:pt>
              </c:numCache>
            </c:numRef>
          </c:val>
          <c:smooth val="0"/>
          <c:extLst>
            <c:ext xmlns:c16="http://schemas.microsoft.com/office/drawing/2014/chart" uri="{C3380CC4-5D6E-409C-BE32-E72D297353CC}">
              <c16:uniqueId val="{00000003-26AB-4FD2-A1F8-64BB3514938D}"/>
            </c:ext>
          </c:extLst>
        </c:ser>
        <c:dLbls>
          <c:showLegendKey val="0"/>
          <c:showVal val="0"/>
          <c:showCatName val="0"/>
          <c:showSerName val="0"/>
          <c:showPercent val="0"/>
          <c:showBubbleSize val="0"/>
        </c:dLbls>
        <c:marker val="1"/>
        <c:smooth val="0"/>
        <c:axId val="365930472"/>
        <c:axId val="369011768"/>
      </c:lineChart>
      <c:catAx>
        <c:axId val="365930472"/>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Area damage [m</a:t>
                </a:r>
                <a:r>
                  <a:rPr lang="en-GB" baseline="30000"/>
                  <a:t>2</a:t>
                </a:r>
                <a:r>
                  <a:rPr lang="en-GB"/>
                  <a: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9011768"/>
        <c:crosses val="autoZero"/>
        <c:auto val="1"/>
        <c:lblAlgn val="ctr"/>
        <c:lblOffset val="100"/>
        <c:noMultiLvlLbl val="0"/>
      </c:catAx>
      <c:valAx>
        <c:axId val="369011768"/>
        <c:scaling>
          <c:orientation val="minMax"/>
          <c:max val="0.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 fires exceeding upper limit</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5930472"/>
        <c:crosses val="autoZero"/>
        <c:crossBetween val="between"/>
      </c:valAx>
      <c:spPr>
        <a:noFill/>
        <a:ln>
          <a:noFill/>
        </a:ln>
        <a:effectLst/>
      </c:spPr>
    </c:plotArea>
    <c:legend>
      <c:legendPos val="r"/>
      <c:layout>
        <c:manualLayout>
          <c:xMode val="edge"/>
          <c:yMode val="edge"/>
          <c:x val="0.55012979316432953"/>
          <c:y val="3.7275781541640254E-2"/>
          <c:w val="0.40705204381792542"/>
          <c:h val="0.16570540589813262"/>
        </c:manualLayout>
      </c:layout>
      <c:overlay val="0"/>
      <c:spPr>
        <a:solidFill>
          <a:schemeClr val="bg1">
            <a:alpha val="75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100926917651559"/>
          <c:y val="4.8140043763676151E-2"/>
          <c:w val="0.80350086580220204"/>
          <c:h val="0.7312094036756982"/>
        </c:manualLayout>
      </c:layout>
      <c:lineChart>
        <c:grouping val="standard"/>
        <c:varyColors val="0"/>
        <c:ser>
          <c:idx val="0"/>
          <c:order val="0"/>
          <c:tx>
            <c:v>PD Office rooms</c:v>
          </c:tx>
          <c:spPr>
            <a:ln w="19050" cap="rnd">
              <a:solidFill>
                <a:schemeClr val="accent1"/>
              </a:solidFill>
              <a:round/>
            </a:ln>
            <a:effectLst/>
          </c:spPr>
          <c:marker>
            <c:symbol val="circle"/>
            <c:size val="5"/>
            <c:spPr>
              <a:solidFill>
                <a:schemeClr val="accent1"/>
              </a:solidFill>
              <a:ln w="19050">
                <a:solidFill>
                  <a:schemeClr val="accent1"/>
                </a:solidFill>
              </a:ln>
              <a:effectLst/>
            </c:spPr>
          </c:marker>
          <c:cat>
            <c:strRef>
              <c:f>Summary!$A$73:$A$81</c:f>
              <c:strCache>
                <c:ptCount val="9"/>
                <c:pt idx="0">
                  <c:v>0-1</c:v>
                </c:pt>
                <c:pt idx="1">
                  <c:v>2-4</c:v>
                </c:pt>
                <c:pt idx="2">
                  <c:v>5-9</c:v>
                </c:pt>
                <c:pt idx="3">
                  <c:v>10-19</c:v>
                </c:pt>
                <c:pt idx="4">
                  <c:v>20-49</c:v>
                </c:pt>
                <c:pt idx="5">
                  <c:v>50-99</c:v>
                </c:pt>
                <c:pt idx="6">
                  <c:v>100-199</c:v>
                </c:pt>
                <c:pt idx="7">
                  <c:v>200-499</c:v>
                </c:pt>
                <c:pt idx="8">
                  <c:v>500-999</c:v>
                </c:pt>
              </c:strCache>
            </c:strRef>
          </c:cat>
          <c:val>
            <c:numRef>
              <c:f>Summary!$G$73:$G$81</c:f>
              <c:numCache>
                <c:formatCode>0.0%</c:formatCode>
                <c:ptCount val="9"/>
                <c:pt idx="0">
                  <c:v>0.51182795698924732</c:v>
                </c:pt>
                <c:pt idx="1">
                  <c:v>0.3080645161290323</c:v>
                </c:pt>
                <c:pt idx="2">
                  <c:v>0.23064516129032253</c:v>
                </c:pt>
                <c:pt idx="3">
                  <c:v>0.16827956989247317</c:v>
                </c:pt>
                <c:pt idx="4">
                  <c:v>8.5483870967741904E-2</c:v>
                </c:pt>
                <c:pt idx="5">
                  <c:v>4.8387096774193505E-2</c:v>
                </c:pt>
                <c:pt idx="6">
                  <c:v>2.9569892473118253E-2</c:v>
                </c:pt>
                <c:pt idx="7">
                  <c:v>1.1827956989247324E-2</c:v>
                </c:pt>
                <c:pt idx="8">
                  <c:v>4.8387096774193949E-3</c:v>
                </c:pt>
              </c:numCache>
            </c:numRef>
          </c:val>
          <c:smooth val="0"/>
          <c:extLst>
            <c:ext xmlns:c16="http://schemas.microsoft.com/office/drawing/2014/chart" uri="{C3380CC4-5D6E-409C-BE32-E72D297353CC}">
              <c16:uniqueId val="{00000000-7760-4955-A4D5-EEB7F981BB68}"/>
            </c:ext>
          </c:extLst>
        </c:ser>
        <c:ser>
          <c:idx val="1"/>
          <c:order val="1"/>
          <c:tx>
            <c:v>USA Office rooms</c:v>
          </c:tx>
          <c:spPr>
            <a:ln w="19050" cap="rnd">
              <a:solidFill>
                <a:schemeClr val="accent2"/>
              </a:solidFill>
              <a:round/>
            </a:ln>
            <a:effectLst/>
          </c:spPr>
          <c:marker>
            <c:symbol val="circle"/>
            <c:size val="5"/>
            <c:spPr>
              <a:noFill/>
              <a:ln w="19050">
                <a:solidFill>
                  <a:schemeClr val="accent2"/>
                </a:solidFill>
              </a:ln>
              <a:effectLst/>
            </c:spPr>
          </c:marker>
          <c:cat>
            <c:strRef>
              <c:f>Summary!$A$73:$A$81</c:f>
              <c:strCache>
                <c:ptCount val="9"/>
                <c:pt idx="0">
                  <c:v>0-1</c:v>
                </c:pt>
                <c:pt idx="1">
                  <c:v>2-4</c:v>
                </c:pt>
                <c:pt idx="2">
                  <c:v>5-9</c:v>
                </c:pt>
                <c:pt idx="3">
                  <c:v>10-19</c:v>
                </c:pt>
                <c:pt idx="4">
                  <c:v>20-49</c:v>
                </c:pt>
                <c:pt idx="5">
                  <c:v>50-99</c:v>
                </c:pt>
                <c:pt idx="6">
                  <c:v>100-199</c:v>
                </c:pt>
                <c:pt idx="7">
                  <c:v>200-499</c:v>
                </c:pt>
                <c:pt idx="8">
                  <c:v>500-999</c:v>
                </c:pt>
              </c:strCache>
            </c:strRef>
          </c:cat>
          <c:val>
            <c:numRef>
              <c:f>Summary!$I$73:$I$81</c:f>
              <c:numCache>
                <c:formatCode>0.00%</c:formatCode>
                <c:ptCount val="9"/>
                <c:pt idx="0">
                  <c:v>0.54761904761904767</c:v>
                </c:pt>
                <c:pt idx="1">
                  <c:v>0.54761904761904767</c:v>
                </c:pt>
                <c:pt idx="2">
                  <c:v>0.5</c:v>
                </c:pt>
                <c:pt idx="3">
                  <c:v>0.5</c:v>
                </c:pt>
                <c:pt idx="4">
                  <c:v>0.45238095238095233</c:v>
                </c:pt>
                <c:pt idx="5">
                  <c:v>0.2857142857142857</c:v>
                </c:pt>
                <c:pt idx="6">
                  <c:v>0.19047619047619047</c:v>
                </c:pt>
                <c:pt idx="7">
                  <c:v>4.7619047619047672E-2</c:v>
                </c:pt>
                <c:pt idx="8">
                  <c:v>2.3809523809523836E-2</c:v>
                </c:pt>
              </c:numCache>
            </c:numRef>
          </c:val>
          <c:smooth val="0"/>
          <c:extLst>
            <c:ext xmlns:c16="http://schemas.microsoft.com/office/drawing/2014/chart" uri="{C3380CC4-5D6E-409C-BE32-E72D297353CC}">
              <c16:uniqueId val="{00000001-7760-4955-A4D5-EEB7F981BB68}"/>
            </c:ext>
          </c:extLst>
        </c:ser>
        <c:ser>
          <c:idx val="2"/>
          <c:order val="2"/>
          <c:tx>
            <c:v>PD Other rooms</c:v>
          </c:tx>
          <c:spPr>
            <a:ln w="19050" cap="rnd">
              <a:solidFill>
                <a:schemeClr val="accent3"/>
              </a:solidFill>
              <a:prstDash val="sysDash"/>
              <a:round/>
            </a:ln>
            <a:effectLst/>
          </c:spPr>
          <c:marker>
            <c:symbol val="triangle"/>
            <c:size val="5"/>
            <c:spPr>
              <a:solidFill>
                <a:schemeClr val="accent3"/>
              </a:solidFill>
              <a:ln w="19050">
                <a:solidFill>
                  <a:schemeClr val="accent3"/>
                </a:solidFill>
                <a:prstDash val="solid"/>
              </a:ln>
              <a:effectLst/>
            </c:spPr>
          </c:marker>
          <c:val>
            <c:numRef>
              <c:f>Summary!$G$88:$G$96</c:f>
              <c:numCache>
                <c:formatCode>0.00%</c:formatCode>
                <c:ptCount val="9"/>
                <c:pt idx="0">
                  <c:v>0.4076447699702449</c:v>
                </c:pt>
                <c:pt idx="1">
                  <c:v>0.20119020370794227</c:v>
                </c:pt>
                <c:pt idx="2">
                  <c:v>0.13183794918745706</c:v>
                </c:pt>
                <c:pt idx="3">
                  <c:v>8.6289768825818292E-2</c:v>
                </c:pt>
                <c:pt idx="4">
                  <c:v>4.5090409704737877E-2</c:v>
                </c:pt>
                <c:pt idx="5">
                  <c:v>2.7924010070954464E-2</c:v>
                </c:pt>
                <c:pt idx="6">
                  <c:v>1.5793087663080851E-2</c:v>
                </c:pt>
                <c:pt idx="7">
                  <c:v>6.6376745250629199E-3</c:v>
                </c:pt>
                <c:pt idx="8">
                  <c:v>2.5177386129549006E-3</c:v>
                </c:pt>
              </c:numCache>
            </c:numRef>
          </c:val>
          <c:smooth val="0"/>
          <c:extLst>
            <c:ext xmlns:c16="http://schemas.microsoft.com/office/drawing/2014/chart" uri="{C3380CC4-5D6E-409C-BE32-E72D297353CC}">
              <c16:uniqueId val="{00000002-7760-4955-A4D5-EEB7F981BB68}"/>
            </c:ext>
          </c:extLst>
        </c:ser>
        <c:ser>
          <c:idx val="3"/>
          <c:order val="3"/>
          <c:tx>
            <c:v>USA Other rooms</c:v>
          </c:tx>
          <c:spPr>
            <a:ln w="19050" cap="rnd">
              <a:solidFill>
                <a:schemeClr val="accent4"/>
              </a:solidFill>
              <a:prstDash val="sysDash"/>
              <a:round/>
            </a:ln>
            <a:effectLst/>
          </c:spPr>
          <c:marker>
            <c:symbol val="triangle"/>
            <c:size val="5"/>
            <c:spPr>
              <a:noFill/>
              <a:ln w="19050">
                <a:solidFill>
                  <a:schemeClr val="accent4"/>
                </a:solidFill>
                <a:prstDash val="solid"/>
              </a:ln>
              <a:effectLst/>
            </c:spPr>
          </c:marker>
          <c:val>
            <c:numRef>
              <c:f>Summary!$I$88:$I$96</c:f>
              <c:numCache>
                <c:formatCode>0.00%</c:formatCode>
                <c:ptCount val="9"/>
                <c:pt idx="0">
                  <c:v>0.48360655737704916</c:v>
                </c:pt>
                <c:pt idx="1">
                  <c:v>0.47950819672131151</c:v>
                </c:pt>
                <c:pt idx="2">
                  <c:v>0.45901639344262291</c:v>
                </c:pt>
                <c:pt idx="3">
                  <c:v>0.43442622950819676</c:v>
                </c:pt>
                <c:pt idx="4">
                  <c:v>0.36065573770491799</c:v>
                </c:pt>
                <c:pt idx="5">
                  <c:v>0.24180327868852458</c:v>
                </c:pt>
                <c:pt idx="6">
                  <c:v>0.13934426229508201</c:v>
                </c:pt>
                <c:pt idx="7">
                  <c:v>6.1475409836065587E-2</c:v>
                </c:pt>
                <c:pt idx="8">
                  <c:v>1.6393442622950838E-2</c:v>
                </c:pt>
              </c:numCache>
            </c:numRef>
          </c:val>
          <c:smooth val="0"/>
          <c:extLst>
            <c:ext xmlns:c16="http://schemas.microsoft.com/office/drawing/2014/chart" uri="{C3380CC4-5D6E-409C-BE32-E72D297353CC}">
              <c16:uniqueId val="{00000003-7760-4955-A4D5-EEB7F981BB68}"/>
            </c:ext>
          </c:extLst>
        </c:ser>
        <c:dLbls>
          <c:showLegendKey val="0"/>
          <c:showVal val="0"/>
          <c:showCatName val="0"/>
          <c:showSerName val="0"/>
          <c:showPercent val="0"/>
          <c:showBubbleSize val="0"/>
        </c:dLbls>
        <c:marker val="1"/>
        <c:smooth val="0"/>
        <c:axId val="370573216"/>
        <c:axId val="370573544"/>
      </c:lineChart>
      <c:catAx>
        <c:axId val="370573216"/>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Area damage [m</a:t>
                </a:r>
                <a:r>
                  <a:rPr lang="en-GB" baseline="30000"/>
                  <a:t>2</a:t>
                </a:r>
                <a:r>
                  <a:rPr lang="en-GB"/>
                  <a: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0573544"/>
        <c:crosses val="autoZero"/>
        <c:auto val="1"/>
        <c:lblAlgn val="ctr"/>
        <c:lblOffset val="100"/>
        <c:noMultiLvlLbl val="0"/>
      </c:catAx>
      <c:valAx>
        <c:axId val="370573544"/>
        <c:scaling>
          <c:orientation val="minMax"/>
          <c:max val="0.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 fires exceeding upper limit</a:t>
                </a:r>
              </a:p>
            </c:rich>
          </c:tx>
          <c:layout>
            <c:manualLayout>
              <c:xMode val="edge"/>
              <c:yMode val="edge"/>
              <c:x val="1.8795470048799761E-2"/>
              <c:y val="0.16256170294038491"/>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0573216"/>
        <c:crosses val="autoZero"/>
        <c:crossBetween val="between"/>
      </c:valAx>
      <c:spPr>
        <a:noFill/>
        <a:ln>
          <a:noFill/>
        </a:ln>
        <a:effectLst/>
      </c:spPr>
    </c:plotArea>
    <c:legend>
      <c:legendPos val="r"/>
      <c:layout>
        <c:manualLayout>
          <c:xMode val="edge"/>
          <c:yMode val="edge"/>
          <c:x val="0.58372477058556627"/>
          <c:y val="4.1506741095069841E-2"/>
          <c:w val="0.3807986369402766"/>
          <c:h val="0.16825564941096807"/>
        </c:manualLayout>
      </c:layout>
      <c:overlay val="0"/>
      <c:spPr>
        <a:solidFill>
          <a:schemeClr val="bg1">
            <a:alpha val="75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70686238773492"/>
          <c:y val="4.9001657006640657E-2"/>
          <c:w val="0.8115383069360208"/>
          <c:h val="0.76267448728903331"/>
        </c:manualLayout>
      </c:layout>
      <c:lineChart>
        <c:grouping val="standard"/>
        <c:varyColors val="0"/>
        <c:ser>
          <c:idx val="0"/>
          <c:order val="0"/>
          <c:tx>
            <c:v>PD Assembly areas</c:v>
          </c:tx>
          <c:spPr>
            <a:ln w="19050" cap="rnd">
              <a:solidFill>
                <a:schemeClr val="accent1"/>
              </a:solidFill>
              <a:round/>
            </a:ln>
            <a:effectLst/>
          </c:spPr>
          <c:marker>
            <c:symbol val="circle"/>
            <c:size val="5"/>
            <c:spPr>
              <a:solidFill>
                <a:schemeClr val="accent1"/>
              </a:solidFill>
              <a:ln w="19050">
                <a:solidFill>
                  <a:schemeClr val="accent1"/>
                </a:solidFill>
              </a:ln>
              <a:effectLst/>
            </c:spPr>
          </c:marker>
          <c:cat>
            <c:strRef>
              <c:f>Summary!$A$104:$A$112</c:f>
              <c:strCache>
                <c:ptCount val="9"/>
                <c:pt idx="0">
                  <c:v>0-1</c:v>
                </c:pt>
                <c:pt idx="1">
                  <c:v>2-4</c:v>
                </c:pt>
                <c:pt idx="2">
                  <c:v>5-9</c:v>
                </c:pt>
                <c:pt idx="3">
                  <c:v>10-19</c:v>
                </c:pt>
                <c:pt idx="4">
                  <c:v>20-49</c:v>
                </c:pt>
                <c:pt idx="5">
                  <c:v>50-99</c:v>
                </c:pt>
                <c:pt idx="6">
                  <c:v>100-199</c:v>
                </c:pt>
                <c:pt idx="7">
                  <c:v>200-499</c:v>
                </c:pt>
                <c:pt idx="8">
                  <c:v>500-999</c:v>
                </c:pt>
              </c:strCache>
            </c:strRef>
          </c:cat>
          <c:val>
            <c:numRef>
              <c:f>Summary!$C$104:$C$112</c:f>
              <c:numCache>
                <c:formatCode>0.0%</c:formatCode>
                <c:ptCount val="9"/>
                <c:pt idx="0">
                  <c:v>0.3094170403587444</c:v>
                </c:pt>
                <c:pt idx="1">
                  <c:v>0.1434977578475336</c:v>
                </c:pt>
                <c:pt idx="2">
                  <c:v>0.10313901345291476</c:v>
                </c:pt>
                <c:pt idx="3">
                  <c:v>4.4843049327354279E-2</c:v>
                </c:pt>
                <c:pt idx="4">
                  <c:v>1.7937219730941756E-2</c:v>
                </c:pt>
                <c:pt idx="5">
                  <c:v>0</c:v>
                </c:pt>
                <c:pt idx="6">
                  <c:v>0</c:v>
                </c:pt>
                <c:pt idx="7">
                  <c:v>0</c:v>
                </c:pt>
                <c:pt idx="8">
                  <c:v>0</c:v>
                </c:pt>
              </c:numCache>
            </c:numRef>
          </c:val>
          <c:smooth val="0"/>
          <c:extLst>
            <c:ext xmlns:c16="http://schemas.microsoft.com/office/drawing/2014/chart" uri="{C3380CC4-5D6E-409C-BE32-E72D297353CC}">
              <c16:uniqueId val="{00000000-CC58-4420-A240-9B66046EC2F2}"/>
            </c:ext>
          </c:extLst>
        </c:ser>
        <c:ser>
          <c:idx val="1"/>
          <c:order val="1"/>
          <c:tx>
            <c:v>USA Assembly areas</c:v>
          </c:tx>
          <c:spPr>
            <a:ln w="19050" cap="rnd">
              <a:solidFill>
                <a:schemeClr val="accent2"/>
              </a:solidFill>
              <a:round/>
            </a:ln>
            <a:effectLst/>
          </c:spPr>
          <c:marker>
            <c:symbol val="circle"/>
            <c:size val="5"/>
            <c:spPr>
              <a:noFill/>
              <a:ln w="19050">
                <a:solidFill>
                  <a:schemeClr val="accent2"/>
                </a:solidFill>
              </a:ln>
              <a:effectLst/>
            </c:spPr>
          </c:marker>
          <c:cat>
            <c:strRef>
              <c:f>Summary!$A$104:$A$112</c:f>
              <c:strCache>
                <c:ptCount val="9"/>
                <c:pt idx="0">
                  <c:v>0-1</c:v>
                </c:pt>
                <c:pt idx="1">
                  <c:v>2-4</c:v>
                </c:pt>
                <c:pt idx="2">
                  <c:v>5-9</c:v>
                </c:pt>
                <c:pt idx="3">
                  <c:v>10-19</c:v>
                </c:pt>
                <c:pt idx="4">
                  <c:v>20-49</c:v>
                </c:pt>
                <c:pt idx="5">
                  <c:v>50-99</c:v>
                </c:pt>
                <c:pt idx="6">
                  <c:v>100-199</c:v>
                </c:pt>
                <c:pt idx="7">
                  <c:v>200-499</c:v>
                </c:pt>
                <c:pt idx="8">
                  <c:v>500-999</c:v>
                </c:pt>
              </c:strCache>
            </c:strRef>
          </c:cat>
          <c:val>
            <c:numRef>
              <c:f>Summary!$E$104:$E$112</c:f>
              <c:numCache>
                <c:formatCode>0.00%</c:formatCode>
                <c:ptCount val="9"/>
                <c:pt idx="0">
                  <c:v>0.40322580645161288</c:v>
                </c:pt>
                <c:pt idx="1">
                  <c:v>0.40322580645161288</c:v>
                </c:pt>
                <c:pt idx="2">
                  <c:v>0.40322580645161288</c:v>
                </c:pt>
                <c:pt idx="3">
                  <c:v>0.40322580645161288</c:v>
                </c:pt>
                <c:pt idx="4">
                  <c:v>0.37096774193548387</c:v>
                </c:pt>
                <c:pt idx="5">
                  <c:v>0.30645161290322576</c:v>
                </c:pt>
                <c:pt idx="6">
                  <c:v>0.25806451612903225</c:v>
                </c:pt>
                <c:pt idx="7">
                  <c:v>0.16129032258064513</c:v>
                </c:pt>
                <c:pt idx="8">
                  <c:v>0.16129032258064513</c:v>
                </c:pt>
              </c:numCache>
            </c:numRef>
          </c:val>
          <c:smooth val="0"/>
          <c:extLst>
            <c:ext xmlns:c16="http://schemas.microsoft.com/office/drawing/2014/chart" uri="{C3380CC4-5D6E-409C-BE32-E72D297353CC}">
              <c16:uniqueId val="{00000001-CC58-4420-A240-9B66046EC2F2}"/>
            </c:ext>
          </c:extLst>
        </c:ser>
        <c:ser>
          <c:idx val="2"/>
          <c:order val="2"/>
          <c:tx>
            <c:v>PD Storage areas</c:v>
          </c:tx>
          <c:spPr>
            <a:ln w="19050" cap="rnd">
              <a:solidFill>
                <a:schemeClr val="accent3"/>
              </a:solidFill>
              <a:prstDash val="sysDash"/>
              <a:round/>
            </a:ln>
            <a:effectLst/>
          </c:spPr>
          <c:marker>
            <c:symbol val="triangle"/>
            <c:size val="5"/>
            <c:spPr>
              <a:solidFill>
                <a:schemeClr val="accent3"/>
              </a:solidFill>
              <a:ln w="19050">
                <a:solidFill>
                  <a:schemeClr val="accent3"/>
                </a:solidFill>
                <a:prstDash val="solid"/>
              </a:ln>
              <a:effectLst/>
            </c:spPr>
          </c:marker>
          <c:val>
            <c:numRef>
              <c:f>Summary!$C$119:$C$127</c:f>
              <c:numCache>
                <c:formatCode>0.0%</c:formatCode>
                <c:ptCount val="9"/>
                <c:pt idx="0">
                  <c:v>0.26271186440677963</c:v>
                </c:pt>
                <c:pt idx="1">
                  <c:v>0.11864406779661019</c:v>
                </c:pt>
                <c:pt idx="2">
                  <c:v>5.6497175141242972E-2</c:v>
                </c:pt>
                <c:pt idx="3">
                  <c:v>2.5423728813559365E-2</c:v>
                </c:pt>
                <c:pt idx="4">
                  <c:v>8.4745762711864181E-3</c:v>
                </c:pt>
                <c:pt idx="5">
                  <c:v>5.6497175141242417E-3</c:v>
                </c:pt>
                <c:pt idx="6">
                  <c:v>5.6497175141242417E-3</c:v>
                </c:pt>
                <c:pt idx="7">
                  <c:v>0</c:v>
                </c:pt>
                <c:pt idx="8">
                  <c:v>0</c:v>
                </c:pt>
              </c:numCache>
            </c:numRef>
          </c:val>
          <c:smooth val="0"/>
          <c:extLst>
            <c:ext xmlns:c16="http://schemas.microsoft.com/office/drawing/2014/chart" uri="{C3380CC4-5D6E-409C-BE32-E72D297353CC}">
              <c16:uniqueId val="{00000002-CC58-4420-A240-9B66046EC2F2}"/>
            </c:ext>
          </c:extLst>
        </c:ser>
        <c:ser>
          <c:idx val="3"/>
          <c:order val="3"/>
          <c:tx>
            <c:v>USA Storage areas</c:v>
          </c:tx>
          <c:spPr>
            <a:ln w="19050" cap="rnd">
              <a:solidFill>
                <a:schemeClr val="accent4"/>
              </a:solidFill>
              <a:prstDash val="sysDash"/>
              <a:round/>
            </a:ln>
            <a:effectLst/>
          </c:spPr>
          <c:marker>
            <c:symbol val="triangle"/>
            <c:size val="5"/>
            <c:spPr>
              <a:noFill/>
              <a:ln w="19050">
                <a:solidFill>
                  <a:schemeClr val="accent4"/>
                </a:solidFill>
                <a:prstDash val="solid"/>
              </a:ln>
              <a:effectLst/>
            </c:spPr>
          </c:marker>
          <c:val>
            <c:numRef>
              <c:f>Summary!$E$119:$E$127</c:f>
              <c:numCache>
                <c:formatCode>0.00%</c:formatCode>
                <c:ptCount val="9"/>
                <c:pt idx="0">
                  <c:v>0.30107526881720426</c:v>
                </c:pt>
                <c:pt idx="1">
                  <c:v>0.29032258064516125</c:v>
                </c:pt>
                <c:pt idx="2">
                  <c:v>0.29032258064516125</c:v>
                </c:pt>
                <c:pt idx="3">
                  <c:v>0.29032258064516125</c:v>
                </c:pt>
                <c:pt idx="4">
                  <c:v>0.25806451612903225</c:v>
                </c:pt>
                <c:pt idx="5">
                  <c:v>0.23655913978494625</c:v>
                </c:pt>
                <c:pt idx="6">
                  <c:v>0.17204301075268813</c:v>
                </c:pt>
                <c:pt idx="7">
                  <c:v>0.12903225806451613</c:v>
                </c:pt>
                <c:pt idx="8">
                  <c:v>8.6021505376344121E-2</c:v>
                </c:pt>
              </c:numCache>
            </c:numRef>
          </c:val>
          <c:smooth val="0"/>
          <c:extLst>
            <c:ext xmlns:c16="http://schemas.microsoft.com/office/drawing/2014/chart" uri="{C3380CC4-5D6E-409C-BE32-E72D297353CC}">
              <c16:uniqueId val="{00000003-CC58-4420-A240-9B66046EC2F2}"/>
            </c:ext>
          </c:extLst>
        </c:ser>
        <c:ser>
          <c:idx val="4"/>
          <c:order val="4"/>
          <c:tx>
            <c:v>PD Other areas</c:v>
          </c:tx>
          <c:spPr>
            <a:ln w="19050" cap="rnd">
              <a:solidFill>
                <a:schemeClr val="accent5"/>
              </a:solidFill>
              <a:prstDash val="dashDot"/>
              <a:round/>
            </a:ln>
            <a:effectLst/>
          </c:spPr>
          <c:marker>
            <c:symbol val="square"/>
            <c:size val="5"/>
            <c:spPr>
              <a:solidFill>
                <a:schemeClr val="accent5"/>
              </a:solidFill>
              <a:ln w="19050">
                <a:solidFill>
                  <a:schemeClr val="accent5"/>
                </a:solidFill>
                <a:prstDash val="dashDot"/>
              </a:ln>
              <a:effectLst/>
            </c:spPr>
          </c:marker>
          <c:val>
            <c:numRef>
              <c:f>Summary!$C$134:$C$142</c:f>
              <c:numCache>
                <c:formatCode>0.0%</c:formatCode>
                <c:ptCount val="9"/>
                <c:pt idx="0">
                  <c:v>0.26229508196721307</c:v>
                </c:pt>
                <c:pt idx="1">
                  <c:v>0.14207650273224048</c:v>
                </c:pt>
                <c:pt idx="2">
                  <c:v>9.8360655737704916E-2</c:v>
                </c:pt>
                <c:pt idx="3">
                  <c:v>4.9180327868852514E-2</c:v>
                </c:pt>
                <c:pt idx="4">
                  <c:v>2.1857923497267784E-2</c:v>
                </c:pt>
                <c:pt idx="5">
                  <c:v>1.0928961748633892E-2</c:v>
                </c:pt>
                <c:pt idx="6">
                  <c:v>0</c:v>
                </c:pt>
                <c:pt idx="7">
                  <c:v>0</c:v>
                </c:pt>
                <c:pt idx="8">
                  <c:v>0</c:v>
                </c:pt>
              </c:numCache>
            </c:numRef>
          </c:val>
          <c:smooth val="0"/>
          <c:extLst>
            <c:ext xmlns:c16="http://schemas.microsoft.com/office/drawing/2014/chart" uri="{C3380CC4-5D6E-409C-BE32-E72D297353CC}">
              <c16:uniqueId val="{00000004-CC58-4420-A240-9B66046EC2F2}"/>
            </c:ext>
          </c:extLst>
        </c:ser>
        <c:ser>
          <c:idx val="5"/>
          <c:order val="5"/>
          <c:tx>
            <c:v>USA Other areas</c:v>
          </c:tx>
          <c:spPr>
            <a:ln w="19050" cap="rnd">
              <a:solidFill>
                <a:schemeClr val="accent6"/>
              </a:solidFill>
              <a:prstDash val="dashDot"/>
              <a:round/>
            </a:ln>
            <a:effectLst/>
          </c:spPr>
          <c:marker>
            <c:symbol val="square"/>
            <c:size val="5"/>
            <c:spPr>
              <a:noFill/>
              <a:ln w="19050">
                <a:solidFill>
                  <a:schemeClr val="accent6"/>
                </a:solidFill>
                <a:prstDash val="solid"/>
              </a:ln>
              <a:effectLst/>
            </c:spPr>
          </c:marker>
          <c:val>
            <c:numRef>
              <c:f>Summary!$E$134:$E$142</c:f>
              <c:numCache>
                <c:formatCode>0.00%</c:formatCode>
                <c:ptCount val="9"/>
                <c:pt idx="0">
                  <c:v>0.34380453752181506</c:v>
                </c:pt>
                <c:pt idx="1">
                  <c:v>0.33856893542757416</c:v>
                </c:pt>
                <c:pt idx="2">
                  <c:v>0.32460732984293195</c:v>
                </c:pt>
                <c:pt idx="3">
                  <c:v>0.31762652705061079</c:v>
                </c:pt>
                <c:pt idx="4">
                  <c:v>0.27225130890052351</c:v>
                </c:pt>
                <c:pt idx="5">
                  <c:v>0.2338568935427574</c:v>
                </c:pt>
                <c:pt idx="6">
                  <c:v>0.20593368237347298</c:v>
                </c:pt>
                <c:pt idx="7">
                  <c:v>0.12041884816753923</c:v>
                </c:pt>
                <c:pt idx="8">
                  <c:v>8.5514834205933643E-2</c:v>
                </c:pt>
              </c:numCache>
            </c:numRef>
          </c:val>
          <c:smooth val="0"/>
          <c:extLst>
            <c:ext xmlns:c16="http://schemas.microsoft.com/office/drawing/2014/chart" uri="{C3380CC4-5D6E-409C-BE32-E72D297353CC}">
              <c16:uniqueId val="{00000005-CC58-4420-A240-9B66046EC2F2}"/>
            </c:ext>
          </c:extLst>
        </c:ser>
        <c:dLbls>
          <c:showLegendKey val="0"/>
          <c:showVal val="0"/>
          <c:showCatName val="0"/>
          <c:showSerName val="0"/>
          <c:showPercent val="0"/>
          <c:showBubbleSize val="0"/>
        </c:dLbls>
        <c:marker val="1"/>
        <c:smooth val="0"/>
        <c:axId val="672865992"/>
        <c:axId val="672867960"/>
      </c:lineChart>
      <c:catAx>
        <c:axId val="672865992"/>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Area damage [m</a:t>
                </a:r>
                <a:r>
                  <a:rPr lang="en-GB" baseline="30000"/>
                  <a:t>2</a:t>
                </a:r>
                <a:r>
                  <a:rPr lang="en-GB"/>
                  <a: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72867960"/>
        <c:crosses val="autoZero"/>
        <c:auto val="1"/>
        <c:lblAlgn val="ctr"/>
        <c:lblOffset val="100"/>
        <c:noMultiLvlLbl val="0"/>
      </c:catAx>
      <c:valAx>
        <c:axId val="672867960"/>
        <c:scaling>
          <c:orientation val="minMax"/>
          <c:max val="0.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 fires exceeding upper limit</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72865992"/>
        <c:crosses val="autoZero"/>
        <c:crossBetween val="between"/>
      </c:valAx>
      <c:spPr>
        <a:noFill/>
        <a:ln>
          <a:noFill/>
        </a:ln>
        <a:effectLst/>
      </c:spPr>
    </c:plotArea>
    <c:legend>
      <c:legendPos val="r"/>
      <c:layout>
        <c:manualLayout>
          <c:xMode val="edge"/>
          <c:yMode val="edge"/>
          <c:x val="0.56103334495967305"/>
          <c:y val="2.0829072220437714E-2"/>
          <c:w val="0.40282489189047377"/>
          <c:h val="0.24189323633333043"/>
        </c:manualLayout>
      </c:layout>
      <c:overlay val="0"/>
      <c:spPr>
        <a:solidFill>
          <a:schemeClr val="bg1">
            <a:alpha val="75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61640419075767"/>
          <c:y val="4.734980080545502E-2"/>
          <c:w val="0.81055030573301612"/>
          <c:h val="0.74103360563942733"/>
        </c:manualLayout>
      </c:layout>
      <c:lineChart>
        <c:grouping val="standard"/>
        <c:varyColors val="0"/>
        <c:ser>
          <c:idx val="0"/>
          <c:order val="0"/>
          <c:tx>
            <c:v>PD Assembly areas</c:v>
          </c:tx>
          <c:spPr>
            <a:ln w="19050" cap="rnd">
              <a:solidFill>
                <a:schemeClr val="accent1"/>
              </a:solidFill>
              <a:round/>
            </a:ln>
            <a:effectLst/>
          </c:spPr>
          <c:marker>
            <c:symbol val="circle"/>
            <c:size val="5"/>
            <c:spPr>
              <a:solidFill>
                <a:schemeClr val="accent1"/>
              </a:solidFill>
              <a:ln w="19050">
                <a:solidFill>
                  <a:schemeClr val="accent1"/>
                </a:solidFill>
              </a:ln>
              <a:effectLst/>
            </c:spPr>
          </c:marker>
          <c:cat>
            <c:strRef>
              <c:f>Summary!$A$104:$A$112</c:f>
              <c:strCache>
                <c:ptCount val="9"/>
                <c:pt idx="0">
                  <c:v>0-1</c:v>
                </c:pt>
                <c:pt idx="1">
                  <c:v>2-4</c:v>
                </c:pt>
                <c:pt idx="2">
                  <c:v>5-9</c:v>
                </c:pt>
                <c:pt idx="3">
                  <c:v>10-19</c:v>
                </c:pt>
                <c:pt idx="4">
                  <c:v>20-49</c:v>
                </c:pt>
                <c:pt idx="5">
                  <c:v>50-99</c:v>
                </c:pt>
                <c:pt idx="6">
                  <c:v>100-199</c:v>
                </c:pt>
                <c:pt idx="7">
                  <c:v>200-499</c:v>
                </c:pt>
                <c:pt idx="8">
                  <c:v>500-999</c:v>
                </c:pt>
              </c:strCache>
            </c:strRef>
          </c:cat>
          <c:val>
            <c:numRef>
              <c:f>Summary!$G$104:$G$112</c:f>
              <c:numCache>
                <c:formatCode>0.0%</c:formatCode>
                <c:ptCount val="9"/>
                <c:pt idx="0">
                  <c:v>0.48860728646277563</c:v>
                </c:pt>
                <c:pt idx="1">
                  <c:v>0.24649689289630805</c:v>
                </c:pt>
                <c:pt idx="2">
                  <c:v>0.17107347386377481</c:v>
                </c:pt>
                <c:pt idx="3">
                  <c:v>0.11465821859388325</c:v>
                </c:pt>
                <c:pt idx="4">
                  <c:v>6.2263921043012038E-2</c:v>
                </c:pt>
                <c:pt idx="5">
                  <c:v>3.5335689045936425E-2</c:v>
                </c:pt>
                <c:pt idx="6">
                  <c:v>1.9861094187888395E-2</c:v>
                </c:pt>
                <c:pt idx="7">
                  <c:v>7.6763738272206394E-3</c:v>
                </c:pt>
                <c:pt idx="8">
                  <c:v>4.1428049226269748E-3</c:v>
                </c:pt>
              </c:numCache>
            </c:numRef>
          </c:val>
          <c:smooth val="0"/>
          <c:extLst>
            <c:ext xmlns:c16="http://schemas.microsoft.com/office/drawing/2014/chart" uri="{C3380CC4-5D6E-409C-BE32-E72D297353CC}">
              <c16:uniqueId val="{00000000-DE9E-464B-9001-3E36C330BA89}"/>
            </c:ext>
          </c:extLst>
        </c:ser>
        <c:ser>
          <c:idx val="1"/>
          <c:order val="1"/>
          <c:tx>
            <c:v>USA Assembly areas</c:v>
          </c:tx>
          <c:spPr>
            <a:ln w="19050" cap="rnd">
              <a:solidFill>
                <a:schemeClr val="accent2"/>
              </a:solidFill>
              <a:round/>
            </a:ln>
            <a:effectLst/>
          </c:spPr>
          <c:marker>
            <c:symbol val="circle"/>
            <c:size val="5"/>
            <c:spPr>
              <a:noFill/>
              <a:ln w="19050">
                <a:solidFill>
                  <a:schemeClr val="accent2"/>
                </a:solidFill>
              </a:ln>
              <a:effectLst/>
            </c:spPr>
          </c:marker>
          <c:cat>
            <c:strRef>
              <c:f>Summary!$A$104:$A$112</c:f>
              <c:strCache>
                <c:ptCount val="9"/>
                <c:pt idx="0">
                  <c:v>0-1</c:v>
                </c:pt>
                <c:pt idx="1">
                  <c:v>2-4</c:v>
                </c:pt>
                <c:pt idx="2">
                  <c:v>5-9</c:v>
                </c:pt>
                <c:pt idx="3">
                  <c:v>10-19</c:v>
                </c:pt>
                <c:pt idx="4">
                  <c:v>20-49</c:v>
                </c:pt>
                <c:pt idx="5">
                  <c:v>50-99</c:v>
                </c:pt>
                <c:pt idx="6">
                  <c:v>100-199</c:v>
                </c:pt>
                <c:pt idx="7">
                  <c:v>200-499</c:v>
                </c:pt>
                <c:pt idx="8">
                  <c:v>500-999</c:v>
                </c:pt>
              </c:strCache>
            </c:strRef>
          </c:cat>
          <c:val>
            <c:numRef>
              <c:f>Summary!$I$104:$I$112</c:f>
              <c:numCache>
                <c:formatCode>0.00%</c:formatCode>
                <c:ptCount val="9"/>
                <c:pt idx="0">
                  <c:v>0.58241758241758235</c:v>
                </c:pt>
                <c:pt idx="1">
                  <c:v>0.58241758241758235</c:v>
                </c:pt>
                <c:pt idx="2">
                  <c:v>0.56043956043956045</c:v>
                </c:pt>
                <c:pt idx="3">
                  <c:v>0.53846153846153844</c:v>
                </c:pt>
                <c:pt idx="4">
                  <c:v>0.40659340659340659</c:v>
                </c:pt>
                <c:pt idx="5">
                  <c:v>0.2857142857142857</c:v>
                </c:pt>
                <c:pt idx="6">
                  <c:v>0.21978021978021978</c:v>
                </c:pt>
                <c:pt idx="7">
                  <c:v>6.5934065934065922E-2</c:v>
                </c:pt>
                <c:pt idx="8">
                  <c:v>4.3956043956043911E-2</c:v>
                </c:pt>
              </c:numCache>
            </c:numRef>
          </c:val>
          <c:smooth val="0"/>
          <c:extLst>
            <c:ext xmlns:c16="http://schemas.microsoft.com/office/drawing/2014/chart" uri="{C3380CC4-5D6E-409C-BE32-E72D297353CC}">
              <c16:uniqueId val="{00000001-DE9E-464B-9001-3E36C330BA89}"/>
            </c:ext>
          </c:extLst>
        </c:ser>
        <c:ser>
          <c:idx val="2"/>
          <c:order val="2"/>
          <c:tx>
            <c:v>PD Storage areas</c:v>
          </c:tx>
          <c:spPr>
            <a:ln w="19050" cap="rnd">
              <a:solidFill>
                <a:schemeClr val="accent3"/>
              </a:solidFill>
              <a:prstDash val="sysDash"/>
              <a:round/>
            </a:ln>
            <a:effectLst/>
          </c:spPr>
          <c:marker>
            <c:symbol val="triangle"/>
            <c:size val="5"/>
            <c:spPr>
              <a:solidFill>
                <a:schemeClr val="accent3"/>
              </a:solidFill>
              <a:ln w="19050">
                <a:solidFill>
                  <a:schemeClr val="accent3"/>
                </a:solidFill>
                <a:prstDash val="solid"/>
              </a:ln>
              <a:effectLst/>
            </c:spPr>
          </c:marker>
          <c:val>
            <c:numRef>
              <c:f>Summary!$G$119:$G$127</c:f>
              <c:numCache>
                <c:formatCode>0.0%</c:formatCode>
                <c:ptCount val="9"/>
                <c:pt idx="0">
                  <c:v>0.6736003110419907</c:v>
                </c:pt>
                <c:pt idx="1">
                  <c:v>0.41971228615863143</c:v>
                </c:pt>
                <c:pt idx="2">
                  <c:v>0.2793545878693624</c:v>
                </c:pt>
                <c:pt idx="3">
                  <c:v>0.17379471228615861</c:v>
                </c:pt>
                <c:pt idx="4">
                  <c:v>8.1259720062208385E-2</c:v>
                </c:pt>
                <c:pt idx="5">
                  <c:v>4.6850699844478982E-2</c:v>
                </c:pt>
                <c:pt idx="6">
                  <c:v>2.4300155520995292E-2</c:v>
                </c:pt>
                <c:pt idx="7">
                  <c:v>9.9144634525660802E-3</c:v>
                </c:pt>
                <c:pt idx="8">
                  <c:v>5.2488335925350293E-3</c:v>
                </c:pt>
              </c:numCache>
            </c:numRef>
          </c:val>
          <c:smooth val="0"/>
          <c:extLst>
            <c:ext xmlns:c16="http://schemas.microsoft.com/office/drawing/2014/chart" uri="{C3380CC4-5D6E-409C-BE32-E72D297353CC}">
              <c16:uniqueId val="{00000002-DE9E-464B-9001-3E36C330BA89}"/>
            </c:ext>
          </c:extLst>
        </c:ser>
        <c:ser>
          <c:idx val="3"/>
          <c:order val="3"/>
          <c:tx>
            <c:v>USA Storage areas</c:v>
          </c:tx>
          <c:spPr>
            <a:ln w="19050" cap="rnd">
              <a:solidFill>
                <a:schemeClr val="accent4"/>
              </a:solidFill>
              <a:prstDash val="sysDash"/>
              <a:round/>
            </a:ln>
            <a:effectLst/>
          </c:spPr>
          <c:marker>
            <c:symbol val="triangle"/>
            <c:size val="5"/>
            <c:spPr>
              <a:noFill/>
              <a:ln w="19050">
                <a:solidFill>
                  <a:schemeClr val="accent4"/>
                </a:solidFill>
                <a:prstDash val="solid"/>
              </a:ln>
              <a:effectLst/>
            </c:spPr>
          </c:marker>
          <c:val>
            <c:numRef>
              <c:f>Summary!$I$119:$I$127</c:f>
              <c:numCache>
                <c:formatCode>0.00%</c:formatCode>
                <c:ptCount val="9"/>
                <c:pt idx="0">
                  <c:v>0.58849557522123896</c:v>
                </c:pt>
                <c:pt idx="1">
                  <c:v>0.57964601769911506</c:v>
                </c:pt>
                <c:pt idx="2">
                  <c:v>0.55752212389380529</c:v>
                </c:pt>
                <c:pt idx="3">
                  <c:v>0.51769911504424782</c:v>
                </c:pt>
                <c:pt idx="4">
                  <c:v>0.4247787610619469</c:v>
                </c:pt>
                <c:pt idx="5">
                  <c:v>0.31858407079646023</c:v>
                </c:pt>
                <c:pt idx="6">
                  <c:v>0.2168141592920354</c:v>
                </c:pt>
                <c:pt idx="7">
                  <c:v>9.2920353982300918E-2</c:v>
                </c:pt>
                <c:pt idx="8">
                  <c:v>3.9823008849557473E-2</c:v>
                </c:pt>
              </c:numCache>
            </c:numRef>
          </c:val>
          <c:smooth val="0"/>
          <c:extLst>
            <c:ext xmlns:c16="http://schemas.microsoft.com/office/drawing/2014/chart" uri="{C3380CC4-5D6E-409C-BE32-E72D297353CC}">
              <c16:uniqueId val="{00000003-DE9E-464B-9001-3E36C330BA89}"/>
            </c:ext>
          </c:extLst>
        </c:ser>
        <c:ser>
          <c:idx val="4"/>
          <c:order val="4"/>
          <c:tx>
            <c:v>PD Other areas</c:v>
          </c:tx>
          <c:spPr>
            <a:ln w="19050" cap="rnd">
              <a:solidFill>
                <a:schemeClr val="accent5"/>
              </a:solidFill>
              <a:prstDash val="dashDot"/>
              <a:round/>
            </a:ln>
            <a:effectLst/>
          </c:spPr>
          <c:marker>
            <c:symbol val="square"/>
            <c:size val="5"/>
            <c:spPr>
              <a:solidFill>
                <a:schemeClr val="accent5"/>
              </a:solidFill>
              <a:ln w="19050">
                <a:solidFill>
                  <a:schemeClr val="accent5"/>
                </a:solidFill>
                <a:prstDash val="solid"/>
              </a:ln>
              <a:effectLst/>
            </c:spPr>
          </c:marker>
          <c:val>
            <c:numRef>
              <c:f>Summary!$G$134:$G$142</c:f>
              <c:numCache>
                <c:formatCode>0.0%</c:formatCode>
                <c:ptCount val="9"/>
                <c:pt idx="0">
                  <c:v>0.43480678343063661</c:v>
                </c:pt>
                <c:pt idx="1">
                  <c:v>0.20711704197942726</c:v>
                </c:pt>
                <c:pt idx="2">
                  <c:v>0.13900472616068948</c:v>
                </c:pt>
                <c:pt idx="3">
                  <c:v>8.2846816791770972E-2</c:v>
                </c:pt>
                <c:pt idx="4">
                  <c:v>3.7948290241868188E-2</c:v>
                </c:pt>
                <c:pt idx="5">
                  <c:v>2.0155685293299919E-2</c:v>
                </c:pt>
                <c:pt idx="6">
                  <c:v>1.0703363914373099E-2</c:v>
                </c:pt>
                <c:pt idx="7">
                  <c:v>2.7800945232138163E-3</c:v>
                </c:pt>
                <c:pt idx="8">
                  <c:v>6.9502363080342633E-4</c:v>
                </c:pt>
              </c:numCache>
            </c:numRef>
          </c:val>
          <c:smooth val="0"/>
          <c:extLst>
            <c:ext xmlns:c16="http://schemas.microsoft.com/office/drawing/2014/chart" uri="{C3380CC4-5D6E-409C-BE32-E72D297353CC}">
              <c16:uniqueId val="{00000004-DE9E-464B-9001-3E36C330BA89}"/>
            </c:ext>
          </c:extLst>
        </c:ser>
        <c:ser>
          <c:idx val="5"/>
          <c:order val="5"/>
          <c:tx>
            <c:v>USA Other areas</c:v>
          </c:tx>
          <c:spPr>
            <a:ln w="19050" cap="rnd">
              <a:solidFill>
                <a:schemeClr val="accent6"/>
              </a:solidFill>
              <a:prstDash val="dashDot"/>
              <a:round/>
            </a:ln>
            <a:effectLst/>
          </c:spPr>
          <c:marker>
            <c:symbol val="square"/>
            <c:size val="5"/>
            <c:spPr>
              <a:noFill/>
              <a:ln w="19050">
                <a:solidFill>
                  <a:schemeClr val="accent6"/>
                </a:solidFill>
                <a:prstDash val="solid"/>
              </a:ln>
              <a:effectLst/>
            </c:spPr>
          </c:marker>
          <c:val>
            <c:numRef>
              <c:f>Summary!$I$134:$I$142</c:f>
              <c:numCache>
                <c:formatCode>0.00%</c:formatCode>
                <c:ptCount val="9"/>
                <c:pt idx="0">
                  <c:v>0.47665369649805445</c:v>
                </c:pt>
                <c:pt idx="1">
                  <c:v>0.47081712062256809</c:v>
                </c:pt>
                <c:pt idx="2">
                  <c:v>0.45914396887159536</c:v>
                </c:pt>
                <c:pt idx="3">
                  <c:v>0.43060959792477305</c:v>
                </c:pt>
                <c:pt idx="4">
                  <c:v>0.33722438391699094</c:v>
                </c:pt>
                <c:pt idx="5">
                  <c:v>0.24254215304798965</c:v>
                </c:pt>
                <c:pt idx="6">
                  <c:v>0.1562905317769131</c:v>
                </c:pt>
                <c:pt idx="7">
                  <c:v>7.0038910505836549E-2</c:v>
                </c:pt>
                <c:pt idx="8">
                  <c:v>2.7885862516212723E-2</c:v>
                </c:pt>
              </c:numCache>
            </c:numRef>
          </c:val>
          <c:smooth val="0"/>
          <c:extLst>
            <c:ext xmlns:c16="http://schemas.microsoft.com/office/drawing/2014/chart" uri="{C3380CC4-5D6E-409C-BE32-E72D297353CC}">
              <c16:uniqueId val="{00000005-DE9E-464B-9001-3E36C330BA89}"/>
            </c:ext>
          </c:extLst>
        </c:ser>
        <c:dLbls>
          <c:showLegendKey val="0"/>
          <c:showVal val="0"/>
          <c:showCatName val="0"/>
          <c:showSerName val="0"/>
          <c:showPercent val="0"/>
          <c:showBubbleSize val="0"/>
        </c:dLbls>
        <c:marker val="1"/>
        <c:smooth val="0"/>
        <c:axId val="672580032"/>
        <c:axId val="672582984"/>
      </c:lineChart>
      <c:catAx>
        <c:axId val="672580032"/>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Area damage [m</a:t>
                </a:r>
                <a:r>
                  <a:rPr lang="en-GB" baseline="30000"/>
                  <a:t>2</a:t>
                </a:r>
                <a:r>
                  <a:rPr lang="en-GB"/>
                  <a: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72582984"/>
        <c:crosses val="autoZero"/>
        <c:auto val="1"/>
        <c:lblAlgn val="ctr"/>
        <c:lblOffset val="100"/>
        <c:noMultiLvlLbl val="0"/>
      </c:catAx>
      <c:valAx>
        <c:axId val="67258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 fires exceeding upper limit</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72580032"/>
        <c:crosses val="autoZero"/>
        <c:crossBetween val="between"/>
      </c:valAx>
      <c:spPr>
        <a:noFill/>
        <a:ln>
          <a:noFill/>
        </a:ln>
        <a:effectLst/>
      </c:spPr>
    </c:plotArea>
    <c:legend>
      <c:legendPos val="r"/>
      <c:layout>
        <c:manualLayout>
          <c:xMode val="edge"/>
          <c:yMode val="edge"/>
          <c:x val="0.57022134287310522"/>
          <c:y val="2.8114837354261256E-2"/>
          <c:w val="0.40658627001299469"/>
          <c:h val="0.24128762295010805"/>
        </c:manualLayout>
      </c:layout>
      <c:overlay val="0"/>
      <c:spPr>
        <a:solidFill>
          <a:schemeClr val="bg1">
            <a:alpha val="75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037671311494226"/>
          <c:y val="5.0925925925925923E-2"/>
          <c:w val="0.78586143568788591"/>
          <c:h val="0.74801586957087929"/>
        </c:manualLayout>
      </c:layout>
      <c:lineChart>
        <c:grouping val="standard"/>
        <c:varyColors val="0"/>
        <c:ser>
          <c:idx val="1"/>
          <c:order val="0"/>
          <c:tx>
            <c:v>USA Assembly areas</c:v>
          </c:tx>
          <c:spPr>
            <a:ln w="19050" cap="rnd">
              <a:solidFill>
                <a:schemeClr val="accent2"/>
              </a:solidFill>
              <a:round/>
            </a:ln>
            <a:effectLst/>
          </c:spPr>
          <c:marker>
            <c:symbol val="circle"/>
            <c:size val="5"/>
            <c:spPr>
              <a:noFill/>
              <a:ln w="19050">
                <a:solidFill>
                  <a:schemeClr val="accent2"/>
                </a:solidFill>
              </a:ln>
              <a:effectLst/>
            </c:spPr>
          </c:marker>
          <c:cat>
            <c:strRef>
              <c:f>Summary!$A$132:$A$140</c:f>
              <c:strCache>
                <c:ptCount val="9"/>
                <c:pt idx="0">
                  <c:v>0-1</c:v>
                </c:pt>
                <c:pt idx="1">
                  <c:v>2-4</c:v>
                </c:pt>
                <c:pt idx="2">
                  <c:v>5-9</c:v>
                </c:pt>
                <c:pt idx="3">
                  <c:v>10-19</c:v>
                </c:pt>
                <c:pt idx="4">
                  <c:v>20-49</c:v>
                </c:pt>
                <c:pt idx="5">
                  <c:v>50-99</c:v>
                </c:pt>
                <c:pt idx="6">
                  <c:v>100-199</c:v>
                </c:pt>
                <c:pt idx="7">
                  <c:v>200-499</c:v>
                </c:pt>
                <c:pt idx="8">
                  <c:v>500-999</c:v>
                </c:pt>
              </c:strCache>
            </c:strRef>
          </c:cat>
          <c:val>
            <c:numRef>
              <c:f>Summary!$E$102:$E$110</c:f>
              <c:numCache>
                <c:formatCode>0.00%</c:formatCode>
                <c:ptCount val="9"/>
                <c:pt idx="0">
                  <c:v>0.375</c:v>
                </c:pt>
                <c:pt idx="1">
                  <c:v>0.25</c:v>
                </c:pt>
                <c:pt idx="2">
                  <c:v>0.25</c:v>
                </c:pt>
                <c:pt idx="3">
                  <c:v>0.125</c:v>
                </c:pt>
                <c:pt idx="4">
                  <c:v>0.125</c:v>
                </c:pt>
                <c:pt idx="5">
                  <c:v>0.125</c:v>
                </c:pt>
                <c:pt idx="6">
                  <c:v>0.125</c:v>
                </c:pt>
                <c:pt idx="7">
                  <c:v>0</c:v>
                </c:pt>
                <c:pt idx="8">
                  <c:v>0</c:v>
                </c:pt>
              </c:numCache>
            </c:numRef>
          </c:val>
          <c:smooth val="0"/>
          <c:extLst>
            <c:ext xmlns:c16="http://schemas.microsoft.com/office/drawing/2014/chart" uri="{C3380CC4-5D6E-409C-BE32-E72D297353CC}">
              <c16:uniqueId val="{00000000-9A85-4782-A49D-56BCE4467F4A}"/>
            </c:ext>
          </c:extLst>
        </c:ser>
        <c:ser>
          <c:idx val="3"/>
          <c:order val="1"/>
          <c:tx>
            <c:v>USA Bedrooms</c:v>
          </c:tx>
          <c:spPr>
            <a:ln w="19050" cap="rnd">
              <a:solidFill>
                <a:schemeClr val="accent4"/>
              </a:solidFill>
              <a:prstDash val="sysDash"/>
              <a:round/>
            </a:ln>
            <a:effectLst/>
          </c:spPr>
          <c:marker>
            <c:symbol val="triangle"/>
            <c:size val="5"/>
            <c:spPr>
              <a:noFill/>
              <a:ln w="19050">
                <a:solidFill>
                  <a:schemeClr val="accent4"/>
                </a:solidFill>
                <a:prstDash val="solid"/>
              </a:ln>
              <a:effectLst/>
            </c:spPr>
          </c:marker>
          <c:cat>
            <c:strRef>
              <c:f>Summary!$A$132:$A$140</c:f>
              <c:strCache>
                <c:ptCount val="9"/>
                <c:pt idx="0">
                  <c:v>0-1</c:v>
                </c:pt>
                <c:pt idx="1">
                  <c:v>2-4</c:v>
                </c:pt>
                <c:pt idx="2">
                  <c:v>5-9</c:v>
                </c:pt>
                <c:pt idx="3">
                  <c:v>10-19</c:v>
                </c:pt>
                <c:pt idx="4">
                  <c:v>20-49</c:v>
                </c:pt>
                <c:pt idx="5">
                  <c:v>50-99</c:v>
                </c:pt>
                <c:pt idx="6">
                  <c:v>100-199</c:v>
                </c:pt>
                <c:pt idx="7">
                  <c:v>200-499</c:v>
                </c:pt>
                <c:pt idx="8">
                  <c:v>500-999</c:v>
                </c:pt>
              </c:strCache>
            </c:strRef>
          </c:cat>
          <c:val>
            <c:numRef>
              <c:f>Summary!$E$117:$E$125</c:f>
              <c:numCache>
                <c:formatCode>0.00%</c:formatCode>
                <c:ptCount val="9"/>
                <c:pt idx="0">
                  <c:v>0.34090909090909094</c:v>
                </c:pt>
                <c:pt idx="1">
                  <c:v>0.31818181818181823</c:v>
                </c:pt>
                <c:pt idx="2">
                  <c:v>0.29545454545454541</c:v>
                </c:pt>
                <c:pt idx="3">
                  <c:v>0.25</c:v>
                </c:pt>
                <c:pt idx="4">
                  <c:v>0.25</c:v>
                </c:pt>
                <c:pt idx="5">
                  <c:v>0.22727272727272729</c:v>
                </c:pt>
                <c:pt idx="6">
                  <c:v>0.20454545454545459</c:v>
                </c:pt>
                <c:pt idx="7">
                  <c:v>0.13636363636363635</c:v>
                </c:pt>
                <c:pt idx="8">
                  <c:v>4.5454545454545414E-2</c:v>
                </c:pt>
              </c:numCache>
            </c:numRef>
          </c:val>
          <c:smooth val="0"/>
          <c:extLst>
            <c:ext xmlns:c16="http://schemas.microsoft.com/office/drawing/2014/chart" uri="{C3380CC4-5D6E-409C-BE32-E72D297353CC}">
              <c16:uniqueId val="{00000001-9A85-4782-A49D-56BCE4467F4A}"/>
            </c:ext>
          </c:extLst>
        </c:ser>
        <c:ser>
          <c:idx val="4"/>
          <c:order val="2"/>
          <c:tx>
            <c:v>PD Storage and Other areas</c:v>
          </c:tx>
          <c:spPr>
            <a:ln w="19050" cap="rnd">
              <a:solidFill>
                <a:schemeClr val="accent5"/>
              </a:solidFill>
              <a:prstDash val="dashDot"/>
              <a:round/>
            </a:ln>
            <a:effectLst/>
          </c:spPr>
          <c:marker>
            <c:symbol val="square"/>
            <c:size val="5"/>
            <c:spPr>
              <a:solidFill>
                <a:schemeClr val="accent5"/>
              </a:solidFill>
              <a:ln w="19050">
                <a:solidFill>
                  <a:schemeClr val="accent5"/>
                </a:solidFill>
                <a:prstDash val="solid"/>
              </a:ln>
              <a:effectLst/>
            </c:spPr>
          </c:marker>
          <c:cat>
            <c:strRef>
              <c:f>Summary!$A$132:$A$140</c:f>
              <c:strCache>
                <c:ptCount val="9"/>
                <c:pt idx="0">
                  <c:v>0-1</c:v>
                </c:pt>
                <c:pt idx="1">
                  <c:v>2-4</c:v>
                </c:pt>
                <c:pt idx="2">
                  <c:v>5-9</c:v>
                </c:pt>
                <c:pt idx="3">
                  <c:v>10-19</c:v>
                </c:pt>
                <c:pt idx="4">
                  <c:v>20-49</c:v>
                </c:pt>
                <c:pt idx="5">
                  <c:v>50-99</c:v>
                </c:pt>
                <c:pt idx="6">
                  <c:v>100-199</c:v>
                </c:pt>
                <c:pt idx="7">
                  <c:v>200-499</c:v>
                </c:pt>
                <c:pt idx="8">
                  <c:v>500-999</c:v>
                </c:pt>
              </c:strCache>
            </c:strRef>
          </c:cat>
          <c:val>
            <c:numRef>
              <c:f>Summary!$C$132:$C$140</c:f>
              <c:numCache>
                <c:formatCode>0.0%</c:formatCode>
                <c:ptCount val="9"/>
                <c:pt idx="0">
                  <c:v>0.11428571428571432</c:v>
                </c:pt>
                <c:pt idx="1">
                  <c:v>5.7142857142857162E-2</c:v>
                </c:pt>
                <c:pt idx="2">
                  <c:v>2.8571428571428581E-2</c:v>
                </c:pt>
                <c:pt idx="3">
                  <c:v>0</c:v>
                </c:pt>
                <c:pt idx="4">
                  <c:v>0</c:v>
                </c:pt>
                <c:pt idx="5">
                  <c:v>0</c:v>
                </c:pt>
                <c:pt idx="6">
                  <c:v>0</c:v>
                </c:pt>
                <c:pt idx="7">
                  <c:v>0</c:v>
                </c:pt>
                <c:pt idx="8">
                  <c:v>0</c:v>
                </c:pt>
              </c:numCache>
            </c:numRef>
          </c:val>
          <c:smooth val="0"/>
          <c:extLst>
            <c:ext xmlns:c16="http://schemas.microsoft.com/office/drawing/2014/chart" uri="{C3380CC4-5D6E-409C-BE32-E72D297353CC}">
              <c16:uniqueId val="{00000002-9A85-4782-A49D-56BCE4467F4A}"/>
            </c:ext>
          </c:extLst>
        </c:ser>
        <c:ser>
          <c:idx val="5"/>
          <c:order val="3"/>
          <c:tx>
            <c:v>USA Storage and Other areas</c:v>
          </c:tx>
          <c:spPr>
            <a:ln w="19050" cap="rnd">
              <a:solidFill>
                <a:schemeClr val="accent6"/>
              </a:solidFill>
              <a:prstDash val="dashDot"/>
              <a:round/>
            </a:ln>
            <a:effectLst/>
          </c:spPr>
          <c:marker>
            <c:symbol val="square"/>
            <c:size val="5"/>
            <c:spPr>
              <a:noFill/>
              <a:ln w="19050">
                <a:solidFill>
                  <a:schemeClr val="accent6"/>
                </a:solidFill>
                <a:prstDash val="solid"/>
              </a:ln>
              <a:effectLst/>
            </c:spPr>
          </c:marker>
          <c:cat>
            <c:strRef>
              <c:f>Summary!$A$132:$A$140</c:f>
              <c:strCache>
                <c:ptCount val="9"/>
                <c:pt idx="0">
                  <c:v>0-1</c:v>
                </c:pt>
                <c:pt idx="1">
                  <c:v>2-4</c:v>
                </c:pt>
                <c:pt idx="2">
                  <c:v>5-9</c:v>
                </c:pt>
                <c:pt idx="3">
                  <c:v>10-19</c:v>
                </c:pt>
                <c:pt idx="4">
                  <c:v>20-49</c:v>
                </c:pt>
                <c:pt idx="5">
                  <c:v>50-99</c:v>
                </c:pt>
                <c:pt idx="6">
                  <c:v>100-199</c:v>
                </c:pt>
                <c:pt idx="7">
                  <c:v>200-499</c:v>
                </c:pt>
                <c:pt idx="8">
                  <c:v>500-999</c:v>
                </c:pt>
              </c:strCache>
            </c:strRef>
          </c:cat>
          <c:val>
            <c:numRef>
              <c:f>Summary!$E$132:$E$140</c:f>
              <c:numCache>
                <c:formatCode>0.00%</c:formatCode>
                <c:ptCount val="9"/>
                <c:pt idx="0">
                  <c:v>0.31764705882352939</c:v>
                </c:pt>
                <c:pt idx="1">
                  <c:v>0.30196078431372553</c:v>
                </c:pt>
                <c:pt idx="2">
                  <c:v>0.27450980392156865</c:v>
                </c:pt>
                <c:pt idx="3">
                  <c:v>0.26274509803921564</c:v>
                </c:pt>
                <c:pt idx="4">
                  <c:v>0.25490196078431371</c:v>
                </c:pt>
                <c:pt idx="5">
                  <c:v>0.23921568627450984</c:v>
                </c:pt>
                <c:pt idx="6">
                  <c:v>0.22352941176470587</c:v>
                </c:pt>
                <c:pt idx="7">
                  <c:v>0.15294117647058825</c:v>
                </c:pt>
                <c:pt idx="8">
                  <c:v>8.2352941176470629E-2</c:v>
                </c:pt>
              </c:numCache>
            </c:numRef>
          </c:val>
          <c:smooth val="0"/>
          <c:extLst>
            <c:ext xmlns:c16="http://schemas.microsoft.com/office/drawing/2014/chart" uri="{C3380CC4-5D6E-409C-BE32-E72D297353CC}">
              <c16:uniqueId val="{00000003-9A85-4782-A49D-56BCE4467F4A}"/>
            </c:ext>
          </c:extLst>
        </c:ser>
        <c:dLbls>
          <c:showLegendKey val="0"/>
          <c:showVal val="0"/>
          <c:showCatName val="0"/>
          <c:showSerName val="0"/>
          <c:showPercent val="0"/>
          <c:showBubbleSize val="0"/>
        </c:dLbls>
        <c:marker val="1"/>
        <c:smooth val="0"/>
        <c:axId val="672549528"/>
        <c:axId val="672542640"/>
      </c:lineChart>
      <c:catAx>
        <c:axId val="672549528"/>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Area damage [m</a:t>
                </a:r>
                <a:r>
                  <a:rPr lang="en-GB" baseline="30000"/>
                  <a:t>2</a:t>
                </a:r>
                <a:r>
                  <a:rPr lang="en-GB"/>
                  <a: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72542640"/>
        <c:crosses val="autoZero"/>
        <c:auto val="1"/>
        <c:lblAlgn val="ctr"/>
        <c:lblOffset val="100"/>
        <c:noMultiLvlLbl val="0"/>
      </c:catAx>
      <c:valAx>
        <c:axId val="672542640"/>
        <c:scaling>
          <c:orientation val="minMax"/>
          <c:max val="0.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 fires exceeding upper limit</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72549528"/>
        <c:crosses val="autoZero"/>
        <c:crossBetween val="between"/>
      </c:valAx>
      <c:spPr>
        <a:noFill/>
        <a:ln>
          <a:noFill/>
        </a:ln>
        <a:effectLst/>
      </c:spPr>
    </c:plotArea>
    <c:legend>
      <c:legendPos val="r"/>
      <c:layout>
        <c:manualLayout>
          <c:xMode val="edge"/>
          <c:yMode val="edge"/>
          <c:x val="0.45602340139828396"/>
          <c:y val="2.2785261598397767E-3"/>
          <c:w val="0.53128833219642124"/>
          <c:h val="0.18087664620753716"/>
        </c:manualLayout>
      </c:layout>
      <c:overlay val="0"/>
      <c:spPr>
        <a:solidFill>
          <a:schemeClr val="bg1">
            <a:alpha val="75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45550764406114"/>
          <c:y val="4.262362596954334E-2"/>
          <c:w val="0.82877086953703516"/>
          <c:h val="0.75631805120280593"/>
        </c:manualLayout>
      </c:layout>
      <c:lineChart>
        <c:grouping val="standard"/>
        <c:varyColors val="0"/>
        <c:ser>
          <c:idx val="0"/>
          <c:order val="0"/>
          <c:tx>
            <c:v>PD Assembly areas</c:v>
          </c:tx>
          <c:spPr>
            <a:ln w="19050" cap="rnd">
              <a:solidFill>
                <a:schemeClr val="accent1"/>
              </a:solidFill>
              <a:round/>
            </a:ln>
            <a:effectLst/>
          </c:spPr>
          <c:marker>
            <c:symbol val="circle"/>
            <c:size val="5"/>
            <c:spPr>
              <a:solidFill>
                <a:schemeClr val="accent1"/>
              </a:solidFill>
              <a:ln w="19050">
                <a:solidFill>
                  <a:schemeClr val="accent1"/>
                </a:solidFill>
              </a:ln>
              <a:effectLst/>
            </c:spPr>
          </c:marker>
          <c:cat>
            <c:strRef>
              <c:f>Summary!$A$132:$A$140</c:f>
              <c:strCache>
                <c:ptCount val="9"/>
                <c:pt idx="0">
                  <c:v>0-1</c:v>
                </c:pt>
                <c:pt idx="1">
                  <c:v>2-4</c:v>
                </c:pt>
                <c:pt idx="2">
                  <c:v>5-9</c:v>
                </c:pt>
                <c:pt idx="3">
                  <c:v>10-19</c:v>
                </c:pt>
                <c:pt idx="4">
                  <c:v>20-49</c:v>
                </c:pt>
                <c:pt idx="5">
                  <c:v>50-99</c:v>
                </c:pt>
                <c:pt idx="6">
                  <c:v>100-199</c:v>
                </c:pt>
                <c:pt idx="7">
                  <c:v>200-499</c:v>
                </c:pt>
                <c:pt idx="8">
                  <c:v>500-999</c:v>
                </c:pt>
              </c:strCache>
            </c:strRef>
          </c:cat>
          <c:val>
            <c:numRef>
              <c:f>Summary!$G$102:$G$110</c:f>
              <c:numCache>
                <c:formatCode>0.0%</c:formatCode>
                <c:ptCount val="9"/>
                <c:pt idx="0">
                  <c:v>0.38030888030888033</c:v>
                </c:pt>
                <c:pt idx="1">
                  <c:v>0.23359073359073357</c:v>
                </c:pt>
                <c:pt idx="2">
                  <c:v>0.17374517374517373</c:v>
                </c:pt>
                <c:pt idx="3">
                  <c:v>0.14092664092664098</c:v>
                </c:pt>
                <c:pt idx="4">
                  <c:v>8.3011583011582957E-2</c:v>
                </c:pt>
                <c:pt idx="5">
                  <c:v>6.370656370656369E-2</c:v>
                </c:pt>
                <c:pt idx="6">
                  <c:v>3.8610038610038644E-2</c:v>
                </c:pt>
                <c:pt idx="7">
                  <c:v>1.3513513513513487E-2</c:v>
                </c:pt>
                <c:pt idx="8">
                  <c:v>1.9305019305019266E-3</c:v>
                </c:pt>
              </c:numCache>
            </c:numRef>
          </c:val>
          <c:smooth val="0"/>
          <c:extLst>
            <c:ext xmlns:c16="http://schemas.microsoft.com/office/drawing/2014/chart" uri="{C3380CC4-5D6E-409C-BE32-E72D297353CC}">
              <c16:uniqueId val="{00000000-DB8E-40A4-AB34-6B1C3838A79B}"/>
            </c:ext>
          </c:extLst>
        </c:ser>
        <c:ser>
          <c:idx val="1"/>
          <c:order val="1"/>
          <c:tx>
            <c:v>USA Assembly areas</c:v>
          </c:tx>
          <c:spPr>
            <a:ln w="19050" cap="rnd">
              <a:solidFill>
                <a:schemeClr val="accent2"/>
              </a:solidFill>
              <a:round/>
            </a:ln>
            <a:effectLst/>
          </c:spPr>
          <c:marker>
            <c:symbol val="circle"/>
            <c:size val="5"/>
            <c:spPr>
              <a:noFill/>
              <a:ln w="19050">
                <a:solidFill>
                  <a:schemeClr val="accent2"/>
                </a:solidFill>
              </a:ln>
              <a:effectLst/>
            </c:spPr>
          </c:marker>
          <c:cat>
            <c:strRef>
              <c:f>Summary!$A$132:$A$140</c:f>
              <c:strCache>
                <c:ptCount val="9"/>
                <c:pt idx="0">
                  <c:v>0-1</c:v>
                </c:pt>
                <c:pt idx="1">
                  <c:v>2-4</c:v>
                </c:pt>
                <c:pt idx="2">
                  <c:v>5-9</c:v>
                </c:pt>
                <c:pt idx="3">
                  <c:v>10-19</c:v>
                </c:pt>
                <c:pt idx="4">
                  <c:v>20-49</c:v>
                </c:pt>
                <c:pt idx="5">
                  <c:v>50-99</c:v>
                </c:pt>
                <c:pt idx="6">
                  <c:v>100-199</c:v>
                </c:pt>
                <c:pt idx="7">
                  <c:v>200-499</c:v>
                </c:pt>
                <c:pt idx="8">
                  <c:v>500-999</c:v>
                </c:pt>
              </c:strCache>
            </c:strRef>
          </c:cat>
          <c:val>
            <c:numRef>
              <c:f>Summary!$I$102:$I$110</c:f>
              <c:numCache>
                <c:formatCode>0.00%</c:formatCode>
                <c:ptCount val="9"/>
                <c:pt idx="0">
                  <c:v>0.66666666666666674</c:v>
                </c:pt>
                <c:pt idx="1">
                  <c:v>0.66666666666666674</c:v>
                </c:pt>
                <c:pt idx="2">
                  <c:v>0.66666666666666674</c:v>
                </c:pt>
                <c:pt idx="3">
                  <c:v>0.58333333333333326</c:v>
                </c:pt>
                <c:pt idx="4">
                  <c:v>0.58333333333333326</c:v>
                </c:pt>
                <c:pt idx="5">
                  <c:v>0.5</c:v>
                </c:pt>
                <c:pt idx="6">
                  <c:v>0.41666666666666663</c:v>
                </c:pt>
                <c:pt idx="7">
                  <c:v>8.333333333333337E-2</c:v>
                </c:pt>
                <c:pt idx="8">
                  <c:v>8.333333333333337E-2</c:v>
                </c:pt>
              </c:numCache>
            </c:numRef>
          </c:val>
          <c:smooth val="0"/>
          <c:extLst>
            <c:ext xmlns:c16="http://schemas.microsoft.com/office/drawing/2014/chart" uri="{C3380CC4-5D6E-409C-BE32-E72D297353CC}">
              <c16:uniqueId val="{00000001-DB8E-40A4-AB34-6B1C3838A79B}"/>
            </c:ext>
          </c:extLst>
        </c:ser>
        <c:ser>
          <c:idx val="2"/>
          <c:order val="2"/>
          <c:tx>
            <c:v>PD Bedrooms</c:v>
          </c:tx>
          <c:spPr>
            <a:ln w="19050" cap="rnd">
              <a:solidFill>
                <a:schemeClr val="accent3"/>
              </a:solidFill>
              <a:prstDash val="sysDash"/>
              <a:round/>
            </a:ln>
            <a:effectLst/>
          </c:spPr>
          <c:marker>
            <c:symbol val="triangle"/>
            <c:size val="5"/>
            <c:spPr>
              <a:solidFill>
                <a:schemeClr val="accent3"/>
              </a:solidFill>
              <a:ln w="19050">
                <a:solidFill>
                  <a:schemeClr val="accent3"/>
                </a:solidFill>
                <a:prstDash val="solid"/>
              </a:ln>
              <a:effectLst/>
            </c:spPr>
          </c:marker>
          <c:cat>
            <c:strRef>
              <c:f>Summary!$A$132:$A$140</c:f>
              <c:strCache>
                <c:ptCount val="9"/>
                <c:pt idx="0">
                  <c:v>0-1</c:v>
                </c:pt>
                <c:pt idx="1">
                  <c:v>2-4</c:v>
                </c:pt>
                <c:pt idx="2">
                  <c:v>5-9</c:v>
                </c:pt>
                <c:pt idx="3">
                  <c:v>10-19</c:v>
                </c:pt>
                <c:pt idx="4">
                  <c:v>20-49</c:v>
                </c:pt>
                <c:pt idx="5">
                  <c:v>50-99</c:v>
                </c:pt>
                <c:pt idx="6">
                  <c:v>100-199</c:v>
                </c:pt>
                <c:pt idx="7">
                  <c:v>200-499</c:v>
                </c:pt>
                <c:pt idx="8">
                  <c:v>500-999</c:v>
                </c:pt>
              </c:strCache>
            </c:strRef>
          </c:cat>
          <c:val>
            <c:numRef>
              <c:f>Summary!$G$117:$G$125</c:f>
              <c:numCache>
                <c:formatCode>0.0%</c:formatCode>
                <c:ptCount val="9"/>
                <c:pt idx="0">
                  <c:v>0.46989966555183948</c:v>
                </c:pt>
                <c:pt idx="1">
                  <c:v>0.19899665551839463</c:v>
                </c:pt>
                <c:pt idx="2">
                  <c:v>0.12040133779264217</c:v>
                </c:pt>
                <c:pt idx="3">
                  <c:v>7.1070234113712383E-2</c:v>
                </c:pt>
                <c:pt idx="4">
                  <c:v>2.591973244147161E-2</c:v>
                </c:pt>
                <c:pt idx="5">
                  <c:v>1.0869565217391353E-2</c:v>
                </c:pt>
                <c:pt idx="6">
                  <c:v>7.5250836120401843E-3</c:v>
                </c:pt>
                <c:pt idx="7">
                  <c:v>5.8528428093646001E-3</c:v>
                </c:pt>
                <c:pt idx="8">
                  <c:v>0</c:v>
                </c:pt>
              </c:numCache>
            </c:numRef>
          </c:val>
          <c:smooth val="0"/>
          <c:extLst>
            <c:ext xmlns:c16="http://schemas.microsoft.com/office/drawing/2014/chart" uri="{C3380CC4-5D6E-409C-BE32-E72D297353CC}">
              <c16:uniqueId val="{00000002-DB8E-40A4-AB34-6B1C3838A79B}"/>
            </c:ext>
          </c:extLst>
        </c:ser>
        <c:ser>
          <c:idx val="3"/>
          <c:order val="3"/>
          <c:tx>
            <c:v>USA Bedrooms</c:v>
          </c:tx>
          <c:spPr>
            <a:ln w="19050" cap="rnd">
              <a:solidFill>
                <a:schemeClr val="accent4"/>
              </a:solidFill>
              <a:prstDash val="sysDash"/>
              <a:round/>
            </a:ln>
            <a:effectLst/>
          </c:spPr>
          <c:marker>
            <c:symbol val="triangle"/>
            <c:size val="5"/>
            <c:spPr>
              <a:noFill/>
              <a:ln w="19050">
                <a:solidFill>
                  <a:schemeClr val="accent4"/>
                </a:solidFill>
                <a:prstDash val="solid"/>
              </a:ln>
              <a:effectLst/>
            </c:spPr>
          </c:marker>
          <c:cat>
            <c:strRef>
              <c:f>Summary!$A$132:$A$140</c:f>
              <c:strCache>
                <c:ptCount val="9"/>
                <c:pt idx="0">
                  <c:v>0-1</c:v>
                </c:pt>
                <c:pt idx="1">
                  <c:v>2-4</c:v>
                </c:pt>
                <c:pt idx="2">
                  <c:v>5-9</c:v>
                </c:pt>
                <c:pt idx="3">
                  <c:v>10-19</c:v>
                </c:pt>
                <c:pt idx="4">
                  <c:v>20-49</c:v>
                </c:pt>
                <c:pt idx="5">
                  <c:v>50-99</c:v>
                </c:pt>
                <c:pt idx="6">
                  <c:v>100-199</c:v>
                </c:pt>
                <c:pt idx="7">
                  <c:v>200-499</c:v>
                </c:pt>
                <c:pt idx="8">
                  <c:v>500-999</c:v>
                </c:pt>
              </c:strCache>
            </c:strRef>
          </c:cat>
          <c:val>
            <c:numRef>
              <c:f>Summary!$I$117:$I$125</c:f>
              <c:numCache>
                <c:formatCode>0.00%</c:formatCode>
                <c:ptCount val="9"/>
                <c:pt idx="0">
                  <c:v>0.5357142857142857</c:v>
                </c:pt>
                <c:pt idx="1">
                  <c:v>0.5357142857142857</c:v>
                </c:pt>
                <c:pt idx="2">
                  <c:v>0.5</c:v>
                </c:pt>
                <c:pt idx="3">
                  <c:v>0.45238095238095233</c:v>
                </c:pt>
                <c:pt idx="4">
                  <c:v>0.3214285714285714</c:v>
                </c:pt>
                <c:pt idx="5">
                  <c:v>0.25</c:v>
                </c:pt>
                <c:pt idx="6">
                  <c:v>0.20238095238095233</c:v>
                </c:pt>
                <c:pt idx="7">
                  <c:v>7.1428571428571397E-2</c:v>
                </c:pt>
                <c:pt idx="8">
                  <c:v>3.5714285714285698E-2</c:v>
                </c:pt>
              </c:numCache>
            </c:numRef>
          </c:val>
          <c:smooth val="0"/>
          <c:extLst>
            <c:ext xmlns:c16="http://schemas.microsoft.com/office/drawing/2014/chart" uri="{C3380CC4-5D6E-409C-BE32-E72D297353CC}">
              <c16:uniqueId val="{00000003-DB8E-40A4-AB34-6B1C3838A79B}"/>
            </c:ext>
          </c:extLst>
        </c:ser>
        <c:ser>
          <c:idx val="4"/>
          <c:order val="4"/>
          <c:tx>
            <c:v>PD Storage and Other areas</c:v>
          </c:tx>
          <c:spPr>
            <a:ln w="19050" cap="rnd">
              <a:solidFill>
                <a:schemeClr val="accent5"/>
              </a:solidFill>
              <a:prstDash val="dashDot"/>
              <a:round/>
            </a:ln>
            <a:effectLst/>
          </c:spPr>
          <c:marker>
            <c:symbol val="square"/>
            <c:size val="5"/>
            <c:spPr>
              <a:solidFill>
                <a:schemeClr val="accent5"/>
              </a:solidFill>
              <a:ln w="19050">
                <a:solidFill>
                  <a:schemeClr val="accent5"/>
                </a:solidFill>
                <a:prstDash val="solid"/>
              </a:ln>
              <a:effectLst/>
            </c:spPr>
          </c:marker>
          <c:cat>
            <c:strRef>
              <c:f>Summary!$A$132:$A$140</c:f>
              <c:strCache>
                <c:ptCount val="9"/>
                <c:pt idx="0">
                  <c:v>0-1</c:v>
                </c:pt>
                <c:pt idx="1">
                  <c:v>2-4</c:v>
                </c:pt>
                <c:pt idx="2">
                  <c:v>5-9</c:v>
                </c:pt>
                <c:pt idx="3">
                  <c:v>10-19</c:v>
                </c:pt>
                <c:pt idx="4">
                  <c:v>20-49</c:v>
                </c:pt>
                <c:pt idx="5">
                  <c:v>50-99</c:v>
                </c:pt>
                <c:pt idx="6">
                  <c:v>100-199</c:v>
                </c:pt>
                <c:pt idx="7">
                  <c:v>200-499</c:v>
                </c:pt>
                <c:pt idx="8">
                  <c:v>500-999</c:v>
                </c:pt>
              </c:strCache>
            </c:strRef>
          </c:cat>
          <c:val>
            <c:numRef>
              <c:f>Summary!$G$132:$G$140</c:f>
              <c:numCache>
                <c:formatCode>0.0%</c:formatCode>
                <c:ptCount val="9"/>
                <c:pt idx="0">
                  <c:v>0.27008636482596182</c:v>
                </c:pt>
                <c:pt idx="1">
                  <c:v>0.14996074326092645</c:v>
                </c:pt>
                <c:pt idx="2">
                  <c:v>0.10756346506150227</c:v>
                </c:pt>
                <c:pt idx="3">
                  <c:v>7.1970688301491781E-2</c:v>
                </c:pt>
                <c:pt idx="4">
                  <c:v>3.9518450667364591E-2</c:v>
                </c:pt>
                <c:pt idx="5">
                  <c:v>2.1983773881182889E-2</c:v>
                </c:pt>
                <c:pt idx="6">
                  <c:v>1.3870714472651091E-2</c:v>
                </c:pt>
                <c:pt idx="7">
                  <c:v>5.7576550641192936E-3</c:v>
                </c:pt>
                <c:pt idx="8">
                  <c:v>3.6639623135304999E-3</c:v>
                </c:pt>
              </c:numCache>
            </c:numRef>
          </c:val>
          <c:smooth val="0"/>
          <c:extLst>
            <c:ext xmlns:c16="http://schemas.microsoft.com/office/drawing/2014/chart" uri="{C3380CC4-5D6E-409C-BE32-E72D297353CC}">
              <c16:uniqueId val="{00000004-DB8E-40A4-AB34-6B1C3838A79B}"/>
            </c:ext>
          </c:extLst>
        </c:ser>
        <c:ser>
          <c:idx val="5"/>
          <c:order val="5"/>
          <c:tx>
            <c:v>USA Storage and Other areas</c:v>
          </c:tx>
          <c:spPr>
            <a:ln w="19050" cap="rnd">
              <a:solidFill>
                <a:schemeClr val="accent6"/>
              </a:solidFill>
              <a:prstDash val="dashDot"/>
              <a:round/>
            </a:ln>
            <a:effectLst/>
          </c:spPr>
          <c:marker>
            <c:symbol val="square"/>
            <c:size val="5"/>
            <c:spPr>
              <a:noFill/>
              <a:ln w="19050">
                <a:solidFill>
                  <a:schemeClr val="accent6"/>
                </a:solidFill>
                <a:prstDash val="solid"/>
              </a:ln>
              <a:effectLst/>
            </c:spPr>
          </c:marker>
          <c:cat>
            <c:strRef>
              <c:f>Summary!$A$132:$A$140</c:f>
              <c:strCache>
                <c:ptCount val="9"/>
                <c:pt idx="0">
                  <c:v>0-1</c:v>
                </c:pt>
                <c:pt idx="1">
                  <c:v>2-4</c:v>
                </c:pt>
                <c:pt idx="2">
                  <c:v>5-9</c:v>
                </c:pt>
                <c:pt idx="3">
                  <c:v>10-19</c:v>
                </c:pt>
                <c:pt idx="4">
                  <c:v>20-49</c:v>
                </c:pt>
                <c:pt idx="5">
                  <c:v>50-99</c:v>
                </c:pt>
                <c:pt idx="6">
                  <c:v>100-199</c:v>
                </c:pt>
                <c:pt idx="7">
                  <c:v>200-499</c:v>
                </c:pt>
                <c:pt idx="8">
                  <c:v>500-999</c:v>
                </c:pt>
              </c:strCache>
            </c:strRef>
          </c:cat>
          <c:val>
            <c:numRef>
              <c:f>Summary!$I$132:$I$140</c:f>
              <c:numCache>
                <c:formatCode>0.00%</c:formatCode>
                <c:ptCount val="9"/>
                <c:pt idx="0">
                  <c:v>0.43881856540084385</c:v>
                </c:pt>
                <c:pt idx="1">
                  <c:v>0.430379746835443</c:v>
                </c:pt>
                <c:pt idx="2">
                  <c:v>0.38396624472573837</c:v>
                </c:pt>
                <c:pt idx="3">
                  <c:v>0.34177215189873422</c:v>
                </c:pt>
                <c:pt idx="4">
                  <c:v>0.27848101265822789</c:v>
                </c:pt>
                <c:pt idx="5">
                  <c:v>0.240506329113924</c:v>
                </c:pt>
                <c:pt idx="6">
                  <c:v>0.18143459915611815</c:v>
                </c:pt>
                <c:pt idx="7">
                  <c:v>7.1729957805907185E-2</c:v>
                </c:pt>
                <c:pt idx="8">
                  <c:v>3.3755274261603407E-2</c:v>
                </c:pt>
              </c:numCache>
            </c:numRef>
          </c:val>
          <c:smooth val="0"/>
          <c:extLst>
            <c:ext xmlns:c16="http://schemas.microsoft.com/office/drawing/2014/chart" uri="{C3380CC4-5D6E-409C-BE32-E72D297353CC}">
              <c16:uniqueId val="{00000005-DB8E-40A4-AB34-6B1C3838A79B}"/>
            </c:ext>
          </c:extLst>
        </c:ser>
        <c:dLbls>
          <c:showLegendKey val="0"/>
          <c:showVal val="0"/>
          <c:showCatName val="0"/>
          <c:showSerName val="0"/>
          <c:showPercent val="0"/>
          <c:showBubbleSize val="0"/>
        </c:dLbls>
        <c:marker val="1"/>
        <c:smooth val="0"/>
        <c:axId val="672895840"/>
        <c:axId val="672896496"/>
      </c:lineChart>
      <c:catAx>
        <c:axId val="672895840"/>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Area damage [m</a:t>
                </a:r>
                <a:r>
                  <a:rPr lang="en-GB" baseline="30000"/>
                  <a:t>2</a:t>
                </a:r>
                <a:r>
                  <a:rPr lang="en-GB"/>
                  <a: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72896496"/>
        <c:crosses val="autoZero"/>
        <c:auto val="1"/>
        <c:lblAlgn val="ctr"/>
        <c:lblOffset val="100"/>
        <c:noMultiLvlLbl val="0"/>
      </c:catAx>
      <c:valAx>
        <c:axId val="672896496"/>
        <c:scaling>
          <c:orientation val="minMax"/>
          <c:max val="0.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 fires exceeding upper limit</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72895840"/>
        <c:crosses val="autoZero"/>
        <c:crossBetween val="between"/>
      </c:valAx>
      <c:spPr>
        <a:noFill/>
        <a:ln>
          <a:noFill/>
        </a:ln>
        <a:effectLst/>
      </c:spPr>
    </c:plotArea>
    <c:legend>
      <c:legendPos val="r"/>
      <c:layout>
        <c:manualLayout>
          <c:xMode val="edge"/>
          <c:yMode val="edge"/>
          <c:x val="0.45677316599635159"/>
          <c:y val="7.2420109559072484E-3"/>
          <c:w val="0.52754670856264485"/>
          <c:h val="0.22517566781550322"/>
        </c:manualLayout>
      </c:layout>
      <c:overlay val="0"/>
      <c:spPr>
        <a:solidFill>
          <a:schemeClr val="bg1">
            <a:alpha val="75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80821476262837E-2"/>
          <c:y val="6.4686856806821527E-2"/>
          <c:w val="0.89374929011066595"/>
          <c:h val="0.61483259902715037"/>
        </c:manualLayout>
      </c:layout>
      <c:barChart>
        <c:barDir val="col"/>
        <c:grouping val="clustered"/>
        <c:varyColors val="0"/>
        <c:ser>
          <c:idx val="0"/>
          <c:order val="0"/>
          <c:tx>
            <c:strRef>
              <c:f>Summary!$A$46</c:f>
              <c:strCache>
                <c:ptCount val="1"/>
                <c:pt idx="0">
                  <c:v>Confined to object</c:v>
                </c:pt>
              </c:strCache>
            </c:strRef>
          </c:tx>
          <c:spPr>
            <a:solidFill>
              <a:schemeClr val="accent1"/>
            </a:solidFill>
            <a:ln>
              <a:noFill/>
            </a:ln>
            <a:effectLst/>
          </c:spPr>
          <c:invertIfNegative val="0"/>
          <c:errBars>
            <c:errBarType val="both"/>
            <c:errValType val="cust"/>
            <c:noEndCap val="0"/>
            <c:plus>
              <c:numRef>
                <c:f>Summary!$B$54:$B$63</c:f>
                <c:numCache>
                  <c:formatCode>General</c:formatCode>
                  <c:ptCount val="10"/>
                  <c:pt idx="0">
                    <c:v>45.752295439299388</c:v>
                  </c:pt>
                  <c:pt idx="1">
                    <c:v>0</c:v>
                  </c:pt>
                  <c:pt idx="2">
                    <c:v>0</c:v>
                  </c:pt>
                  <c:pt idx="3">
                    <c:v>0</c:v>
                  </c:pt>
                  <c:pt idx="4">
                    <c:v>0</c:v>
                  </c:pt>
                  <c:pt idx="5">
                    <c:v>53.1687945974911</c:v>
                  </c:pt>
                  <c:pt idx="6">
                    <c:v>0</c:v>
                  </c:pt>
                  <c:pt idx="7">
                    <c:v>0</c:v>
                  </c:pt>
                  <c:pt idx="8">
                    <c:v>0</c:v>
                  </c:pt>
                  <c:pt idx="9">
                    <c:v>0</c:v>
                  </c:pt>
                </c:numCache>
              </c:numRef>
            </c:plus>
            <c:minus>
              <c:numRef>
                <c:f>Summary!$B$54:$B$63</c:f>
                <c:numCache>
                  <c:formatCode>General</c:formatCode>
                  <c:ptCount val="10"/>
                  <c:pt idx="0">
                    <c:v>45.752295439299388</c:v>
                  </c:pt>
                  <c:pt idx="1">
                    <c:v>0</c:v>
                  </c:pt>
                  <c:pt idx="2">
                    <c:v>0</c:v>
                  </c:pt>
                  <c:pt idx="3">
                    <c:v>0</c:v>
                  </c:pt>
                  <c:pt idx="4">
                    <c:v>0</c:v>
                  </c:pt>
                  <c:pt idx="5">
                    <c:v>53.1687945974911</c:v>
                  </c:pt>
                  <c:pt idx="6">
                    <c:v>0</c:v>
                  </c:pt>
                  <c:pt idx="7">
                    <c:v>0</c:v>
                  </c:pt>
                  <c:pt idx="8">
                    <c:v>0</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Summary!$B$46:$K$46</c:f>
              <c:numCache>
                <c:formatCode>0.00</c:formatCode>
                <c:ptCount val="10"/>
                <c:pt idx="0">
                  <c:v>45.752295439299388</c:v>
                </c:pt>
                <c:pt idx="1">
                  <c:v>0</c:v>
                </c:pt>
                <c:pt idx="2">
                  <c:v>0</c:v>
                </c:pt>
                <c:pt idx="3">
                  <c:v>0</c:v>
                </c:pt>
                <c:pt idx="4">
                  <c:v>45.752295439299388</c:v>
                </c:pt>
                <c:pt idx="5">
                  <c:v>53.1687945974911</c:v>
                </c:pt>
                <c:pt idx="6">
                  <c:v>0</c:v>
                </c:pt>
                <c:pt idx="7">
                  <c:v>0</c:v>
                </c:pt>
                <c:pt idx="8">
                  <c:v>0</c:v>
                </c:pt>
                <c:pt idx="9">
                  <c:v>53.1687945974911</c:v>
                </c:pt>
              </c:numCache>
            </c:numRef>
          </c:val>
          <c:extLst>
            <c:ext xmlns:c16="http://schemas.microsoft.com/office/drawing/2014/chart" uri="{C3380CC4-5D6E-409C-BE32-E72D297353CC}">
              <c16:uniqueId val="{00000000-28EE-42D1-9AE4-6A6829CDC33B}"/>
            </c:ext>
          </c:extLst>
        </c:ser>
        <c:ser>
          <c:idx val="1"/>
          <c:order val="1"/>
          <c:tx>
            <c:strRef>
              <c:f>Summary!$A$47</c:f>
              <c:strCache>
                <c:ptCount val="1"/>
                <c:pt idx="0">
                  <c:v>Confined to room</c:v>
                </c:pt>
              </c:strCache>
            </c:strRef>
          </c:tx>
          <c:spPr>
            <a:solidFill>
              <a:schemeClr val="accent2"/>
            </a:solidFill>
            <a:ln>
              <a:noFill/>
            </a:ln>
            <a:effectLst/>
          </c:spPr>
          <c:invertIfNegative val="0"/>
          <c:errBars>
            <c:errBarType val="both"/>
            <c:errValType val="cust"/>
            <c:noEndCap val="0"/>
            <c:plus>
              <c:numRef>
                <c:f>Summary!$C$54:$C$63</c:f>
                <c:numCache>
                  <c:formatCode>General</c:formatCode>
                  <c:ptCount val="10"/>
                  <c:pt idx="0">
                    <c:v>103.8532189776284</c:v>
                  </c:pt>
                  <c:pt idx="1">
                    <c:v>9.6619161600000041</c:v>
                  </c:pt>
                  <c:pt idx="2">
                    <c:v>0</c:v>
                  </c:pt>
                  <c:pt idx="3">
                    <c:v>0</c:v>
                  </c:pt>
                  <c:pt idx="4">
                    <c:v>0</c:v>
                  </c:pt>
                  <c:pt idx="5">
                    <c:v>47.965872535327804</c:v>
                  </c:pt>
                  <c:pt idx="6">
                    <c:v>5.7072195532799981</c:v>
                  </c:pt>
                  <c:pt idx="7">
                    <c:v>0</c:v>
                  </c:pt>
                  <c:pt idx="8">
                    <c:v>1.3935456000000013</c:v>
                  </c:pt>
                  <c:pt idx="9">
                    <c:v>0</c:v>
                  </c:pt>
                </c:numCache>
              </c:numRef>
            </c:plus>
            <c:minus>
              <c:numRef>
                <c:f>Summary!$C$54:$C$63</c:f>
                <c:numCache>
                  <c:formatCode>General</c:formatCode>
                  <c:ptCount val="10"/>
                  <c:pt idx="0">
                    <c:v>103.8532189776284</c:v>
                  </c:pt>
                  <c:pt idx="1">
                    <c:v>9.6619161600000041</c:v>
                  </c:pt>
                  <c:pt idx="2">
                    <c:v>0</c:v>
                  </c:pt>
                  <c:pt idx="3">
                    <c:v>0</c:v>
                  </c:pt>
                  <c:pt idx="4">
                    <c:v>0</c:v>
                  </c:pt>
                  <c:pt idx="5">
                    <c:v>47.965872535327804</c:v>
                  </c:pt>
                  <c:pt idx="6">
                    <c:v>5.7072195532799981</c:v>
                  </c:pt>
                  <c:pt idx="7">
                    <c:v>0</c:v>
                  </c:pt>
                  <c:pt idx="8">
                    <c:v>1.3935456000000013</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Summary!$B$47:$K$47</c:f>
              <c:numCache>
                <c:formatCode>0.00</c:formatCode>
                <c:ptCount val="10"/>
                <c:pt idx="0">
                  <c:v>103.8532189776284</c:v>
                </c:pt>
                <c:pt idx="1">
                  <c:v>29.790908160000001</c:v>
                </c:pt>
                <c:pt idx="2">
                  <c:v>0</c:v>
                </c:pt>
                <c:pt idx="3">
                  <c:v>0</c:v>
                </c:pt>
                <c:pt idx="4">
                  <c:v>102.24316874246257</c:v>
                </c:pt>
                <c:pt idx="5">
                  <c:v>47.965872535327804</c:v>
                </c:pt>
                <c:pt idx="6">
                  <c:v>17.597260289280005</c:v>
                </c:pt>
                <c:pt idx="7">
                  <c:v>0</c:v>
                </c:pt>
                <c:pt idx="8">
                  <c:v>10.219334400000001</c:v>
                </c:pt>
                <c:pt idx="9">
                  <c:v>43.416701474770115</c:v>
                </c:pt>
              </c:numCache>
            </c:numRef>
          </c:val>
          <c:extLst>
            <c:ext xmlns:c16="http://schemas.microsoft.com/office/drawing/2014/chart" uri="{C3380CC4-5D6E-409C-BE32-E72D297353CC}">
              <c16:uniqueId val="{00000001-28EE-42D1-9AE4-6A6829CDC33B}"/>
            </c:ext>
          </c:extLst>
        </c:ser>
        <c:ser>
          <c:idx val="2"/>
          <c:order val="2"/>
          <c:tx>
            <c:strRef>
              <c:f>Summary!$A$48</c:f>
              <c:strCache>
                <c:ptCount val="1"/>
                <c:pt idx="0">
                  <c:v>Confined to floor</c:v>
                </c:pt>
              </c:strCache>
            </c:strRef>
          </c:tx>
          <c:spPr>
            <a:solidFill>
              <a:schemeClr val="accent3"/>
            </a:solidFill>
            <a:ln>
              <a:noFill/>
            </a:ln>
            <a:effectLst/>
          </c:spPr>
          <c:invertIfNegative val="0"/>
          <c:errBars>
            <c:errBarType val="both"/>
            <c:errValType val="cust"/>
            <c:noEndCap val="0"/>
            <c:plus>
              <c:numRef>
                <c:f>Summary!$D$54:$D$63</c:f>
                <c:numCache>
                  <c:formatCode>General</c:formatCode>
                  <c:ptCount val="10"/>
                  <c:pt idx="0">
                    <c:v>1.6491663905325442</c:v>
                  </c:pt>
                  <c:pt idx="1">
                    <c:v>0</c:v>
                  </c:pt>
                  <c:pt idx="2">
                    <c:v>0</c:v>
                  </c:pt>
                  <c:pt idx="3">
                    <c:v>0</c:v>
                  </c:pt>
                  <c:pt idx="4">
                    <c:v>0</c:v>
                  </c:pt>
                  <c:pt idx="5">
                    <c:v>0.26386662248520709</c:v>
                  </c:pt>
                  <c:pt idx="6">
                    <c:v>2.2296729600000011</c:v>
                  </c:pt>
                  <c:pt idx="7">
                    <c:v>0</c:v>
                  </c:pt>
                  <c:pt idx="8">
                    <c:v>0</c:v>
                  </c:pt>
                  <c:pt idx="9">
                    <c:v>0</c:v>
                  </c:pt>
                </c:numCache>
              </c:numRef>
            </c:plus>
            <c:minus>
              <c:numRef>
                <c:f>Summary!$D$54:$D$63</c:f>
                <c:numCache>
                  <c:formatCode>General</c:formatCode>
                  <c:ptCount val="10"/>
                  <c:pt idx="0">
                    <c:v>1.6491663905325442</c:v>
                  </c:pt>
                  <c:pt idx="1">
                    <c:v>0</c:v>
                  </c:pt>
                  <c:pt idx="2">
                    <c:v>0</c:v>
                  </c:pt>
                  <c:pt idx="3">
                    <c:v>0</c:v>
                  </c:pt>
                  <c:pt idx="4">
                    <c:v>0</c:v>
                  </c:pt>
                  <c:pt idx="5">
                    <c:v>0.26386662248520709</c:v>
                  </c:pt>
                  <c:pt idx="6">
                    <c:v>2.2296729600000011</c:v>
                  </c:pt>
                  <c:pt idx="7">
                    <c:v>0</c:v>
                  </c:pt>
                  <c:pt idx="8">
                    <c:v>0</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Summary!$B$48:$K$48</c:f>
              <c:numCache>
                <c:formatCode>0.00</c:formatCode>
                <c:ptCount val="10"/>
                <c:pt idx="0">
                  <c:v>1.6491663905325442</c:v>
                </c:pt>
                <c:pt idx="1">
                  <c:v>0</c:v>
                </c:pt>
                <c:pt idx="2">
                  <c:v>0</c:v>
                </c:pt>
                <c:pt idx="3">
                  <c:v>0</c:v>
                </c:pt>
                <c:pt idx="4">
                  <c:v>1.6491663905325442</c:v>
                </c:pt>
                <c:pt idx="5">
                  <c:v>0.26386662248520709</c:v>
                </c:pt>
                <c:pt idx="6">
                  <c:v>6.8748249600000007</c:v>
                </c:pt>
                <c:pt idx="7">
                  <c:v>0</c:v>
                </c:pt>
                <c:pt idx="8">
                  <c:v>0</c:v>
                </c:pt>
                <c:pt idx="9">
                  <c:v>1.9166062068639054</c:v>
                </c:pt>
              </c:numCache>
            </c:numRef>
          </c:val>
          <c:extLst>
            <c:ext xmlns:c16="http://schemas.microsoft.com/office/drawing/2014/chart" uri="{C3380CC4-5D6E-409C-BE32-E72D297353CC}">
              <c16:uniqueId val="{00000002-28EE-42D1-9AE4-6A6829CDC33B}"/>
            </c:ext>
          </c:extLst>
        </c:ser>
        <c:ser>
          <c:idx val="3"/>
          <c:order val="3"/>
          <c:tx>
            <c:strRef>
              <c:f>Summary!$A$49</c:f>
              <c:strCache>
                <c:ptCount val="1"/>
                <c:pt idx="0">
                  <c:v>Confined to building</c:v>
                </c:pt>
              </c:strCache>
            </c:strRef>
          </c:tx>
          <c:spPr>
            <a:solidFill>
              <a:schemeClr val="accent4"/>
            </a:solidFill>
            <a:ln>
              <a:noFill/>
            </a:ln>
            <a:effectLst/>
          </c:spPr>
          <c:invertIfNegative val="0"/>
          <c:errBars>
            <c:errBarType val="both"/>
            <c:errValType val="cust"/>
            <c:noEndCap val="0"/>
            <c:plus>
              <c:numRef>
                <c:f>Summary!$E$54:$E$63</c:f>
                <c:numCache>
                  <c:formatCode>General</c:formatCode>
                  <c:ptCount val="10"/>
                  <c:pt idx="0">
                    <c:v>21.427157145599999</c:v>
                  </c:pt>
                  <c:pt idx="1">
                    <c:v>31.884323328000022</c:v>
                  </c:pt>
                  <c:pt idx="2">
                    <c:v>0</c:v>
                  </c:pt>
                  <c:pt idx="3">
                    <c:v>0</c:v>
                  </c:pt>
                  <c:pt idx="4">
                    <c:v>0</c:v>
                  </c:pt>
                  <c:pt idx="5">
                    <c:v>17.530638731360948</c:v>
                  </c:pt>
                  <c:pt idx="6">
                    <c:v>16.596199065600011</c:v>
                  </c:pt>
                  <c:pt idx="7">
                    <c:v>32.151884083199974</c:v>
                  </c:pt>
                  <c:pt idx="8">
                    <c:v>83.622026304000087</c:v>
                  </c:pt>
                  <c:pt idx="9">
                    <c:v>0</c:v>
                  </c:pt>
                </c:numCache>
              </c:numRef>
            </c:plus>
            <c:minus>
              <c:numRef>
                <c:f>Summary!$E$54:$E$63</c:f>
                <c:numCache>
                  <c:formatCode>General</c:formatCode>
                  <c:ptCount val="10"/>
                  <c:pt idx="0">
                    <c:v>21.427157145599999</c:v>
                  </c:pt>
                  <c:pt idx="1">
                    <c:v>31.884323328000022</c:v>
                  </c:pt>
                  <c:pt idx="2">
                    <c:v>0</c:v>
                  </c:pt>
                  <c:pt idx="3">
                    <c:v>0</c:v>
                  </c:pt>
                  <c:pt idx="4">
                    <c:v>0</c:v>
                  </c:pt>
                  <c:pt idx="5">
                    <c:v>17.530638731360948</c:v>
                  </c:pt>
                  <c:pt idx="6">
                    <c:v>16.596199065600011</c:v>
                  </c:pt>
                  <c:pt idx="7">
                    <c:v>32.151884083199974</c:v>
                  </c:pt>
                  <c:pt idx="8">
                    <c:v>83.622026304000087</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Summary!$B$49:$K$49</c:f>
              <c:numCache>
                <c:formatCode>0.00</c:formatCode>
                <c:ptCount val="10"/>
                <c:pt idx="0">
                  <c:v>21.427157145599999</c:v>
                </c:pt>
                <c:pt idx="1">
                  <c:v>98.309996928000004</c:v>
                </c:pt>
                <c:pt idx="2">
                  <c:v>0</c:v>
                </c:pt>
                <c:pt idx="3">
                  <c:v>0</c:v>
                </c:pt>
                <c:pt idx="4">
                  <c:v>28.416506216727271</c:v>
                </c:pt>
                <c:pt idx="5">
                  <c:v>17.530638731360948</c:v>
                </c:pt>
                <c:pt idx="6">
                  <c:v>51.171613785600009</c:v>
                </c:pt>
                <c:pt idx="7">
                  <c:v>166.11806776320003</c:v>
                </c:pt>
                <c:pt idx="8">
                  <c:v>613.228192896</c:v>
                </c:pt>
                <c:pt idx="9">
                  <c:v>188.01950121926438</c:v>
                </c:pt>
              </c:numCache>
            </c:numRef>
          </c:val>
          <c:extLst>
            <c:ext xmlns:c16="http://schemas.microsoft.com/office/drawing/2014/chart" uri="{C3380CC4-5D6E-409C-BE32-E72D297353CC}">
              <c16:uniqueId val="{00000003-28EE-42D1-9AE4-6A6829CDC33B}"/>
            </c:ext>
          </c:extLst>
        </c:ser>
        <c:ser>
          <c:idx val="4"/>
          <c:order val="4"/>
          <c:tx>
            <c:strRef>
              <c:f>Summary!$A$50</c:f>
              <c:strCache>
                <c:ptCount val="1"/>
                <c:pt idx="0">
                  <c:v>Beyond building of origin</c:v>
                </c:pt>
              </c:strCache>
            </c:strRef>
          </c:tx>
          <c:spPr>
            <a:solidFill>
              <a:schemeClr val="accent5"/>
            </a:solidFill>
            <a:ln>
              <a:noFill/>
            </a:ln>
            <a:effectLst/>
          </c:spPr>
          <c:invertIfNegative val="0"/>
          <c:errBars>
            <c:errBarType val="both"/>
            <c:errValType val="cust"/>
            <c:noEndCap val="0"/>
            <c:plus>
              <c:numRef>
                <c:f>Summary!$F$54:$F$63</c:f>
                <c:numCache>
                  <c:formatCode>General</c:formatCode>
                  <c:ptCount val="10"/>
                  <c:pt idx="0">
                    <c:v>0</c:v>
                  </c:pt>
                  <c:pt idx="1">
                    <c:v>0</c:v>
                  </c:pt>
                  <c:pt idx="2">
                    <c:v>0</c:v>
                  </c:pt>
                  <c:pt idx="3">
                    <c:v>0</c:v>
                  </c:pt>
                  <c:pt idx="4">
                    <c:v>0</c:v>
                  </c:pt>
                  <c:pt idx="5">
                    <c:v>0</c:v>
                  </c:pt>
                  <c:pt idx="6">
                    <c:v>0</c:v>
                  </c:pt>
                  <c:pt idx="7">
                    <c:v>0</c:v>
                  </c:pt>
                  <c:pt idx="8">
                    <c:v>9.2903039999999919</c:v>
                  </c:pt>
                  <c:pt idx="9">
                    <c:v>0</c:v>
                  </c:pt>
                </c:numCache>
              </c:numRef>
            </c:plus>
            <c:minus>
              <c:numRef>
                <c:f>Summary!$F$54:$F$63</c:f>
                <c:numCache>
                  <c:formatCode>General</c:formatCode>
                  <c:ptCount val="10"/>
                  <c:pt idx="0">
                    <c:v>0</c:v>
                  </c:pt>
                  <c:pt idx="1">
                    <c:v>0</c:v>
                  </c:pt>
                  <c:pt idx="2">
                    <c:v>0</c:v>
                  </c:pt>
                  <c:pt idx="3">
                    <c:v>0</c:v>
                  </c:pt>
                  <c:pt idx="4">
                    <c:v>0</c:v>
                  </c:pt>
                  <c:pt idx="5">
                    <c:v>0</c:v>
                  </c:pt>
                  <c:pt idx="6">
                    <c:v>0</c:v>
                  </c:pt>
                  <c:pt idx="7">
                    <c:v>0</c:v>
                  </c:pt>
                  <c:pt idx="8">
                    <c:v>9.2903039999999919</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Summary!$B$50:$K$50</c:f>
              <c:numCache>
                <c:formatCode>0.00</c:formatCode>
                <c:ptCount val="10"/>
                <c:pt idx="0">
                  <c:v>0</c:v>
                </c:pt>
                <c:pt idx="1">
                  <c:v>0</c:v>
                </c:pt>
                <c:pt idx="2">
                  <c:v>0</c:v>
                </c:pt>
                <c:pt idx="3">
                  <c:v>0</c:v>
                </c:pt>
                <c:pt idx="4">
                  <c:v>0</c:v>
                </c:pt>
                <c:pt idx="5">
                  <c:v>0</c:v>
                </c:pt>
                <c:pt idx="6">
                  <c:v>0</c:v>
                </c:pt>
                <c:pt idx="7">
                  <c:v>0</c:v>
                </c:pt>
                <c:pt idx="8">
                  <c:v>68.128896000000012</c:v>
                </c:pt>
                <c:pt idx="9">
                  <c:v>68.128896000000012</c:v>
                </c:pt>
              </c:numCache>
            </c:numRef>
          </c:val>
          <c:extLst>
            <c:ext xmlns:c16="http://schemas.microsoft.com/office/drawing/2014/chart" uri="{C3380CC4-5D6E-409C-BE32-E72D297353CC}">
              <c16:uniqueId val="{00000004-28EE-42D1-9AE4-6A6829CDC33B}"/>
            </c:ext>
          </c:extLst>
        </c:ser>
        <c:dLbls>
          <c:showLegendKey val="0"/>
          <c:showVal val="0"/>
          <c:showCatName val="0"/>
          <c:showSerName val="0"/>
          <c:showPercent val="0"/>
          <c:showBubbleSize val="0"/>
        </c:dLbls>
        <c:gapWidth val="219"/>
        <c:overlap val="-27"/>
        <c:axId val="563984448"/>
        <c:axId val="563986088"/>
      </c:barChart>
      <c:catAx>
        <c:axId val="563984448"/>
        <c:scaling>
          <c:orientation val="minMax"/>
        </c:scaling>
        <c:delete val="0"/>
        <c:axPos val="b"/>
        <c:numFmt formatCode="General" sourceLinked="1"/>
        <c:majorTickMark val="out"/>
        <c:minorTickMark val="none"/>
        <c:tickLblPos val="nextTo"/>
        <c:spPr>
          <a:noFill/>
          <a:ln w="9525" cap="flat" cmpd="sng" algn="ctr">
            <a:solidFill>
              <a:schemeClr val="bg2">
                <a:lumMod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986088"/>
        <c:crosses val="autoZero"/>
        <c:auto val="1"/>
        <c:lblAlgn val="ctr"/>
        <c:lblOffset val="100"/>
        <c:noMultiLvlLbl val="0"/>
      </c:catAx>
      <c:valAx>
        <c:axId val="563986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Area</a:t>
                </a:r>
                <a:r>
                  <a:rPr lang="en-GB" baseline="0"/>
                  <a:t> damage [</a:t>
                </a:r>
                <a:r>
                  <a:rPr lang="en-GB" sz="800" b="0" i="0" u="none" strike="noStrike" baseline="0">
                    <a:effectLst/>
                  </a:rPr>
                  <a:t>m</a:t>
                </a:r>
                <a:r>
                  <a:rPr lang="en-GB" sz="800" b="0" i="0" u="none" strike="noStrike" baseline="30000">
                    <a:effectLst/>
                  </a:rPr>
                  <a:t>2</a:t>
                </a:r>
                <a:r>
                  <a:rPr lang="en-GB" baseline="0"/>
                  <a:t>]</a:t>
                </a:r>
                <a:endParaRPr lang="en-GB"/>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98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757532501419779E-2"/>
          <c:y val="6.4686856806821527E-2"/>
          <c:w val="0.89179997237187458"/>
          <c:h val="0.61483259902715037"/>
        </c:manualLayout>
      </c:layout>
      <c:barChart>
        <c:barDir val="col"/>
        <c:grouping val="clustered"/>
        <c:varyColors val="0"/>
        <c:ser>
          <c:idx val="0"/>
          <c:order val="0"/>
          <c:tx>
            <c:strRef>
              <c:f>Summary!$A$46</c:f>
              <c:strCache>
                <c:ptCount val="1"/>
                <c:pt idx="0">
                  <c:v>Confined to object</c:v>
                </c:pt>
              </c:strCache>
            </c:strRef>
          </c:tx>
          <c:spPr>
            <a:solidFill>
              <a:schemeClr val="accent1"/>
            </a:solidFill>
            <a:ln>
              <a:noFill/>
            </a:ln>
            <a:effectLst/>
          </c:spPr>
          <c:invertIfNegative val="0"/>
          <c:errBars>
            <c:errBarType val="both"/>
            <c:errValType val="cust"/>
            <c:noEndCap val="0"/>
            <c:plus>
              <c:numRef>
                <c:f>Summary!$B$54:$B$63</c:f>
                <c:numCache>
                  <c:formatCode>General</c:formatCode>
                  <c:ptCount val="10"/>
                  <c:pt idx="0">
                    <c:v>90.33810824347826</c:v>
                  </c:pt>
                  <c:pt idx="1">
                    <c:v>0</c:v>
                  </c:pt>
                  <c:pt idx="2">
                    <c:v>0</c:v>
                  </c:pt>
                  <c:pt idx="3">
                    <c:v>5.3751044571428597E-2</c:v>
                  </c:pt>
                  <c:pt idx="4">
                    <c:v>0</c:v>
                  </c:pt>
                  <c:pt idx="5">
                    <c:v>2.9657073925565225</c:v>
                  </c:pt>
                  <c:pt idx="6">
                    <c:v>7.6214275723636362</c:v>
                  </c:pt>
                  <c:pt idx="7">
                    <c:v>0</c:v>
                  </c:pt>
                  <c:pt idx="8">
                    <c:v>0.21102261942857115</c:v>
                  </c:pt>
                  <c:pt idx="9">
                    <c:v>0</c:v>
                  </c:pt>
                </c:numCache>
              </c:numRef>
            </c:plus>
            <c:minus>
              <c:numRef>
                <c:f>Summary!$B$54:$B$63</c:f>
                <c:numCache>
                  <c:formatCode>General</c:formatCode>
                  <c:ptCount val="10"/>
                  <c:pt idx="0">
                    <c:v>90.33810824347826</c:v>
                  </c:pt>
                  <c:pt idx="1">
                    <c:v>0</c:v>
                  </c:pt>
                  <c:pt idx="2">
                    <c:v>0</c:v>
                  </c:pt>
                  <c:pt idx="3">
                    <c:v>5.3751044571428597E-2</c:v>
                  </c:pt>
                  <c:pt idx="4">
                    <c:v>0</c:v>
                  </c:pt>
                  <c:pt idx="5">
                    <c:v>2.9657073925565225</c:v>
                  </c:pt>
                  <c:pt idx="6">
                    <c:v>7.6214275723636362</c:v>
                  </c:pt>
                  <c:pt idx="7">
                    <c:v>0</c:v>
                  </c:pt>
                  <c:pt idx="8">
                    <c:v>0.21102261942857115</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Summary!$B$46:$K$46</c:f>
              <c:numCache>
                <c:formatCode>0.00</c:formatCode>
                <c:ptCount val="10"/>
                <c:pt idx="0">
                  <c:v>90.33810824347826</c:v>
                </c:pt>
                <c:pt idx="1">
                  <c:v>0</c:v>
                </c:pt>
                <c:pt idx="2">
                  <c:v>0</c:v>
                </c:pt>
                <c:pt idx="3">
                  <c:v>0.39417432685714288</c:v>
                </c:pt>
                <c:pt idx="4">
                  <c:v>80.344337808298135</c:v>
                </c:pt>
                <c:pt idx="5">
                  <c:v>2.9657073925565225</c:v>
                </c:pt>
                <c:pt idx="6">
                  <c:v>23.499401681454547</c:v>
                </c:pt>
                <c:pt idx="7">
                  <c:v>0</c:v>
                </c:pt>
                <c:pt idx="8">
                  <c:v>1.5474992091428574</c:v>
                </c:pt>
                <c:pt idx="9">
                  <c:v>5.6964911219114311</c:v>
                </c:pt>
              </c:numCache>
            </c:numRef>
          </c:val>
          <c:extLst>
            <c:ext xmlns:c16="http://schemas.microsoft.com/office/drawing/2014/chart" uri="{C3380CC4-5D6E-409C-BE32-E72D297353CC}">
              <c16:uniqueId val="{00000000-8CD3-4361-B58A-E95FC9192B44}"/>
            </c:ext>
          </c:extLst>
        </c:ser>
        <c:ser>
          <c:idx val="1"/>
          <c:order val="1"/>
          <c:tx>
            <c:strRef>
              <c:f>Summary!$A$47</c:f>
              <c:strCache>
                <c:ptCount val="1"/>
                <c:pt idx="0">
                  <c:v>Confined to room</c:v>
                </c:pt>
              </c:strCache>
            </c:strRef>
          </c:tx>
          <c:spPr>
            <a:solidFill>
              <a:schemeClr val="accent2"/>
            </a:solidFill>
            <a:ln>
              <a:noFill/>
            </a:ln>
            <a:effectLst/>
          </c:spPr>
          <c:invertIfNegative val="0"/>
          <c:errBars>
            <c:errBarType val="both"/>
            <c:errValType val="cust"/>
            <c:noEndCap val="0"/>
            <c:plus>
              <c:numRef>
                <c:f>Summary!$C$54:$C$63</c:f>
                <c:numCache>
                  <c:formatCode>General</c:formatCode>
                  <c:ptCount val="10"/>
                  <c:pt idx="0">
                    <c:v>58.33963535415652</c:v>
                  </c:pt>
                  <c:pt idx="1">
                    <c:v>4.5606946909090897</c:v>
                  </c:pt>
                  <c:pt idx="2">
                    <c:v>23.889353142857146</c:v>
                  </c:pt>
                  <c:pt idx="3">
                    <c:v>0</c:v>
                  </c:pt>
                  <c:pt idx="4">
                    <c:v>0</c:v>
                  </c:pt>
                  <c:pt idx="5">
                    <c:v>31.380950421704345</c:v>
                  </c:pt>
                  <c:pt idx="6">
                    <c:v>28.377655854545466</c:v>
                  </c:pt>
                  <c:pt idx="7">
                    <c:v>0.79631177142857101</c:v>
                  </c:pt>
                  <c:pt idx="8">
                    <c:v>0</c:v>
                  </c:pt>
                  <c:pt idx="9">
                    <c:v>0</c:v>
                  </c:pt>
                </c:numCache>
              </c:numRef>
            </c:plus>
            <c:minus>
              <c:numRef>
                <c:f>Summary!$C$54:$C$63</c:f>
                <c:numCache>
                  <c:formatCode>General</c:formatCode>
                  <c:ptCount val="10"/>
                  <c:pt idx="0">
                    <c:v>58.33963535415652</c:v>
                  </c:pt>
                  <c:pt idx="1">
                    <c:v>4.5606946909090897</c:v>
                  </c:pt>
                  <c:pt idx="2">
                    <c:v>23.889353142857146</c:v>
                  </c:pt>
                  <c:pt idx="3">
                    <c:v>0</c:v>
                  </c:pt>
                  <c:pt idx="4">
                    <c:v>0</c:v>
                  </c:pt>
                  <c:pt idx="5">
                    <c:v>31.380950421704345</c:v>
                  </c:pt>
                  <c:pt idx="6">
                    <c:v>28.377655854545466</c:v>
                  </c:pt>
                  <c:pt idx="7">
                    <c:v>0.79631177142857101</c:v>
                  </c:pt>
                  <c:pt idx="8">
                    <c:v>0</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Summary!$B$47:$K$47</c:f>
              <c:numCache>
                <c:formatCode>0.00</c:formatCode>
                <c:ptCount val="10"/>
                <c:pt idx="0">
                  <c:v>58.33963535415652</c:v>
                </c:pt>
                <c:pt idx="1">
                  <c:v>14.062141963636366</c:v>
                </c:pt>
                <c:pt idx="2">
                  <c:v>123.42832457142856</c:v>
                </c:pt>
                <c:pt idx="3">
                  <c:v>0</c:v>
                </c:pt>
                <c:pt idx="4">
                  <c:v>59.940496571598977</c:v>
                </c:pt>
                <c:pt idx="5">
                  <c:v>31.380950421704345</c:v>
                </c:pt>
                <c:pt idx="6">
                  <c:v>87.497772218181822</c:v>
                </c:pt>
                <c:pt idx="7">
                  <c:v>4.114277485714287</c:v>
                </c:pt>
                <c:pt idx="8">
                  <c:v>0</c:v>
                </c:pt>
                <c:pt idx="9">
                  <c:v>37.259441773931108</c:v>
                </c:pt>
              </c:numCache>
            </c:numRef>
          </c:val>
          <c:extLst>
            <c:ext xmlns:c16="http://schemas.microsoft.com/office/drawing/2014/chart" uri="{C3380CC4-5D6E-409C-BE32-E72D297353CC}">
              <c16:uniqueId val="{00000001-8CD3-4361-B58A-E95FC9192B44}"/>
            </c:ext>
          </c:extLst>
        </c:ser>
        <c:ser>
          <c:idx val="2"/>
          <c:order val="2"/>
          <c:tx>
            <c:strRef>
              <c:f>Summary!$A$48</c:f>
              <c:strCache>
                <c:ptCount val="1"/>
                <c:pt idx="0">
                  <c:v>Confined to floor</c:v>
                </c:pt>
              </c:strCache>
            </c:strRef>
          </c:tx>
          <c:spPr>
            <a:solidFill>
              <a:schemeClr val="accent3"/>
            </a:solidFill>
            <a:ln>
              <a:noFill/>
            </a:ln>
            <a:effectLst/>
          </c:spPr>
          <c:invertIfNegative val="0"/>
          <c:errBars>
            <c:errBarType val="both"/>
            <c:errValType val="cust"/>
            <c:noEndCap val="0"/>
            <c:plus>
              <c:numRef>
                <c:f>Summary!$D$54:$D$63</c:f>
                <c:numCache>
                  <c:formatCode>General</c:formatCode>
                  <c:ptCount val="10"/>
                  <c:pt idx="0">
                    <c:v>133.29566608695652</c:v>
                  </c:pt>
                  <c:pt idx="1">
                    <c:v>61.176651840000005</c:v>
                  </c:pt>
                  <c:pt idx="2">
                    <c:v>0</c:v>
                  </c:pt>
                  <c:pt idx="3">
                    <c:v>0</c:v>
                  </c:pt>
                  <c:pt idx="4">
                    <c:v>0</c:v>
                  </c:pt>
                  <c:pt idx="5">
                    <c:v>6.4558726422260877</c:v>
                  </c:pt>
                  <c:pt idx="6">
                    <c:v>8.1079016727272766</c:v>
                  </c:pt>
                  <c:pt idx="7">
                    <c:v>2.4420227657142846</c:v>
                  </c:pt>
                  <c:pt idx="8">
                    <c:v>10.312237440000004</c:v>
                  </c:pt>
                  <c:pt idx="9">
                    <c:v>0</c:v>
                  </c:pt>
                </c:numCache>
              </c:numRef>
            </c:plus>
            <c:minus>
              <c:numRef>
                <c:f>Summary!$D$54:$D$63</c:f>
                <c:numCache>
                  <c:formatCode>General</c:formatCode>
                  <c:ptCount val="10"/>
                  <c:pt idx="0">
                    <c:v>133.29566608695652</c:v>
                  </c:pt>
                  <c:pt idx="1">
                    <c:v>61.176651840000005</c:v>
                  </c:pt>
                  <c:pt idx="2">
                    <c:v>0</c:v>
                  </c:pt>
                  <c:pt idx="3">
                    <c:v>0</c:v>
                  </c:pt>
                  <c:pt idx="4">
                    <c:v>0</c:v>
                  </c:pt>
                  <c:pt idx="5">
                    <c:v>6.4558726422260877</c:v>
                  </c:pt>
                  <c:pt idx="6">
                    <c:v>8.1079016727272766</c:v>
                  </c:pt>
                  <c:pt idx="7">
                    <c:v>2.4420227657142846</c:v>
                  </c:pt>
                  <c:pt idx="8">
                    <c:v>10.312237440000004</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Summary!$B$48:$K$48</c:f>
              <c:numCache>
                <c:formatCode>0.00</c:formatCode>
                <c:ptCount val="10"/>
                <c:pt idx="0">
                  <c:v>133.29566608695652</c:v>
                </c:pt>
                <c:pt idx="1">
                  <c:v>188.62800984000003</c:v>
                </c:pt>
                <c:pt idx="2">
                  <c:v>0</c:v>
                </c:pt>
                <c:pt idx="3">
                  <c:v>0</c:v>
                </c:pt>
                <c:pt idx="4">
                  <c:v>151.73978067130435</c:v>
                </c:pt>
                <c:pt idx="5">
                  <c:v>6.4558726422260877</c:v>
                </c:pt>
                <c:pt idx="6">
                  <c:v>24.999363490909094</c:v>
                </c:pt>
                <c:pt idx="7">
                  <c:v>12.617117622857144</c:v>
                </c:pt>
                <c:pt idx="8">
                  <c:v>75.623074559999992</c:v>
                </c:pt>
                <c:pt idx="9">
                  <c:v>23.583277803022742</c:v>
                </c:pt>
              </c:numCache>
            </c:numRef>
          </c:val>
          <c:extLst>
            <c:ext xmlns:c16="http://schemas.microsoft.com/office/drawing/2014/chart" uri="{C3380CC4-5D6E-409C-BE32-E72D297353CC}">
              <c16:uniqueId val="{00000002-8CD3-4361-B58A-E95FC9192B44}"/>
            </c:ext>
          </c:extLst>
        </c:ser>
        <c:ser>
          <c:idx val="3"/>
          <c:order val="3"/>
          <c:tx>
            <c:strRef>
              <c:f>Summary!$A$49</c:f>
              <c:strCache>
                <c:ptCount val="1"/>
                <c:pt idx="0">
                  <c:v>Confined to building</c:v>
                </c:pt>
              </c:strCache>
            </c:strRef>
          </c:tx>
          <c:spPr>
            <a:solidFill>
              <a:schemeClr val="accent4"/>
            </a:solidFill>
            <a:ln>
              <a:noFill/>
            </a:ln>
            <a:effectLst/>
          </c:spPr>
          <c:invertIfNegative val="0"/>
          <c:errBars>
            <c:errBarType val="both"/>
            <c:errValType val="cust"/>
            <c:noEndCap val="0"/>
            <c:plus>
              <c:numRef>
                <c:f>Summary!$E$54:$E$63</c:f>
                <c:numCache>
                  <c:formatCode>General</c:formatCode>
                  <c:ptCount val="10"/>
                  <c:pt idx="0">
                    <c:v>36.353363478260867</c:v>
                  </c:pt>
                  <c:pt idx="1">
                    <c:v>15.202315636363636</c:v>
                  </c:pt>
                  <c:pt idx="2">
                    <c:v>0</c:v>
                  </c:pt>
                  <c:pt idx="3">
                    <c:v>0</c:v>
                  </c:pt>
                  <c:pt idx="4">
                    <c:v>0</c:v>
                  </c:pt>
                  <c:pt idx="5">
                    <c:v>32.46331123033044</c:v>
                  </c:pt>
                  <c:pt idx="6">
                    <c:v>90.708163451345399</c:v>
                  </c:pt>
                  <c:pt idx="7">
                    <c:v>34.96339551085714</c:v>
                  </c:pt>
                  <c:pt idx="8">
                    <c:v>153.04176580525723</c:v>
                  </c:pt>
                  <c:pt idx="9">
                    <c:v>0</c:v>
                  </c:pt>
                </c:numCache>
              </c:numRef>
            </c:plus>
            <c:minus>
              <c:numRef>
                <c:f>Summary!$E$54:$E$63</c:f>
                <c:numCache>
                  <c:formatCode>General</c:formatCode>
                  <c:ptCount val="10"/>
                  <c:pt idx="0">
                    <c:v>36.353363478260867</c:v>
                  </c:pt>
                  <c:pt idx="1">
                    <c:v>15.202315636363636</c:v>
                  </c:pt>
                  <c:pt idx="2">
                    <c:v>0</c:v>
                  </c:pt>
                  <c:pt idx="3">
                    <c:v>0</c:v>
                  </c:pt>
                  <c:pt idx="4">
                    <c:v>0</c:v>
                  </c:pt>
                  <c:pt idx="5">
                    <c:v>32.46331123033044</c:v>
                  </c:pt>
                  <c:pt idx="6">
                    <c:v>90.708163451345399</c:v>
                  </c:pt>
                  <c:pt idx="7">
                    <c:v>34.96339551085714</c:v>
                  </c:pt>
                  <c:pt idx="8">
                    <c:v>153.04176580525723</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Summary!$B$49:$K$49</c:f>
              <c:numCache>
                <c:formatCode>0.00</c:formatCode>
                <c:ptCount val="10"/>
                <c:pt idx="0">
                  <c:v>36.353363478260867</c:v>
                </c:pt>
                <c:pt idx="1">
                  <c:v>46.873806545454549</c:v>
                </c:pt>
                <c:pt idx="2">
                  <c:v>0</c:v>
                </c:pt>
                <c:pt idx="3">
                  <c:v>0</c:v>
                </c:pt>
                <c:pt idx="4">
                  <c:v>41.613585011857708</c:v>
                </c:pt>
                <c:pt idx="5">
                  <c:v>32.46331123033044</c:v>
                </c:pt>
                <c:pt idx="6">
                  <c:v>279.68350397498187</c:v>
                </c:pt>
                <c:pt idx="7">
                  <c:v>180.64421013942859</c:v>
                </c:pt>
                <c:pt idx="8">
                  <c:v>1122.3062825718864</c:v>
                </c:pt>
                <c:pt idx="9">
                  <c:v>734.01615214309766</c:v>
                </c:pt>
              </c:numCache>
            </c:numRef>
          </c:val>
          <c:extLst>
            <c:ext xmlns:c16="http://schemas.microsoft.com/office/drawing/2014/chart" uri="{C3380CC4-5D6E-409C-BE32-E72D297353CC}">
              <c16:uniqueId val="{00000003-8CD3-4361-B58A-E95FC9192B44}"/>
            </c:ext>
          </c:extLst>
        </c:ser>
        <c:ser>
          <c:idx val="4"/>
          <c:order val="4"/>
          <c:tx>
            <c:strRef>
              <c:f>Summary!$A$50</c:f>
              <c:strCache>
                <c:ptCount val="1"/>
                <c:pt idx="0">
                  <c:v>Beyond building of origin</c:v>
                </c:pt>
              </c:strCache>
            </c:strRef>
          </c:tx>
          <c:spPr>
            <a:solidFill>
              <a:schemeClr val="accent5"/>
            </a:solidFill>
            <a:ln>
              <a:noFill/>
            </a:ln>
            <a:effectLst/>
          </c:spPr>
          <c:invertIfNegative val="0"/>
          <c:errBars>
            <c:errBarType val="both"/>
            <c:errValType val="cust"/>
            <c:noEndCap val="0"/>
            <c:plus>
              <c:numRef>
                <c:f>Summary!$F$54:$F$63</c:f>
                <c:numCache>
                  <c:formatCode>General</c:formatCode>
                  <c:ptCount val="10"/>
                  <c:pt idx="0">
                    <c:v>22.880806973217393</c:v>
                  </c:pt>
                  <c:pt idx="1">
                    <c:v>5.0674385454545465</c:v>
                  </c:pt>
                  <c:pt idx="2">
                    <c:v>0</c:v>
                  </c:pt>
                  <c:pt idx="3">
                    <c:v>0</c:v>
                  </c:pt>
                  <c:pt idx="4">
                    <c:v>0</c:v>
                  </c:pt>
                  <c:pt idx="5">
                    <c:v>0.3206366658782609</c:v>
                  </c:pt>
                  <c:pt idx="6">
                    <c:v>0</c:v>
                  </c:pt>
                  <c:pt idx="7">
                    <c:v>6.7378593353142762</c:v>
                  </c:pt>
                  <c:pt idx="8">
                    <c:v>30.131641119085657</c:v>
                  </c:pt>
                  <c:pt idx="9">
                    <c:v>0</c:v>
                  </c:pt>
                </c:numCache>
              </c:numRef>
            </c:plus>
            <c:minus>
              <c:numRef>
                <c:f>Summary!$F$54:$F$63</c:f>
                <c:numCache>
                  <c:formatCode>General</c:formatCode>
                  <c:ptCount val="10"/>
                  <c:pt idx="0">
                    <c:v>22.880806973217393</c:v>
                  </c:pt>
                  <c:pt idx="1">
                    <c:v>5.0674385454545465</c:v>
                  </c:pt>
                  <c:pt idx="2">
                    <c:v>0</c:v>
                  </c:pt>
                  <c:pt idx="3">
                    <c:v>0</c:v>
                  </c:pt>
                  <c:pt idx="4">
                    <c:v>0</c:v>
                  </c:pt>
                  <c:pt idx="5">
                    <c:v>0.3206366658782609</c:v>
                  </c:pt>
                  <c:pt idx="6">
                    <c:v>0</c:v>
                  </c:pt>
                  <c:pt idx="7">
                    <c:v>6.7378593353142762</c:v>
                  </c:pt>
                  <c:pt idx="8">
                    <c:v>30.131641119085657</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Summary!$B$50:$K$50</c:f>
              <c:numCache>
                <c:formatCode>0.00</c:formatCode>
                <c:ptCount val="10"/>
                <c:pt idx="0">
                  <c:v>22.880806973217393</c:v>
                </c:pt>
                <c:pt idx="1">
                  <c:v>15.624602181818183</c:v>
                </c:pt>
                <c:pt idx="2">
                  <c:v>0</c:v>
                </c:pt>
                <c:pt idx="3">
                  <c:v>0</c:v>
                </c:pt>
                <c:pt idx="4">
                  <c:v>21.066755775367589</c:v>
                </c:pt>
                <c:pt idx="5">
                  <c:v>0.3206366658782609</c:v>
                </c:pt>
                <c:pt idx="6">
                  <c:v>0</c:v>
                </c:pt>
                <c:pt idx="7">
                  <c:v>34.812273232457152</c:v>
                </c:pt>
                <c:pt idx="8">
                  <c:v>220.96536820662863</c:v>
                </c:pt>
                <c:pt idx="9">
                  <c:v>194.65619062757563</c:v>
                </c:pt>
              </c:numCache>
            </c:numRef>
          </c:val>
          <c:extLst>
            <c:ext xmlns:c16="http://schemas.microsoft.com/office/drawing/2014/chart" uri="{C3380CC4-5D6E-409C-BE32-E72D297353CC}">
              <c16:uniqueId val="{00000004-8CD3-4361-B58A-E95FC9192B44}"/>
            </c:ext>
          </c:extLst>
        </c:ser>
        <c:dLbls>
          <c:showLegendKey val="0"/>
          <c:showVal val="0"/>
          <c:showCatName val="0"/>
          <c:showSerName val="0"/>
          <c:showPercent val="0"/>
          <c:showBubbleSize val="0"/>
        </c:dLbls>
        <c:gapWidth val="219"/>
        <c:overlap val="-27"/>
        <c:axId val="563984448"/>
        <c:axId val="563986088"/>
      </c:barChart>
      <c:catAx>
        <c:axId val="563984448"/>
        <c:scaling>
          <c:orientation val="minMax"/>
        </c:scaling>
        <c:delete val="0"/>
        <c:axPos val="b"/>
        <c:numFmt formatCode="General" sourceLinked="1"/>
        <c:majorTickMark val="out"/>
        <c:minorTickMark val="none"/>
        <c:tickLblPos val="nextTo"/>
        <c:spPr>
          <a:noFill/>
          <a:ln w="9525" cap="flat" cmpd="sng" algn="ctr">
            <a:solidFill>
              <a:schemeClr val="bg2">
                <a:lumMod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986088"/>
        <c:crosses val="autoZero"/>
        <c:auto val="1"/>
        <c:lblAlgn val="ctr"/>
        <c:lblOffset val="100"/>
        <c:noMultiLvlLbl val="0"/>
      </c:catAx>
      <c:valAx>
        <c:axId val="563986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Area</a:t>
                </a:r>
                <a:r>
                  <a:rPr lang="en-GB" baseline="0"/>
                  <a:t> damage [</a:t>
                </a:r>
                <a:r>
                  <a:rPr lang="en-GB" sz="800" b="0" i="0" u="none" strike="noStrike" baseline="0">
                    <a:effectLst/>
                  </a:rPr>
                  <a:t>m</a:t>
                </a:r>
                <a:r>
                  <a:rPr lang="en-GB" sz="800" b="0" i="0" u="none" strike="noStrike" baseline="30000">
                    <a:effectLst/>
                  </a:rPr>
                  <a:t>2</a:t>
                </a:r>
                <a:r>
                  <a:rPr lang="en-GB" baseline="0"/>
                  <a:t>]</a:t>
                </a:r>
                <a:endParaRPr lang="en-GB"/>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98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16299059108841E-2"/>
          <c:y val="6.4686856806821527E-2"/>
          <c:w val="0.90739451428220597"/>
          <c:h val="0.61483259902715037"/>
        </c:manualLayout>
      </c:layout>
      <c:barChart>
        <c:barDir val="col"/>
        <c:grouping val="clustered"/>
        <c:varyColors val="0"/>
        <c:ser>
          <c:idx val="0"/>
          <c:order val="0"/>
          <c:tx>
            <c:strRef>
              <c:f>Summary!$A$46</c:f>
              <c:strCache>
                <c:ptCount val="1"/>
                <c:pt idx="0">
                  <c:v>Confined to object</c:v>
                </c:pt>
              </c:strCache>
            </c:strRef>
          </c:tx>
          <c:spPr>
            <a:solidFill>
              <a:schemeClr val="accent1"/>
            </a:solidFill>
            <a:ln>
              <a:noFill/>
            </a:ln>
            <a:effectLst/>
          </c:spPr>
          <c:invertIfNegative val="0"/>
          <c:errBars>
            <c:errBarType val="both"/>
            <c:errValType val="cust"/>
            <c:noEndCap val="0"/>
            <c:plus>
              <c:numRef>
                <c:f>Summary!$B$54:$B$63</c:f>
                <c:numCache>
                  <c:formatCode>General</c:formatCode>
                  <c:ptCount val="10"/>
                  <c:pt idx="0">
                    <c:v>8.0090853217476923</c:v>
                  </c:pt>
                  <c:pt idx="1">
                    <c:v>0</c:v>
                  </c:pt>
                  <c:pt idx="2">
                    <c:v>0</c:v>
                  </c:pt>
                  <c:pt idx="3">
                    <c:v>0</c:v>
                  </c:pt>
                  <c:pt idx="4">
                    <c:v>0</c:v>
                  </c:pt>
                  <c:pt idx="5">
                    <c:v>7.686054305279999</c:v>
                  </c:pt>
                  <c:pt idx="6">
                    <c:v>0.4493890148957751</c:v>
                  </c:pt>
                  <c:pt idx="7">
                    <c:v>0.69654620721951188</c:v>
                  </c:pt>
                  <c:pt idx="8">
                    <c:v>0.76960854978855942</c:v>
                  </c:pt>
                  <c:pt idx="9">
                    <c:v>0</c:v>
                  </c:pt>
                </c:numCache>
              </c:numRef>
            </c:plus>
            <c:minus>
              <c:numRef>
                <c:f>Summary!$B$54:$B$63</c:f>
                <c:numCache>
                  <c:formatCode>General</c:formatCode>
                  <c:ptCount val="10"/>
                  <c:pt idx="0">
                    <c:v>8.0090853217476923</c:v>
                  </c:pt>
                  <c:pt idx="1">
                    <c:v>0</c:v>
                  </c:pt>
                  <c:pt idx="2">
                    <c:v>0</c:v>
                  </c:pt>
                  <c:pt idx="3">
                    <c:v>0</c:v>
                  </c:pt>
                  <c:pt idx="4">
                    <c:v>0</c:v>
                  </c:pt>
                  <c:pt idx="5">
                    <c:v>7.686054305279999</c:v>
                  </c:pt>
                  <c:pt idx="6">
                    <c:v>0.4493890148957751</c:v>
                  </c:pt>
                  <c:pt idx="7">
                    <c:v>0.69654620721951188</c:v>
                  </c:pt>
                  <c:pt idx="8">
                    <c:v>0.76960854978855942</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Summary!$B$46:$K$46</c:f>
              <c:numCache>
                <c:formatCode>0.00</c:formatCode>
                <c:ptCount val="10"/>
                <c:pt idx="0">
                  <c:v>8.0090853217476923</c:v>
                </c:pt>
                <c:pt idx="1">
                  <c:v>0</c:v>
                </c:pt>
                <c:pt idx="2">
                  <c:v>0</c:v>
                </c:pt>
                <c:pt idx="3">
                  <c:v>0</c:v>
                </c:pt>
                <c:pt idx="4">
                  <c:v>8.0090853217476923</c:v>
                </c:pt>
                <c:pt idx="5">
                  <c:v>7.686054305279999</c:v>
                </c:pt>
                <c:pt idx="6">
                  <c:v>1.3856161292619718</c:v>
                </c:pt>
                <c:pt idx="7">
                  <c:v>3.5988220706341472</c:v>
                </c:pt>
                <c:pt idx="8">
                  <c:v>5.6437960317827782</c:v>
                </c:pt>
                <c:pt idx="9">
                  <c:v>6.2062312199377487</c:v>
                </c:pt>
              </c:numCache>
            </c:numRef>
          </c:val>
          <c:extLst>
            <c:ext xmlns:c16="http://schemas.microsoft.com/office/drawing/2014/chart" uri="{C3380CC4-5D6E-409C-BE32-E72D297353CC}">
              <c16:uniqueId val="{00000000-8ACC-486D-B8FE-B243A8BC20FE}"/>
            </c:ext>
          </c:extLst>
        </c:ser>
        <c:ser>
          <c:idx val="1"/>
          <c:order val="1"/>
          <c:tx>
            <c:strRef>
              <c:f>Summary!$A$47</c:f>
              <c:strCache>
                <c:ptCount val="1"/>
                <c:pt idx="0">
                  <c:v>Confined to room</c:v>
                </c:pt>
              </c:strCache>
            </c:strRef>
          </c:tx>
          <c:spPr>
            <a:solidFill>
              <a:schemeClr val="accent2"/>
            </a:solidFill>
            <a:ln>
              <a:noFill/>
            </a:ln>
            <a:effectLst/>
          </c:spPr>
          <c:invertIfNegative val="0"/>
          <c:errBars>
            <c:errBarType val="both"/>
            <c:errValType val="cust"/>
            <c:noEndCap val="0"/>
            <c:plus>
              <c:numRef>
                <c:f>Summary!$C$54:$C$63</c:f>
                <c:numCache>
                  <c:formatCode>General</c:formatCode>
                  <c:ptCount val="10"/>
                  <c:pt idx="0">
                    <c:v>37.648671104492308</c:v>
                  </c:pt>
                  <c:pt idx="1">
                    <c:v>9.8490307335211149</c:v>
                  </c:pt>
                  <c:pt idx="2">
                    <c:v>0</c:v>
                  </c:pt>
                  <c:pt idx="3">
                    <c:v>0</c:v>
                  </c:pt>
                  <c:pt idx="4">
                    <c:v>0</c:v>
                  </c:pt>
                  <c:pt idx="5">
                    <c:v>6.613981809230765</c:v>
                  </c:pt>
                  <c:pt idx="6">
                    <c:v>3.5609996930704231</c:v>
                  </c:pt>
                  <c:pt idx="7">
                    <c:v>0.60799374860487809</c:v>
                  </c:pt>
                  <c:pt idx="8">
                    <c:v>0.10538743343306078</c:v>
                  </c:pt>
                  <c:pt idx="9">
                    <c:v>0</c:v>
                  </c:pt>
                </c:numCache>
              </c:numRef>
            </c:plus>
            <c:minus>
              <c:numRef>
                <c:f>Summary!$C$54:$C$63</c:f>
                <c:numCache>
                  <c:formatCode>General</c:formatCode>
                  <c:ptCount val="10"/>
                  <c:pt idx="0">
                    <c:v>37.648671104492308</c:v>
                  </c:pt>
                  <c:pt idx="1">
                    <c:v>9.8490307335211149</c:v>
                  </c:pt>
                  <c:pt idx="2">
                    <c:v>0</c:v>
                  </c:pt>
                  <c:pt idx="3">
                    <c:v>0</c:v>
                  </c:pt>
                  <c:pt idx="4">
                    <c:v>0</c:v>
                  </c:pt>
                  <c:pt idx="5">
                    <c:v>6.613981809230765</c:v>
                  </c:pt>
                  <c:pt idx="6">
                    <c:v>3.5609996930704231</c:v>
                  </c:pt>
                  <c:pt idx="7">
                    <c:v>0.60799374860487809</c:v>
                  </c:pt>
                  <c:pt idx="8">
                    <c:v>0.10538743343306078</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Summary!$B$47:$K$47</c:f>
              <c:numCache>
                <c:formatCode>0.00</c:formatCode>
                <c:ptCount val="10"/>
                <c:pt idx="0">
                  <c:v>37.648671104492308</c:v>
                </c:pt>
                <c:pt idx="1">
                  <c:v>30.367844761690147</c:v>
                </c:pt>
                <c:pt idx="2">
                  <c:v>0</c:v>
                </c:pt>
                <c:pt idx="3">
                  <c:v>0</c:v>
                </c:pt>
                <c:pt idx="4">
                  <c:v>36.920588470212095</c:v>
                </c:pt>
                <c:pt idx="5">
                  <c:v>6.613981809230765</c:v>
                </c:pt>
                <c:pt idx="6">
                  <c:v>10.9797490536338</c:v>
                </c:pt>
                <c:pt idx="7">
                  <c:v>3.1413010344585368</c:v>
                </c:pt>
                <c:pt idx="8">
                  <c:v>0.77284117850911371</c:v>
                </c:pt>
                <c:pt idx="9">
                  <c:v>6.6007540501468069</c:v>
                </c:pt>
              </c:numCache>
            </c:numRef>
          </c:val>
          <c:extLst>
            <c:ext xmlns:c16="http://schemas.microsoft.com/office/drawing/2014/chart" uri="{C3380CC4-5D6E-409C-BE32-E72D297353CC}">
              <c16:uniqueId val="{00000001-8ACC-486D-B8FE-B243A8BC20FE}"/>
            </c:ext>
          </c:extLst>
        </c:ser>
        <c:ser>
          <c:idx val="2"/>
          <c:order val="2"/>
          <c:tx>
            <c:strRef>
              <c:f>Summary!$A$48</c:f>
              <c:strCache>
                <c:ptCount val="1"/>
                <c:pt idx="0">
                  <c:v>Confined to floor</c:v>
                </c:pt>
              </c:strCache>
            </c:strRef>
          </c:tx>
          <c:spPr>
            <a:solidFill>
              <a:schemeClr val="accent3"/>
            </a:solidFill>
            <a:ln>
              <a:noFill/>
            </a:ln>
            <a:effectLst/>
          </c:spPr>
          <c:invertIfNegative val="0"/>
          <c:errBars>
            <c:errBarType val="both"/>
            <c:errValType val="cust"/>
            <c:noEndCap val="0"/>
            <c:plus>
              <c:numRef>
                <c:f>Summary!$D$54:$D$63</c:f>
                <c:numCache>
                  <c:formatCode>General</c:formatCode>
                  <c:ptCount val="10"/>
                  <c:pt idx="0">
                    <c:v>0.54352566232615385</c:v>
                  </c:pt>
                  <c:pt idx="1">
                    <c:v>19.41424922230987</c:v>
                  </c:pt>
                  <c:pt idx="2">
                    <c:v>0</c:v>
                  </c:pt>
                  <c:pt idx="3">
                    <c:v>0</c:v>
                  </c:pt>
                  <c:pt idx="4">
                    <c:v>0</c:v>
                  </c:pt>
                  <c:pt idx="5">
                    <c:v>0.91985443820307677</c:v>
                  </c:pt>
                  <c:pt idx="6">
                    <c:v>0.80472351549295773</c:v>
                  </c:pt>
                  <c:pt idx="7">
                    <c:v>0.36091698076097645</c:v>
                  </c:pt>
                  <c:pt idx="8">
                    <c:v>7.3575003394091842E-2</c:v>
                  </c:pt>
                  <c:pt idx="9">
                    <c:v>0</c:v>
                  </c:pt>
                </c:numCache>
              </c:numRef>
            </c:plus>
            <c:minus>
              <c:numRef>
                <c:f>Summary!$D$54:$D$63</c:f>
                <c:numCache>
                  <c:formatCode>General</c:formatCode>
                  <c:ptCount val="10"/>
                  <c:pt idx="0">
                    <c:v>0.54352566232615385</c:v>
                  </c:pt>
                  <c:pt idx="1">
                    <c:v>19.41424922230987</c:v>
                  </c:pt>
                  <c:pt idx="2">
                    <c:v>0</c:v>
                  </c:pt>
                  <c:pt idx="3">
                    <c:v>0</c:v>
                  </c:pt>
                  <c:pt idx="4">
                    <c:v>0</c:v>
                  </c:pt>
                  <c:pt idx="5">
                    <c:v>0.91985443820307677</c:v>
                  </c:pt>
                  <c:pt idx="6">
                    <c:v>0.80472351549295773</c:v>
                  </c:pt>
                  <c:pt idx="7">
                    <c:v>0.36091698076097645</c:v>
                  </c:pt>
                  <c:pt idx="8">
                    <c:v>7.3575003394091842E-2</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Summary!$B$48:$K$48</c:f>
              <c:numCache>
                <c:formatCode>0.00</c:formatCode>
                <c:ptCount val="10"/>
                <c:pt idx="0">
                  <c:v>0.54352566232615385</c:v>
                </c:pt>
                <c:pt idx="1">
                  <c:v>59.860601768788733</c:v>
                </c:pt>
                <c:pt idx="2">
                  <c:v>0</c:v>
                </c:pt>
                <c:pt idx="3">
                  <c:v>0</c:v>
                </c:pt>
                <c:pt idx="4">
                  <c:v>30.202063715557443</c:v>
                </c:pt>
                <c:pt idx="5">
                  <c:v>0.91985443820307677</c:v>
                </c:pt>
                <c:pt idx="6">
                  <c:v>2.4812308394366203</c:v>
                </c:pt>
                <c:pt idx="7">
                  <c:v>1.8647377339317073</c:v>
                </c:pt>
                <c:pt idx="8">
                  <c:v>0.53955002489000625</c:v>
                </c:pt>
                <c:pt idx="9">
                  <c:v>1.3254081493796355</c:v>
                </c:pt>
              </c:numCache>
            </c:numRef>
          </c:val>
          <c:extLst>
            <c:ext xmlns:c16="http://schemas.microsoft.com/office/drawing/2014/chart" uri="{C3380CC4-5D6E-409C-BE32-E72D297353CC}">
              <c16:uniqueId val="{00000002-8ACC-486D-B8FE-B243A8BC20FE}"/>
            </c:ext>
          </c:extLst>
        </c:ser>
        <c:ser>
          <c:idx val="3"/>
          <c:order val="3"/>
          <c:tx>
            <c:strRef>
              <c:f>Summary!$A$49</c:f>
              <c:strCache>
                <c:ptCount val="1"/>
                <c:pt idx="0">
                  <c:v>Confined to building</c:v>
                </c:pt>
              </c:strCache>
            </c:strRef>
          </c:tx>
          <c:spPr>
            <a:solidFill>
              <a:schemeClr val="accent4"/>
            </a:solidFill>
            <a:ln>
              <a:noFill/>
            </a:ln>
            <a:effectLst/>
          </c:spPr>
          <c:invertIfNegative val="0"/>
          <c:errBars>
            <c:errBarType val="both"/>
            <c:errValType val="cust"/>
            <c:noEndCap val="0"/>
            <c:plus>
              <c:numRef>
                <c:f>Summary!$E$54:$E$63</c:f>
                <c:numCache>
                  <c:formatCode>General</c:formatCode>
                  <c:ptCount val="10"/>
                  <c:pt idx="0">
                    <c:v>18.153211137673846</c:v>
                  </c:pt>
                  <c:pt idx="1">
                    <c:v>0.58882208450704199</c:v>
                  </c:pt>
                  <c:pt idx="2">
                    <c:v>0</c:v>
                  </c:pt>
                  <c:pt idx="3">
                    <c:v>0.44025880602388412</c:v>
                  </c:pt>
                  <c:pt idx="4">
                    <c:v>0</c:v>
                  </c:pt>
                  <c:pt idx="5">
                    <c:v>8.9796505270153872</c:v>
                  </c:pt>
                  <c:pt idx="6">
                    <c:v>16.081280695166171</c:v>
                  </c:pt>
                  <c:pt idx="7">
                    <c:v>14.123709282029282</c:v>
                  </c:pt>
                  <c:pt idx="8">
                    <c:v>9.5078103957478959</c:v>
                  </c:pt>
                  <c:pt idx="9">
                    <c:v>0</c:v>
                  </c:pt>
                </c:numCache>
              </c:numRef>
            </c:plus>
            <c:minus>
              <c:numRef>
                <c:f>Summary!$E$54:$E$63</c:f>
                <c:numCache>
                  <c:formatCode>General</c:formatCode>
                  <c:ptCount val="10"/>
                  <c:pt idx="0">
                    <c:v>18.153211137673846</c:v>
                  </c:pt>
                  <c:pt idx="1">
                    <c:v>0.58882208450704199</c:v>
                  </c:pt>
                  <c:pt idx="2">
                    <c:v>0</c:v>
                  </c:pt>
                  <c:pt idx="3">
                    <c:v>0.44025880602388412</c:v>
                  </c:pt>
                  <c:pt idx="4">
                    <c:v>0</c:v>
                  </c:pt>
                  <c:pt idx="5">
                    <c:v>8.9796505270153872</c:v>
                  </c:pt>
                  <c:pt idx="6">
                    <c:v>16.081280695166171</c:v>
                  </c:pt>
                  <c:pt idx="7">
                    <c:v>14.123709282029282</c:v>
                  </c:pt>
                  <c:pt idx="8">
                    <c:v>9.5078103957478959</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Summary!$B$49:$K$49</c:f>
              <c:numCache>
                <c:formatCode>0.00</c:formatCode>
                <c:ptCount val="10"/>
                <c:pt idx="0">
                  <c:v>18.153211137673846</c:v>
                </c:pt>
                <c:pt idx="1">
                  <c:v>1.8155347605633805</c:v>
                </c:pt>
                <c:pt idx="2">
                  <c:v>0</c:v>
                </c:pt>
                <c:pt idx="3">
                  <c:v>3.2285645775084855</c:v>
                </c:pt>
                <c:pt idx="4">
                  <c:v>12.042049531913191</c:v>
                </c:pt>
                <c:pt idx="5">
                  <c:v>8.9796505270153872</c:v>
                </c:pt>
                <c:pt idx="6">
                  <c:v>49.583948810095805</c:v>
                </c:pt>
                <c:pt idx="7">
                  <c:v>72.972497957151305</c:v>
                </c:pt>
                <c:pt idx="8">
                  <c:v>69.723942902152771</c:v>
                </c:pt>
                <c:pt idx="9">
                  <c:v>55.135719203035407</c:v>
                </c:pt>
              </c:numCache>
            </c:numRef>
          </c:val>
          <c:extLst>
            <c:ext xmlns:c16="http://schemas.microsoft.com/office/drawing/2014/chart" uri="{C3380CC4-5D6E-409C-BE32-E72D297353CC}">
              <c16:uniqueId val="{00000003-8ACC-486D-B8FE-B243A8BC20FE}"/>
            </c:ext>
          </c:extLst>
        </c:ser>
        <c:ser>
          <c:idx val="4"/>
          <c:order val="4"/>
          <c:tx>
            <c:strRef>
              <c:f>Summary!$A$50</c:f>
              <c:strCache>
                <c:ptCount val="1"/>
                <c:pt idx="0">
                  <c:v>Beyond building of origin</c:v>
                </c:pt>
              </c:strCache>
            </c:strRef>
          </c:tx>
          <c:spPr>
            <a:solidFill>
              <a:schemeClr val="accent5"/>
            </a:solidFill>
            <a:ln>
              <a:noFill/>
            </a:ln>
            <a:effectLst/>
          </c:spPr>
          <c:invertIfNegative val="0"/>
          <c:errBars>
            <c:errBarType val="both"/>
            <c:errValType val="cust"/>
            <c:noEndCap val="0"/>
            <c:plus>
              <c:numRef>
                <c:f>Summary!$F$54:$F$63</c:f>
                <c:numCache>
                  <c:formatCode>General</c:formatCode>
                  <c:ptCount val="10"/>
                  <c:pt idx="0">
                    <c:v>0.50024713846153845</c:v>
                  </c:pt>
                  <c:pt idx="1">
                    <c:v>0</c:v>
                  </c:pt>
                  <c:pt idx="2">
                    <c:v>0</c:v>
                  </c:pt>
                  <c:pt idx="3">
                    <c:v>0</c:v>
                  </c:pt>
                  <c:pt idx="4">
                    <c:v>0</c:v>
                  </c:pt>
                  <c:pt idx="5">
                    <c:v>4.3460613823015386</c:v>
                  </c:pt>
                  <c:pt idx="6">
                    <c:v>0.6897069349859164</c:v>
                  </c:pt>
                  <c:pt idx="7">
                    <c:v>8.9160180451902065</c:v>
                  </c:pt>
                  <c:pt idx="8">
                    <c:v>6.6863421513048351</c:v>
                  </c:pt>
                  <c:pt idx="9">
                    <c:v>0</c:v>
                  </c:pt>
                </c:numCache>
              </c:numRef>
            </c:plus>
            <c:minus>
              <c:numRef>
                <c:f>Summary!$F$54:$F$63</c:f>
                <c:numCache>
                  <c:formatCode>General</c:formatCode>
                  <c:ptCount val="10"/>
                  <c:pt idx="0">
                    <c:v>0.50024713846153845</c:v>
                  </c:pt>
                  <c:pt idx="1">
                    <c:v>0</c:v>
                  </c:pt>
                  <c:pt idx="2">
                    <c:v>0</c:v>
                  </c:pt>
                  <c:pt idx="3">
                    <c:v>0</c:v>
                  </c:pt>
                  <c:pt idx="4">
                    <c:v>0</c:v>
                  </c:pt>
                  <c:pt idx="5">
                    <c:v>4.3460613823015386</c:v>
                  </c:pt>
                  <c:pt idx="6">
                    <c:v>0.6897069349859164</c:v>
                  </c:pt>
                  <c:pt idx="7">
                    <c:v>8.9160180451902065</c:v>
                  </c:pt>
                  <c:pt idx="8">
                    <c:v>6.6863421513048351</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Summary!$B$50:$K$50</c:f>
              <c:numCache>
                <c:formatCode>0.00</c:formatCode>
                <c:ptCount val="10"/>
                <c:pt idx="0">
                  <c:v>0.50024713846153845</c:v>
                </c:pt>
                <c:pt idx="1">
                  <c:v>0</c:v>
                </c:pt>
                <c:pt idx="2">
                  <c:v>0</c:v>
                </c:pt>
                <c:pt idx="3">
                  <c:v>0</c:v>
                </c:pt>
                <c:pt idx="4">
                  <c:v>0.50024713846153845</c:v>
                </c:pt>
                <c:pt idx="5">
                  <c:v>4.3460613823015386</c:v>
                </c:pt>
                <c:pt idx="6">
                  <c:v>2.1265963828732395</c:v>
                </c:pt>
                <c:pt idx="7">
                  <c:v>46.066093233482945</c:v>
                </c:pt>
                <c:pt idx="8">
                  <c:v>49.033175776237478</c:v>
                </c:pt>
                <c:pt idx="9">
                  <c:v>41.745263850994249</c:v>
                </c:pt>
              </c:numCache>
            </c:numRef>
          </c:val>
          <c:extLst>
            <c:ext xmlns:c16="http://schemas.microsoft.com/office/drawing/2014/chart" uri="{C3380CC4-5D6E-409C-BE32-E72D297353CC}">
              <c16:uniqueId val="{00000004-8ACC-486D-B8FE-B243A8BC20FE}"/>
            </c:ext>
          </c:extLst>
        </c:ser>
        <c:dLbls>
          <c:showLegendKey val="0"/>
          <c:showVal val="0"/>
          <c:showCatName val="0"/>
          <c:showSerName val="0"/>
          <c:showPercent val="0"/>
          <c:showBubbleSize val="0"/>
        </c:dLbls>
        <c:gapWidth val="219"/>
        <c:overlap val="-27"/>
        <c:axId val="563984448"/>
        <c:axId val="563986088"/>
      </c:barChart>
      <c:catAx>
        <c:axId val="563984448"/>
        <c:scaling>
          <c:orientation val="minMax"/>
        </c:scaling>
        <c:delete val="0"/>
        <c:axPos val="b"/>
        <c:numFmt formatCode="General" sourceLinked="1"/>
        <c:majorTickMark val="out"/>
        <c:minorTickMark val="none"/>
        <c:tickLblPos val="nextTo"/>
        <c:spPr>
          <a:noFill/>
          <a:ln w="9525" cap="flat" cmpd="sng" algn="ctr">
            <a:solidFill>
              <a:schemeClr val="bg2">
                <a:lumMod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986088"/>
        <c:crosses val="autoZero"/>
        <c:auto val="1"/>
        <c:lblAlgn val="ctr"/>
        <c:lblOffset val="100"/>
        <c:noMultiLvlLbl val="0"/>
      </c:catAx>
      <c:valAx>
        <c:axId val="563986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Area</a:t>
                </a:r>
                <a:r>
                  <a:rPr lang="en-GB" baseline="0"/>
                  <a:t> damage [</a:t>
                </a:r>
                <a:r>
                  <a:rPr lang="en-GB" sz="800" b="0" i="0" u="none" strike="noStrike" baseline="0">
                    <a:effectLst/>
                  </a:rPr>
                  <a:t>m</a:t>
                </a:r>
                <a:r>
                  <a:rPr lang="en-GB" sz="800" b="0" i="0" u="none" strike="noStrike" baseline="30000">
                    <a:effectLst/>
                  </a:rPr>
                  <a:t>2</a:t>
                </a:r>
                <a:r>
                  <a:rPr lang="en-GB" baseline="0"/>
                  <a:t>]</a:t>
                </a:r>
                <a:endParaRPr lang="en-GB"/>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98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112308329879833E-2"/>
          <c:y val="6.4686856806821527E-2"/>
          <c:w val="0.90544519654341449"/>
          <c:h val="0.61483259902715037"/>
        </c:manualLayout>
      </c:layout>
      <c:barChart>
        <c:barDir val="col"/>
        <c:grouping val="clustered"/>
        <c:varyColors val="0"/>
        <c:ser>
          <c:idx val="0"/>
          <c:order val="0"/>
          <c:tx>
            <c:strRef>
              <c:f>Summary!$A$46</c:f>
              <c:strCache>
                <c:ptCount val="1"/>
                <c:pt idx="0">
                  <c:v>Confined to object</c:v>
                </c:pt>
              </c:strCache>
            </c:strRef>
          </c:tx>
          <c:spPr>
            <a:solidFill>
              <a:schemeClr val="accent1"/>
            </a:solidFill>
            <a:ln>
              <a:noFill/>
            </a:ln>
            <a:effectLst/>
          </c:spPr>
          <c:invertIfNegative val="0"/>
          <c:errBars>
            <c:errBarType val="both"/>
            <c:errValType val="cust"/>
            <c:noEndCap val="0"/>
            <c:plus>
              <c:numRef>
                <c:f>Summary!$B$54:$B$63</c:f>
                <c:numCache>
                  <c:formatCode>General</c:formatCode>
                  <c:ptCount val="10"/>
                  <c:pt idx="0">
                    <c:v>3.345302405071418</c:v>
                  </c:pt>
                  <c:pt idx="1">
                    <c:v>1.0505432340746331E-3</c:v>
                  </c:pt>
                  <c:pt idx="2">
                    <c:v>0</c:v>
                  </c:pt>
                  <c:pt idx="3">
                    <c:v>2.5158510126939357E-3</c:v>
                  </c:pt>
                  <c:pt idx="4">
                    <c:v>0</c:v>
                  </c:pt>
                  <c:pt idx="5">
                    <c:v>4.4388076277159163</c:v>
                  </c:pt>
                  <c:pt idx="6">
                    <c:v>0.75896495945721565</c:v>
                  </c:pt>
                  <c:pt idx="7">
                    <c:v>0.41939830339684159</c:v>
                  </c:pt>
                  <c:pt idx="8">
                    <c:v>0.45789012566657039</c:v>
                  </c:pt>
                  <c:pt idx="9">
                    <c:v>0</c:v>
                  </c:pt>
                </c:numCache>
              </c:numRef>
            </c:plus>
            <c:minus>
              <c:numRef>
                <c:f>Summary!$B$54:$B$63</c:f>
                <c:numCache>
                  <c:formatCode>General</c:formatCode>
                  <c:ptCount val="10"/>
                  <c:pt idx="0">
                    <c:v>3.345302405071418</c:v>
                  </c:pt>
                  <c:pt idx="1">
                    <c:v>1.0505432340746331E-3</c:v>
                  </c:pt>
                  <c:pt idx="2">
                    <c:v>0</c:v>
                  </c:pt>
                  <c:pt idx="3">
                    <c:v>2.5158510126939357E-3</c:v>
                  </c:pt>
                  <c:pt idx="4">
                    <c:v>0</c:v>
                  </c:pt>
                  <c:pt idx="5">
                    <c:v>4.4388076277159163</c:v>
                  </c:pt>
                  <c:pt idx="6">
                    <c:v>0.75896495945721565</c:v>
                  </c:pt>
                  <c:pt idx="7">
                    <c:v>0.41939830339684159</c:v>
                  </c:pt>
                  <c:pt idx="8">
                    <c:v>0.45789012566657039</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Summary!$B$46:$K$46</c:f>
              <c:numCache>
                <c:formatCode>0.00</c:formatCode>
                <c:ptCount val="10"/>
                <c:pt idx="0">
                  <c:v>3.345302405071418</c:v>
                </c:pt>
                <c:pt idx="1">
                  <c:v>3.2391749717301166E-3</c:v>
                </c:pt>
                <c:pt idx="2">
                  <c:v>0</c:v>
                </c:pt>
                <c:pt idx="3">
                  <c:v>1.8449574093088859E-2</c:v>
                </c:pt>
                <c:pt idx="4">
                  <c:v>3.3048847319739756</c:v>
                </c:pt>
                <c:pt idx="5">
                  <c:v>4.4388076277159163</c:v>
                </c:pt>
                <c:pt idx="6">
                  <c:v>2.3401419583264249</c:v>
                </c:pt>
                <c:pt idx="7">
                  <c:v>2.1668912342170139</c:v>
                </c:pt>
                <c:pt idx="8">
                  <c:v>3.357860921554868</c:v>
                </c:pt>
                <c:pt idx="9">
                  <c:v>4.136938892302636</c:v>
                </c:pt>
              </c:numCache>
            </c:numRef>
          </c:val>
          <c:extLst>
            <c:ext xmlns:c16="http://schemas.microsoft.com/office/drawing/2014/chart" uri="{C3380CC4-5D6E-409C-BE32-E72D297353CC}">
              <c16:uniqueId val="{00000000-52F0-4DFE-A3B8-CDA05D2FCD0B}"/>
            </c:ext>
          </c:extLst>
        </c:ser>
        <c:ser>
          <c:idx val="1"/>
          <c:order val="1"/>
          <c:tx>
            <c:strRef>
              <c:f>Summary!$A$47</c:f>
              <c:strCache>
                <c:ptCount val="1"/>
                <c:pt idx="0">
                  <c:v>Confined to room</c:v>
                </c:pt>
              </c:strCache>
            </c:strRef>
          </c:tx>
          <c:spPr>
            <a:solidFill>
              <a:schemeClr val="accent2"/>
            </a:solidFill>
            <a:ln>
              <a:noFill/>
            </a:ln>
            <a:effectLst/>
          </c:spPr>
          <c:invertIfNegative val="0"/>
          <c:errBars>
            <c:errBarType val="both"/>
            <c:errValType val="cust"/>
            <c:noEndCap val="0"/>
            <c:plus>
              <c:numRef>
                <c:f>Summary!$C$54:$C$63</c:f>
                <c:numCache>
                  <c:formatCode>General</c:formatCode>
                  <c:ptCount val="10"/>
                  <c:pt idx="0">
                    <c:v>6.1882554031959165</c:v>
                  </c:pt>
                  <c:pt idx="1">
                    <c:v>0.49450120571127032</c:v>
                  </c:pt>
                  <c:pt idx="2">
                    <c:v>0.43741571925420297</c:v>
                  </c:pt>
                  <c:pt idx="3">
                    <c:v>2.1664272609308893E-2</c:v>
                  </c:pt>
                  <c:pt idx="4">
                    <c:v>0</c:v>
                  </c:pt>
                  <c:pt idx="5">
                    <c:v>12.794592943949549</c:v>
                  </c:pt>
                  <c:pt idx="6">
                    <c:v>5.7238343847802398</c:v>
                  </c:pt>
                  <c:pt idx="7">
                    <c:v>1.8292035918443155</c:v>
                  </c:pt>
                  <c:pt idx="8">
                    <c:v>0.25488016724852036</c:v>
                  </c:pt>
                  <c:pt idx="9">
                    <c:v>0</c:v>
                  </c:pt>
                </c:numCache>
              </c:numRef>
            </c:plus>
            <c:minus>
              <c:numRef>
                <c:f>Summary!$C$54:$C$63</c:f>
                <c:numCache>
                  <c:formatCode>General</c:formatCode>
                  <c:ptCount val="10"/>
                  <c:pt idx="0">
                    <c:v>6.1882554031959165</c:v>
                  </c:pt>
                  <c:pt idx="1">
                    <c:v>0.49450120571127032</c:v>
                  </c:pt>
                  <c:pt idx="2">
                    <c:v>0.43741571925420297</c:v>
                  </c:pt>
                  <c:pt idx="3">
                    <c:v>2.1664272609308893E-2</c:v>
                  </c:pt>
                  <c:pt idx="4">
                    <c:v>0</c:v>
                  </c:pt>
                  <c:pt idx="5">
                    <c:v>12.794592943949549</c:v>
                  </c:pt>
                  <c:pt idx="6">
                    <c:v>5.7238343847802398</c:v>
                  </c:pt>
                  <c:pt idx="7">
                    <c:v>1.8292035918443155</c:v>
                  </c:pt>
                  <c:pt idx="8">
                    <c:v>0.25488016724852036</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Summary!$B$47:$K$47</c:f>
              <c:numCache>
                <c:formatCode>0.00</c:formatCode>
                <c:ptCount val="10"/>
                <c:pt idx="0">
                  <c:v>6.1882554031959165</c:v>
                </c:pt>
                <c:pt idx="1">
                  <c:v>1.5247120509430832</c:v>
                </c:pt>
                <c:pt idx="2">
                  <c:v>2.2599812161467141</c:v>
                </c:pt>
                <c:pt idx="3">
                  <c:v>0.15887133246826518</c:v>
                </c:pt>
                <c:pt idx="4">
                  <c:v>5.699167205845372</c:v>
                </c:pt>
                <c:pt idx="5">
                  <c:v>12.794592943949549</c:v>
                </c:pt>
                <c:pt idx="6">
                  <c:v>17.648489353073007</c:v>
                </c:pt>
                <c:pt idx="7">
                  <c:v>9.4508852245290029</c:v>
                </c:pt>
                <c:pt idx="8">
                  <c:v>1.8691212264891393</c:v>
                </c:pt>
                <c:pt idx="9">
                  <c:v>13.379234239794261</c:v>
                </c:pt>
              </c:numCache>
            </c:numRef>
          </c:val>
          <c:extLst>
            <c:ext xmlns:c16="http://schemas.microsoft.com/office/drawing/2014/chart" uri="{C3380CC4-5D6E-409C-BE32-E72D297353CC}">
              <c16:uniqueId val="{00000001-52F0-4DFE-A3B8-CDA05D2FCD0B}"/>
            </c:ext>
          </c:extLst>
        </c:ser>
        <c:ser>
          <c:idx val="2"/>
          <c:order val="2"/>
          <c:tx>
            <c:strRef>
              <c:f>Summary!$A$48</c:f>
              <c:strCache>
                <c:ptCount val="1"/>
                <c:pt idx="0">
                  <c:v>Confined to floor</c:v>
                </c:pt>
              </c:strCache>
            </c:strRef>
          </c:tx>
          <c:spPr>
            <a:solidFill>
              <a:schemeClr val="accent3"/>
            </a:solidFill>
            <a:ln>
              <a:noFill/>
            </a:ln>
            <a:effectLst/>
          </c:spPr>
          <c:invertIfNegative val="0"/>
          <c:errBars>
            <c:errBarType val="both"/>
            <c:errValType val="cust"/>
            <c:noEndCap val="0"/>
            <c:plus>
              <c:numRef>
                <c:f>Summary!$D$54:$D$63</c:f>
                <c:numCache>
                  <c:formatCode>General</c:formatCode>
                  <c:ptCount val="10"/>
                  <c:pt idx="0">
                    <c:v>0.21468411206683644</c:v>
                  </c:pt>
                  <c:pt idx="1">
                    <c:v>0.17342367708104023</c:v>
                  </c:pt>
                  <c:pt idx="2">
                    <c:v>5.6792484971981659E-3</c:v>
                  </c:pt>
                  <c:pt idx="3">
                    <c:v>2.0965425105782757E-3</c:v>
                  </c:pt>
                  <c:pt idx="4">
                    <c:v>0</c:v>
                  </c:pt>
                  <c:pt idx="5">
                    <c:v>1.7537533557469178</c:v>
                  </c:pt>
                  <c:pt idx="6">
                    <c:v>3.4175032849899498</c:v>
                  </c:pt>
                  <c:pt idx="7">
                    <c:v>32.13166879817436</c:v>
                  </c:pt>
                  <c:pt idx="8">
                    <c:v>0.6705127314956183</c:v>
                  </c:pt>
                  <c:pt idx="9">
                    <c:v>0</c:v>
                  </c:pt>
                </c:numCache>
              </c:numRef>
            </c:plus>
            <c:minus>
              <c:numRef>
                <c:f>Summary!$D$54:$D$63</c:f>
                <c:numCache>
                  <c:formatCode>General</c:formatCode>
                  <c:ptCount val="10"/>
                  <c:pt idx="0">
                    <c:v>0.21468411206683644</c:v>
                  </c:pt>
                  <c:pt idx="1">
                    <c:v>0.17342367708104023</c:v>
                  </c:pt>
                  <c:pt idx="2">
                    <c:v>5.6792484971981659E-3</c:v>
                  </c:pt>
                  <c:pt idx="3">
                    <c:v>2.0965425105782757E-3</c:v>
                  </c:pt>
                  <c:pt idx="4">
                    <c:v>0</c:v>
                  </c:pt>
                  <c:pt idx="5">
                    <c:v>1.7537533557469178</c:v>
                  </c:pt>
                  <c:pt idx="6">
                    <c:v>3.4175032849899498</c:v>
                  </c:pt>
                  <c:pt idx="7">
                    <c:v>32.13166879817436</c:v>
                  </c:pt>
                  <c:pt idx="8">
                    <c:v>0.6705127314956183</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Summary!$B$48:$K$48</c:f>
              <c:numCache>
                <c:formatCode>0.00</c:formatCode>
                <c:ptCount val="10"/>
                <c:pt idx="0">
                  <c:v>0.21468411206683644</c:v>
                </c:pt>
                <c:pt idx="1">
                  <c:v>0.53472300433320774</c:v>
                </c:pt>
                <c:pt idx="2">
                  <c:v>2.9342783902190524E-2</c:v>
                </c:pt>
                <c:pt idx="3">
                  <c:v>1.5374645077574049E-2</c:v>
                </c:pt>
                <c:pt idx="4">
                  <c:v>0.24930568207400758</c:v>
                </c:pt>
                <c:pt idx="5">
                  <c:v>1.7537533557469178</c:v>
                </c:pt>
                <c:pt idx="6">
                  <c:v>10.537301795385774</c:v>
                </c:pt>
                <c:pt idx="7">
                  <c:v>166.01362212389984</c:v>
                </c:pt>
                <c:pt idx="8">
                  <c:v>4.9170933643012713</c:v>
                </c:pt>
                <c:pt idx="9">
                  <c:v>39.048950189920994</c:v>
                </c:pt>
              </c:numCache>
            </c:numRef>
          </c:val>
          <c:extLst>
            <c:ext xmlns:c16="http://schemas.microsoft.com/office/drawing/2014/chart" uri="{C3380CC4-5D6E-409C-BE32-E72D297353CC}">
              <c16:uniqueId val="{00000002-52F0-4DFE-A3B8-CDA05D2FCD0B}"/>
            </c:ext>
          </c:extLst>
        </c:ser>
        <c:ser>
          <c:idx val="3"/>
          <c:order val="3"/>
          <c:tx>
            <c:strRef>
              <c:f>Summary!$A$49</c:f>
              <c:strCache>
                <c:ptCount val="1"/>
                <c:pt idx="0">
                  <c:v>Confined to building</c:v>
                </c:pt>
              </c:strCache>
            </c:strRef>
          </c:tx>
          <c:spPr>
            <a:solidFill>
              <a:schemeClr val="accent4"/>
            </a:solidFill>
            <a:ln>
              <a:noFill/>
            </a:ln>
            <a:effectLst/>
          </c:spPr>
          <c:invertIfNegative val="0"/>
          <c:errBars>
            <c:errBarType val="both"/>
            <c:errValType val="cust"/>
            <c:noEndCap val="0"/>
            <c:plus>
              <c:numRef>
                <c:f>Summary!$E$54:$E$63</c:f>
                <c:numCache>
                  <c:formatCode>General</c:formatCode>
                  <c:ptCount val="10"/>
                  <c:pt idx="0">
                    <c:v>2.1617981314917976</c:v>
                  </c:pt>
                  <c:pt idx="1">
                    <c:v>0.5871612200431211</c:v>
                  </c:pt>
                  <c:pt idx="2">
                    <c:v>2.7340470190361739</c:v>
                  </c:pt>
                  <c:pt idx="3">
                    <c:v>0.802460381517629</c:v>
                  </c:pt>
                  <c:pt idx="4">
                    <c:v>0</c:v>
                  </c:pt>
                  <c:pt idx="5">
                    <c:v>6.1874524994395781</c:v>
                  </c:pt>
                  <c:pt idx="6">
                    <c:v>11.097344117293979</c:v>
                  </c:pt>
                  <c:pt idx="7">
                    <c:v>14.325523824533391</c:v>
                  </c:pt>
                  <c:pt idx="8">
                    <c:v>16.821837706182421</c:v>
                  </c:pt>
                  <c:pt idx="9">
                    <c:v>0</c:v>
                  </c:pt>
                </c:numCache>
              </c:numRef>
            </c:plus>
            <c:minus>
              <c:numRef>
                <c:f>Summary!$E$54:$E$63</c:f>
                <c:numCache>
                  <c:formatCode>General</c:formatCode>
                  <c:ptCount val="10"/>
                  <c:pt idx="0">
                    <c:v>2.1617981314917976</c:v>
                  </c:pt>
                  <c:pt idx="1">
                    <c:v>0.5871612200431211</c:v>
                  </c:pt>
                  <c:pt idx="2">
                    <c:v>2.7340470190361739</c:v>
                  </c:pt>
                  <c:pt idx="3">
                    <c:v>0.802460381517629</c:v>
                  </c:pt>
                  <c:pt idx="4">
                    <c:v>0</c:v>
                  </c:pt>
                  <c:pt idx="5">
                    <c:v>6.1874524994395781</c:v>
                  </c:pt>
                  <c:pt idx="6">
                    <c:v>11.097344117293979</c:v>
                  </c:pt>
                  <c:pt idx="7">
                    <c:v>14.325523824533391</c:v>
                  </c:pt>
                  <c:pt idx="8">
                    <c:v>16.821837706182421</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Summary!$B$49:$K$49</c:f>
              <c:numCache>
                <c:formatCode>0.00</c:formatCode>
                <c:ptCount val="10"/>
                <c:pt idx="0">
                  <c:v>2.1617981314917976</c:v>
                </c:pt>
                <c:pt idx="1">
                  <c:v>1.8104137617996234</c:v>
                </c:pt>
                <c:pt idx="2">
                  <c:v>14.125909598353539</c:v>
                </c:pt>
                <c:pt idx="3">
                  <c:v>5.8847094644626257</c:v>
                </c:pt>
                <c:pt idx="4">
                  <c:v>5.4710226404392266</c:v>
                </c:pt>
                <c:pt idx="5">
                  <c:v>6.1874524994395781</c:v>
                </c:pt>
                <c:pt idx="6">
                  <c:v>34.216811028322894</c:v>
                </c:pt>
                <c:pt idx="7">
                  <c:v>74.015206426754133</c:v>
                </c:pt>
                <c:pt idx="8">
                  <c:v>123.3601431786705</c:v>
                </c:pt>
                <c:pt idx="9">
                  <c:v>65.115105369733357</c:v>
                </c:pt>
              </c:numCache>
            </c:numRef>
          </c:val>
          <c:extLst>
            <c:ext xmlns:c16="http://schemas.microsoft.com/office/drawing/2014/chart" uri="{C3380CC4-5D6E-409C-BE32-E72D297353CC}">
              <c16:uniqueId val="{00000003-52F0-4DFE-A3B8-CDA05D2FCD0B}"/>
            </c:ext>
          </c:extLst>
        </c:ser>
        <c:ser>
          <c:idx val="4"/>
          <c:order val="4"/>
          <c:tx>
            <c:strRef>
              <c:f>Summary!$A$50</c:f>
              <c:strCache>
                <c:ptCount val="1"/>
                <c:pt idx="0">
                  <c:v>Beyond building of origin</c:v>
                </c:pt>
              </c:strCache>
            </c:strRef>
          </c:tx>
          <c:spPr>
            <a:solidFill>
              <a:schemeClr val="accent5"/>
            </a:solidFill>
            <a:ln>
              <a:noFill/>
            </a:ln>
            <a:effectLst/>
          </c:spPr>
          <c:invertIfNegative val="0"/>
          <c:errBars>
            <c:errBarType val="both"/>
            <c:errValType val="cust"/>
            <c:noEndCap val="0"/>
            <c:plus>
              <c:numRef>
                <c:f>Summary!$F$54:$F$63</c:f>
                <c:numCache>
                  <c:formatCode>General</c:formatCode>
                  <c:ptCount val="10"/>
                  <c:pt idx="0">
                    <c:v>2.0587275802343352E-3</c:v>
                  </c:pt>
                  <c:pt idx="1">
                    <c:v>3.2499605489332839E-2</c:v>
                  </c:pt>
                  <c:pt idx="2">
                    <c:v>2.7402373998981155E-2</c:v>
                  </c:pt>
                  <c:pt idx="3">
                    <c:v>4.3677968970380787E-2</c:v>
                  </c:pt>
                  <c:pt idx="4">
                    <c:v>0</c:v>
                  </c:pt>
                  <c:pt idx="5">
                    <c:v>0.30826108955517106</c:v>
                  </c:pt>
                  <c:pt idx="6">
                    <c:v>0.80308567420188437</c:v>
                  </c:pt>
                  <c:pt idx="7">
                    <c:v>1.6048193233442749</c:v>
                  </c:pt>
                  <c:pt idx="8">
                    <c:v>3.9184169868456564</c:v>
                  </c:pt>
                  <c:pt idx="9">
                    <c:v>0</c:v>
                  </c:pt>
                </c:numCache>
              </c:numRef>
            </c:plus>
            <c:minus>
              <c:numRef>
                <c:f>Summary!$F$54:$F$63</c:f>
                <c:numCache>
                  <c:formatCode>General</c:formatCode>
                  <c:ptCount val="10"/>
                  <c:pt idx="0">
                    <c:v>2.0587275802343352E-3</c:v>
                  </c:pt>
                  <c:pt idx="1">
                    <c:v>3.2499605489332839E-2</c:v>
                  </c:pt>
                  <c:pt idx="2">
                    <c:v>2.7402373998981155E-2</c:v>
                  </c:pt>
                  <c:pt idx="3">
                    <c:v>4.3677968970380787E-2</c:v>
                  </c:pt>
                  <c:pt idx="4">
                    <c:v>0</c:v>
                  </c:pt>
                  <c:pt idx="5">
                    <c:v>0.30826108955517106</c:v>
                  </c:pt>
                  <c:pt idx="6">
                    <c:v>0.80308567420188437</c:v>
                  </c:pt>
                  <c:pt idx="7">
                    <c:v>1.6048193233442749</c:v>
                  </c:pt>
                  <c:pt idx="8">
                    <c:v>3.9184169868456564</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Summary!$B$50:$K$50</c:f>
              <c:numCache>
                <c:formatCode>0.00</c:formatCode>
                <c:ptCount val="10"/>
                <c:pt idx="0">
                  <c:v>2.0587275802343352E-3</c:v>
                </c:pt>
                <c:pt idx="1">
                  <c:v>0.1002071169254429</c:v>
                </c:pt>
                <c:pt idx="2">
                  <c:v>0.14157893232806928</c:v>
                </c:pt>
                <c:pt idx="3">
                  <c:v>0.3203051057827927</c:v>
                </c:pt>
                <c:pt idx="4">
                  <c:v>0.18638757361011865</c:v>
                </c:pt>
                <c:pt idx="5">
                  <c:v>0.30826108955517106</c:v>
                </c:pt>
                <c:pt idx="6">
                  <c:v>2.4761808287891434</c:v>
                </c:pt>
                <c:pt idx="7">
                  <c:v>8.2915665039453899</c:v>
                </c:pt>
                <c:pt idx="8">
                  <c:v>28.73505790353515</c:v>
                </c:pt>
                <c:pt idx="9">
                  <c:v>19.006197463689023</c:v>
                </c:pt>
              </c:numCache>
            </c:numRef>
          </c:val>
          <c:extLst>
            <c:ext xmlns:c16="http://schemas.microsoft.com/office/drawing/2014/chart" uri="{C3380CC4-5D6E-409C-BE32-E72D297353CC}">
              <c16:uniqueId val="{00000004-52F0-4DFE-A3B8-CDA05D2FCD0B}"/>
            </c:ext>
          </c:extLst>
        </c:ser>
        <c:dLbls>
          <c:showLegendKey val="0"/>
          <c:showVal val="0"/>
          <c:showCatName val="0"/>
          <c:showSerName val="0"/>
          <c:showPercent val="0"/>
          <c:showBubbleSize val="0"/>
        </c:dLbls>
        <c:gapWidth val="219"/>
        <c:overlap val="-27"/>
        <c:axId val="563984448"/>
        <c:axId val="563986088"/>
      </c:barChart>
      <c:catAx>
        <c:axId val="563984448"/>
        <c:scaling>
          <c:orientation val="minMax"/>
        </c:scaling>
        <c:delete val="0"/>
        <c:axPos val="b"/>
        <c:numFmt formatCode="General" sourceLinked="1"/>
        <c:majorTickMark val="out"/>
        <c:minorTickMark val="none"/>
        <c:tickLblPos val="nextTo"/>
        <c:spPr>
          <a:noFill/>
          <a:ln w="9525" cap="flat" cmpd="sng" algn="ctr">
            <a:solidFill>
              <a:schemeClr val="bg2">
                <a:lumMod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986088"/>
        <c:crosses val="autoZero"/>
        <c:auto val="1"/>
        <c:lblAlgn val="ctr"/>
        <c:lblOffset val="100"/>
        <c:noMultiLvlLbl val="0"/>
      </c:catAx>
      <c:valAx>
        <c:axId val="563986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Area</a:t>
                </a:r>
                <a:r>
                  <a:rPr lang="en-GB" baseline="0"/>
                  <a:t> damage [</a:t>
                </a:r>
                <a:r>
                  <a:rPr lang="en-GB" sz="800" b="0" i="0" u="none" strike="noStrike" baseline="0">
                    <a:effectLst/>
                  </a:rPr>
                  <a:t>m</a:t>
                </a:r>
                <a:r>
                  <a:rPr lang="en-GB" sz="800" b="0" i="0" u="none" strike="noStrike" baseline="30000">
                    <a:effectLst/>
                  </a:rPr>
                  <a:t>2</a:t>
                </a:r>
                <a:r>
                  <a:rPr lang="en-GB" baseline="0"/>
                  <a:t>]</a:t>
                </a:r>
                <a:endParaRPr lang="en-GB"/>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98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1756791377165"/>
          <c:y val="4.8506944444444443E-2"/>
          <c:w val="0.75132833503612906"/>
          <c:h val="0.78254236111111108"/>
        </c:manualLayout>
      </c:layout>
      <c:scatterChart>
        <c:scatterStyle val="lineMarker"/>
        <c:varyColors val="0"/>
        <c:ser>
          <c:idx val="1"/>
          <c:order val="0"/>
          <c:tx>
            <c:v>PD</c:v>
          </c:tx>
          <c:spPr>
            <a:ln w="25400" cap="rnd">
              <a:noFill/>
              <a:round/>
            </a:ln>
            <a:effectLst/>
          </c:spPr>
          <c:marker>
            <c:symbol val="none"/>
          </c:marker>
          <c:trendline>
            <c:spPr>
              <a:ln w="19050" cap="rnd">
                <a:solidFill>
                  <a:schemeClr val="accent2"/>
                </a:solidFill>
                <a:prstDash val="dash"/>
              </a:ln>
              <a:effectLst/>
            </c:spPr>
            <c:trendlineType val="power"/>
            <c:dispRSqr val="0"/>
            <c:dispEq val="0"/>
          </c:trendline>
          <c:xVal>
            <c:numRef>
              <c:f>'Overal industrial'!$I$23:$I$26</c:f>
              <c:numCache>
                <c:formatCode>General</c:formatCode>
                <c:ptCount val="4"/>
                <c:pt idx="0">
                  <c:v>733.86928725333337</c:v>
                </c:pt>
                <c:pt idx="1">
                  <c:v>1685.5895273594772</c:v>
                </c:pt>
                <c:pt idx="2">
                  <c:v>3410.1223422834005</c:v>
                </c:pt>
                <c:pt idx="3">
                  <c:v>5894.7237173282438</c:v>
                </c:pt>
              </c:numCache>
            </c:numRef>
          </c:xVal>
          <c:yVal>
            <c:numRef>
              <c:f>'Overal industrial'!$J$23:$J$26</c:f>
              <c:numCache>
                <c:formatCode>0.0000%</c:formatCode>
                <c:ptCount val="4"/>
                <c:pt idx="0">
                  <c:v>5.6134109708691336E-2</c:v>
                </c:pt>
                <c:pt idx="1">
                  <c:v>8.7222270616004002E-2</c:v>
                </c:pt>
                <c:pt idx="2">
                  <c:v>0.12671178247171538</c:v>
                </c:pt>
                <c:pt idx="3">
                  <c:v>0.16935364655589349</c:v>
                </c:pt>
              </c:numCache>
            </c:numRef>
          </c:yVal>
          <c:smooth val="0"/>
          <c:extLst>
            <c:ext xmlns:c16="http://schemas.microsoft.com/office/drawing/2014/chart" uri="{C3380CC4-5D6E-409C-BE32-E72D297353CC}">
              <c16:uniqueId val="{00000000-4E26-47CD-B76E-F7A239156698}"/>
            </c:ext>
          </c:extLst>
        </c:ser>
        <c:ser>
          <c:idx val="2"/>
          <c:order val="1"/>
          <c:tx>
            <c:v>USA-Rutstein</c:v>
          </c:tx>
          <c:spPr>
            <a:ln w="25400" cap="rnd">
              <a:noFill/>
              <a:round/>
            </a:ln>
            <a:effectLst/>
          </c:spPr>
          <c:marker>
            <c:symbol val="none"/>
          </c:marker>
          <c:trendline>
            <c:spPr>
              <a:ln w="19050" cap="rnd">
                <a:solidFill>
                  <a:srgbClr val="00B050"/>
                </a:solidFill>
                <a:prstDash val="sysDot"/>
              </a:ln>
              <a:effectLst/>
            </c:spPr>
            <c:trendlineType val="power"/>
            <c:dispRSqr val="0"/>
            <c:dispEq val="0"/>
          </c:trendline>
          <c:xVal>
            <c:numRef>
              <c:f>'Overal industrial'!$I$31:$I$34</c:f>
              <c:numCache>
                <c:formatCode>General</c:formatCode>
                <c:ptCount val="4"/>
                <c:pt idx="0">
                  <c:v>733.86928725333337</c:v>
                </c:pt>
                <c:pt idx="1">
                  <c:v>1685.5895273594772</c:v>
                </c:pt>
                <c:pt idx="2">
                  <c:v>3410.1223422834005</c:v>
                </c:pt>
                <c:pt idx="3">
                  <c:v>5894.7237173282438</c:v>
                </c:pt>
              </c:numCache>
            </c:numRef>
          </c:xVal>
          <c:yVal>
            <c:numRef>
              <c:f>'Overal industrial'!$J$31:$J$34</c:f>
              <c:numCache>
                <c:formatCode>0.00%</c:formatCode>
                <c:ptCount val="4"/>
                <c:pt idx="0">
                  <c:v>1.0299392023606389E-2</c:v>
                </c:pt>
                <c:pt idx="1">
                  <c:v>1.1632621367049737E-2</c:v>
                </c:pt>
                <c:pt idx="2">
                  <c:v>1.2896603745557421E-2</c:v>
                </c:pt>
                <c:pt idx="3">
                  <c:v>1.3972403771038148E-2</c:v>
                </c:pt>
              </c:numCache>
            </c:numRef>
          </c:yVal>
          <c:smooth val="0"/>
          <c:extLst>
            <c:ext xmlns:c16="http://schemas.microsoft.com/office/drawing/2014/chart" uri="{C3380CC4-5D6E-409C-BE32-E72D297353CC}">
              <c16:uniqueId val="{00000001-4E26-47CD-B76E-F7A239156698}"/>
            </c:ext>
          </c:extLst>
        </c:ser>
        <c:ser>
          <c:idx val="0"/>
          <c:order val="2"/>
          <c:tx>
            <c:v>USA-Improved</c:v>
          </c:tx>
          <c:spPr>
            <a:ln w="19050" cap="rnd">
              <a:noFill/>
              <a:round/>
            </a:ln>
            <a:effectLst/>
          </c:spPr>
          <c:marker>
            <c:symbol val="none"/>
          </c:marker>
          <c:trendline>
            <c:spPr>
              <a:ln w="19050" cap="rnd">
                <a:solidFill>
                  <a:schemeClr val="accent1"/>
                </a:solidFill>
                <a:prstDash val="dashDot"/>
              </a:ln>
              <a:effectLst/>
            </c:spPr>
            <c:trendlineType val="power"/>
            <c:dispRSqr val="0"/>
            <c:dispEq val="0"/>
          </c:trendline>
          <c:xVal>
            <c:numRef>
              <c:f>'Overal industrial'!$I$14:$I$17</c:f>
              <c:numCache>
                <c:formatCode>General</c:formatCode>
                <c:ptCount val="4"/>
                <c:pt idx="0">
                  <c:v>733.86928725333337</c:v>
                </c:pt>
                <c:pt idx="1">
                  <c:v>1685.5895273594772</c:v>
                </c:pt>
                <c:pt idx="2">
                  <c:v>3410.1223422834005</c:v>
                </c:pt>
                <c:pt idx="3">
                  <c:v>5894.7237173282438</c:v>
                </c:pt>
              </c:numCache>
            </c:numRef>
          </c:xVal>
          <c:yVal>
            <c:numRef>
              <c:f>'Overal industrial'!$J$14:$J$17</c:f>
              <c:numCache>
                <c:formatCode>0.0000%</c:formatCode>
                <c:ptCount val="4"/>
                <c:pt idx="0">
                  <c:v>1.329334522169085E-2</c:v>
                </c:pt>
                <c:pt idx="1">
                  <c:v>1.7493585685248742E-3</c:v>
                </c:pt>
                <c:pt idx="2">
                  <c:v>1.1141812995810677E-3</c:v>
                </c:pt>
                <c:pt idx="3">
                  <c:v>2.6971531983016636E-3</c:v>
                </c:pt>
              </c:numCache>
            </c:numRef>
          </c:yVal>
          <c:smooth val="0"/>
          <c:extLst>
            <c:ext xmlns:c16="http://schemas.microsoft.com/office/drawing/2014/chart" uri="{C3380CC4-5D6E-409C-BE32-E72D297353CC}">
              <c16:uniqueId val="{00000002-4E26-47CD-B76E-F7A239156698}"/>
            </c:ext>
          </c:extLst>
        </c:ser>
        <c:ser>
          <c:idx val="3"/>
          <c:order val="3"/>
          <c:tx>
            <c:v>USA fire statistics</c:v>
          </c:tx>
          <c:spPr>
            <a:ln w="25400" cap="rnd">
              <a:noFill/>
              <a:round/>
            </a:ln>
            <a:effectLst/>
          </c:spPr>
          <c:marker>
            <c:symbol val="circle"/>
            <c:size val="5"/>
            <c:spPr>
              <a:solidFill>
                <a:schemeClr val="accent5">
                  <a:lumMod val="50000"/>
                </a:schemeClr>
              </a:solidFill>
              <a:ln w="9525">
                <a:solidFill>
                  <a:schemeClr val="accent5">
                    <a:lumMod val="50000"/>
                  </a:schemeClr>
                </a:solidFill>
              </a:ln>
              <a:effectLst/>
            </c:spPr>
          </c:marker>
          <c:xVal>
            <c:numRef>
              <c:f>'Overal industrial'!$I$14:$I$17</c:f>
              <c:numCache>
                <c:formatCode>General</c:formatCode>
                <c:ptCount val="4"/>
                <c:pt idx="0">
                  <c:v>733.86928725333337</c:v>
                </c:pt>
                <c:pt idx="1">
                  <c:v>1685.5895273594772</c:v>
                </c:pt>
                <c:pt idx="2">
                  <c:v>3410.1223422834005</c:v>
                </c:pt>
                <c:pt idx="3">
                  <c:v>5894.7237173282438</c:v>
                </c:pt>
              </c:numCache>
            </c:numRef>
          </c:xVal>
          <c:yVal>
            <c:numRef>
              <c:f>'Overal industrial'!$J$14:$J$17</c:f>
              <c:numCache>
                <c:formatCode>0.0000%</c:formatCode>
                <c:ptCount val="4"/>
                <c:pt idx="0">
                  <c:v>1.329334522169085E-2</c:v>
                </c:pt>
                <c:pt idx="1">
                  <c:v>1.7493585685248742E-3</c:v>
                </c:pt>
                <c:pt idx="2">
                  <c:v>1.1141812995810677E-3</c:v>
                </c:pt>
                <c:pt idx="3">
                  <c:v>2.6971531983016636E-3</c:v>
                </c:pt>
              </c:numCache>
            </c:numRef>
          </c:yVal>
          <c:smooth val="0"/>
          <c:extLst>
            <c:ext xmlns:c16="http://schemas.microsoft.com/office/drawing/2014/chart" uri="{C3380CC4-5D6E-409C-BE32-E72D297353CC}">
              <c16:uniqueId val="{00000003-4E26-47CD-B76E-F7A239156698}"/>
            </c:ext>
          </c:extLst>
        </c:ser>
        <c:dLbls>
          <c:showLegendKey val="0"/>
          <c:showVal val="0"/>
          <c:showCatName val="0"/>
          <c:showSerName val="0"/>
          <c:showPercent val="0"/>
          <c:showBubbleSize val="0"/>
        </c:dLbls>
        <c:axId val="-2064589608"/>
        <c:axId val="-2064583048"/>
      </c:scatterChart>
      <c:valAx>
        <c:axId val="-2064589608"/>
        <c:scaling>
          <c:orientation val="minMax"/>
          <c:max val="6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Tot floor space [m</a:t>
                </a:r>
                <a:r>
                  <a:rPr lang="en-GB" baseline="30000"/>
                  <a:t>2</a:t>
                </a:r>
                <a:r>
                  <a:rPr lang="en-GB"/>
                  <a: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64583048"/>
        <c:crosses val="autoZero"/>
        <c:crossBetween val="midCat"/>
      </c:valAx>
      <c:valAx>
        <c:axId val="-2064583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Probability of fire</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64589608"/>
        <c:crosses val="autoZero"/>
        <c:crossBetween val="midCat"/>
      </c:valAx>
      <c:spPr>
        <a:noFill/>
        <a:ln>
          <a:noFill/>
        </a:ln>
        <a:effectLst/>
      </c:spPr>
    </c:plotArea>
    <c:legend>
      <c:legendPos val="r"/>
      <c:legendEntry>
        <c:idx val="0"/>
        <c:delete val="1"/>
      </c:legendEntry>
      <c:legendEntry>
        <c:idx val="1"/>
        <c:delete val="1"/>
      </c:legendEntry>
      <c:legendEntry>
        <c:idx val="2"/>
        <c:delete val="1"/>
      </c:legendEntry>
      <c:layout>
        <c:manualLayout>
          <c:xMode val="edge"/>
          <c:yMode val="edge"/>
          <c:x val="0.17576000765486438"/>
          <c:y val="5.138506192329944E-2"/>
          <c:w val="0.44008031434330214"/>
          <c:h val="0.15422382600680515"/>
        </c:manualLayout>
      </c:layout>
      <c:overlay val="0"/>
      <c:spPr>
        <a:solidFill>
          <a:schemeClr val="bg1">
            <a:alpha val="75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90957928504551E-2"/>
          <c:y val="6.4686856806821527E-2"/>
          <c:w val="0.8976479255882488"/>
          <c:h val="0.61483259902715037"/>
        </c:manualLayout>
      </c:layout>
      <c:barChart>
        <c:barDir val="col"/>
        <c:grouping val="clustered"/>
        <c:varyColors val="0"/>
        <c:ser>
          <c:idx val="0"/>
          <c:order val="0"/>
          <c:tx>
            <c:strRef>
              <c:f>Summary!$A$46</c:f>
              <c:strCache>
                <c:ptCount val="1"/>
                <c:pt idx="0">
                  <c:v>Confined to object</c:v>
                </c:pt>
              </c:strCache>
            </c:strRef>
          </c:tx>
          <c:spPr>
            <a:solidFill>
              <a:schemeClr val="accent1"/>
            </a:solidFill>
            <a:ln>
              <a:noFill/>
            </a:ln>
            <a:effectLst/>
          </c:spPr>
          <c:invertIfNegative val="0"/>
          <c:errBars>
            <c:errBarType val="both"/>
            <c:errValType val="cust"/>
            <c:noEndCap val="0"/>
            <c:plus>
              <c:numRef>
                <c:f>Summary!$B$54:$B$63</c:f>
                <c:numCache>
                  <c:formatCode>General</c:formatCode>
                  <c:ptCount val="10"/>
                  <c:pt idx="0">
                    <c:v>29.474149371939305</c:v>
                  </c:pt>
                  <c:pt idx="1">
                    <c:v>1.4499318381502881</c:v>
                  </c:pt>
                  <c:pt idx="2">
                    <c:v>0.55281147768595007</c:v>
                  </c:pt>
                  <c:pt idx="3">
                    <c:v>0</c:v>
                  </c:pt>
                  <c:pt idx="4">
                    <c:v>0</c:v>
                  </c:pt>
                  <c:pt idx="5">
                    <c:v>16.791385149086889</c:v>
                  </c:pt>
                  <c:pt idx="6">
                    <c:v>3.8600407602312092</c:v>
                  </c:pt>
                  <c:pt idx="7">
                    <c:v>0</c:v>
                  </c:pt>
                  <c:pt idx="8">
                    <c:v>1.2369752023221263</c:v>
                  </c:pt>
                  <c:pt idx="9">
                    <c:v>0</c:v>
                  </c:pt>
                </c:numCache>
              </c:numRef>
            </c:plus>
            <c:minus>
              <c:numRef>
                <c:f>Summary!$B$54:$B$63</c:f>
                <c:numCache>
                  <c:formatCode>General</c:formatCode>
                  <c:ptCount val="10"/>
                  <c:pt idx="0">
                    <c:v>29.474149371939305</c:v>
                  </c:pt>
                  <c:pt idx="1">
                    <c:v>1.4499318381502881</c:v>
                  </c:pt>
                  <c:pt idx="2">
                    <c:v>0.55281147768595007</c:v>
                  </c:pt>
                  <c:pt idx="3">
                    <c:v>0</c:v>
                  </c:pt>
                  <c:pt idx="4">
                    <c:v>0</c:v>
                  </c:pt>
                  <c:pt idx="5">
                    <c:v>16.791385149086889</c:v>
                  </c:pt>
                  <c:pt idx="6">
                    <c:v>3.8600407602312092</c:v>
                  </c:pt>
                  <c:pt idx="7">
                    <c:v>0</c:v>
                  </c:pt>
                  <c:pt idx="8">
                    <c:v>1.2369752023221263</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Summary!$B$46:$K$46</c:f>
              <c:numCache>
                <c:formatCode>0.00</c:formatCode>
                <c:ptCount val="10"/>
                <c:pt idx="0">
                  <c:v>29.474149371939305</c:v>
                </c:pt>
                <c:pt idx="1">
                  <c:v>4.470623167630059</c:v>
                </c:pt>
                <c:pt idx="2">
                  <c:v>2.8561926347107445</c:v>
                </c:pt>
                <c:pt idx="3">
                  <c:v>0</c:v>
                </c:pt>
                <c:pt idx="4">
                  <c:v>28.394923891011885</c:v>
                </c:pt>
                <c:pt idx="5">
                  <c:v>16.791385149086889</c:v>
                </c:pt>
                <c:pt idx="6">
                  <c:v>11.901792344046246</c:v>
                </c:pt>
                <c:pt idx="7">
                  <c:v>0</c:v>
                </c:pt>
                <c:pt idx="8">
                  <c:v>9.0711514836955764</c:v>
                </c:pt>
                <c:pt idx="9">
                  <c:v>16.013370623681595</c:v>
                </c:pt>
              </c:numCache>
            </c:numRef>
          </c:val>
          <c:extLst>
            <c:ext xmlns:c16="http://schemas.microsoft.com/office/drawing/2014/chart" uri="{C3380CC4-5D6E-409C-BE32-E72D297353CC}">
              <c16:uniqueId val="{00000000-BC15-47DB-B052-C6B8E605FBE9}"/>
            </c:ext>
          </c:extLst>
        </c:ser>
        <c:ser>
          <c:idx val="1"/>
          <c:order val="1"/>
          <c:tx>
            <c:strRef>
              <c:f>Summary!$A$47</c:f>
              <c:strCache>
                <c:ptCount val="1"/>
                <c:pt idx="0">
                  <c:v>Confined to room</c:v>
                </c:pt>
              </c:strCache>
            </c:strRef>
          </c:tx>
          <c:spPr>
            <a:solidFill>
              <a:schemeClr val="accent2"/>
            </a:solidFill>
            <a:ln>
              <a:noFill/>
            </a:ln>
            <a:effectLst/>
          </c:spPr>
          <c:invertIfNegative val="0"/>
          <c:errBars>
            <c:errBarType val="both"/>
            <c:errValType val="cust"/>
            <c:noEndCap val="0"/>
            <c:plus>
              <c:numRef>
                <c:f>Summary!$C$54:$C$63</c:f>
                <c:numCache>
                  <c:formatCode>General</c:formatCode>
                  <c:ptCount val="10"/>
                  <c:pt idx="0">
                    <c:v>64.066577094620683</c:v>
                  </c:pt>
                  <c:pt idx="1">
                    <c:v>6.2155678037826654</c:v>
                  </c:pt>
                  <c:pt idx="2">
                    <c:v>11.408001924019842</c:v>
                  </c:pt>
                  <c:pt idx="3">
                    <c:v>0.11099035752212394</c:v>
                  </c:pt>
                  <c:pt idx="4">
                    <c:v>0</c:v>
                  </c:pt>
                  <c:pt idx="5">
                    <c:v>35.342136034162742</c:v>
                  </c:pt>
                  <c:pt idx="6">
                    <c:v>9.4817809245225426</c:v>
                  </c:pt>
                  <c:pt idx="7">
                    <c:v>3.7499045236363635</c:v>
                  </c:pt>
                  <c:pt idx="8">
                    <c:v>0.50808919221238824</c:v>
                  </c:pt>
                  <c:pt idx="9">
                    <c:v>0</c:v>
                  </c:pt>
                </c:numCache>
              </c:numRef>
            </c:plus>
            <c:minus>
              <c:numRef>
                <c:f>Summary!$C$54:$C$63</c:f>
                <c:numCache>
                  <c:formatCode>General</c:formatCode>
                  <c:ptCount val="10"/>
                  <c:pt idx="0">
                    <c:v>64.066577094620683</c:v>
                  </c:pt>
                  <c:pt idx="1">
                    <c:v>6.2155678037826654</c:v>
                  </c:pt>
                  <c:pt idx="2">
                    <c:v>11.408001924019842</c:v>
                  </c:pt>
                  <c:pt idx="3">
                    <c:v>0.11099035752212394</c:v>
                  </c:pt>
                  <c:pt idx="4">
                    <c:v>0</c:v>
                  </c:pt>
                  <c:pt idx="5">
                    <c:v>35.342136034162742</c:v>
                  </c:pt>
                  <c:pt idx="6">
                    <c:v>9.4817809245225426</c:v>
                  </c:pt>
                  <c:pt idx="7">
                    <c:v>3.7499045236363635</c:v>
                  </c:pt>
                  <c:pt idx="8">
                    <c:v>0.50808919221238824</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Summary!$B$47:$K$47</c:f>
              <c:numCache>
                <c:formatCode>0.00</c:formatCode>
                <c:ptCount val="10"/>
                <c:pt idx="0">
                  <c:v>64.066577094620683</c:v>
                </c:pt>
                <c:pt idx="1">
                  <c:v>19.164667394996531</c:v>
                </c:pt>
                <c:pt idx="2">
                  <c:v>58.941343274102479</c:v>
                </c:pt>
                <c:pt idx="3">
                  <c:v>0.81392928849557522</c:v>
                </c:pt>
                <c:pt idx="4">
                  <c:v>61.643709908073667</c:v>
                </c:pt>
                <c:pt idx="5">
                  <c:v>35.342136034162742</c:v>
                </c:pt>
                <c:pt idx="6">
                  <c:v>29.2354911839445</c:v>
                </c:pt>
                <c:pt idx="7">
                  <c:v>19.374506705454547</c:v>
                </c:pt>
                <c:pt idx="8">
                  <c:v>3.7259874095575229</c:v>
                </c:pt>
                <c:pt idx="9">
                  <c:v>33.434634753840854</c:v>
                </c:pt>
              </c:numCache>
            </c:numRef>
          </c:val>
          <c:extLst>
            <c:ext xmlns:c16="http://schemas.microsoft.com/office/drawing/2014/chart" uri="{C3380CC4-5D6E-409C-BE32-E72D297353CC}">
              <c16:uniqueId val="{00000001-BC15-47DB-B052-C6B8E605FBE9}"/>
            </c:ext>
          </c:extLst>
        </c:ser>
        <c:ser>
          <c:idx val="2"/>
          <c:order val="2"/>
          <c:tx>
            <c:strRef>
              <c:f>Summary!$A$48</c:f>
              <c:strCache>
                <c:ptCount val="1"/>
                <c:pt idx="0">
                  <c:v>Confined to floor</c:v>
                </c:pt>
              </c:strCache>
            </c:strRef>
          </c:tx>
          <c:spPr>
            <a:solidFill>
              <a:schemeClr val="accent3"/>
            </a:solidFill>
            <a:ln>
              <a:noFill/>
            </a:ln>
            <a:effectLst/>
          </c:spPr>
          <c:invertIfNegative val="0"/>
          <c:errBars>
            <c:errBarType val="both"/>
            <c:errValType val="cust"/>
            <c:noEndCap val="0"/>
            <c:plus>
              <c:numRef>
                <c:f>Summary!$D$54:$D$63</c:f>
                <c:numCache>
                  <c:formatCode>General</c:formatCode>
                  <c:ptCount val="10"/>
                  <c:pt idx="0">
                    <c:v>8.6307949296993112</c:v>
                  </c:pt>
                  <c:pt idx="1">
                    <c:v>1.611035375722544</c:v>
                  </c:pt>
                  <c:pt idx="2">
                    <c:v>0</c:v>
                  </c:pt>
                  <c:pt idx="3">
                    <c:v>0</c:v>
                  </c:pt>
                  <c:pt idx="4">
                    <c:v>0</c:v>
                  </c:pt>
                  <c:pt idx="5">
                    <c:v>49.675639914372404</c:v>
                  </c:pt>
                  <c:pt idx="6">
                    <c:v>5.7813615493179178</c:v>
                  </c:pt>
                  <c:pt idx="7">
                    <c:v>2.0227371968528924</c:v>
                  </c:pt>
                  <c:pt idx="8">
                    <c:v>1.0112454796460177</c:v>
                  </c:pt>
                  <c:pt idx="9">
                    <c:v>0</c:v>
                  </c:pt>
                </c:numCache>
              </c:numRef>
            </c:plus>
            <c:minus>
              <c:numRef>
                <c:f>Summary!$D$54:$D$63</c:f>
                <c:numCache>
                  <c:formatCode>General</c:formatCode>
                  <c:ptCount val="10"/>
                  <c:pt idx="0">
                    <c:v>8.6307949296993112</c:v>
                  </c:pt>
                  <c:pt idx="1">
                    <c:v>1.611035375722544</c:v>
                  </c:pt>
                  <c:pt idx="2">
                    <c:v>0</c:v>
                  </c:pt>
                  <c:pt idx="3">
                    <c:v>0</c:v>
                  </c:pt>
                  <c:pt idx="4">
                    <c:v>0</c:v>
                  </c:pt>
                  <c:pt idx="5">
                    <c:v>49.675639914372404</c:v>
                  </c:pt>
                  <c:pt idx="6">
                    <c:v>5.7813615493179178</c:v>
                  </c:pt>
                  <c:pt idx="7">
                    <c:v>2.0227371968528924</c:v>
                  </c:pt>
                  <c:pt idx="8">
                    <c:v>1.0112454796460177</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Summary!$B$48:$K$48</c:f>
              <c:numCache>
                <c:formatCode>0.00</c:formatCode>
                <c:ptCount val="10"/>
                <c:pt idx="0">
                  <c:v>8.6307949296993112</c:v>
                </c:pt>
                <c:pt idx="1">
                  <c:v>4.9673590751445094</c:v>
                </c:pt>
                <c:pt idx="2">
                  <c:v>0</c:v>
                </c:pt>
                <c:pt idx="3">
                  <c:v>0</c:v>
                </c:pt>
                <c:pt idx="4">
                  <c:v>8.1423368157586715</c:v>
                </c:pt>
                <c:pt idx="5">
                  <c:v>49.675639914372404</c:v>
                </c:pt>
                <c:pt idx="6">
                  <c:v>17.825864777063586</c:v>
                </c:pt>
                <c:pt idx="7">
                  <c:v>10.450808850406611</c:v>
                </c:pt>
                <c:pt idx="8">
                  <c:v>7.4158001840707968</c:v>
                </c:pt>
                <c:pt idx="9">
                  <c:v>32.774223809542285</c:v>
                </c:pt>
              </c:numCache>
            </c:numRef>
          </c:val>
          <c:extLst>
            <c:ext xmlns:c16="http://schemas.microsoft.com/office/drawing/2014/chart" uri="{C3380CC4-5D6E-409C-BE32-E72D297353CC}">
              <c16:uniqueId val="{00000002-BC15-47DB-B052-C6B8E605FBE9}"/>
            </c:ext>
          </c:extLst>
        </c:ser>
        <c:ser>
          <c:idx val="3"/>
          <c:order val="3"/>
          <c:tx>
            <c:strRef>
              <c:f>Summary!$A$49</c:f>
              <c:strCache>
                <c:ptCount val="1"/>
                <c:pt idx="0">
                  <c:v>Confined to building</c:v>
                </c:pt>
              </c:strCache>
            </c:strRef>
          </c:tx>
          <c:spPr>
            <a:solidFill>
              <a:schemeClr val="accent4"/>
            </a:solidFill>
            <a:ln>
              <a:noFill/>
            </a:ln>
            <a:effectLst/>
          </c:spPr>
          <c:invertIfNegative val="0"/>
          <c:errBars>
            <c:errBarType val="both"/>
            <c:errValType val="cust"/>
            <c:noEndCap val="0"/>
            <c:plus>
              <c:numRef>
                <c:f>Summary!$E$54:$E$63</c:f>
                <c:numCache>
                  <c:formatCode>General</c:formatCode>
                  <c:ptCount val="10"/>
                  <c:pt idx="0">
                    <c:v>56.885518086355845</c:v>
                  </c:pt>
                  <c:pt idx="1">
                    <c:v>44.815782081849704</c:v>
                  </c:pt>
                  <c:pt idx="2">
                    <c:v>7.514550686677687</c:v>
                  </c:pt>
                  <c:pt idx="3">
                    <c:v>1.8707548082973435</c:v>
                  </c:pt>
                  <c:pt idx="4">
                    <c:v>0</c:v>
                  </c:pt>
                  <c:pt idx="5">
                    <c:v>10.517649264993107</c:v>
                  </c:pt>
                  <c:pt idx="6">
                    <c:v>24.186280771477456</c:v>
                  </c:pt>
                  <c:pt idx="7">
                    <c:v>58.14461908776201</c:v>
                  </c:pt>
                  <c:pt idx="8">
                    <c:v>46.562477471490297</c:v>
                  </c:pt>
                  <c:pt idx="9">
                    <c:v>0</c:v>
                  </c:pt>
                </c:numCache>
              </c:numRef>
            </c:plus>
            <c:minus>
              <c:numRef>
                <c:f>Summary!$E$54:$E$63</c:f>
                <c:numCache>
                  <c:formatCode>General</c:formatCode>
                  <c:ptCount val="10"/>
                  <c:pt idx="0">
                    <c:v>56.885518086355845</c:v>
                  </c:pt>
                  <c:pt idx="1">
                    <c:v>44.815782081849704</c:v>
                  </c:pt>
                  <c:pt idx="2">
                    <c:v>7.514550686677687</c:v>
                  </c:pt>
                  <c:pt idx="3">
                    <c:v>1.8707548082973435</c:v>
                  </c:pt>
                  <c:pt idx="4">
                    <c:v>0</c:v>
                  </c:pt>
                  <c:pt idx="5">
                    <c:v>10.517649264993107</c:v>
                  </c:pt>
                  <c:pt idx="6">
                    <c:v>24.186280771477456</c:v>
                  </c:pt>
                  <c:pt idx="7">
                    <c:v>58.14461908776201</c:v>
                  </c:pt>
                  <c:pt idx="8">
                    <c:v>46.562477471490297</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Summary!$B$49:$K$49</c:f>
              <c:numCache>
                <c:formatCode>0.00</c:formatCode>
                <c:ptCount val="10"/>
                <c:pt idx="0">
                  <c:v>56.885518086355845</c:v>
                </c:pt>
                <c:pt idx="1">
                  <c:v>138.18199475236995</c:v>
                </c:pt>
                <c:pt idx="2">
                  <c:v>38.825178547834717</c:v>
                </c:pt>
                <c:pt idx="3">
                  <c:v>13.718868594180533</c:v>
                </c:pt>
                <c:pt idx="4">
                  <c:v>60.627909060226806</c:v>
                </c:pt>
                <c:pt idx="5">
                  <c:v>10.517649264993107</c:v>
                </c:pt>
                <c:pt idx="6">
                  <c:v>74.574365712055467</c:v>
                </c:pt>
                <c:pt idx="7">
                  <c:v>300.41386528677032</c:v>
                </c:pt>
                <c:pt idx="8">
                  <c:v>341.45816812426182</c:v>
                </c:pt>
                <c:pt idx="9">
                  <c:v>191.44229110177645</c:v>
                </c:pt>
              </c:numCache>
            </c:numRef>
          </c:val>
          <c:extLst>
            <c:ext xmlns:c16="http://schemas.microsoft.com/office/drawing/2014/chart" uri="{C3380CC4-5D6E-409C-BE32-E72D297353CC}">
              <c16:uniqueId val="{00000003-BC15-47DB-B052-C6B8E605FBE9}"/>
            </c:ext>
          </c:extLst>
        </c:ser>
        <c:ser>
          <c:idx val="4"/>
          <c:order val="4"/>
          <c:tx>
            <c:strRef>
              <c:f>Summary!$A$50</c:f>
              <c:strCache>
                <c:ptCount val="1"/>
                <c:pt idx="0">
                  <c:v>Beyond building of origin</c:v>
                </c:pt>
              </c:strCache>
            </c:strRef>
          </c:tx>
          <c:spPr>
            <a:solidFill>
              <a:schemeClr val="accent5"/>
            </a:solidFill>
            <a:ln>
              <a:noFill/>
            </a:ln>
            <a:effectLst/>
          </c:spPr>
          <c:invertIfNegative val="0"/>
          <c:errBars>
            <c:errBarType val="both"/>
            <c:errValType val="cust"/>
            <c:noEndCap val="0"/>
            <c:plus>
              <c:numRef>
                <c:f>Summary!$F$54:$F$63</c:f>
                <c:numCache>
                  <c:formatCode>General</c:formatCode>
                  <c:ptCount val="10"/>
                  <c:pt idx="0">
                    <c:v>0.32860766313931039</c:v>
                  </c:pt>
                  <c:pt idx="1">
                    <c:v>9.6662122543352658E-2</c:v>
                  </c:pt>
                  <c:pt idx="2">
                    <c:v>0</c:v>
                  </c:pt>
                  <c:pt idx="3">
                    <c:v>0</c:v>
                  </c:pt>
                  <c:pt idx="4">
                    <c:v>0</c:v>
                  </c:pt>
                  <c:pt idx="5">
                    <c:v>0.36494876954482763</c:v>
                  </c:pt>
                  <c:pt idx="6">
                    <c:v>2.6910734916069377</c:v>
                  </c:pt>
                  <c:pt idx="7">
                    <c:v>0.38696803438016536</c:v>
                  </c:pt>
                  <c:pt idx="8">
                    <c:v>6.07763466172036</c:v>
                  </c:pt>
                  <c:pt idx="9">
                    <c:v>0</c:v>
                  </c:pt>
                </c:numCache>
              </c:numRef>
            </c:plus>
            <c:minus>
              <c:numRef>
                <c:f>Summary!$F$54:$F$63</c:f>
                <c:numCache>
                  <c:formatCode>General</c:formatCode>
                  <c:ptCount val="10"/>
                  <c:pt idx="0">
                    <c:v>0.32860766313931039</c:v>
                  </c:pt>
                  <c:pt idx="1">
                    <c:v>9.6662122543352658E-2</c:v>
                  </c:pt>
                  <c:pt idx="2">
                    <c:v>0</c:v>
                  </c:pt>
                  <c:pt idx="3">
                    <c:v>0</c:v>
                  </c:pt>
                  <c:pt idx="4">
                    <c:v>0</c:v>
                  </c:pt>
                  <c:pt idx="5">
                    <c:v>0.36494876954482763</c:v>
                  </c:pt>
                  <c:pt idx="6">
                    <c:v>2.6910734916069377</c:v>
                  </c:pt>
                  <c:pt idx="7">
                    <c:v>0.38696803438016536</c:v>
                  </c:pt>
                  <c:pt idx="8">
                    <c:v>6.07763466172036</c:v>
                  </c:pt>
                  <c:pt idx="9">
                    <c:v>0</c:v>
                  </c:pt>
                </c:numCache>
              </c:numRef>
            </c:minus>
            <c:spPr>
              <a:noFill/>
              <a:ln w="9525" cap="flat" cmpd="sng" algn="ctr">
                <a:solidFill>
                  <a:schemeClr val="tx1">
                    <a:lumMod val="65000"/>
                    <a:lumOff val="35000"/>
                  </a:schemeClr>
                </a:solidFill>
                <a:round/>
              </a:ln>
              <a:effectLst/>
            </c:spPr>
          </c:errBars>
          <c:cat>
            <c:multiLvlStrRef>
              <c:f>Summary!$B$44:$K$45</c:f>
              <c:multiLvlStrCache>
                <c:ptCount val="10"/>
                <c:lvl>
                  <c:pt idx="0">
                    <c:v>Minor</c:v>
                  </c:pt>
                  <c:pt idx="1">
                    <c:v>Significantly</c:v>
                  </c:pt>
                  <c:pt idx="2">
                    <c:v>Heavy</c:v>
                  </c:pt>
                  <c:pt idx="3">
                    <c:v>Extreme</c:v>
                  </c:pt>
                  <c:pt idx="4">
                    <c:v>Average</c:v>
                  </c:pt>
                  <c:pt idx="5">
                    <c:v>Minor</c:v>
                  </c:pt>
                  <c:pt idx="6">
                    <c:v>Significantly</c:v>
                  </c:pt>
                  <c:pt idx="7">
                    <c:v>Heavy</c:v>
                  </c:pt>
                  <c:pt idx="8">
                    <c:v>Extreme</c:v>
                  </c:pt>
                  <c:pt idx="9">
                    <c:v>Average</c:v>
                  </c:pt>
                </c:lvl>
                <c:lvl>
                  <c:pt idx="0">
                    <c:v>SPRINKLERS</c:v>
                  </c:pt>
                  <c:pt idx="5">
                    <c:v>NO SPRINKLERS</c:v>
                  </c:pt>
                </c:lvl>
              </c:multiLvlStrCache>
            </c:multiLvlStrRef>
          </c:cat>
          <c:val>
            <c:numRef>
              <c:f>Summary!$B$50:$K$50</c:f>
              <c:numCache>
                <c:formatCode>0.00</c:formatCode>
                <c:ptCount val="10"/>
                <c:pt idx="0">
                  <c:v>0.32860766313931039</c:v>
                </c:pt>
                <c:pt idx="1">
                  <c:v>0.29804154450867054</c:v>
                </c:pt>
                <c:pt idx="2">
                  <c:v>0</c:v>
                </c:pt>
                <c:pt idx="3">
                  <c:v>0</c:v>
                </c:pt>
                <c:pt idx="4">
                  <c:v>0.31841895692909711</c:v>
                </c:pt>
                <c:pt idx="5">
                  <c:v>0.36494876954482763</c:v>
                </c:pt>
                <c:pt idx="6">
                  <c:v>8.2974765991213868</c:v>
                </c:pt>
                <c:pt idx="7">
                  <c:v>1.9993348442975205</c:v>
                </c:pt>
                <c:pt idx="8">
                  <c:v>44.569320852615924</c:v>
                </c:pt>
                <c:pt idx="9">
                  <c:v>33.522921572531601</c:v>
                </c:pt>
              </c:numCache>
            </c:numRef>
          </c:val>
          <c:extLst>
            <c:ext xmlns:c16="http://schemas.microsoft.com/office/drawing/2014/chart" uri="{C3380CC4-5D6E-409C-BE32-E72D297353CC}">
              <c16:uniqueId val="{00000004-BC15-47DB-B052-C6B8E605FBE9}"/>
            </c:ext>
          </c:extLst>
        </c:ser>
        <c:dLbls>
          <c:showLegendKey val="0"/>
          <c:showVal val="0"/>
          <c:showCatName val="0"/>
          <c:showSerName val="0"/>
          <c:showPercent val="0"/>
          <c:showBubbleSize val="0"/>
        </c:dLbls>
        <c:gapWidth val="219"/>
        <c:overlap val="-27"/>
        <c:axId val="563984448"/>
        <c:axId val="563986088"/>
      </c:barChart>
      <c:catAx>
        <c:axId val="563984448"/>
        <c:scaling>
          <c:orientation val="minMax"/>
        </c:scaling>
        <c:delete val="0"/>
        <c:axPos val="b"/>
        <c:numFmt formatCode="General" sourceLinked="1"/>
        <c:majorTickMark val="out"/>
        <c:minorTickMark val="none"/>
        <c:tickLblPos val="nextTo"/>
        <c:spPr>
          <a:noFill/>
          <a:ln w="9525" cap="flat" cmpd="sng" algn="ctr">
            <a:solidFill>
              <a:schemeClr val="bg2">
                <a:lumMod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986088"/>
        <c:crosses val="autoZero"/>
        <c:auto val="1"/>
        <c:lblAlgn val="ctr"/>
        <c:lblOffset val="100"/>
        <c:noMultiLvlLbl val="0"/>
      </c:catAx>
      <c:valAx>
        <c:axId val="563986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Area</a:t>
                </a:r>
                <a:r>
                  <a:rPr lang="en-GB" baseline="0"/>
                  <a:t> damage [</a:t>
                </a:r>
                <a:r>
                  <a:rPr lang="en-GB" sz="800" b="0" i="0" u="none" strike="noStrike" baseline="0">
                    <a:effectLst/>
                  </a:rPr>
                  <a:t>m</a:t>
                </a:r>
                <a:r>
                  <a:rPr lang="en-GB" sz="800" b="0" i="0" u="none" strike="noStrike" baseline="30000">
                    <a:effectLst/>
                  </a:rPr>
                  <a:t>2</a:t>
                </a:r>
                <a:r>
                  <a:rPr lang="en-GB" baseline="0"/>
                  <a:t>]</a:t>
                </a:r>
                <a:endParaRPr lang="en-GB"/>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398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69737975226638"/>
          <c:y val="4.8506944444444443E-2"/>
          <c:w val="0.79836902002302634"/>
          <c:h val="0.78254236111111108"/>
        </c:manualLayout>
      </c:layout>
      <c:scatterChart>
        <c:scatterStyle val="lineMarker"/>
        <c:varyColors val="0"/>
        <c:ser>
          <c:idx val="0"/>
          <c:order val="0"/>
          <c:tx>
            <c:v>USA-Improved</c:v>
          </c:tx>
          <c:spPr>
            <a:ln w="19050" cap="rnd">
              <a:noFill/>
              <a:round/>
            </a:ln>
            <a:effectLst/>
          </c:spPr>
          <c:marker>
            <c:symbol val="circle"/>
            <c:size val="5"/>
            <c:spPr>
              <a:noFill/>
              <a:ln w="9525">
                <a:noFill/>
              </a:ln>
              <a:effectLst/>
            </c:spPr>
          </c:marker>
          <c:trendline>
            <c:spPr>
              <a:ln w="19050" cap="rnd">
                <a:solidFill>
                  <a:schemeClr val="accent1"/>
                </a:solidFill>
                <a:prstDash val="dashDot"/>
              </a:ln>
              <a:effectLst/>
            </c:spPr>
            <c:trendlineType val="power"/>
            <c:dispRSqr val="0"/>
            <c:dispEq val="0"/>
          </c:trendline>
          <c:xVal>
            <c:numRef>
              <c:f>'Overal industrial'!$I$14:$I$17</c:f>
              <c:numCache>
                <c:formatCode>General</c:formatCode>
                <c:ptCount val="4"/>
                <c:pt idx="0">
                  <c:v>733.86928725333337</c:v>
                </c:pt>
                <c:pt idx="1">
                  <c:v>1685.5895273594772</c:v>
                </c:pt>
                <c:pt idx="2">
                  <c:v>3410.1223422834005</c:v>
                </c:pt>
                <c:pt idx="3">
                  <c:v>5894.7237173282438</c:v>
                </c:pt>
              </c:numCache>
            </c:numRef>
          </c:xVal>
          <c:yVal>
            <c:numRef>
              <c:f>'Overal industrial'!$J$14:$J$17</c:f>
              <c:numCache>
                <c:formatCode>0.0000%</c:formatCode>
                <c:ptCount val="4"/>
                <c:pt idx="0">
                  <c:v>1.329334522169085E-2</c:v>
                </c:pt>
                <c:pt idx="1">
                  <c:v>1.7493585685248742E-3</c:v>
                </c:pt>
                <c:pt idx="2">
                  <c:v>1.1141812995810677E-3</c:v>
                </c:pt>
                <c:pt idx="3">
                  <c:v>2.6971531983016636E-3</c:v>
                </c:pt>
              </c:numCache>
            </c:numRef>
          </c:yVal>
          <c:smooth val="0"/>
          <c:extLst>
            <c:ext xmlns:c16="http://schemas.microsoft.com/office/drawing/2014/chart" uri="{C3380CC4-5D6E-409C-BE32-E72D297353CC}">
              <c16:uniqueId val="{00000000-66B3-4C1C-899B-79E309AE2CFD}"/>
            </c:ext>
          </c:extLst>
        </c:ser>
        <c:ser>
          <c:idx val="1"/>
          <c:order val="1"/>
          <c:tx>
            <c:v>USA-Rutstein</c:v>
          </c:tx>
          <c:spPr>
            <a:ln w="25400" cap="rnd">
              <a:noFill/>
              <a:round/>
            </a:ln>
            <a:effectLst/>
          </c:spPr>
          <c:marker>
            <c:symbol val="circle"/>
            <c:size val="5"/>
            <c:spPr>
              <a:noFill/>
              <a:ln w="9525">
                <a:noFill/>
              </a:ln>
              <a:effectLst/>
            </c:spPr>
          </c:marker>
          <c:trendline>
            <c:spPr>
              <a:ln w="19050" cap="rnd">
                <a:solidFill>
                  <a:srgbClr val="00B050"/>
                </a:solidFill>
                <a:prstDash val="sysDot"/>
              </a:ln>
              <a:effectLst/>
            </c:spPr>
            <c:trendlineType val="power"/>
            <c:dispRSqr val="0"/>
            <c:dispEq val="0"/>
          </c:trendline>
          <c:xVal>
            <c:numRef>
              <c:f>'Overal industrial'!$I$31:$I$34</c:f>
              <c:numCache>
                <c:formatCode>General</c:formatCode>
                <c:ptCount val="4"/>
                <c:pt idx="0">
                  <c:v>733.86928725333337</c:v>
                </c:pt>
                <c:pt idx="1">
                  <c:v>1685.5895273594772</c:v>
                </c:pt>
                <c:pt idx="2">
                  <c:v>3410.1223422834005</c:v>
                </c:pt>
                <c:pt idx="3">
                  <c:v>5894.7237173282438</c:v>
                </c:pt>
              </c:numCache>
            </c:numRef>
          </c:xVal>
          <c:yVal>
            <c:numRef>
              <c:f>'Overal industrial'!$J$31:$J$34</c:f>
              <c:numCache>
                <c:formatCode>0.00%</c:formatCode>
                <c:ptCount val="4"/>
                <c:pt idx="0">
                  <c:v>1.0299392023606389E-2</c:v>
                </c:pt>
                <c:pt idx="1">
                  <c:v>1.1632621367049737E-2</c:v>
                </c:pt>
                <c:pt idx="2">
                  <c:v>1.2896603745557421E-2</c:v>
                </c:pt>
                <c:pt idx="3">
                  <c:v>1.3972403771038148E-2</c:v>
                </c:pt>
              </c:numCache>
            </c:numRef>
          </c:yVal>
          <c:smooth val="0"/>
          <c:extLst>
            <c:ext xmlns:c16="http://schemas.microsoft.com/office/drawing/2014/chart" uri="{C3380CC4-5D6E-409C-BE32-E72D297353CC}">
              <c16:uniqueId val="{00000001-66B3-4C1C-899B-79E309AE2CFD}"/>
            </c:ext>
          </c:extLst>
        </c:ser>
        <c:ser>
          <c:idx val="2"/>
          <c:order val="2"/>
          <c:tx>
            <c:v>USA fire statistics</c:v>
          </c:tx>
          <c:spPr>
            <a:ln w="25400" cap="rnd">
              <a:noFill/>
              <a:round/>
            </a:ln>
            <a:effectLst/>
          </c:spPr>
          <c:marker>
            <c:symbol val="circle"/>
            <c:size val="5"/>
            <c:spPr>
              <a:solidFill>
                <a:schemeClr val="accent5">
                  <a:lumMod val="50000"/>
                </a:schemeClr>
              </a:solidFill>
              <a:ln w="9525">
                <a:solidFill>
                  <a:schemeClr val="accent5">
                    <a:lumMod val="50000"/>
                  </a:schemeClr>
                </a:solidFill>
              </a:ln>
              <a:effectLst/>
            </c:spPr>
          </c:marker>
          <c:xVal>
            <c:numRef>
              <c:f>'Overal industrial'!$I$14:$I$17</c:f>
              <c:numCache>
                <c:formatCode>General</c:formatCode>
                <c:ptCount val="4"/>
                <c:pt idx="0">
                  <c:v>733.86928725333337</c:v>
                </c:pt>
                <c:pt idx="1">
                  <c:v>1685.5895273594772</c:v>
                </c:pt>
                <c:pt idx="2">
                  <c:v>3410.1223422834005</c:v>
                </c:pt>
                <c:pt idx="3">
                  <c:v>5894.7237173282438</c:v>
                </c:pt>
              </c:numCache>
            </c:numRef>
          </c:xVal>
          <c:yVal>
            <c:numRef>
              <c:f>'Overal industrial'!$J$14:$J$17</c:f>
              <c:numCache>
                <c:formatCode>0.0000%</c:formatCode>
                <c:ptCount val="4"/>
                <c:pt idx="0">
                  <c:v>1.329334522169085E-2</c:v>
                </c:pt>
                <c:pt idx="1">
                  <c:v>1.7493585685248742E-3</c:v>
                </c:pt>
                <c:pt idx="2">
                  <c:v>1.1141812995810677E-3</c:v>
                </c:pt>
                <c:pt idx="3">
                  <c:v>2.6971531983016636E-3</c:v>
                </c:pt>
              </c:numCache>
            </c:numRef>
          </c:yVal>
          <c:smooth val="0"/>
          <c:extLst>
            <c:ext xmlns:c16="http://schemas.microsoft.com/office/drawing/2014/chart" uri="{C3380CC4-5D6E-409C-BE32-E72D297353CC}">
              <c16:uniqueId val="{00000002-66B3-4C1C-899B-79E309AE2CFD}"/>
            </c:ext>
          </c:extLst>
        </c:ser>
        <c:dLbls>
          <c:showLegendKey val="0"/>
          <c:showVal val="0"/>
          <c:showCatName val="0"/>
          <c:showSerName val="0"/>
          <c:showPercent val="0"/>
          <c:showBubbleSize val="0"/>
        </c:dLbls>
        <c:axId val="478547904"/>
        <c:axId val="478542328"/>
      </c:scatterChart>
      <c:valAx>
        <c:axId val="478547904"/>
        <c:scaling>
          <c:orientation val="minMax"/>
          <c:max val="6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Tot floor space [m</a:t>
                </a:r>
                <a:r>
                  <a:rPr lang="en-GB" baseline="30000"/>
                  <a:t>2</a:t>
                </a:r>
                <a:r>
                  <a:rPr lang="en-GB"/>
                  <a: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78542328"/>
        <c:crosses val="autoZero"/>
        <c:crossBetween val="midCat"/>
      </c:valAx>
      <c:valAx>
        <c:axId val="478542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Probability of fire</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78547904"/>
        <c:crosses val="autoZero"/>
        <c:crossBetween val="midCat"/>
      </c:valAx>
      <c:spPr>
        <a:noFill/>
        <a:ln>
          <a:noFill/>
        </a:ln>
        <a:effectLst/>
      </c:spPr>
    </c:plotArea>
    <c:legend>
      <c:legendPos val="r"/>
      <c:legendEntry>
        <c:idx val="0"/>
        <c:delete val="1"/>
      </c:legendEntry>
      <c:legendEntry>
        <c:idx val="1"/>
        <c:delete val="1"/>
      </c:legendEntry>
      <c:layout>
        <c:manualLayout>
          <c:xMode val="edge"/>
          <c:yMode val="edge"/>
          <c:x val="0.27768545297968683"/>
          <c:y val="5.1371333875918052E-2"/>
          <c:w val="0.45576043978430569"/>
          <c:h val="0.11429024360746937"/>
        </c:manualLayout>
      </c:layout>
      <c:overlay val="0"/>
      <c:spPr>
        <a:solidFill>
          <a:schemeClr val="bg1">
            <a:alpha val="75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45963448022543"/>
          <c:y val="4.5653594771241833E-2"/>
          <c:w val="0.76700537383826628"/>
          <c:h val="0.79533398692810453"/>
        </c:manualLayout>
      </c:layout>
      <c:scatterChart>
        <c:scatterStyle val="lineMarker"/>
        <c:varyColors val="0"/>
        <c:ser>
          <c:idx val="0"/>
          <c:order val="0"/>
          <c:tx>
            <c:v>USA-Improved</c:v>
          </c:tx>
          <c:spPr>
            <a:ln w="19050" cap="rnd">
              <a:noFill/>
              <a:round/>
            </a:ln>
            <a:effectLst/>
          </c:spPr>
          <c:marker>
            <c:symbol val="circle"/>
            <c:size val="5"/>
            <c:spPr>
              <a:noFill/>
              <a:ln w="9525">
                <a:noFill/>
              </a:ln>
              <a:effectLst/>
            </c:spPr>
          </c:marker>
          <c:trendline>
            <c:spPr>
              <a:ln w="19050" cap="rnd">
                <a:solidFill>
                  <a:schemeClr val="accent1"/>
                </a:solidFill>
                <a:prstDash val="dashDot"/>
              </a:ln>
              <a:effectLst/>
            </c:spPr>
            <c:trendlineType val="power"/>
            <c:dispRSqr val="0"/>
            <c:dispEq val="0"/>
          </c:trendline>
          <c:xVal>
            <c:numRef>
              <c:f>'Chemical and allied'!$L$14:$L$16</c:f>
              <c:numCache>
                <c:formatCode>General</c:formatCode>
                <c:ptCount val="3"/>
                <c:pt idx="0">
                  <c:v>733.86928725333337</c:v>
                </c:pt>
                <c:pt idx="1">
                  <c:v>1657.5013827959183</c:v>
                </c:pt>
                <c:pt idx="2">
                  <c:v>5433.5527289000001</c:v>
                </c:pt>
              </c:numCache>
            </c:numRef>
          </c:xVal>
          <c:yVal>
            <c:numRef>
              <c:f>'Chemical and allied'!$M$14:$M$16</c:f>
              <c:numCache>
                <c:formatCode>0.00%</c:formatCode>
                <c:ptCount val="3"/>
                <c:pt idx="0">
                  <c:v>3.2422793223636217E-4</c:v>
                </c:pt>
                <c:pt idx="1">
                  <c:v>5.1488666057384118E-5</c:v>
                </c:pt>
                <c:pt idx="2">
                  <c:v>4.1698519702550559E-4</c:v>
                </c:pt>
              </c:numCache>
            </c:numRef>
          </c:yVal>
          <c:smooth val="0"/>
          <c:extLst>
            <c:ext xmlns:c16="http://schemas.microsoft.com/office/drawing/2014/chart" uri="{C3380CC4-5D6E-409C-BE32-E72D297353CC}">
              <c16:uniqueId val="{00000000-4273-4273-ADB5-739D0790D86C}"/>
            </c:ext>
          </c:extLst>
        </c:ser>
        <c:ser>
          <c:idx val="1"/>
          <c:order val="1"/>
          <c:tx>
            <c:v>USA-Rutstein</c:v>
          </c:tx>
          <c:spPr>
            <a:ln w="25400" cap="rnd">
              <a:noFill/>
              <a:round/>
            </a:ln>
            <a:effectLst/>
          </c:spPr>
          <c:marker>
            <c:symbol val="none"/>
          </c:marker>
          <c:trendline>
            <c:spPr>
              <a:ln w="19050" cap="rnd">
                <a:solidFill>
                  <a:srgbClr val="00B050"/>
                </a:solidFill>
                <a:prstDash val="sysDot"/>
              </a:ln>
              <a:effectLst/>
            </c:spPr>
            <c:trendlineType val="power"/>
            <c:dispRSqr val="0"/>
            <c:dispEq val="0"/>
          </c:trendline>
          <c:xVal>
            <c:numRef>
              <c:f>'Chemical and allied'!$I$32:$I$34</c:f>
              <c:numCache>
                <c:formatCode>#,##0_);\(#,##0\)</c:formatCode>
                <c:ptCount val="3"/>
                <c:pt idx="0">
                  <c:v>733.86928725333337</c:v>
                </c:pt>
                <c:pt idx="1">
                  <c:v>1657.5013827959183</c:v>
                </c:pt>
                <c:pt idx="2">
                  <c:v>5433.5527289000001</c:v>
                </c:pt>
              </c:numCache>
            </c:numRef>
          </c:xVal>
          <c:yVal>
            <c:numRef>
              <c:f>'Chemical and allied'!$J$32:$J$34</c:f>
              <c:numCache>
                <c:formatCode>0.000%</c:formatCode>
                <c:ptCount val="3"/>
                <c:pt idx="0">
                  <c:v>2.5365214876964259E-4</c:v>
                </c:pt>
                <c:pt idx="1">
                  <c:v>2.5423116945824865E-4</c:v>
                </c:pt>
                <c:pt idx="2">
                  <c:v>2.550773206780749E-4</c:v>
                </c:pt>
              </c:numCache>
            </c:numRef>
          </c:yVal>
          <c:smooth val="0"/>
          <c:extLst>
            <c:ext xmlns:c16="http://schemas.microsoft.com/office/drawing/2014/chart" uri="{C3380CC4-5D6E-409C-BE32-E72D297353CC}">
              <c16:uniqueId val="{00000001-4273-4273-ADB5-739D0790D86C}"/>
            </c:ext>
          </c:extLst>
        </c:ser>
        <c:ser>
          <c:idx val="2"/>
          <c:order val="2"/>
          <c:tx>
            <c:v>USA fire statistics</c:v>
          </c:tx>
          <c:spPr>
            <a:ln w="19050">
              <a:noFill/>
            </a:ln>
          </c:spPr>
          <c:marker>
            <c:symbol val="circle"/>
            <c:size val="5"/>
            <c:spPr>
              <a:solidFill>
                <a:schemeClr val="accent5">
                  <a:lumMod val="50000"/>
                </a:schemeClr>
              </a:solidFill>
              <a:ln>
                <a:solidFill>
                  <a:schemeClr val="accent5">
                    <a:lumMod val="50000"/>
                  </a:schemeClr>
                </a:solidFill>
              </a:ln>
            </c:spPr>
          </c:marker>
          <c:xVal>
            <c:numRef>
              <c:f>'Chemical and allied'!$L$14:$L$16</c:f>
              <c:numCache>
                <c:formatCode>General</c:formatCode>
                <c:ptCount val="3"/>
                <c:pt idx="0">
                  <c:v>733.86928725333337</c:v>
                </c:pt>
                <c:pt idx="1">
                  <c:v>1657.5013827959183</c:v>
                </c:pt>
                <c:pt idx="2">
                  <c:v>5433.5527289000001</c:v>
                </c:pt>
              </c:numCache>
            </c:numRef>
          </c:xVal>
          <c:yVal>
            <c:numRef>
              <c:f>'Chemical and allied'!$M$14:$M$16</c:f>
              <c:numCache>
                <c:formatCode>0.00%</c:formatCode>
                <c:ptCount val="3"/>
                <c:pt idx="0">
                  <c:v>3.2422793223636217E-4</c:v>
                </c:pt>
                <c:pt idx="1">
                  <c:v>5.1488666057384118E-5</c:v>
                </c:pt>
                <c:pt idx="2">
                  <c:v>4.1698519702550559E-4</c:v>
                </c:pt>
              </c:numCache>
            </c:numRef>
          </c:yVal>
          <c:smooth val="0"/>
          <c:extLst>
            <c:ext xmlns:c16="http://schemas.microsoft.com/office/drawing/2014/chart" uri="{C3380CC4-5D6E-409C-BE32-E72D297353CC}">
              <c16:uniqueId val="{00000002-4273-4273-ADB5-739D0790D86C}"/>
            </c:ext>
          </c:extLst>
        </c:ser>
        <c:dLbls>
          <c:showLegendKey val="0"/>
          <c:showVal val="0"/>
          <c:showCatName val="0"/>
          <c:showSerName val="0"/>
          <c:showPercent val="0"/>
          <c:showBubbleSize val="0"/>
        </c:dLbls>
        <c:axId val="-2065084232"/>
        <c:axId val="-2068872616"/>
      </c:scatterChart>
      <c:valAx>
        <c:axId val="-2065084232"/>
        <c:scaling>
          <c:orientation val="minMax"/>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it-IT" b="0"/>
                  <a:t>Tot floor space [m</a:t>
                </a:r>
                <a:r>
                  <a:rPr lang="it-IT" b="0" baseline="30000"/>
                  <a:t>2</a:t>
                </a:r>
                <a:r>
                  <a:rPr lang="it-IT"/>
                  <a:t>]</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2068872616"/>
        <c:crosses val="autoZero"/>
        <c:crossBetween val="midCat"/>
      </c:valAx>
      <c:valAx>
        <c:axId val="-2068872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it-IT" b="0"/>
                  <a:t>Probability of fire</a:t>
                </a:r>
              </a:p>
            </c:rich>
          </c:tx>
          <c:overlay val="0"/>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2065084232"/>
        <c:crosses val="autoZero"/>
        <c:crossBetween val="midCat"/>
        <c:majorUnit val="1.0000000000000003E-4"/>
      </c:valAx>
      <c:spPr>
        <a:noFill/>
        <a:ln>
          <a:noFill/>
        </a:ln>
        <a:effectLst/>
      </c:spPr>
    </c:plotArea>
    <c:legend>
      <c:legendPos val="r"/>
      <c:legendEntry>
        <c:idx val="0"/>
        <c:delete val="1"/>
      </c:legendEntry>
      <c:legendEntry>
        <c:idx val="1"/>
        <c:delete val="1"/>
      </c:legendEntry>
      <c:layout>
        <c:manualLayout>
          <c:xMode val="edge"/>
          <c:yMode val="edge"/>
          <c:x val="0.1600539544473836"/>
          <c:y val="5.0378665306936257E-2"/>
          <c:w val="0.44794290952752819"/>
          <c:h val="0.1188358615820594"/>
        </c:manualLayout>
      </c:layout>
      <c:overlay val="0"/>
      <c:spPr>
        <a:solidFill>
          <a:schemeClr val="bg1">
            <a:alpha val="75000"/>
          </a:schemeClr>
        </a:solidFill>
      </c:sp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66718316423"/>
          <c:y val="4.5653594771241833E-2"/>
          <c:w val="0.77589489377332344"/>
          <c:h val="0.79533398692810453"/>
        </c:manualLayout>
      </c:layout>
      <c:scatterChart>
        <c:scatterStyle val="lineMarker"/>
        <c:varyColors val="0"/>
        <c:ser>
          <c:idx val="0"/>
          <c:order val="0"/>
          <c:tx>
            <c:v>USA-Improved</c:v>
          </c:tx>
          <c:spPr>
            <a:ln w="19050" cap="rnd">
              <a:noFill/>
              <a:round/>
            </a:ln>
            <a:effectLst/>
          </c:spPr>
          <c:marker>
            <c:symbol val="circle"/>
            <c:size val="5"/>
            <c:spPr>
              <a:noFill/>
              <a:ln w="9525">
                <a:noFill/>
              </a:ln>
              <a:effectLst/>
            </c:spPr>
          </c:marker>
          <c:trendline>
            <c:spPr>
              <a:ln w="19050" cap="rnd">
                <a:solidFill>
                  <a:schemeClr val="accent1"/>
                </a:solidFill>
                <a:prstDash val="dashDot"/>
              </a:ln>
              <a:effectLst/>
            </c:spPr>
            <c:trendlineType val="power"/>
            <c:dispRSqr val="0"/>
            <c:dispEq val="0"/>
          </c:trendline>
          <c:trendline>
            <c:spPr>
              <a:ln w="19050" cap="rnd">
                <a:solidFill>
                  <a:srgbClr val="FF0000"/>
                </a:solidFill>
                <a:prstDash val="lgDashDotDot"/>
              </a:ln>
              <a:effectLst/>
            </c:spPr>
            <c:trendlineType val="poly"/>
            <c:order val="2"/>
            <c:dispRSqr val="0"/>
            <c:dispEq val="0"/>
          </c:trendline>
          <c:xVal>
            <c:numRef>
              <c:f>'Other manufacturing'!$I$15:$I$17</c:f>
              <c:numCache>
                <c:formatCode>General</c:formatCode>
                <c:ptCount val="3"/>
                <c:pt idx="0">
                  <c:v>2219.306679571429</c:v>
                </c:pt>
                <c:pt idx="1">
                  <c:v>3343.1383199908255</c:v>
                </c:pt>
                <c:pt idx="2">
                  <c:v>6301.47704750909</c:v>
                </c:pt>
              </c:numCache>
            </c:numRef>
          </c:xVal>
          <c:yVal>
            <c:numRef>
              <c:f>'Other manufacturing'!$J$15:$J$17</c:f>
              <c:numCache>
                <c:formatCode>0.0000%</c:formatCode>
                <c:ptCount val="3"/>
                <c:pt idx="0">
                  <c:v>1.0267477601203322E-2</c:v>
                </c:pt>
                <c:pt idx="1">
                  <c:v>2.6028385009057176E-3</c:v>
                </c:pt>
                <c:pt idx="2">
                  <c:v>9.9366995436478735E-3</c:v>
                </c:pt>
              </c:numCache>
            </c:numRef>
          </c:yVal>
          <c:smooth val="0"/>
          <c:extLst>
            <c:ext xmlns:c16="http://schemas.microsoft.com/office/drawing/2014/chart" uri="{C3380CC4-5D6E-409C-BE32-E72D297353CC}">
              <c16:uniqueId val="{00000000-E875-4268-95E5-066ADCD59885}"/>
            </c:ext>
          </c:extLst>
        </c:ser>
        <c:ser>
          <c:idx val="1"/>
          <c:order val="1"/>
          <c:tx>
            <c:v>USA-Rutstein</c:v>
          </c:tx>
          <c:spPr>
            <a:ln w="25400" cap="rnd">
              <a:noFill/>
              <a:round/>
            </a:ln>
            <a:effectLst/>
          </c:spPr>
          <c:marker>
            <c:symbol val="none"/>
          </c:marker>
          <c:trendline>
            <c:spPr>
              <a:ln w="19050" cap="rnd">
                <a:solidFill>
                  <a:srgbClr val="00B050"/>
                </a:solidFill>
                <a:prstDash val="sysDot"/>
              </a:ln>
              <a:effectLst/>
            </c:spPr>
            <c:trendlineType val="power"/>
            <c:dispRSqr val="0"/>
            <c:dispEq val="0"/>
          </c:trendline>
          <c:xVal>
            <c:numRef>
              <c:f>'Other manufacturing'!$I$33:$I$35</c:f>
              <c:numCache>
                <c:formatCode>General</c:formatCode>
                <c:ptCount val="3"/>
                <c:pt idx="0">
                  <c:v>2219.306679571429</c:v>
                </c:pt>
                <c:pt idx="1">
                  <c:v>3343.1383199908255</c:v>
                </c:pt>
                <c:pt idx="2">
                  <c:v>6301.47704750909</c:v>
                </c:pt>
              </c:numCache>
            </c:numRef>
          </c:xVal>
          <c:yVal>
            <c:numRef>
              <c:f>'Other manufacturing'!$J$33:$J$35</c:f>
              <c:numCache>
                <c:formatCode>0.0000%</c:formatCode>
                <c:ptCount val="3"/>
                <c:pt idx="0">
                  <c:v>1.8362329188815908E-2</c:v>
                </c:pt>
                <c:pt idx="1">
                  <c:v>1.8722122589430762E-2</c:v>
                </c:pt>
                <c:pt idx="2">
                  <c:v>1.929270228174431E-2</c:v>
                </c:pt>
              </c:numCache>
            </c:numRef>
          </c:yVal>
          <c:smooth val="0"/>
          <c:extLst>
            <c:ext xmlns:c16="http://schemas.microsoft.com/office/drawing/2014/chart" uri="{C3380CC4-5D6E-409C-BE32-E72D297353CC}">
              <c16:uniqueId val="{00000001-E875-4268-95E5-066ADCD59885}"/>
            </c:ext>
          </c:extLst>
        </c:ser>
        <c:ser>
          <c:idx val="2"/>
          <c:order val="2"/>
          <c:tx>
            <c:v>USA fire statistics</c:v>
          </c:tx>
          <c:spPr>
            <a:ln w="25400" cap="rnd">
              <a:noFill/>
              <a:round/>
            </a:ln>
            <a:effectLst/>
          </c:spPr>
          <c:marker>
            <c:symbol val="circle"/>
            <c:size val="5"/>
            <c:spPr>
              <a:solidFill>
                <a:schemeClr val="accent5">
                  <a:lumMod val="50000"/>
                </a:schemeClr>
              </a:solidFill>
              <a:ln w="9525">
                <a:solidFill>
                  <a:schemeClr val="accent5">
                    <a:lumMod val="50000"/>
                  </a:schemeClr>
                </a:solidFill>
              </a:ln>
              <a:effectLst/>
            </c:spPr>
          </c:marker>
          <c:xVal>
            <c:numRef>
              <c:f>'Other manufacturing'!$I$15:$I$17</c:f>
              <c:numCache>
                <c:formatCode>General</c:formatCode>
                <c:ptCount val="3"/>
                <c:pt idx="0">
                  <c:v>2219.306679571429</c:v>
                </c:pt>
                <c:pt idx="1">
                  <c:v>3343.1383199908255</c:v>
                </c:pt>
                <c:pt idx="2">
                  <c:v>6301.47704750909</c:v>
                </c:pt>
              </c:numCache>
            </c:numRef>
          </c:xVal>
          <c:yVal>
            <c:numRef>
              <c:f>'Other manufacturing'!$J$15:$J$17</c:f>
              <c:numCache>
                <c:formatCode>0.0000%</c:formatCode>
                <c:ptCount val="3"/>
                <c:pt idx="0">
                  <c:v>1.0267477601203322E-2</c:v>
                </c:pt>
                <c:pt idx="1">
                  <c:v>2.6028385009057176E-3</c:v>
                </c:pt>
                <c:pt idx="2">
                  <c:v>9.9366995436478735E-3</c:v>
                </c:pt>
              </c:numCache>
            </c:numRef>
          </c:yVal>
          <c:smooth val="0"/>
          <c:extLst>
            <c:ext xmlns:c16="http://schemas.microsoft.com/office/drawing/2014/chart" uri="{C3380CC4-5D6E-409C-BE32-E72D297353CC}">
              <c16:uniqueId val="{00000002-E875-4268-95E5-066ADCD59885}"/>
            </c:ext>
          </c:extLst>
        </c:ser>
        <c:dLbls>
          <c:showLegendKey val="0"/>
          <c:showVal val="0"/>
          <c:showCatName val="0"/>
          <c:showSerName val="0"/>
          <c:showPercent val="0"/>
          <c:showBubbleSize val="0"/>
        </c:dLbls>
        <c:axId val="-2064549320"/>
        <c:axId val="-2064514808"/>
      </c:scatterChart>
      <c:valAx>
        <c:axId val="-20645493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Tot floor space [m</a:t>
                </a:r>
                <a:r>
                  <a:rPr lang="en-GB" baseline="30000"/>
                  <a:t>2</a:t>
                </a:r>
                <a:r>
                  <a:rPr lang="en-GB"/>
                  <a: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64514808"/>
        <c:crosses val="autoZero"/>
        <c:crossBetween val="midCat"/>
      </c:valAx>
      <c:valAx>
        <c:axId val="-2064514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Probability of fire</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64549320"/>
        <c:crosses val="autoZero"/>
        <c:crossBetween val="midCat"/>
      </c:valAx>
      <c:spPr>
        <a:noFill/>
        <a:ln>
          <a:noFill/>
        </a:ln>
        <a:effectLst/>
      </c:spPr>
    </c:plotArea>
    <c:legend>
      <c:legendPos val="r"/>
      <c:legendEntry>
        <c:idx val="0"/>
        <c:delete val="1"/>
      </c:legendEntry>
      <c:legendEntry>
        <c:idx val="1"/>
        <c:delete val="1"/>
      </c:legendEntry>
      <c:layout>
        <c:manualLayout>
          <c:xMode val="edge"/>
          <c:yMode val="edge"/>
          <c:x val="0.17186806470829719"/>
          <c:y val="5.141186430152022E-2"/>
          <c:w val="0.45182250591863005"/>
          <c:h val="0.16256862745098039"/>
        </c:manualLayout>
      </c:layout>
      <c:overlay val="0"/>
      <c:spPr>
        <a:solidFill>
          <a:schemeClr val="bg1">
            <a:alpha val="75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40123999366868"/>
          <c:y val="4.5653594771241833E-2"/>
          <c:w val="0.75508578954764505"/>
          <c:h val="0.77005816993464049"/>
        </c:manualLayout>
      </c:layout>
      <c:scatterChart>
        <c:scatterStyle val="lineMarker"/>
        <c:varyColors val="0"/>
        <c:ser>
          <c:idx val="0"/>
          <c:order val="0"/>
          <c:tx>
            <c:v>USA-Improved</c:v>
          </c:tx>
          <c:spPr>
            <a:ln w="19050" cap="rnd">
              <a:noFill/>
              <a:round/>
            </a:ln>
            <a:effectLst/>
          </c:spPr>
          <c:marker>
            <c:symbol val="circle"/>
            <c:size val="5"/>
            <c:spPr>
              <a:noFill/>
              <a:ln w="9525">
                <a:noFill/>
              </a:ln>
              <a:effectLst/>
            </c:spPr>
          </c:marker>
          <c:trendline>
            <c:spPr>
              <a:ln w="19050" cap="rnd">
                <a:solidFill>
                  <a:schemeClr val="accent1"/>
                </a:solidFill>
                <a:prstDash val="dashDot"/>
              </a:ln>
              <a:effectLst/>
            </c:spPr>
            <c:trendlineType val="power"/>
            <c:dispRSqr val="0"/>
            <c:dispEq val="0"/>
          </c:trendline>
          <c:trendline>
            <c:spPr>
              <a:ln w="19050" cap="rnd">
                <a:solidFill>
                  <a:srgbClr val="FF0000"/>
                </a:solidFill>
                <a:prstDash val="lgDashDotDot"/>
              </a:ln>
              <a:effectLst/>
            </c:spPr>
            <c:trendlineType val="poly"/>
            <c:order val="3"/>
            <c:dispRSqr val="0"/>
            <c:dispEq val="0"/>
          </c:trendline>
          <c:xVal>
            <c:numRef>
              <c:f>Storage!$I$13:$I$20</c:f>
              <c:numCache>
                <c:formatCode>General</c:formatCode>
                <c:ptCount val="8"/>
                <c:pt idx="0">
                  <c:v>275.53073947368421</c:v>
                </c:pt>
                <c:pt idx="1">
                  <c:v>685.93381666666664</c:v>
                </c:pt>
                <c:pt idx="2">
                  <c:v>1525.0485422535212</c:v>
                </c:pt>
                <c:pt idx="3">
                  <c:v>3439.3069795918364</c:v>
                </c:pt>
                <c:pt idx="4">
                  <c:v>6317.4039999999995</c:v>
                </c:pt>
                <c:pt idx="5">
                  <c:v>13906.864461538462</c:v>
                </c:pt>
                <c:pt idx="6">
                  <c:v>24247.683000000001</c:v>
                </c:pt>
                <c:pt idx="7">
                  <c:v>99499.112999999998</c:v>
                </c:pt>
              </c:numCache>
            </c:numRef>
          </c:xVal>
          <c:yVal>
            <c:numRef>
              <c:f>Storage!$J$13:$J$20</c:f>
              <c:numCache>
                <c:formatCode>0.00%</c:formatCode>
                <c:ptCount val="8"/>
                <c:pt idx="0">
                  <c:v>3.3894736842105264E-3</c:v>
                </c:pt>
                <c:pt idx="1">
                  <c:v>1.2555555555555555E-3</c:v>
                </c:pt>
                <c:pt idx="2">
                  <c:v>8.661971830985916E-4</c:v>
                </c:pt>
                <c:pt idx="3">
                  <c:v>1.3673469387755102E-3</c:v>
                </c:pt>
                <c:pt idx="4">
                  <c:v>1.7083333333333334E-3</c:v>
                </c:pt>
                <c:pt idx="5">
                  <c:v>2.1538461538461538E-3</c:v>
                </c:pt>
                <c:pt idx="6">
                  <c:v>3.142857142857143E-3</c:v>
                </c:pt>
                <c:pt idx="7">
                  <c:v>2.7E-2</c:v>
                </c:pt>
              </c:numCache>
            </c:numRef>
          </c:yVal>
          <c:smooth val="0"/>
          <c:extLst>
            <c:ext xmlns:c16="http://schemas.microsoft.com/office/drawing/2014/chart" uri="{C3380CC4-5D6E-409C-BE32-E72D297353CC}">
              <c16:uniqueId val="{00000000-22F3-47E1-A9C9-0AEABD002D2B}"/>
            </c:ext>
          </c:extLst>
        </c:ser>
        <c:ser>
          <c:idx val="1"/>
          <c:order val="1"/>
          <c:tx>
            <c:v>PD</c:v>
          </c:tx>
          <c:spPr>
            <a:ln w="25400" cap="rnd">
              <a:noFill/>
              <a:round/>
            </a:ln>
            <a:effectLst/>
          </c:spPr>
          <c:marker>
            <c:symbol val="none"/>
          </c:marker>
          <c:trendline>
            <c:spPr>
              <a:ln w="19050" cap="rnd">
                <a:solidFill>
                  <a:schemeClr val="accent2"/>
                </a:solidFill>
                <a:prstDash val="sysDash"/>
              </a:ln>
              <a:effectLst/>
            </c:spPr>
            <c:trendlineType val="power"/>
            <c:dispRSqr val="0"/>
            <c:dispEq val="0"/>
          </c:trendline>
          <c:xVal>
            <c:numRef>
              <c:f>Storage!$I$23:$I$30</c:f>
              <c:numCache>
                <c:formatCode>General</c:formatCode>
                <c:ptCount val="8"/>
                <c:pt idx="0">
                  <c:v>275.53073947368421</c:v>
                </c:pt>
                <c:pt idx="1">
                  <c:v>685.93381666666664</c:v>
                </c:pt>
                <c:pt idx="2">
                  <c:v>1525.0485422535212</c:v>
                </c:pt>
                <c:pt idx="3">
                  <c:v>3439.3069795918364</c:v>
                </c:pt>
                <c:pt idx="4">
                  <c:v>6317.4039999999995</c:v>
                </c:pt>
                <c:pt idx="5">
                  <c:v>13906.864461538462</c:v>
                </c:pt>
                <c:pt idx="6">
                  <c:v>24247.683000000001</c:v>
                </c:pt>
                <c:pt idx="7">
                  <c:v>99499.112999999998</c:v>
                </c:pt>
              </c:numCache>
            </c:numRef>
          </c:xVal>
          <c:yVal>
            <c:numRef>
              <c:f>Storage!$J$23:$J$30</c:f>
              <c:numCache>
                <c:formatCode>0.00%</c:formatCode>
                <c:ptCount val="8"/>
                <c:pt idx="0">
                  <c:v>1.1121409485750303E-2</c:v>
                </c:pt>
                <c:pt idx="1">
                  <c:v>1.7547526614929716E-2</c:v>
                </c:pt>
                <c:pt idx="2">
                  <c:v>2.6164752829285542E-2</c:v>
                </c:pt>
                <c:pt idx="3">
                  <c:v>3.9292555314445705E-2</c:v>
                </c:pt>
                <c:pt idx="4">
                  <c:v>5.325300607101912E-2</c:v>
                </c:pt>
                <c:pt idx="5">
                  <c:v>7.9011337520539529E-2</c:v>
                </c:pt>
                <c:pt idx="6">
                  <c:v>0.10433017252310092</c:v>
                </c:pt>
                <c:pt idx="7">
                  <c:v>0.21134131594579417</c:v>
                </c:pt>
              </c:numCache>
            </c:numRef>
          </c:yVal>
          <c:smooth val="0"/>
          <c:extLst>
            <c:ext xmlns:c16="http://schemas.microsoft.com/office/drawing/2014/chart" uri="{C3380CC4-5D6E-409C-BE32-E72D297353CC}">
              <c16:uniqueId val="{00000001-22F3-47E1-A9C9-0AEABD002D2B}"/>
            </c:ext>
          </c:extLst>
        </c:ser>
        <c:ser>
          <c:idx val="2"/>
          <c:order val="2"/>
          <c:tx>
            <c:v>USA-Rutstein</c:v>
          </c:tx>
          <c:spPr>
            <a:ln w="25400" cap="rnd">
              <a:noFill/>
              <a:round/>
            </a:ln>
            <a:effectLst/>
          </c:spPr>
          <c:marker>
            <c:symbol val="none"/>
          </c:marker>
          <c:trendline>
            <c:spPr>
              <a:ln w="19050" cap="rnd">
                <a:solidFill>
                  <a:srgbClr val="00B050"/>
                </a:solidFill>
                <a:prstDash val="sysDot"/>
              </a:ln>
              <a:effectLst/>
            </c:spPr>
            <c:trendlineType val="power"/>
            <c:dispRSqr val="0"/>
            <c:dispEq val="0"/>
          </c:trendline>
          <c:xVal>
            <c:numRef>
              <c:f>Storage!$I$36:$I$43</c:f>
              <c:numCache>
                <c:formatCode>General</c:formatCode>
                <c:ptCount val="8"/>
                <c:pt idx="0">
                  <c:v>275.53073947368421</c:v>
                </c:pt>
                <c:pt idx="1">
                  <c:v>685.93381666666664</c:v>
                </c:pt>
                <c:pt idx="2">
                  <c:v>1525.0485422535212</c:v>
                </c:pt>
                <c:pt idx="3">
                  <c:v>3439.3069795918364</c:v>
                </c:pt>
                <c:pt idx="4">
                  <c:v>6317.4039999999995</c:v>
                </c:pt>
                <c:pt idx="5">
                  <c:v>13906.864461538462</c:v>
                </c:pt>
                <c:pt idx="6">
                  <c:v>24247.683000000001</c:v>
                </c:pt>
                <c:pt idx="7">
                  <c:v>99499.112999999998</c:v>
                </c:pt>
              </c:numCache>
            </c:numRef>
          </c:xVal>
          <c:yVal>
            <c:numRef>
              <c:f>Storage!$J$36:$J$43</c:f>
              <c:numCache>
                <c:formatCode>0.000%</c:formatCode>
                <c:ptCount val="8"/>
                <c:pt idx="0">
                  <c:v>2.8533092819537512E-3</c:v>
                </c:pt>
                <c:pt idx="1">
                  <c:v>2.9572361287410172E-3</c:v>
                </c:pt>
                <c:pt idx="2">
                  <c:v>3.0513837775468285E-3</c:v>
                </c:pt>
                <c:pt idx="3">
                  <c:v>3.1502882695887986E-3</c:v>
                </c:pt>
                <c:pt idx="4">
                  <c:v>3.2263250631520569E-3</c:v>
                </c:pt>
                <c:pt idx="5">
                  <c:v>3.3277436312045064E-3</c:v>
                </c:pt>
                <c:pt idx="6">
                  <c:v>3.401106056397487E-3</c:v>
                </c:pt>
                <c:pt idx="7">
                  <c:v>3.5947642050131691E-3</c:v>
                </c:pt>
              </c:numCache>
            </c:numRef>
          </c:yVal>
          <c:smooth val="0"/>
          <c:extLst>
            <c:ext xmlns:c16="http://schemas.microsoft.com/office/drawing/2014/chart" uri="{C3380CC4-5D6E-409C-BE32-E72D297353CC}">
              <c16:uniqueId val="{00000002-22F3-47E1-A9C9-0AEABD002D2B}"/>
            </c:ext>
          </c:extLst>
        </c:ser>
        <c:ser>
          <c:idx val="3"/>
          <c:order val="3"/>
          <c:tx>
            <c:v>USA fire statistics</c:v>
          </c:tx>
          <c:spPr>
            <a:ln w="25400" cap="rnd">
              <a:noFill/>
              <a:round/>
            </a:ln>
            <a:effectLst/>
          </c:spPr>
          <c:marker>
            <c:symbol val="circle"/>
            <c:size val="5"/>
            <c:spPr>
              <a:solidFill>
                <a:schemeClr val="accent5">
                  <a:lumMod val="50000"/>
                </a:schemeClr>
              </a:solidFill>
              <a:ln w="9525">
                <a:solidFill>
                  <a:schemeClr val="accent5">
                    <a:lumMod val="50000"/>
                  </a:schemeClr>
                </a:solidFill>
              </a:ln>
              <a:effectLst/>
            </c:spPr>
          </c:marker>
          <c:xVal>
            <c:numRef>
              <c:f>Storage!$I$13:$I$20</c:f>
              <c:numCache>
                <c:formatCode>General</c:formatCode>
                <c:ptCount val="8"/>
                <c:pt idx="0">
                  <c:v>275.53073947368421</c:v>
                </c:pt>
                <c:pt idx="1">
                  <c:v>685.93381666666664</c:v>
                </c:pt>
                <c:pt idx="2">
                  <c:v>1525.0485422535212</c:v>
                </c:pt>
                <c:pt idx="3">
                  <c:v>3439.3069795918364</c:v>
                </c:pt>
                <c:pt idx="4">
                  <c:v>6317.4039999999995</c:v>
                </c:pt>
                <c:pt idx="5">
                  <c:v>13906.864461538462</c:v>
                </c:pt>
                <c:pt idx="6">
                  <c:v>24247.683000000001</c:v>
                </c:pt>
                <c:pt idx="7">
                  <c:v>99499.112999999998</c:v>
                </c:pt>
              </c:numCache>
            </c:numRef>
          </c:xVal>
          <c:yVal>
            <c:numRef>
              <c:f>Storage!$J$13:$J$20</c:f>
              <c:numCache>
                <c:formatCode>0.00%</c:formatCode>
                <c:ptCount val="8"/>
                <c:pt idx="0">
                  <c:v>3.3894736842105264E-3</c:v>
                </c:pt>
                <c:pt idx="1">
                  <c:v>1.2555555555555555E-3</c:v>
                </c:pt>
                <c:pt idx="2">
                  <c:v>8.661971830985916E-4</c:v>
                </c:pt>
                <c:pt idx="3">
                  <c:v>1.3673469387755102E-3</c:v>
                </c:pt>
                <c:pt idx="4">
                  <c:v>1.7083333333333334E-3</c:v>
                </c:pt>
                <c:pt idx="5">
                  <c:v>2.1538461538461538E-3</c:v>
                </c:pt>
                <c:pt idx="6">
                  <c:v>3.142857142857143E-3</c:v>
                </c:pt>
                <c:pt idx="7">
                  <c:v>2.7E-2</c:v>
                </c:pt>
              </c:numCache>
            </c:numRef>
          </c:yVal>
          <c:smooth val="0"/>
          <c:extLst>
            <c:ext xmlns:c16="http://schemas.microsoft.com/office/drawing/2014/chart" uri="{C3380CC4-5D6E-409C-BE32-E72D297353CC}">
              <c16:uniqueId val="{00000003-22F3-47E1-A9C9-0AEABD002D2B}"/>
            </c:ext>
          </c:extLst>
        </c:ser>
        <c:dLbls>
          <c:showLegendKey val="0"/>
          <c:showVal val="0"/>
          <c:showCatName val="0"/>
          <c:showSerName val="0"/>
          <c:showPercent val="0"/>
          <c:showBubbleSize val="0"/>
        </c:dLbls>
        <c:axId val="-2068877960"/>
        <c:axId val="-2065055336"/>
      </c:scatterChart>
      <c:valAx>
        <c:axId val="-2068877960"/>
        <c:scaling>
          <c:orientation val="minMax"/>
          <c:max val="100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Tot floor space [m</a:t>
                </a:r>
                <a:r>
                  <a:rPr lang="en-GB" baseline="30000"/>
                  <a:t>2</a:t>
                </a:r>
                <a:r>
                  <a:rPr lang="en-GB"/>
                  <a: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65055336"/>
        <c:crosses val="autoZero"/>
        <c:crossBetween val="midCat"/>
      </c:valAx>
      <c:valAx>
        <c:axId val="-2065055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Probability of fire</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68877960"/>
        <c:crosses val="autoZero"/>
        <c:crossBetween val="midCat"/>
      </c:valAx>
      <c:spPr>
        <a:noFill/>
        <a:ln>
          <a:noFill/>
        </a:ln>
        <a:effectLst/>
      </c:spPr>
    </c:plotArea>
    <c:legend>
      <c:legendPos val="r"/>
      <c:legendEntry>
        <c:idx val="0"/>
        <c:delete val="1"/>
      </c:legendEntry>
      <c:legendEntry>
        <c:idx val="1"/>
        <c:delete val="1"/>
      </c:legendEntry>
      <c:legendEntry>
        <c:idx val="2"/>
        <c:delete val="1"/>
      </c:legendEntry>
      <c:layout>
        <c:manualLayout>
          <c:xMode val="edge"/>
          <c:yMode val="edge"/>
          <c:x val="0.16563450665303042"/>
          <c:y val="5.4357837897909086E-2"/>
          <c:w val="0.4572076409950992"/>
          <c:h val="0.18572740673916383"/>
        </c:manualLayout>
      </c:layout>
      <c:overlay val="0"/>
      <c:spPr>
        <a:solidFill>
          <a:schemeClr val="bg1">
            <a:alpha val="75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42665374393861"/>
          <c:y val="4.5653594771241833E-2"/>
          <c:w val="0.73852001839636761"/>
          <c:h val="0.77005816993464049"/>
        </c:manualLayout>
      </c:layout>
      <c:scatterChart>
        <c:scatterStyle val="lineMarker"/>
        <c:varyColors val="0"/>
        <c:ser>
          <c:idx val="0"/>
          <c:order val="0"/>
          <c:tx>
            <c:v>USA-Improved</c:v>
          </c:tx>
          <c:spPr>
            <a:ln w="19050" cap="rnd">
              <a:noFill/>
              <a:round/>
            </a:ln>
            <a:effectLst/>
          </c:spPr>
          <c:marker>
            <c:symbol val="circle"/>
            <c:size val="5"/>
            <c:spPr>
              <a:noFill/>
              <a:ln w="9525">
                <a:noFill/>
              </a:ln>
              <a:effectLst/>
            </c:spPr>
          </c:marker>
          <c:trendline>
            <c:spPr>
              <a:ln w="19050" cap="rnd">
                <a:solidFill>
                  <a:schemeClr val="accent1"/>
                </a:solidFill>
                <a:prstDash val="dashDot"/>
              </a:ln>
              <a:effectLst/>
            </c:spPr>
            <c:trendlineType val="power"/>
            <c:dispRSqr val="0"/>
            <c:dispEq val="0"/>
          </c:trendline>
          <c:trendline>
            <c:spPr>
              <a:ln w="19050" cap="rnd">
                <a:solidFill>
                  <a:srgbClr val="FF0000"/>
                </a:solidFill>
                <a:prstDash val="lgDashDotDot"/>
              </a:ln>
              <a:effectLst/>
            </c:spPr>
            <c:trendlineType val="poly"/>
            <c:order val="3"/>
            <c:dispRSqr val="0"/>
            <c:dispEq val="0"/>
          </c:trendline>
          <c:xVal>
            <c:numRef>
              <c:f>Storage!$I$13:$I$20</c:f>
              <c:numCache>
                <c:formatCode>General</c:formatCode>
                <c:ptCount val="8"/>
                <c:pt idx="0">
                  <c:v>275.53073947368421</c:v>
                </c:pt>
                <c:pt idx="1">
                  <c:v>685.93381666666664</c:v>
                </c:pt>
                <c:pt idx="2">
                  <c:v>1525.0485422535212</c:v>
                </c:pt>
                <c:pt idx="3">
                  <c:v>3439.3069795918364</c:v>
                </c:pt>
                <c:pt idx="4">
                  <c:v>6317.4039999999995</c:v>
                </c:pt>
                <c:pt idx="5">
                  <c:v>13906.864461538462</c:v>
                </c:pt>
                <c:pt idx="6">
                  <c:v>24247.683000000001</c:v>
                </c:pt>
                <c:pt idx="7">
                  <c:v>99499.112999999998</c:v>
                </c:pt>
              </c:numCache>
            </c:numRef>
          </c:xVal>
          <c:yVal>
            <c:numRef>
              <c:f>Storage!$J$13:$J$20</c:f>
              <c:numCache>
                <c:formatCode>0.00%</c:formatCode>
                <c:ptCount val="8"/>
                <c:pt idx="0">
                  <c:v>3.3894736842105264E-3</c:v>
                </c:pt>
                <c:pt idx="1">
                  <c:v>1.2555555555555555E-3</c:v>
                </c:pt>
                <c:pt idx="2">
                  <c:v>8.661971830985916E-4</c:v>
                </c:pt>
                <c:pt idx="3">
                  <c:v>1.3673469387755102E-3</c:v>
                </c:pt>
                <c:pt idx="4">
                  <c:v>1.7083333333333334E-3</c:v>
                </c:pt>
                <c:pt idx="5">
                  <c:v>2.1538461538461538E-3</c:v>
                </c:pt>
                <c:pt idx="6">
                  <c:v>3.142857142857143E-3</c:v>
                </c:pt>
                <c:pt idx="7">
                  <c:v>2.7E-2</c:v>
                </c:pt>
              </c:numCache>
            </c:numRef>
          </c:yVal>
          <c:smooth val="0"/>
          <c:extLst>
            <c:ext xmlns:c16="http://schemas.microsoft.com/office/drawing/2014/chart" uri="{C3380CC4-5D6E-409C-BE32-E72D297353CC}">
              <c16:uniqueId val="{00000000-2415-46F9-877C-02071C801D97}"/>
            </c:ext>
          </c:extLst>
        </c:ser>
        <c:ser>
          <c:idx val="1"/>
          <c:order val="1"/>
          <c:tx>
            <c:v>USA-Rutstein</c:v>
          </c:tx>
          <c:spPr>
            <a:ln w="25400" cap="rnd">
              <a:noFill/>
              <a:round/>
            </a:ln>
            <a:effectLst/>
          </c:spPr>
          <c:marker>
            <c:symbol val="none"/>
          </c:marker>
          <c:trendline>
            <c:spPr>
              <a:ln w="19050" cap="rnd">
                <a:solidFill>
                  <a:srgbClr val="00B050"/>
                </a:solidFill>
                <a:prstDash val="sysDot"/>
              </a:ln>
              <a:effectLst/>
            </c:spPr>
            <c:trendlineType val="power"/>
            <c:dispRSqr val="0"/>
            <c:dispEq val="0"/>
          </c:trendline>
          <c:xVal>
            <c:numRef>
              <c:f>Storage!$I$36:$I$43</c:f>
              <c:numCache>
                <c:formatCode>General</c:formatCode>
                <c:ptCount val="8"/>
                <c:pt idx="0">
                  <c:v>275.53073947368421</c:v>
                </c:pt>
                <c:pt idx="1">
                  <c:v>685.93381666666664</c:v>
                </c:pt>
                <c:pt idx="2">
                  <c:v>1525.0485422535212</c:v>
                </c:pt>
                <c:pt idx="3">
                  <c:v>3439.3069795918364</c:v>
                </c:pt>
                <c:pt idx="4">
                  <c:v>6317.4039999999995</c:v>
                </c:pt>
                <c:pt idx="5">
                  <c:v>13906.864461538462</c:v>
                </c:pt>
                <c:pt idx="6">
                  <c:v>24247.683000000001</c:v>
                </c:pt>
                <c:pt idx="7">
                  <c:v>99499.112999999998</c:v>
                </c:pt>
              </c:numCache>
            </c:numRef>
          </c:xVal>
          <c:yVal>
            <c:numRef>
              <c:f>Storage!$J$36:$J$43</c:f>
              <c:numCache>
                <c:formatCode>0.000%</c:formatCode>
                <c:ptCount val="8"/>
                <c:pt idx="0">
                  <c:v>2.8533092819537512E-3</c:v>
                </c:pt>
                <c:pt idx="1">
                  <c:v>2.9572361287410172E-3</c:v>
                </c:pt>
                <c:pt idx="2">
                  <c:v>3.0513837775468285E-3</c:v>
                </c:pt>
                <c:pt idx="3">
                  <c:v>3.1502882695887986E-3</c:v>
                </c:pt>
                <c:pt idx="4">
                  <c:v>3.2263250631520569E-3</c:v>
                </c:pt>
                <c:pt idx="5">
                  <c:v>3.3277436312045064E-3</c:v>
                </c:pt>
                <c:pt idx="6">
                  <c:v>3.401106056397487E-3</c:v>
                </c:pt>
                <c:pt idx="7">
                  <c:v>3.5947642050131691E-3</c:v>
                </c:pt>
              </c:numCache>
            </c:numRef>
          </c:yVal>
          <c:smooth val="0"/>
          <c:extLst>
            <c:ext xmlns:c16="http://schemas.microsoft.com/office/drawing/2014/chart" uri="{C3380CC4-5D6E-409C-BE32-E72D297353CC}">
              <c16:uniqueId val="{00000001-2415-46F9-877C-02071C801D97}"/>
            </c:ext>
          </c:extLst>
        </c:ser>
        <c:ser>
          <c:idx val="2"/>
          <c:order val="2"/>
          <c:tx>
            <c:v>USA fire statistics</c:v>
          </c:tx>
          <c:spPr>
            <a:ln w="25400" cap="rnd">
              <a:noFill/>
              <a:round/>
            </a:ln>
            <a:effectLst/>
          </c:spPr>
          <c:marker>
            <c:symbol val="circle"/>
            <c:size val="5"/>
            <c:spPr>
              <a:solidFill>
                <a:schemeClr val="accent5">
                  <a:lumMod val="50000"/>
                </a:schemeClr>
              </a:solidFill>
              <a:ln w="9525">
                <a:solidFill>
                  <a:schemeClr val="accent5">
                    <a:lumMod val="50000"/>
                  </a:schemeClr>
                </a:solidFill>
              </a:ln>
              <a:effectLst/>
            </c:spPr>
          </c:marker>
          <c:xVal>
            <c:numRef>
              <c:f>Storage!$I$13:$I$20</c:f>
              <c:numCache>
                <c:formatCode>General</c:formatCode>
                <c:ptCount val="8"/>
                <c:pt idx="0">
                  <c:v>275.53073947368421</c:v>
                </c:pt>
                <c:pt idx="1">
                  <c:v>685.93381666666664</c:v>
                </c:pt>
                <c:pt idx="2">
                  <c:v>1525.0485422535212</c:v>
                </c:pt>
                <c:pt idx="3">
                  <c:v>3439.3069795918364</c:v>
                </c:pt>
                <c:pt idx="4">
                  <c:v>6317.4039999999995</c:v>
                </c:pt>
                <c:pt idx="5">
                  <c:v>13906.864461538462</c:v>
                </c:pt>
                <c:pt idx="6">
                  <c:v>24247.683000000001</c:v>
                </c:pt>
                <c:pt idx="7">
                  <c:v>99499.112999999998</c:v>
                </c:pt>
              </c:numCache>
            </c:numRef>
          </c:xVal>
          <c:yVal>
            <c:numRef>
              <c:f>Storage!$J$13:$J$20</c:f>
              <c:numCache>
                <c:formatCode>0.00%</c:formatCode>
                <c:ptCount val="8"/>
                <c:pt idx="0">
                  <c:v>3.3894736842105264E-3</c:v>
                </c:pt>
                <c:pt idx="1">
                  <c:v>1.2555555555555555E-3</c:v>
                </c:pt>
                <c:pt idx="2">
                  <c:v>8.661971830985916E-4</c:v>
                </c:pt>
                <c:pt idx="3">
                  <c:v>1.3673469387755102E-3</c:v>
                </c:pt>
                <c:pt idx="4">
                  <c:v>1.7083333333333334E-3</c:v>
                </c:pt>
                <c:pt idx="5">
                  <c:v>2.1538461538461538E-3</c:v>
                </c:pt>
                <c:pt idx="6">
                  <c:v>3.142857142857143E-3</c:v>
                </c:pt>
                <c:pt idx="7">
                  <c:v>2.7E-2</c:v>
                </c:pt>
              </c:numCache>
            </c:numRef>
          </c:yVal>
          <c:smooth val="0"/>
          <c:extLst>
            <c:ext xmlns:c16="http://schemas.microsoft.com/office/drawing/2014/chart" uri="{C3380CC4-5D6E-409C-BE32-E72D297353CC}">
              <c16:uniqueId val="{00000002-2415-46F9-877C-02071C801D97}"/>
            </c:ext>
          </c:extLst>
        </c:ser>
        <c:dLbls>
          <c:showLegendKey val="0"/>
          <c:showVal val="0"/>
          <c:showCatName val="0"/>
          <c:showSerName val="0"/>
          <c:showPercent val="0"/>
          <c:showBubbleSize val="0"/>
        </c:dLbls>
        <c:axId val="-2068933400"/>
        <c:axId val="-2065677384"/>
      </c:scatterChart>
      <c:valAx>
        <c:axId val="-2068933400"/>
        <c:scaling>
          <c:orientation val="minMax"/>
          <c:max val="100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Tot floor space [m</a:t>
                </a:r>
                <a:r>
                  <a:rPr lang="en-GB" baseline="30000"/>
                  <a:t>2</a:t>
                </a:r>
                <a:r>
                  <a:rPr lang="en-GB"/>
                  <a: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65677384"/>
        <c:crosses val="autoZero"/>
        <c:crossBetween val="midCat"/>
      </c:valAx>
      <c:valAx>
        <c:axId val="-2065677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Probability of fire</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68933400"/>
        <c:crosses val="autoZero"/>
        <c:crossBetween val="midCat"/>
      </c:valAx>
      <c:spPr>
        <a:noFill/>
        <a:ln>
          <a:noFill/>
        </a:ln>
        <a:effectLst/>
      </c:spPr>
    </c:plotArea>
    <c:legend>
      <c:legendPos val="r"/>
      <c:legendEntry>
        <c:idx val="0"/>
        <c:delete val="1"/>
      </c:legendEntry>
      <c:legendEntry>
        <c:idx val="1"/>
        <c:delete val="1"/>
      </c:legendEntry>
      <c:layout>
        <c:manualLayout>
          <c:xMode val="edge"/>
          <c:yMode val="edge"/>
          <c:x val="0.17186929936384374"/>
          <c:y val="5.1383100773673529E-2"/>
          <c:w val="0.45182898786024928"/>
          <c:h val="0.15011764705882352"/>
        </c:manualLayout>
      </c:layout>
      <c:overlay val="0"/>
      <c:spPr>
        <a:solidFill>
          <a:schemeClr val="bg1">
            <a:alpha val="75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1117440736184"/>
          <c:y val="4.5653594771241833E-2"/>
          <c:w val="0.74167457015000515"/>
          <c:h val="0.77005816993464049"/>
        </c:manualLayout>
      </c:layout>
      <c:scatterChart>
        <c:scatterStyle val="lineMarker"/>
        <c:varyColors val="0"/>
        <c:ser>
          <c:idx val="0"/>
          <c:order val="0"/>
          <c:tx>
            <c:v>PD shops</c:v>
          </c:tx>
          <c:spPr>
            <a:ln w="25400" cap="rnd">
              <a:noFill/>
              <a:round/>
            </a:ln>
            <a:effectLst/>
          </c:spPr>
          <c:marker>
            <c:symbol val="none"/>
          </c:marker>
          <c:trendline>
            <c:spPr>
              <a:ln w="19050" cap="rnd">
                <a:solidFill>
                  <a:schemeClr val="accent2"/>
                </a:solidFill>
                <a:prstDash val="dash"/>
              </a:ln>
              <a:effectLst/>
            </c:spPr>
            <c:trendlineType val="power"/>
            <c:dispRSqr val="0"/>
            <c:dispEq val="0"/>
          </c:trendline>
          <c:xVal>
            <c:numRef>
              <c:f>'Mercantile, Business'!$I$24:$I$31</c:f>
              <c:numCache>
                <c:formatCode>General</c:formatCode>
                <c:ptCount val="8"/>
                <c:pt idx="0">
                  <c:v>265.97762572721399</c:v>
                </c:pt>
                <c:pt idx="1">
                  <c:v>676.57953388429746</c:v>
                </c:pt>
                <c:pt idx="2">
                  <c:v>1456.729749279539</c:v>
                </c:pt>
                <c:pt idx="3">
                  <c:v>3278.7612615384619</c:v>
                </c:pt>
                <c:pt idx="4">
                  <c:v>6586.5023448275861</c:v>
                </c:pt>
                <c:pt idx="5">
                  <c:v>12682.757935483871</c:v>
                </c:pt>
                <c:pt idx="6">
                  <c:v>27110.784545454546</c:v>
                </c:pt>
                <c:pt idx="7">
                  <c:v>68446.285250000001</c:v>
                </c:pt>
              </c:numCache>
            </c:numRef>
          </c:xVal>
          <c:yVal>
            <c:numRef>
              <c:f>'Mercantile, Business'!$J$24:$J$31</c:f>
              <c:numCache>
                <c:formatCode>0.00%</c:formatCode>
                <c:ptCount val="8"/>
                <c:pt idx="0">
                  <c:v>1.7554523297996123E-2</c:v>
                </c:pt>
                <c:pt idx="1">
                  <c:v>4.4654249236363637E-2</c:v>
                </c:pt>
                <c:pt idx="2">
                  <c:v>9.6144163452449583E-2</c:v>
                </c:pt>
                <c:pt idx="3">
                  <c:v>0.2163982432615385</c:v>
                </c:pt>
                <c:pt idx="4">
                  <c:v>0.43470915475862071</c:v>
                </c:pt>
                <c:pt idx="5">
                  <c:v>0.8370620237419355</c:v>
                </c:pt>
                <c:pt idx="6">
                  <c:v>1.7893117800000002</c:v>
                </c:pt>
                <c:pt idx="7">
                  <c:v>4.5174548265000007</c:v>
                </c:pt>
              </c:numCache>
            </c:numRef>
          </c:yVal>
          <c:smooth val="0"/>
          <c:extLst>
            <c:ext xmlns:c16="http://schemas.microsoft.com/office/drawing/2014/chart" uri="{C3380CC4-5D6E-409C-BE32-E72D297353CC}">
              <c16:uniqueId val="{00000000-AD4C-4B29-B216-E93957DDCE07}"/>
            </c:ext>
          </c:extLst>
        </c:ser>
        <c:ser>
          <c:idx val="1"/>
          <c:order val="1"/>
          <c:tx>
            <c:v>PD offices</c:v>
          </c:tx>
          <c:spPr>
            <a:ln w="25400" cap="rnd">
              <a:noFill/>
              <a:round/>
            </a:ln>
            <a:effectLst/>
          </c:spPr>
          <c:marker>
            <c:symbol val="none"/>
          </c:marker>
          <c:trendline>
            <c:spPr>
              <a:ln w="19050" cap="rnd">
                <a:solidFill>
                  <a:schemeClr val="bg2">
                    <a:lumMod val="75000"/>
                  </a:schemeClr>
                </a:solidFill>
                <a:prstDash val="dash"/>
              </a:ln>
              <a:effectLst/>
            </c:spPr>
            <c:trendlineType val="power"/>
            <c:dispRSqr val="0"/>
            <c:dispEq val="0"/>
          </c:trendline>
          <c:xVal>
            <c:numRef>
              <c:f>'Mercantile, Business'!$I$24:$I$31</c:f>
              <c:numCache>
                <c:formatCode>General</c:formatCode>
                <c:ptCount val="8"/>
                <c:pt idx="0">
                  <c:v>265.97762572721399</c:v>
                </c:pt>
                <c:pt idx="1">
                  <c:v>676.57953388429746</c:v>
                </c:pt>
                <c:pt idx="2">
                  <c:v>1456.729749279539</c:v>
                </c:pt>
                <c:pt idx="3">
                  <c:v>3278.7612615384619</c:v>
                </c:pt>
                <c:pt idx="4">
                  <c:v>6586.5023448275861</c:v>
                </c:pt>
                <c:pt idx="5">
                  <c:v>12682.757935483871</c:v>
                </c:pt>
                <c:pt idx="6">
                  <c:v>27110.784545454546</c:v>
                </c:pt>
                <c:pt idx="7">
                  <c:v>68446.285250000001</c:v>
                </c:pt>
              </c:numCache>
            </c:numRef>
          </c:xVal>
          <c:yVal>
            <c:numRef>
              <c:f>'Mercantile, Business'!$K$24:$K$31</c:f>
              <c:numCache>
                <c:formatCode>0.00%</c:formatCode>
                <c:ptCount val="8"/>
                <c:pt idx="0">
                  <c:v>8.9786823257061027E-3</c:v>
                </c:pt>
                <c:pt idx="1">
                  <c:v>2.0803623361318396E-2</c:v>
                </c:pt>
                <c:pt idx="2">
                  <c:v>4.1485191784361893E-2</c:v>
                </c:pt>
                <c:pt idx="3">
                  <c:v>8.6097556756188978E-2</c:v>
                </c:pt>
                <c:pt idx="4">
                  <c:v>0.16130260356428697</c:v>
                </c:pt>
                <c:pt idx="5">
                  <c:v>0.29090041768843033</c:v>
                </c:pt>
                <c:pt idx="6">
                  <c:v>0.57634149495074916</c:v>
                </c:pt>
                <c:pt idx="7">
                  <c:v>1.3263767673475237</c:v>
                </c:pt>
              </c:numCache>
            </c:numRef>
          </c:yVal>
          <c:smooth val="0"/>
          <c:extLst>
            <c:ext xmlns:c16="http://schemas.microsoft.com/office/drawing/2014/chart" uri="{C3380CC4-5D6E-409C-BE32-E72D297353CC}">
              <c16:uniqueId val="{00000001-AD4C-4B29-B216-E93957DDCE07}"/>
            </c:ext>
          </c:extLst>
        </c:ser>
        <c:ser>
          <c:idx val="2"/>
          <c:order val="2"/>
          <c:tx>
            <c:v>USA-Improved</c:v>
          </c:tx>
          <c:spPr>
            <a:ln w="25400" cap="rnd">
              <a:noFill/>
              <a:round/>
            </a:ln>
            <a:effectLst/>
          </c:spPr>
          <c:marker>
            <c:symbol val="circle"/>
            <c:size val="5"/>
            <c:spPr>
              <a:noFill/>
              <a:ln w="9525">
                <a:noFill/>
              </a:ln>
              <a:effectLst/>
            </c:spPr>
          </c:marker>
          <c:trendline>
            <c:spPr>
              <a:ln w="19050" cap="rnd">
                <a:solidFill>
                  <a:srgbClr val="0070C0"/>
                </a:solidFill>
                <a:prstDash val="dashDot"/>
              </a:ln>
              <a:effectLst/>
            </c:spPr>
            <c:trendlineType val="power"/>
            <c:dispRSqr val="0"/>
            <c:dispEq val="0"/>
          </c:trendline>
          <c:xVal>
            <c:numRef>
              <c:f>'Mercantile, Business'!$I$13:$I$20</c:f>
              <c:numCache>
                <c:formatCode>General</c:formatCode>
                <c:ptCount val="8"/>
                <c:pt idx="0">
                  <c:v>265.97762572721399</c:v>
                </c:pt>
                <c:pt idx="1">
                  <c:v>676.57953388429746</c:v>
                </c:pt>
                <c:pt idx="2">
                  <c:v>1456.729749279539</c:v>
                </c:pt>
                <c:pt idx="3">
                  <c:v>3278.7612615384619</c:v>
                </c:pt>
                <c:pt idx="4">
                  <c:v>6586.5023448275861</c:v>
                </c:pt>
                <c:pt idx="5">
                  <c:v>12682.757935483871</c:v>
                </c:pt>
                <c:pt idx="6">
                  <c:v>27110.784545454546</c:v>
                </c:pt>
                <c:pt idx="7">
                  <c:v>68446.285250000001</c:v>
                </c:pt>
              </c:numCache>
            </c:numRef>
          </c:xVal>
          <c:yVal>
            <c:numRef>
              <c:f>'Mercantile, Business'!$J$13:$J$20</c:f>
              <c:numCache>
                <c:formatCode>0.00%</c:formatCode>
                <c:ptCount val="8"/>
                <c:pt idx="0">
                  <c:v>8.8558500323206201E-4</c:v>
                </c:pt>
                <c:pt idx="1">
                  <c:v>7.7024793388429753E-4</c:v>
                </c:pt>
                <c:pt idx="2">
                  <c:v>1.0835734870317003E-3</c:v>
                </c:pt>
                <c:pt idx="3">
                  <c:v>1.623076923076923E-3</c:v>
                </c:pt>
                <c:pt idx="4">
                  <c:v>2.3965517241379308E-3</c:v>
                </c:pt>
                <c:pt idx="5">
                  <c:v>2.7419354838709676E-3</c:v>
                </c:pt>
                <c:pt idx="6">
                  <c:v>4.5454545454545452E-3</c:v>
                </c:pt>
                <c:pt idx="7">
                  <c:v>1.025E-2</c:v>
                </c:pt>
              </c:numCache>
            </c:numRef>
          </c:yVal>
          <c:smooth val="0"/>
          <c:extLst>
            <c:ext xmlns:c16="http://schemas.microsoft.com/office/drawing/2014/chart" uri="{C3380CC4-5D6E-409C-BE32-E72D297353CC}">
              <c16:uniqueId val="{00000002-AD4C-4B29-B216-E93957DDCE07}"/>
            </c:ext>
          </c:extLst>
        </c:ser>
        <c:ser>
          <c:idx val="3"/>
          <c:order val="3"/>
          <c:tx>
            <c:v>USA fire statistics</c:v>
          </c:tx>
          <c:spPr>
            <a:ln w="25400" cap="rnd">
              <a:noFill/>
              <a:round/>
            </a:ln>
            <a:effectLst/>
          </c:spPr>
          <c:marker>
            <c:symbol val="circle"/>
            <c:size val="5"/>
            <c:spPr>
              <a:solidFill>
                <a:schemeClr val="accent5">
                  <a:lumMod val="50000"/>
                </a:schemeClr>
              </a:solidFill>
              <a:ln w="9525">
                <a:solidFill>
                  <a:schemeClr val="accent5">
                    <a:lumMod val="50000"/>
                  </a:schemeClr>
                </a:solidFill>
              </a:ln>
              <a:effectLst/>
            </c:spPr>
          </c:marker>
          <c:xVal>
            <c:numRef>
              <c:f>'Mercantile, Business'!$I$13:$I$20</c:f>
              <c:numCache>
                <c:formatCode>General</c:formatCode>
                <c:ptCount val="8"/>
                <c:pt idx="0">
                  <c:v>265.97762572721399</c:v>
                </c:pt>
                <c:pt idx="1">
                  <c:v>676.57953388429746</c:v>
                </c:pt>
                <c:pt idx="2">
                  <c:v>1456.729749279539</c:v>
                </c:pt>
                <c:pt idx="3">
                  <c:v>3278.7612615384619</c:v>
                </c:pt>
                <c:pt idx="4">
                  <c:v>6586.5023448275861</c:v>
                </c:pt>
                <c:pt idx="5">
                  <c:v>12682.757935483871</c:v>
                </c:pt>
                <c:pt idx="6">
                  <c:v>27110.784545454546</c:v>
                </c:pt>
                <c:pt idx="7">
                  <c:v>68446.285250000001</c:v>
                </c:pt>
              </c:numCache>
            </c:numRef>
          </c:xVal>
          <c:yVal>
            <c:numRef>
              <c:f>'Mercantile, Business'!$J$13:$J$20</c:f>
              <c:numCache>
                <c:formatCode>0.00%</c:formatCode>
                <c:ptCount val="8"/>
                <c:pt idx="0">
                  <c:v>8.8558500323206201E-4</c:v>
                </c:pt>
                <c:pt idx="1">
                  <c:v>7.7024793388429753E-4</c:v>
                </c:pt>
                <c:pt idx="2">
                  <c:v>1.0835734870317003E-3</c:v>
                </c:pt>
                <c:pt idx="3">
                  <c:v>1.623076923076923E-3</c:v>
                </c:pt>
                <c:pt idx="4">
                  <c:v>2.3965517241379308E-3</c:v>
                </c:pt>
                <c:pt idx="5">
                  <c:v>2.7419354838709676E-3</c:v>
                </c:pt>
                <c:pt idx="6">
                  <c:v>4.5454545454545452E-3</c:v>
                </c:pt>
                <c:pt idx="7">
                  <c:v>1.025E-2</c:v>
                </c:pt>
              </c:numCache>
            </c:numRef>
          </c:yVal>
          <c:smooth val="0"/>
          <c:extLst>
            <c:ext xmlns:c16="http://schemas.microsoft.com/office/drawing/2014/chart" uri="{C3380CC4-5D6E-409C-BE32-E72D297353CC}">
              <c16:uniqueId val="{00000003-AD4C-4B29-B216-E93957DDCE07}"/>
            </c:ext>
          </c:extLst>
        </c:ser>
        <c:dLbls>
          <c:showLegendKey val="0"/>
          <c:showVal val="0"/>
          <c:showCatName val="0"/>
          <c:showSerName val="0"/>
          <c:showPercent val="0"/>
          <c:showBubbleSize val="0"/>
        </c:dLbls>
        <c:axId val="2108657880"/>
        <c:axId val="-2021561192"/>
      </c:scatterChart>
      <c:valAx>
        <c:axId val="2108657880"/>
        <c:scaling>
          <c:orientation val="minMax"/>
        </c:scaling>
        <c:delete val="0"/>
        <c:axPos val="b"/>
        <c:majorGridlines>
          <c:spPr>
            <a:ln w="19050"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Tot floor space [m</a:t>
                </a:r>
                <a:r>
                  <a:rPr lang="en-GB" baseline="30000"/>
                  <a:t>2</a:t>
                </a:r>
                <a:r>
                  <a:rPr lang="en-GB"/>
                  <a: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21561192"/>
        <c:crosses val="autoZero"/>
        <c:crossBetween val="midCat"/>
      </c:valAx>
      <c:valAx>
        <c:axId val="-2021561192"/>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Probability of fire</a:t>
                </a:r>
              </a:p>
            </c:rich>
          </c:tx>
          <c:layout>
            <c:manualLayout>
              <c:xMode val="edge"/>
              <c:yMode val="edge"/>
              <c:x val="2.8907020784913601E-2"/>
              <c:y val="0.32552221645866197"/>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08657880"/>
        <c:crosses val="autoZero"/>
        <c:crossBetween val="midCat"/>
      </c:valAx>
      <c:spPr>
        <a:noFill/>
        <a:ln>
          <a:noFill/>
        </a:ln>
        <a:effectLst/>
      </c:spPr>
    </c:plotArea>
    <c:legend>
      <c:legendPos val="r"/>
      <c:legendEntry>
        <c:idx val="0"/>
        <c:delete val="1"/>
      </c:legendEntry>
      <c:legendEntry>
        <c:idx val="1"/>
        <c:delete val="1"/>
      </c:legendEntry>
      <c:legendEntry>
        <c:idx val="2"/>
        <c:delete val="1"/>
      </c:legendEntry>
      <c:layout>
        <c:manualLayout>
          <c:xMode val="edge"/>
          <c:yMode val="edge"/>
          <c:x val="0.4557111619597482"/>
          <c:y val="0.35850893793942018"/>
          <c:w val="0.44658486433191308"/>
          <c:h val="0.15011764705882352"/>
        </c:manualLayout>
      </c:layout>
      <c:overlay val="0"/>
      <c:spPr>
        <a:solidFill>
          <a:schemeClr val="bg1">
            <a:alpha val="75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436C0-4E03-47E1-9E71-C987B94B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1835</TotalTime>
  <Pages>45</Pages>
  <Words>27173</Words>
  <Characters>154888</Characters>
  <Application>Microsoft Office Word</Application>
  <DocSecurity>0</DocSecurity>
  <Lines>1290</Lines>
  <Paragraphs>363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ASRANet 2006</vt:lpstr>
      <vt:lpstr>ASRANet 2006</vt:lpstr>
    </vt:vector>
  </TitlesOfParts>
  <Company>NA-ME @ UGS</Company>
  <LinksUpToDate>false</LinksUpToDate>
  <CharactersWithSpaces>181698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ASRANet 2006</dc:title>
  <dc:subject/>
  <dc:creator>Manes M, Rush D</dc:creator>
  <cp:keywords/>
  <cp:lastModifiedBy>MANES Martina</cp:lastModifiedBy>
  <cp:revision>45</cp:revision>
  <cp:lastPrinted>2018-09-13T08:42:00Z</cp:lastPrinted>
  <dcterms:created xsi:type="dcterms:W3CDTF">2018-07-26T12:17:00Z</dcterms:created>
  <dcterms:modified xsi:type="dcterms:W3CDTF">2018-09-13T10:33:00Z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ba7b5dcd-e671-3c55-aed1-b045e936ca2d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16th edition (full note)</vt:lpwstr>
  </property>
  <property fmtid="{D5CDD505-2E9C-101B-9397-08002B2CF9AE}" pid="13" name="Mendeley Recent Style Id 4_1">
    <vt:lpwstr>http://www.zotero.org/styles/engineering-structures</vt:lpwstr>
  </property>
  <property fmtid="{D5CDD505-2E9C-101B-9397-08002B2CF9AE}" pid="14" name="Mendeley Recent Style Name 4_1">
    <vt:lpwstr>Engineering Structures</vt:lpwstr>
  </property>
  <property fmtid="{D5CDD505-2E9C-101B-9397-08002B2CF9AE}" pid="15" name="Mendeley Recent Style Id 5_1">
    <vt:lpwstr>http://www.zotero.org/styles/fire-safety-journal</vt:lpwstr>
  </property>
  <property fmtid="{D5CDD505-2E9C-101B-9397-08002B2CF9AE}" pid="16" name="Mendeley Recent Style Name 5_1">
    <vt:lpwstr>Fire Safety Journal</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http://www.zotero.org/styles/multidisciplinary-digital-publishing-institute</vt:lpwstr>
  </property>
  <property fmtid="{D5CDD505-2E9C-101B-9397-08002B2CF9AE}" pid="22" name="Mendeley Recent Style Name 8_1">
    <vt:lpwstr>Multidisciplinary Digital Publishing Institute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