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92A9FD" w14:textId="36076C3B" w:rsidR="004A2877" w:rsidRPr="00B75A2A" w:rsidRDefault="000B7DE1" w:rsidP="00B75A2A">
      <w:pPr>
        <w:spacing w:line="480" w:lineRule="auto"/>
        <w:jc w:val="center"/>
        <w:rPr>
          <w:b/>
          <w:bCs/>
          <w:color w:val="000000" w:themeColor="text1"/>
        </w:rPr>
      </w:pPr>
      <w:bookmarkStart w:id="0" w:name="OLE_LINK304"/>
      <w:bookmarkStart w:id="1" w:name="OLE_LINK305"/>
      <w:bookmarkStart w:id="2" w:name="OLE_LINK202"/>
      <w:bookmarkStart w:id="3" w:name="OLE_LINK596"/>
      <w:bookmarkStart w:id="4" w:name="_Hlk101175150"/>
      <w:r w:rsidRPr="00B75A2A">
        <w:rPr>
          <w:b/>
          <w:bCs/>
          <w:color w:val="000000" w:themeColor="text1"/>
        </w:rPr>
        <w:t>Marke</w:t>
      </w:r>
      <w:r w:rsidR="00C13461" w:rsidRPr="00B75A2A">
        <w:rPr>
          <w:b/>
          <w:bCs/>
          <w:color w:val="000000" w:themeColor="text1"/>
        </w:rPr>
        <w:t>r</w:t>
      </w:r>
      <w:r w:rsidRPr="00B75A2A">
        <w:rPr>
          <w:b/>
          <w:bCs/>
          <w:color w:val="000000" w:themeColor="text1"/>
        </w:rPr>
        <w:t xml:space="preserve">s of immune dysregulation </w:t>
      </w:r>
      <w:r w:rsidR="004A2877" w:rsidRPr="00B75A2A">
        <w:rPr>
          <w:b/>
          <w:bCs/>
          <w:color w:val="000000" w:themeColor="text1"/>
        </w:rPr>
        <w:t xml:space="preserve">in </w:t>
      </w:r>
      <w:r w:rsidR="00DF347D" w:rsidRPr="00B75A2A">
        <w:rPr>
          <w:b/>
          <w:bCs/>
          <w:color w:val="000000" w:themeColor="text1"/>
        </w:rPr>
        <w:t xml:space="preserve">response to </w:t>
      </w:r>
      <w:r w:rsidR="004A2877" w:rsidRPr="00B75A2A">
        <w:rPr>
          <w:b/>
          <w:bCs/>
          <w:color w:val="000000" w:themeColor="text1"/>
        </w:rPr>
        <w:t xml:space="preserve">the ageing </w:t>
      </w:r>
      <w:r w:rsidRPr="00B75A2A">
        <w:rPr>
          <w:b/>
          <w:bCs/>
          <w:color w:val="000000" w:themeColor="text1"/>
        </w:rPr>
        <w:t>gut</w:t>
      </w:r>
      <w:r w:rsidR="004A2877" w:rsidRPr="00B75A2A">
        <w:rPr>
          <w:b/>
          <w:bCs/>
          <w:color w:val="000000" w:themeColor="text1"/>
        </w:rPr>
        <w:t>: insights from aged murine gut microbiota transplants</w:t>
      </w:r>
    </w:p>
    <w:p w14:paraId="7090078E" w14:textId="77777777" w:rsidR="004A2877" w:rsidRPr="00B75A2A" w:rsidRDefault="004A2877" w:rsidP="00B75A2A">
      <w:pPr>
        <w:spacing w:line="480" w:lineRule="auto"/>
        <w:jc w:val="both"/>
        <w:rPr>
          <w:color w:val="000000" w:themeColor="text1"/>
        </w:rPr>
      </w:pPr>
    </w:p>
    <w:p w14:paraId="607EB8B6" w14:textId="6F970B8F" w:rsidR="004A2877" w:rsidRPr="00B75A2A" w:rsidRDefault="0058609F" w:rsidP="00B75A2A">
      <w:pPr>
        <w:spacing w:line="480" w:lineRule="auto"/>
        <w:jc w:val="both"/>
        <w:rPr>
          <w:color w:val="000000" w:themeColor="text1"/>
          <w:vertAlign w:val="superscript"/>
        </w:rPr>
      </w:pPr>
      <w:r w:rsidRPr="00B75A2A">
        <w:rPr>
          <w:color w:val="000000" w:themeColor="text1"/>
        </w:rPr>
        <w:t>Panagiotis Giannos</w:t>
      </w:r>
      <w:r w:rsidR="003C0D01" w:rsidRPr="00B75A2A">
        <w:rPr>
          <w:color w:val="000000" w:themeColor="text1"/>
          <w:vertAlign w:val="superscript"/>
        </w:rPr>
        <w:t>†</w:t>
      </w:r>
      <w:r w:rsidR="004A2877" w:rsidRPr="00B75A2A">
        <w:rPr>
          <w:color w:val="000000" w:themeColor="text1"/>
          <w:vertAlign w:val="superscript"/>
        </w:rPr>
        <w:t>1,2</w:t>
      </w:r>
      <w:r w:rsidR="004A2877" w:rsidRPr="00B75A2A">
        <w:rPr>
          <w:color w:val="000000" w:themeColor="text1"/>
        </w:rPr>
        <w:t xml:space="preserve">, </w:t>
      </w:r>
      <w:r w:rsidRPr="00B75A2A">
        <w:rPr>
          <w:color w:val="000000" w:themeColor="text1"/>
        </w:rPr>
        <w:t>Konstantinos Prokopidis</w:t>
      </w:r>
      <w:r w:rsidR="003C0D01" w:rsidRPr="00B75A2A">
        <w:rPr>
          <w:color w:val="000000" w:themeColor="text1"/>
          <w:vertAlign w:val="superscript"/>
        </w:rPr>
        <w:t>†</w:t>
      </w:r>
      <w:r w:rsidR="000B7DE1" w:rsidRPr="00B75A2A">
        <w:rPr>
          <w:color w:val="000000" w:themeColor="text1"/>
          <w:vertAlign w:val="superscript"/>
        </w:rPr>
        <w:t>1</w:t>
      </w:r>
      <w:r w:rsidR="004A2877" w:rsidRPr="00B75A2A">
        <w:rPr>
          <w:color w:val="000000" w:themeColor="text1"/>
          <w:vertAlign w:val="superscript"/>
        </w:rPr>
        <w:t>,3</w:t>
      </w:r>
      <w:r w:rsidR="004A2877" w:rsidRPr="00B75A2A">
        <w:rPr>
          <w:color w:val="000000" w:themeColor="text1"/>
        </w:rPr>
        <w:t>, Masoud Isanejad</w:t>
      </w:r>
      <w:r w:rsidRPr="00B75A2A">
        <w:rPr>
          <w:color w:val="000000" w:themeColor="text1"/>
          <w:vertAlign w:val="superscript"/>
        </w:rPr>
        <w:t>3</w:t>
      </w:r>
      <w:r w:rsidR="004A2877" w:rsidRPr="00B75A2A">
        <w:rPr>
          <w:color w:val="000000" w:themeColor="text1"/>
        </w:rPr>
        <w:t>, Helen L Wright</w:t>
      </w:r>
      <w:r w:rsidRPr="00B75A2A">
        <w:rPr>
          <w:color w:val="000000" w:themeColor="text1"/>
          <w:vertAlign w:val="superscript"/>
        </w:rPr>
        <w:t>3</w:t>
      </w:r>
    </w:p>
    <w:p w14:paraId="78810E22" w14:textId="77777777" w:rsidR="004A2877" w:rsidRPr="00B75A2A" w:rsidRDefault="004A2877" w:rsidP="00B75A2A">
      <w:pPr>
        <w:spacing w:line="480" w:lineRule="auto"/>
        <w:jc w:val="both"/>
        <w:rPr>
          <w:color w:val="000000" w:themeColor="text1"/>
        </w:rPr>
      </w:pPr>
    </w:p>
    <w:p w14:paraId="46FBD058" w14:textId="78C13370" w:rsidR="000B7DE1" w:rsidRPr="00B75A2A" w:rsidRDefault="004A2877" w:rsidP="00B75A2A">
      <w:pPr>
        <w:spacing w:line="480" w:lineRule="auto"/>
        <w:jc w:val="both"/>
        <w:rPr>
          <w:color w:val="000000" w:themeColor="text1"/>
        </w:rPr>
      </w:pPr>
      <w:r w:rsidRPr="00B75A2A">
        <w:rPr>
          <w:color w:val="000000" w:themeColor="text1"/>
        </w:rPr>
        <w:t xml:space="preserve">1. </w:t>
      </w:r>
      <w:r w:rsidR="000B7DE1" w:rsidRPr="00B75A2A">
        <w:rPr>
          <w:color w:val="000000" w:themeColor="text1"/>
        </w:rPr>
        <w:t>Society of Meta-research and Biomedical Innovation, London, UK</w:t>
      </w:r>
      <w:r w:rsidR="0058609F" w:rsidRPr="00B75A2A">
        <w:rPr>
          <w:color w:val="000000" w:themeColor="text1"/>
        </w:rPr>
        <w:t>.</w:t>
      </w:r>
    </w:p>
    <w:p w14:paraId="0A081D66" w14:textId="1B6F0425" w:rsidR="004A2877" w:rsidRPr="00B75A2A" w:rsidRDefault="000B7DE1" w:rsidP="00B75A2A">
      <w:pPr>
        <w:spacing w:line="480" w:lineRule="auto"/>
        <w:jc w:val="both"/>
        <w:rPr>
          <w:color w:val="000000" w:themeColor="text1"/>
        </w:rPr>
      </w:pPr>
      <w:r w:rsidRPr="00B75A2A">
        <w:rPr>
          <w:color w:val="000000" w:themeColor="text1"/>
        </w:rPr>
        <w:t>2.</w:t>
      </w:r>
      <w:r w:rsidR="0058609F" w:rsidRPr="00B75A2A">
        <w:rPr>
          <w:color w:val="000000" w:themeColor="text1"/>
        </w:rPr>
        <w:t xml:space="preserve"> </w:t>
      </w:r>
      <w:r w:rsidR="0058609F" w:rsidRPr="00B75A2A">
        <w:rPr>
          <w:color w:val="000000" w:themeColor="text1"/>
        </w:rPr>
        <w:t>Department of Life Sciences, Faculty of Natural Sciences, Imperial College London, UK</w:t>
      </w:r>
      <w:r w:rsidR="0058609F" w:rsidRPr="00B75A2A">
        <w:rPr>
          <w:color w:val="000000" w:themeColor="text1"/>
        </w:rPr>
        <w:t>.</w:t>
      </w:r>
      <w:r w:rsidRPr="00B75A2A">
        <w:rPr>
          <w:color w:val="000000" w:themeColor="text1"/>
        </w:rPr>
        <w:t xml:space="preserve"> </w:t>
      </w:r>
      <w:bookmarkStart w:id="5" w:name="_Hlk101174418"/>
    </w:p>
    <w:bookmarkEnd w:id="5"/>
    <w:p w14:paraId="1D9AF726" w14:textId="04EA1EBB" w:rsidR="004A2877" w:rsidRPr="00B75A2A" w:rsidRDefault="004A2877" w:rsidP="00B75A2A">
      <w:pPr>
        <w:spacing w:line="480" w:lineRule="auto"/>
        <w:jc w:val="both"/>
        <w:rPr>
          <w:color w:val="000000" w:themeColor="text1"/>
        </w:rPr>
      </w:pPr>
      <w:r w:rsidRPr="00B75A2A">
        <w:rPr>
          <w:color w:val="000000" w:themeColor="text1"/>
        </w:rPr>
        <w:t xml:space="preserve">3. </w:t>
      </w:r>
      <w:r w:rsidR="0058609F" w:rsidRPr="00B75A2A">
        <w:rPr>
          <w:color w:val="000000" w:themeColor="text1"/>
        </w:rPr>
        <w:t>Department of Musculoskeletal and Ageing Science, Institute of Life Course and Medical Sciences, University of Liverpool, UK.</w:t>
      </w:r>
    </w:p>
    <w:p w14:paraId="5D0829DF" w14:textId="77777777" w:rsidR="004A2877" w:rsidRPr="00B75A2A" w:rsidRDefault="004A2877" w:rsidP="00B75A2A">
      <w:pPr>
        <w:spacing w:line="480" w:lineRule="auto"/>
        <w:jc w:val="both"/>
        <w:rPr>
          <w:color w:val="000000" w:themeColor="text1"/>
        </w:rPr>
      </w:pPr>
    </w:p>
    <w:p w14:paraId="1D3B2B47" w14:textId="77777777" w:rsidR="004A2877" w:rsidRPr="00B75A2A" w:rsidRDefault="004A2877" w:rsidP="00B75A2A">
      <w:pPr>
        <w:spacing w:line="480" w:lineRule="auto"/>
        <w:rPr>
          <w:color w:val="000000" w:themeColor="text1"/>
        </w:rPr>
      </w:pPr>
      <w:r w:rsidRPr="00B75A2A">
        <w:rPr>
          <w:color w:val="000000" w:themeColor="text1"/>
          <w:vertAlign w:val="superscript"/>
        </w:rPr>
        <w:t xml:space="preserve">† </w:t>
      </w:r>
      <w:r w:rsidRPr="00B75A2A">
        <w:rPr>
          <w:color w:val="000000" w:themeColor="text1"/>
        </w:rPr>
        <w:t>These authors have contributed equally to this work and share first authorship.</w:t>
      </w:r>
    </w:p>
    <w:p w14:paraId="01F7FF6A" w14:textId="77777777" w:rsidR="004A2877" w:rsidRPr="00B75A2A" w:rsidRDefault="004A2877" w:rsidP="00B75A2A">
      <w:pPr>
        <w:spacing w:line="480" w:lineRule="auto"/>
        <w:jc w:val="both"/>
        <w:rPr>
          <w:color w:val="000000" w:themeColor="text1"/>
        </w:rPr>
      </w:pPr>
    </w:p>
    <w:p w14:paraId="61A842B0" w14:textId="18D34884" w:rsidR="004A2877" w:rsidRPr="00B75A2A" w:rsidRDefault="004A2877" w:rsidP="00B75A2A">
      <w:pPr>
        <w:spacing w:line="480" w:lineRule="auto"/>
        <w:jc w:val="both"/>
        <w:rPr>
          <w:color w:val="000000" w:themeColor="text1"/>
        </w:rPr>
      </w:pPr>
      <w:r w:rsidRPr="00B75A2A">
        <w:rPr>
          <w:color w:val="000000" w:themeColor="text1"/>
        </w:rPr>
        <w:t xml:space="preserve">Correspondence:  </w:t>
      </w:r>
      <w:r w:rsidR="008C4509" w:rsidRPr="00B75A2A">
        <w:rPr>
          <w:color w:val="000000" w:themeColor="text1"/>
        </w:rPr>
        <w:t xml:space="preserve">Dr Helen L Wright, University of Liverpool, Institute of Life Course and Medical Sciences, William Henry Duncan Building, 6 West Derby Street, Liverpool L7 8TX. Email: </w:t>
      </w:r>
      <w:hyperlink r:id="rId8" w:history="1">
        <w:r w:rsidR="008C4509" w:rsidRPr="00B75A2A">
          <w:rPr>
            <w:rStyle w:val="Hyperlink"/>
          </w:rPr>
          <w:t>hlwright@liverpool.ac.uk</w:t>
        </w:r>
      </w:hyperlink>
      <w:r w:rsidR="008C4509" w:rsidRPr="00B75A2A">
        <w:rPr>
          <w:color w:val="000000" w:themeColor="text1"/>
        </w:rPr>
        <w:t xml:space="preserve">. Tel: </w:t>
      </w:r>
      <w:r w:rsidR="003C0D01" w:rsidRPr="00B75A2A">
        <w:rPr>
          <w:color w:val="000000" w:themeColor="text1"/>
        </w:rPr>
        <w:t>+44 151 795 4457</w:t>
      </w:r>
    </w:p>
    <w:bookmarkEnd w:id="0"/>
    <w:bookmarkEnd w:id="1"/>
    <w:bookmarkEnd w:id="2"/>
    <w:bookmarkEnd w:id="3"/>
    <w:p w14:paraId="0F133B59" w14:textId="77777777" w:rsidR="004A2877" w:rsidRPr="00B75A2A" w:rsidRDefault="004A2877" w:rsidP="00B75A2A">
      <w:pPr>
        <w:spacing w:line="480" w:lineRule="auto"/>
        <w:jc w:val="both"/>
        <w:rPr>
          <w:color w:val="000000" w:themeColor="text1"/>
        </w:rPr>
      </w:pPr>
      <w:r w:rsidRPr="00B75A2A">
        <w:rPr>
          <w:b/>
          <w:bCs/>
        </w:rPr>
        <w:br w:type="page"/>
      </w:r>
    </w:p>
    <w:p w14:paraId="6FD87DE6" w14:textId="77777777" w:rsidR="004A2877" w:rsidRPr="00B75A2A" w:rsidRDefault="004A2877" w:rsidP="00B75A2A">
      <w:pPr>
        <w:spacing w:line="480" w:lineRule="auto"/>
        <w:jc w:val="both"/>
        <w:rPr>
          <w:b/>
          <w:bCs/>
        </w:rPr>
      </w:pPr>
      <w:r w:rsidRPr="00B75A2A">
        <w:rPr>
          <w:b/>
          <w:bCs/>
        </w:rPr>
        <w:lastRenderedPageBreak/>
        <w:t>ABSTRACT</w:t>
      </w:r>
    </w:p>
    <w:p w14:paraId="3AB13AF0" w14:textId="77777777" w:rsidR="00003F09" w:rsidRPr="00B75A2A" w:rsidRDefault="00003F09" w:rsidP="00B75A2A">
      <w:pPr>
        <w:spacing w:line="480" w:lineRule="auto"/>
        <w:jc w:val="both"/>
        <w:rPr>
          <w:lang w:val="en-US"/>
        </w:rPr>
      </w:pPr>
      <w:r w:rsidRPr="00B75A2A">
        <w:rPr>
          <w:b/>
          <w:bCs/>
          <w:lang w:val="en-US"/>
        </w:rPr>
        <w:t>Background:</w:t>
      </w:r>
      <w:r w:rsidRPr="00B75A2A">
        <w:rPr>
          <w:lang w:val="en-US"/>
        </w:rPr>
        <w:t xml:space="preserve"> </w:t>
      </w:r>
      <w:r w:rsidR="004A2877" w:rsidRPr="00B75A2A">
        <w:rPr>
          <w:lang w:val="en-US"/>
        </w:rPr>
        <w:t xml:space="preserve">Perturbations in the composition and diversity of the gut microbiota are accompanied by </w:t>
      </w:r>
      <w:r w:rsidR="00DF347D" w:rsidRPr="00B75A2A">
        <w:rPr>
          <w:lang w:val="en-US"/>
        </w:rPr>
        <w:t xml:space="preserve">a </w:t>
      </w:r>
      <w:r w:rsidR="004A2877" w:rsidRPr="00B75A2A">
        <w:rPr>
          <w:lang w:val="en-US"/>
        </w:rPr>
        <w:t xml:space="preserve">decline in immune homeostasis during ageing, characterized by chronic low-grade inflammation and enhanced innate immunity. Genetic insights into the interaction between age-related alterations in the gut microbiota and immune function remain largely unexplored. </w:t>
      </w:r>
    </w:p>
    <w:p w14:paraId="3740C15B" w14:textId="10CA4127" w:rsidR="00003F09" w:rsidRPr="00B75A2A" w:rsidRDefault="00003F09" w:rsidP="00B75A2A">
      <w:pPr>
        <w:spacing w:line="480" w:lineRule="auto"/>
        <w:jc w:val="both"/>
        <w:rPr>
          <w:lang w:val="en-US"/>
        </w:rPr>
      </w:pPr>
      <w:r w:rsidRPr="00B75A2A">
        <w:rPr>
          <w:b/>
          <w:bCs/>
          <w:lang w:val="en-US"/>
        </w:rPr>
        <w:t>Methods:</w:t>
      </w:r>
      <w:r w:rsidRPr="00B75A2A">
        <w:rPr>
          <w:lang w:val="en-US"/>
        </w:rPr>
        <w:t xml:space="preserve"> </w:t>
      </w:r>
      <w:r w:rsidR="004A2877" w:rsidRPr="00B75A2A">
        <w:rPr>
          <w:lang w:val="en-US"/>
        </w:rPr>
        <w:t xml:space="preserve">We investigated </w:t>
      </w:r>
      <w:r w:rsidR="00DF347D" w:rsidRPr="00B75A2A">
        <w:rPr>
          <w:lang w:val="en-US"/>
        </w:rPr>
        <w:t xml:space="preserve">transcriptomic </w:t>
      </w:r>
      <w:r w:rsidR="004A2877" w:rsidRPr="00B75A2A">
        <w:rPr>
          <w:lang w:val="en-US"/>
        </w:rPr>
        <w:t xml:space="preserve">gut profiles of young germ-free mouse hosts transplanted with old donor gut microbiota to identify immune-associated differentially expressed genes (DEGs). </w:t>
      </w:r>
      <w:r w:rsidR="004A2877" w:rsidRPr="00B75A2A">
        <w:t xml:space="preserve">Literature screening of the Gene Expression Omnibus and PubMed </w:t>
      </w:r>
      <w:r w:rsidR="00DF347D" w:rsidRPr="00B75A2A">
        <w:t>identified</w:t>
      </w:r>
      <w:r w:rsidR="004A2877" w:rsidRPr="00B75A2A">
        <w:t xml:space="preserve"> one murine (</w:t>
      </w:r>
      <w:r w:rsidR="004A2877" w:rsidRPr="00B75A2A">
        <w:rPr>
          <w:i/>
          <w:iCs/>
        </w:rPr>
        <w:t>Mus musculus</w:t>
      </w:r>
      <w:r w:rsidR="004A2877" w:rsidRPr="00B75A2A">
        <w:t>) gene expression dataset (</w:t>
      </w:r>
      <w:r w:rsidR="004A2877" w:rsidRPr="00B75A2A">
        <w:rPr>
          <w:lang w:val="en-US"/>
        </w:rPr>
        <w:t>GSE130026) that included small intestine tissues from young (5-6 weeks old) germ-free mice hosts that were compared following 8 weeks after transplantation with either old (~</w:t>
      </w:r>
      <w:proofErr w:type="gramStart"/>
      <w:r w:rsidR="004A2877" w:rsidRPr="00B75A2A">
        <w:rPr>
          <w:lang w:val="en-US"/>
        </w:rPr>
        <w:t>24-month old</w:t>
      </w:r>
      <w:proofErr w:type="gramEnd"/>
      <w:r w:rsidR="004A2877" w:rsidRPr="00B75A2A">
        <w:rPr>
          <w:lang w:val="en-US"/>
        </w:rPr>
        <w:t xml:space="preserve">; </w:t>
      </w:r>
      <w:r w:rsidR="004A2877" w:rsidRPr="00B75A2A">
        <w:rPr>
          <w:i/>
          <w:iCs/>
          <w:lang w:val="en-US"/>
        </w:rPr>
        <w:t xml:space="preserve">n </w:t>
      </w:r>
      <w:r w:rsidR="004A2877" w:rsidRPr="00B75A2A">
        <w:rPr>
          <w:lang w:val="en-US"/>
        </w:rPr>
        <w:t xml:space="preserve">= 5) or young (5-6 weeks old; </w:t>
      </w:r>
      <w:r w:rsidR="004A2877" w:rsidRPr="00B75A2A">
        <w:rPr>
          <w:i/>
          <w:iCs/>
          <w:lang w:val="en-US"/>
        </w:rPr>
        <w:t xml:space="preserve">n </w:t>
      </w:r>
      <w:r w:rsidR="004A2877" w:rsidRPr="00B75A2A">
        <w:rPr>
          <w:lang w:val="en-US"/>
        </w:rPr>
        <w:t xml:space="preserve">= 4) mouse donor gut microbiota. </w:t>
      </w:r>
    </w:p>
    <w:p w14:paraId="05705827" w14:textId="1BA2E285" w:rsidR="00003F09" w:rsidRPr="00B75A2A" w:rsidRDefault="00003F09" w:rsidP="00B75A2A">
      <w:pPr>
        <w:spacing w:line="480" w:lineRule="auto"/>
        <w:jc w:val="both"/>
      </w:pPr>
      <w:r w:rsidRPr="00B75A2A">
        <w:rPr>
          <w:b/>
          <w:bCs/>
          <w:lang w:val="en-US"/>
        </w:rPr>
        <w:t>Results:</w:t>
      </w:r>
      <w:r w:rsidRPr="00B75A2A">
        <w:rPr>
          <w:lang w:val="en-US"/>
        </w:rPr>
        <w:t xml:space="preserve"> </w:t>
      </w:r>
      <w:r w:rsidR="004A2877" w:rsidRPr="00B75A2A">
        <w:rPr>
          <w:lang w:val="en-US"/>
        </w:rPr>
        <w:t xml:space="preserve">A total of </w:t>
      </w:r>
      <w:r w:rsidR="000B7DE1" w:rsidRPr="00B75A2A">
        <w:rPr>
          <w:lang w:val="en-US"/>
        </w:rPr>
        <w:t>112</w:t>
      </w:r>
      <w:r w:rsidR="004A2877" w:rsidRPr="00B75A2A">
        <w:rPr>
          <w:lang w:val="en-US"/>
        </w:rPr>
        <w:t xml:space="preserve"> </w:t>
      </w:r>
      <w:r w:rsidR="00DF347D" w:rsidRPr="00B75A2A">
        <w:rPr>
          <w:lang w:val="en-US"/>
        </w:rPr>
        <w:t>differentially expressed genes (</w:t>
      </w:r>
      <w:r w:rsidR="004A2877" w:rsidRPr="00B75A2A">
        <w:rPr>
          <w:lang w:val="en-US"/>
        </w:rPr>
        <w:t>DEGs</w:t>
      </w:r>
      <w:r w:rsidR="00DF347D" w:rsidRPr="00B75A2A">
        <w:rPr>
          <w:lang w:val="en-US"/>
        </w:rPr>
        <w:t>)</w:t>
      </w:r>
      <w:r w:rsidR="004A2877" w:rsidRPr="00B75A2A">
        <w:rPr>
          <w:lang w:val="en-US"/>
        </w:rPr>
        <w:t xml:space="preserve"> were identified and used to construct a gut network of encoded</w:t>
      </w:r>
      <w:r w:rsidR="004A2877" w:rsidRPr="00B75A2A">
        <w:t xml:space="preserve"> proteins, in which DEGs were </w:t>
      </w:r>
      <w:r w:rsidR="004A2877" w:rsidRPr="00B75A2A">
        <w:rPr>
          <w:lang w:val="en-US"/>
        </w:rPr>
        <w:t>functionally annotated as being involved in an immune process based on gene ontology. The association between the expression of immune-process DEGs and abundance of immune infiltrates from gene signatures in normal colorectal tissues was estimated from The Cancer Genome Atlas (TCGA) and Genotype-Tissue Expression (</w:t>
      </w:r>
      <w:proofErr w:type="spellStart"/>
      <w:r w:rsidR="004A2877" w:rsidRPr="00B75A2A">
        <w:rPr>
          <w:lang w:val="en-US"/>
        </w:rPr>
        <w:t>GTEx</w:t>
      </w:r>
      <w:proofErr w:type="spellEnd"/>
      <w:r w:rsidR="004A2877" w:rsidRPr="00B75A2A">
        <w:rPr>
          <w:lang w:val="en-US"/>
        </w:rPr>
        <w:t>) project. The analysis revealed</w:t>
      </w:r>
      <w:r w:rsidR="004A2877" w:rsidRPr="00B75A2A">
        <w:t xml:space="preserve"> a </w:t>
      </w:r>
      <w:r w:rsidR="004A2877" w:rsidRPr="00B75A2A">
        <w:rPr>
          <w:color w:val="000000" w:themeColor="text1"/>
        </w:rPr>
        <w:t xml:space="preserve">25-gene signature of immune-associated </w:t>
      </w:r>
      <w:proofErr w:type="gramStart"/>
      <w:r w:rsidR="004A2877" w:rsidRPr="00B75A2A">
        <w:rPr>
          <w:color w:val="000000" w:themeColor="text1"/>
        </w:rPr>
        <w:t>DEGs</w:t>
      </w:r>
      <w:proofErr w:type="gramEnd"/>
      <w:r w:rsidR="004A2877" w:rsidRPr="00B75A2A">
        <w:rPr>
          <w:color w:val="000000" w:themeColor="text1"/>
        </w:rPr>
        <w:t xml:space="preserve"> and their expression profile was positively</w:t>
      </w:r>
      <w:r w:rsidR="004A2877" w:rsidRPr="00B75A2A">
        <w:t xml:space="preserve"> correlated </w:t>
      </w:r>
      <w:r w:rsidR="004A2877" w:rsidRPr="00B75A2A">
        <w:rPr>
          <w:lang w:val="en-US"/>
        </w:rPr>
        <w:t xml:space="preserve">with </w:t>
      </w:r>
      <w:r w:rsidR="004A2877" w:rsidRPr="00B75A2A">
        <w:t xml:space="preserve">naïve T-cell, effector memory T-cell, central memory T-cell, resident memory T-cell, exhausted T-cell, resting Treg T-cell, effector Treg T-cell and Th1-like colorectal gene signatures. </w:t>
      </w:r>
    </w:p>
    <w:p w14:paraId="5F62E613" w14:textId="65ED206B" w:rsidR="004A2877" w:rsidRPr="00B75A2A" w:rsidRDefault="00003F09" w:rsidP="00B75A2A">
      <w:pPr>
        <w:spacing w:line="480" w:lineRule="auto"/>
        <w:jc w:val="both"/>
        <w:rPr>
          <w:lang w:val="en-US"/>
        </w:rPr>
      </w:pPr>
      <w:r w:rsidRPr="00B75A2A">
        <w:rPr>
          <w:b/>
          <w:bCs/>
        </w:rPr>
        <w:t>Conclusions:</w:t>
      </w:r>
      <w:r w:rsidRPr="00B75A2A">
        <w:t xml:space="preserve"> </w:t>
      </w:r>
      <w:r w:rsidR="004A2877" w:rsidRPr="00B75A2A">
        <w:rPr>
          <w:lang w:val="en-US"/>
        </w:rPr>
        <w:t>These genes may have a potential role as candidate markers of immune dysregulation during gut microbiota ageing.</w:t>
      </w:r>
      <w:r w:rsidR="00646DBC" w:rsidRPr="00B75A2A">
        <w:rPr>
          <w:lang w:val="en-US"/>
        </w:rPr>
        <w:t xml:space="preserve"> Moreover, the DEGs provide insight into the </w:t>
      </w:r>
      <w:r w:rsidR="00646DBC" w:rsidRPr="00B75A2A">
        <w:rPr>
          <w:lang w:val="en-US"/>
        </w:rPr>
        <w:lastRenderedPageBreak/>
        <w:t>altered immune response to microbiota in the ageing gut, including reduced antigen presentation and alterations in cytokine and chemokine production.</w:t>
      </w:r>
    </w:p>
    <w:p w14:paraId="70215B1D" w14:textId="77777777" w:rsidR="004A2877" w:rsidRPr="00B75A2A" w:rsidRDefault="004A2877" w:rsidP="00B75A2A">
      <w:pPr>
        <w:spacing w:line="480" w:lineRule="auto"/>
        <w:jc w:val="both"/>
        <w:rPr>
          <w:lang w:val="en-US"/>
        </w:rPr>
      </w:pPr>
    </w:p>
    <w:p w14:paraId="4AB15D2C" w14:textId="4865BE1D" w:rsidR="004A2877" w:rsidRPr="00B75A2A" w:rsidRDefault="004A2877" w:rsidP="00B75A2A">
      <w:pPr>
        <w:spacing w:line="480" w:lineRule="auto"/>
        <w:jc w:val="both"/>
      </w:pPr>
      <w:r w:rsidRPr="00B75A2A">
        <w:t xml:space="preserve">Keywords: inflammation, immune system, gut microbiota, ageing, innate immunity, </w:t>
      </w:r>
      <w:r w:rsidR="003A3C92" w:rsidRPr="00B75A2A">
        <w:t>differentially expressed genes</w:t>
      </w:r>
    </w:p>
    <w:p w14:paraId="143AEE0C" w14:textId="77777777" w:rsidR="00003F09" w:rsidRPr="00B75A2A" w:rsidRDefault="00003F09" w:rsidP="00B75A2A">
      <w:pPr>
        <w:spacing w:line="480" w:lineRule="auto"/>
        <w:rPr>
          <w:b/>
          <w:bCs/>
          <w:lang w:val="en-US"/>
        </w:rPr>
      </w:pPr>
    </w:p>
    <w:p w14:paraId="7C1D29C9" w14:textId="77777777" w:rsidR="00156AB2" w:rsidRPr="00B75A2A" w:rsidRDefault="00156AB2" w:rsidP="00B75A2A">
      <w:pPr>
        <w:spacing w:line="480" w:lineRule="auto"/>
        <w:rPr>
          <w:b/>
          <w:bCs/>
          <w:lang w:val="en-US"/>
        </w:rPr>
      </w:pPr>
      <w:r w:rsidRPr="00B75A2A">
        <w:rPr>
          <w:b/>
          <w:bCs/>
          <w:lang w:val="en-US"/>
        </w:rPr>
        <w:br w:type="page"/>
      </w:r>
    </w:p>
    <w:p w14:paraId="4EF5F66D" w14:textId="3849A3C9" w:rsidR="004A2877" w:rsidRPr="00B75A2A" w:rsidRDefault="00003F09" w:rsidP="00B75A2A">
      <w:pPr>
        <w:spacing w:line="480" w:lineRule="auto"/>
        <w:rPr>
          <w:b/>
          <w:bCs/>
          <w:lang w:val="en-US"/>
        </w:rPr>
      </w:pPr>
      <w:r w:rsidRPr="00B75A2A">
        <w:rPr>
          <w:b/>
          <w:bCs/>
          <w:lang w:val="en-US"/>
        </w:rPr>
        <w:lastRenderedPageBreak/>
        <w:t>BACKGROUND</w:t>
      </w:r>
    </w:p>
    <w:p w14:paraId="4CFB917B" w14:textId="37025510" w:rsidR="004A2877" w:rsidRPr="00B75A2A" w:rsidRDefault="004A2877" w:rsidP="00B75A2A">
      <w:pPr>
        <w:spacing w:line="480" w:lineRule="auto"/>
        <w:jc w:val="both"/>
        <w:rPr>
          <w:lang w:val="en-US"/>
        </w:rPr>
      </w:pPr>
      <w:r w:rsidRPr="00B75A2A">
        <w:rPr>
          <w:lang w:val="en-US"/>
        </w:rPr>
        <w:t>Ageing is accompanied by a progressive decline in immune function that may significantly impact overall human health, increasing the risk of autoimmune disorders, infection, and mortality</w:t>
      </w:r>
      <w:r w:rsidR="00346DC7" w:rsidRPr="00B75A2A">
        <w:rPr>
          <w:lang w:val="en-US"/>
        </w:rPr>
        <w:t xml:space="preserve"> </w:t>
      </w:r>
      <w:r w:rsidR="00346DC7" w:rsidRPr="00B75A2A">
        <w:rPr>
          <w:lang w:val="en-US"/>
        </w:rPr>
        <w:fldChar w:fldCharType="begin"/>
      </w:r>
      <w:r w:rsidR="000D46E7" w:rsidRPr="00B75A2A">
        <w:rPr>
          <w:lang w:val="en-US"/>
        </w:rPr>
        <w:instrText xml:space="preserve"> ADDIN EN.CITE &lt;EndNote&gt;&lt;Cite&gt;&lt;Author&gt;Akha&lt;/Author&gt;&lt;Year&gt;2018&lt;/Year&gt;&lt;RecNum&gt;1&lt;/RecNum&gt;&lt;DisplayText&gt;[1]&lt;/DisplayText&gt;&lt;record&gt;&lt;rec-number&gt;1&lt;/rec-number&gt;&lt;foreign-keys&gt;&lt;key app="EN" db-id="awxxrz9fkt00vzea5p4pvvvzpt9fezd52xt5" timestamp="1668693132"&gt;1&lt;/key&gt;&lt;/foreign-keys&gt;&lt;ref-type name="Journal Article"&gt;17&lt;/ref-type&gt;&lt;contributors&gt;&lt;authors&gt;&lt;author&gt;Akha, Amir A Sadighi&lt;/author&gt;&lt;/authors&gt;&lt;/contributors&gt;&lt;titles&gt;&lt;title&gt;Aging and the immune system: An overview&lt;/title&gt;&lt;secondary-title&gt;Journal of immunological methods&lt;/secondary-title&gt;&lt;/titles&gt;&lt;periodical&gt;&lt;full-title&gt;Journal of immunological methods&lt;/full-title&gt;&lt;/periodical&gt;&lt;pages&gt;21-26&lt;/pages&gt;&lt;volume&gt;463&lt;/volume&gt;&lt;dates&gt;&lt;year&gt;2018&lt;/year&gt;&lt;/dates&gt;&lt;isbn&gt;0022-1759&lt;/isbn&gt;&lt;urls&gt;&lt;/urls&gt;&lt;/record&gt;&lt;/Cite&gt;&lt;/EndNote&gt;</w:instrText>
      </w:r>
      <w:r w:rsidR="00346DC7" w:rsidRPr="00B75A2A">
        <w:rPr>
          <w:lang w:val="en-US"/>
        </w:rPr>
        <w:fldChar w:fldCharType="separate"/>
      </w:r>
      <w:r w:rsidR="00346DC7" w:rsidRPr="00B75A2A">
        <w:rPr>
          <w:noProof/>
          <w:lang w:val="en-US"/>
        </w:rPr>
        <w:t>[1]</w:t>
      </w:r>
      <w:r w:rsidR="00346DC7" w:rsidRPr="00B75A2A">
        <w:rPr>
          <w:lang w:val="en-US"/>
        </w:rPr>
        <w:fldChar w:fldCharType="end"/>
      </w:r>
      <w:r w:rsidRPr="00B75A2A">
        <w:rPr>
          <w:lang w:val="en-US"/>
        </w:rPr>
        <w:t xml:space="preserve">. It has been proposed that </w:t>
      </w:r>
      <w:proofErr w:type="spellStart"/>
      <w:r w:rsidRPr="00B75A2A">
        <w:rPr>
          <w:lang w:val="en-US"/>
        </w:rPr>
        <w:t>immunosenescence</w:t>
      </w:r>
      <w:proofErr w:type="spellEnd"/>
      <w:r w:rsidRPr="00B75A2A">
        <w:rPr>
          <w:lang w:val="en-US"/>
        </w:rPr>
        <w:t xml:space="preserve"> in ageing populations may, in part, be driven by alterations in the composition and diversity of the gut microbiota, which confers a fundamental immunomodulatory role at promoting intestinal integrity and reducing local and systemic inflammation </w:t>
      </w:r>
      <w:r w:rsidR="00346DC7" w:rsidRPr="00B75A2A">
        <w:rPr>
          <w:lang w:val="en-US"/>
        </w:rPr>
        <w:fldChar w:fldCharType="begin"/>
      </w:r>
      <w:r w:rsidR="000D46E7" w:rsidRPr="00B75A2A">
        <w:rPr>
          <w:lang w:val="en-US"/>
        </w:rPr>
        <w:instrText xml:space="preserve"> ADDIN EN.CITE &lt;EndNote&gt;&lt;Cite&gt;&lt;Author&gt;Bosco&lt;/Author&gt;&lt;Year&gt;2021&lt;/Year&gt;&lt;RecNum&gt;2&lt;/RecNum&gt;&lt;DisplayText&gt;[2]&lt;/DisplayText&gt;&lt;record&gt;&lt;rec-number&gt;2&lt;/rec-number&gt;&lt;foreign-keys&gt;&lt;key app="EN" db-id="awxxrz9fkt00vzea5p4pvvvzpt9fezd52xt5" timestamp="1668693132"&gt;2&lt;/key&gt;&lt;/foreign-keys&gt;&lt;ref-type name="Journal Article"&gt;17&lt;/ref-type&gt;&lt;contributors&gt;&lt;authors&gt;&lt;author&gt;Bosco, Nabil&lt;/author&gt;&lt;author&gt;Noti, Mario&lt;/author&gt;&lt;/authors&gt;&lt;/contributors&gt;&lt;titles&gt;&lt;title&gt;The aging gut microbiome and its impact on host immunity&lt;/title&gt;&lt;secondary-title&gt;Genes &amp;amp; Immunity&lt;/secondary-title&gt;&lt;/titles&gt;&lt;periodical&gt;&lt;full-title&gt;Genes &amp;amp; Immunity&lt;/full-title&gt;&lt;/periodical&gt;&lt;pages&gt;289-303&lt;/pages&gt;&lt;volume&gt;22&lt;/volume&gt;&lt;number&gt;5&lt;/number&gt;&lt;dates&gt;&lt;year&gt;2021&lt;/year&gt;&lt;/dates&gt;&lt;isbn&gt;1476-5470&lt;/isbn&gt;&lt;urls&gt;&lt;/urls&gt;&lt;/record&gt;&lt;/Cite&gt;&lt;/EndNote&gt;</w:instrText>
      </w:r>
      <w:r w:rsidR="00346DC7" w:rsidRPr="00B75A2A">
        <w:rPr>
          <w:lang w:val="en-US"/>
        </w:rPr>
        <w:fldChar w:fldCharType="separate"/>
      </w:r>
      <w:r w:rsidR="00346DC7" w:rsidRPr="00B75A2A">
        <w:rPr>
          <w:noProof/>
          <w:lang w:val="en-US"/>
        </w:rPr>
        <w:t>[2]</w:t>
      </w:r>
      <w:r w:rsidR="00346DC7" w:rsidRPr="00B75A2A">
        <w:rPr>
          <w:lang w:val="en-US"/>
        </w:rPr>
        <w:fldChar w:fldCharType="end"/>
      </w:r>
      <w:r w:rsidRPr="00B75A2A">
        <w:rPr>
          <w:lang w:val="en-US"/>
        </w:rPr>
        <w:t xml:space="preserve">. Particularly, aged gut microbiota can contribute to </w:t>
      </w:r>
      <w:proofErr w:type="spellStart"/>
      <w:r w:rsidRPr="00B75A2A">
        <w:rPr>
          <w:lang w:val="en-US"/>
        </w:rPr>
        <w:t>inflammageing</w:t>
      </w:r>
      <w:proofErr w:type="spellEnd"/>
      <w:r w:rsidRPr="00B75A2A">
        <w:rPr>
          <w:lang w:val="en-US"/>
        </w:rPr>
        <w:t xml:space="preserve">, increased gut permeability and enhanced bacterial leakage along with dysregulated innate immune responses </w:t>
      </w:r>
      <w:r w:rsidR="00346DC7" w:rsidRPr="00B75A2A">
        <w:rPr>
          <w:lang w:val="en-US"/>
        </w:rPr>
        <w:fldChar w:fldCharType="begin">
          <w:fldData xml:space="preserve">PEVuZE5vdGU+PENpdGU+PEF1dGhvcj5BdGFyYXNoaTwvQXV0aG9yPjxZZWFyPjIwMTU8L1llYXI+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</w:fldData>
        </w:fldChar>
      </w:r>
      <w:r w:rsidR="000D46E7" w:rsidRPr="00B75A2A">
        <w:rPr>
          <w:lang w:val="en-US"/>
        </w:rPr>
        <w:instrText xml:space="preserve"> ADDIN EN.CITE </w:instrText>
      </w:r>
      <w:r w:rsidR="000D46E7" w:rsidRPr="00B75A2A">
        <w:rPr>
          <w:lang w:val="en-US"/>
        </w:rPr>
        <w:fldChar w:fldCharType="begin">
          <w:fldData xml:space="preserve">PEVuZE5vdGU+PENpdGU+PEF1dGhvcj5BdGFyYXNoaTwvQXV0aG9yPjxZZWFyPjIwMTU8L1llYXI+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</w:fldData>
        </w:fldChar>
      </w:r>
      <w:r w:rsidR="000D46E7" w:rsidRPr="00B75A2A">
        <w:rPr>
          <w:lang w:val="en-US"/>
        </w:rPr>
        <w:instrText xml:space="preserve"> ADDIN EN.CITE.DATA </w:instrText>
      </w:r>
      <w:r w:rsidR="000D46E7" w:rsidRPr="00B75A2A">
        <w:rPr>
          <w:lang w:val="en-US"/>
        </w:rPr>
      </w:r>
      <w:r w:rsidR="000D46E7" w:rsidRPr="00B75A2A">
        <w:rPr>
          <w:lang w:val="en-US"/>
        </w:rPr>
        <w:fldChar w:fldCharType="end"/>
      </w:r>
      <w:r w:rsidR="00346DC7" w:rsidRPr="00B75A2A">
        <w:rPr>
          <w:lang w:val="en-US"/>
        </w:rPr>
      </w:r>
      <w:r w:rsidR="00346DC7" w:rsidRPr="00B75A2A">
        <w:rPr>
          <w:lang w:val="en-US"/>
        </w:rPr>
        <w:fldChar w:fldCharType="separate"/>
      </w:r>
      <w:r w:rsidR="00346DC7" w:rsidRPr="00B75A2A">
        <w:rPr>
          <w:noProof/>
          <w:lang w:val="en-US"/>
        </w:rPr>
        <w:t>[3-6]</w:t>
      </w:r>
      <w:r w:rsidR="00346DC7" w:rsidRPr="00B75A2A">
        <w:rPr>
          <w:lang w:val="en-US"/>
        </w:rPr>
        <w:fldChar w:fldCharType="end"/>
      </w:r>
      <w:r w:rsidRPr="00B75A2A">
        <w:rPr>
          <w:lang w:val="en-US"/>
        </w:rPr>
        <w:t xml:space="preserve"> when transferred into young germ-free mice </w:t>
      </w:r>
      <w:r w:rsidR="00346DC7" w:rsidRPr="00B75A2A">
        <w:rPr>
          <w:lang w:val="en-US"/>
        </w:rPr>
        <w:fldChar w:fldCharType="begin"/>
      </w:r>
      <w:r w:rsidR="000D46E7" w:rsidRPr="00B75A2A">
        <w:rPr>
          <w:lang w:val="en-US"/>
        </w:rPr>
        <w:instrText xml:space="preserve"> ADDIN EN.CITE &lt;EndNote&gt;&lt;Cite&gt;&lt;Author&gt;Fransen&lt;/Author&gt;&lt;Year&gt;2017&lt;/Year&gt;&lt;RecNum&gt;7&lt;/RecNum&gt;&lt;DisplayText&gt;[7]&lt;/DisplayText&gt;&lt;record&gt;&lt;rec-number&gt;7&lt;/rec-number&gt;&lt;foreign-keys&gt;&lt;key app="EN" db-id="awxxrz9fkt00vzea5p4pvvvzpt9fezd52xt5" timestamp="1668693132"&gt;7&lt;/key&gt;&lt;/foreign-keys&gt;&lt;ref-type name="Journal Article"&gt;17&lt;/ref-type&gt;&lt;contributors&gt;&lt;authors&gt;&lt;author&gt;Fransen, Floris&lt;/author&gt;&lt;author&gt;Van Beek, Adriaan A&lt;/author&gt;&lt;author&gt;Borghuis, Theo&lt;/author&gt;&lt;author&gt;Aidy, Sahar El&lt;/author&gt;&lt;author&gt;Hugenholtz, Floor&lt;/author&gt;&lt;author&gt;van der Gaast–de Jongh, Christa&lt;/author&gt;&lt;author&gt;Savelkoul, Huub FJ&lt;/author&gt;&lt;author&gt;De Jonge, Marien I&lt;/author&gt;&lt;author&gt;Boekschoten, Mark V&lt;/author&gt;&lt;author&gt;Smidt, Hauke&lt;/author&gt;&lt;/authors&gt;&lt;/contributors&gt;&lt;titles&gt;&lt;title&gt;Aged gut microbiota contributes to systemical inflammaging after transfer to germ-free mice&lt;/title&gt;&lt;secondary-title&gt;Frontiers in immunology&lt;/secondary-title&gt;&lt;/titles&gt;&lt;periodical&gt;&lt;full-title&gt;Frontiers in immunology&lt;/full-title&gt;&lt;/periodical&gt;&lt;pages&gt;1385&lt;/pages&gt;&lt;volume&gt;8&lt;/volume&gt;&lt;dates&gt;&lt;year&gt;2017&lt;/year&gt;&lt;/dates&gt;&lt;isbn&gt;1664-3224&lt;/isbn&gt;&lt;urls&gt;&lt;/urls&gt;&lt;/record&gt;&lt;/Cite&gt;&lt;/EndNote&gt;</w:instrText>
      </w:r>
      <w:r w:rsidR="00346DC7" w:rsidRPr="00B75A2A">
        <w:rPr>
          <w:lang w:val="en-US"/>
        </w:rPr>
        <w:fldChar w:fldCharType="separate"/>
      </w:r>
      <w:r w:rsidR="00346DC7" w:rsidRPr="00B75A2A">
        <w:rPr>
          <w:noProof/>
          <w:lang w:val="en-US"/>
        </w:rPr>
        <w:t>[7]</w:t>
      </w:r>
      <w:r w:rsidR="00346DC7" w:rsidRPr="00B75A2A">
        <w:rPr>
          <w:lang w:val="en-US"/>
        </w:rPr>
        <w:fldChar w:fldCharType="end"/>
      </w:r>
      <w:r w:rsidRPr="00B75A2A">
        <w:rPr>
          <w:lang w:val="en-US"/>
        </w:rPr>
        <w:t>.</w:t>
      </w:r>
    </w:p>
    <w:p w14:paraId="6A090C60" w14:textId="77777777" w:rsidR="004A2877" w:rsidRPr="00B75A2A" w:rsidRDefault="004A2877" w:rsidP="00B75A2A">
      <w:pPr>
        <w:spacing w:line="480" w:lineRule="auto"/>
        <w:jc w:val="both"/>
        <w:rPr>
          <w:lang w:val="en-US"/>
        </w:rPr>
      </w:pPr>
    </w:p>
    <w:p w14:paraId="782C9FE7" w14:textId="07F10778" w:rsidR="004A2877" w:rsidRPr="00B75A2A" w:rsidRDefault="004A2877" w:rsidP="00B75A2A">
      <w:pPr>
        <w:spacing w:line="480" w:lineRule="auto"/>
        <w:jc w:val="both"/>
        <w:rPr>
          <w:lang w:val="en-US"/>
        </w:rPr>
      </w:pPr>
      <w:r w:rsidRPr="00B75A2A">
        <w:rPr>
          <w:lang w:val="en-US"/>
        </w:rPr>
        <w:t xml:space="preserve">Current understanding of the interactions between age-related changes in the gut microbiota and immune function under a genetic perspective, remain poorly explored. To this end, we investigated </w:t>
      </w:r>
      <w:r w:rsidR="00766A2B" w:rsidRPr="00B75A2A">
        <w:rPr>
          <w:lang w:val="en-US"/>
        </w:rPr>
        <w:t xml:space="preserve">transcriptomic </w:t>
      </w:r>
      <w:r w:rsidRPr="00B75A2A">
        <w:rPr>
          <w:lang w:val="en-US"/>
        </w:rPr>
        <w:t>gut profiles of young germ-free mouse hosts transplanted with old donor gut microbiota to identify immune-associated differentially expressed genes (DEGs). Identifying gene makers of immune dysregulation during gut microbiota ageing may contribute to mechanistic insights in preventing age-related alterations of intestinal physiology and associated disease.</w:t>
      </w:r>
    </w:p>
    <w:p w14:paraId="7CAED22E" w14:textId="77777777" w:rsidR="0079665C" w:rsidRPr="00B75A2A" w:rsidRDefault="0079665C" w:rsidP="00B75A2A">
      <w:pPr>
        <w:spacing w:line="480" w:lineRule="auto"/>
      </w:pPr>
    </w:p>
    <w:p w14:paraId="7B884535" w14:textId="4BAE66E9" w:rsidR="004A2877" w:rsidRPr="00B75A2A" w:rsidRDefault="004A2877" w:rsidP="00B75A2A">
      <w:pPr>
        <w:spacing w:line="480" w:lineRule="auto"/>
        <w:rPr>
          <w:b/>
          <w:bCs/>
          <w:lang w:val="en-US"/>
        </w:rPr>
      </w:pPr>
      <w:r w:rsidRPr="00B75A2A">
        <w:rPr>
          <w:b/>
          <w:bCs/>
          <w:lang w:val="en-US"/>
        </w:rPr>
        <w:t>METHODS</w:t>
      </w:r>
    </w:p>
    <w:p w14:paraId="35D40262" w14:textId="77777777" w:rsidR="004A2877" w:rsidRPr="00B75A2A" w:rsidRDefault="004A2877" w:rsidP="00B75A2A">
      <w:pPr>
        <w:spacing w:line="480" w:lineRule="auto"/>
        <w:jc w:val="both"/>
        <w:rPr>
          <w:b/>
          <w:bCs/>
          <w:lang w:val="en-US"/>
        </w:rPr>
      </w:pPr>
      <w:r w:rsidRPr="00B75A2A">
        <w:rPr>
          <w:b/>
          <w:bCs/>
          <w:lang w:val="en-US"/>
        </w:rPr>
        <w:t>Collection of microarray datasets</w:t>
      </w:r>
    </w:p>
    <w:p w14:paraId="216C3475" w14:textId="150A0F93" w:rsidR="004A2877" w:rsidRPr="00B75A2A" w:rsidRDefault="004A2877" w:rsidP="00B75A2A">
      <w:pPr>
        <w:spacing w:line="480" w:lineRule="auto"/>
        <w:jc w:val="both"/>
        <w:rPr>
          <w:lang w:val="en-US"/>
        </w:rPr>
      </w:pPr>
      <w:r w:rsidRPr="00B75A2A">
        <w:rPr>
          <w:lang w:val="en-US"/>
        </w:rPr>
        <w:t xml:space="preserve">We screened the literature from inception until January 2022 by querying the National Center for Biotechnology Information (NCBI) </w:t>
      </w:r>
      <w:r w:rsidR="00766A2B" w:rsidRPr="00B75A2A">
        <w:rPr>
          <w:lang w:val="en-US"/>
        </w:rPr>
        <w:t>Gene Expression Omnibus (</w:t>
      </w:r>
      <w:r w:rsidRPr="00B75A2A">
        <w:rPr>
          <w:lang w:val="en-US"/>
        </w:rPr>
        <w:t>GEO</w:t>
      </w:r>
      <w:r w:rsidR="00766A2B" w:rsidRPr="00B75A2A">
        <w:rPr>
          <w:lang w:val="en-US"/>
        </w:rPr>
        <w:t>)</w:t>
      </w:r>
      <w:r w:rsidRPr="00B75A2A">
        <w:rPr>
          <w:lang w:val="en-US"/>
        </w:rPr>
        <w:t xml:space="preserve"> using the search terms: (microbiome OR microbial OR microbiota OR microflora OR dysbiosis). We additionally searched the National Library of Medicine (NLM) PubMed using the additional </w:t>
      </w:r>
      <w:r w:rsidRPr="00B75A2A">
        <w:rPr>
          <w:lang w:val="en-US"/>
        </w:rPr>
        <w:lastRenderedPageBreak/>
        <w:t xml:space="preserve">terms: (differentially expressed genes OR DEGs). Two authors (PG and KP) created the search strategy and conducted the screening of the retrieved datasets. </w:t>
      </w:r>
    </w:p>
    <w:p w14:paraId="4F253196" w14:textId="77777777" w:rsidR="004A2877" w:rsidRPr="00B75A2A" w:rsidRDefault="004A2877" w:rsidP="00B75A2A">
      <w:pPr>
        <w:spacing w:line="480" w:lineRule="auto"/>
        <w:jc w:val="both"/>
        <w:rPr>
          <w:lang w:val="en-US"/>
        </w:rPr>
      </w:pPr>
    </w:p>
    <w:p w14:paraId="11AFB1D8" w14:textId="5C0DA1E1" w:rsidR="004F4C95" w:rsidRPr="00B75A2A" w:rsidRDefault="004A2877" w:rsidP="00B75A2A">
      <w:pPr>
        <w:spacing w:line="480" w:lineRule="auto"/>
        <w:jc w:val="both"/>
        <w:rPr>
          <w:lang w:val="en-US"/>
        </w:rPr>
      </w:pPr>
      <w:r w:rsidRPr="00B75A2A">
        <w:rPr>
          <w:lang w:val="en-US"/>
        </w:rPr>
        <w:t>Datasets were restricted based on organism type (</w:t>
      </w:r>
      <w:r w:rsidRPr="00B75A2A">
        <w:rPr>
          <w:i/>
          <w:iCs/>
          <w:lang w:val="en-US"/>
        </w:rPr>
        <w:t>Mus musculus</w:t>
      </w:r>
      <w:r w:rsidRPr="00B75A2A">
        <w:rPr>
          <w:lang w:val="en-US"/>
        </w:rPr>
        <w:t xml:space="preserve">), expression profiling (microarray), sample type (gastrointestinal tract), and condition (differential-microbiota conventionalization). Our search was free of any restrictions without exclusion criteria based on the baseline characteristics of murine models from which gut tissue samples were obtained. Datasets with no control samples were excluded from the search. </w:t>
      </w:r>
      <w:r w:rsidR="004F4C95" w:rsidRPr="00B75A2A">
        <w:rPr>
          <w:lang w:val="en-US"/>
        </w:rPr>
        <w:t xml:space="preserve"> Literature screening of the GEO and PubMed databases resulted in one expression dataset (GSE130026) on gut (small intestine) samples from young (5-6 weeks old) germ-free mouse hosts that were compared following 8 weeks after transplantation with either old (~24-month old; </w:t>
      </w:r>
      <w:r w:rsidR="004F4C95" w:rsidRPr="00B75A2A">
        <w:rPr>
          <w:i/>
          <w:iCs/>
          <w:lang w:val="en-US"/>
        </w:rPr>
        <w:t xml:space="preserve">n </w:t>
      </w:r>
      <w:r w:rsidR="004F4C95" w:rsidRPr="00B75A2A">
        <w:rPr>
          <w:lang w:val="en-US"/>
        </w:rPr>
        <w:t xml:space="preserve">= 5) or young (5-6 weeks old; </w:t>
      </w:r>
      <w:r w:rsidR="004F4C95" w:rsidRPr="00B75A2A">
        <w:rPr>
          <w:i/>
          <w:iCs/>
          <w:lang w:val="en-US"/>
        </w:rPr>
        <w:t xml:space="preserve">n </w:t>
      </w:r>
      <w:r w:rsidR="004F4C95" w:rsidRPr="00B75A2A">
        <w:rPr>
          <w:lang w:val="en-US"/>
        </w:rPr>
        <w:t>= 4) mouse donor gut microbiota</w:t>
      </w:r>
      <w:r w:rsidR="000D46E7" w:rsidRPr="00B75A2A">
        <w:rPr>
          <w:lang w:val="en-US"/>
        </w:rPr>
        <w:t xml:space="preserve"> </w:t>
      </w:r>
      <w:r w:rsidR="000D46E7" w:rsidRPr="00B75A2A">
        <w:rPr>
          <w:lang w:val="en-US"/>
        </w:rPr>
        <w:fldChar w:fldCharType="begin"/>
      </w:r>
      <w:r w:rsidR="000D46E7" w:rsidRPr="00B75A2A">
        <w:rPr>
          <w:lang w:val="en-US"/>
        </w:rPr>
        <w:instrText xml:space="preserve"> ADDIN EN.CITE &lt;EndNote&gt;&lt;Cite&gt;&lt;Author&gt;Kundu&lt;/Author&gt;&lt;Year&gt;2019&lt;/Year&gt;&lt;RecNum&gt;13&lt;/RecNum&gt;&lt;DisplayText&gt;[8]&lt;/DisplayText&gt;&lt;record&gt;&lt;rec-number&gt;13&lt;/rec-number&gt;&lt;foreign-keys&gt;&lt;key app="EN" db-id="awxxrz9fkt00vzea5p4pvvvzpt9fezd52xt5" timestamp="1668693132"&gt;13&lt;/key&gt;&lt;/foreign-keys&gt;&lt;ref-type name="Journal Article"&gt;17&lt;/ref-type&gt;&lt;contributors&gt;&lt;authors&gt;&lt;author&gt;Kundu, Parag&lt;/author&gt;&lt;author&gt;Lee, Hae Ung&lt;/author&gt;&lt;author&gt;Garcia-Perez, Isabel&lt;/author&gt;&lt;author&gt;Tay, Emmy Xue Yun&lt;/author&gt;&lt;author&gt;Kim, Hyejin&lt;/author&gt;&lt;author&gt;Faylon, Llanto Elma&lt;/author&gt;&lt;author&gt;Martin, Katherine A&lt;/author&gt;&lt;author&gt;Purbojati, Rikky&lt;/author&gt;&lt;author&gt;Drautz-Moses, Daniela I&lt;/author&gt;&lt;author&gt;Ghosh, Sujoy&lt;/author&gt;&lt;/authors&gt;&lt;/contributors&gt;&lt;titles&gt;&lt;title&gt;Neurogenesis and prolongevity signaling in young germ-free mice transplanted with the gut microbiota of old mice&lt;/title&gt;&lt;secondary-title&gt;Science Translational Medicine&lt;/secondary-title&gt;&lt;/titles&gt;&lt;periodical&gt;&lt;full-title&gt;Science Translational Medicine&lt;/full-title&gt;&lt;/periodical&gt;&lt;pages&gt;eaau4760&lt;/pages&gt;&lt;volume&gt;11&lt;/volume&gt;&lt;number&gt;518&lt;/number&gt;&lt;dates&gt;&lt;year&gt;2019&lt;/year&gt;&lt;/dates&gt;&lt;isbn&gt;1946-6242&lt;/isbn&gt;&lt;urls&gt;&lt;/urls&gt;&lt;/record&gt;&lt;/Cite&gt;&lt;/EndNote&gt;</w:instrText>
      </w:r>
      <w:r w:rsidR="000D46E7" w:rsidRPr="00B75A2A">
        <w:rPr>
          <w:lang w:val="en-US"/>
        </w:rPr>
        <w:fldChar w:fldCharType="separate"/>
      </w:r>
      <w:r w:rsidR="000D46E7" w:rsidRPr="00B75A2A">
        <w:rPr>
          <w:noProof/>
          <w:lang w:val="en-US"/>
        </w:rPr>
        <w:t>[8]</w:t>
      </w:r>
      <w:r w:rsidR="000D46E7" w:rsidRPr="00B75A2A">
        <w:rPr>
          <w:lang w:val="en-US"/>
        </w:rPr>
        <w:fldChar w:fldCharType="end"/>
      </w:r>
      <w:r w:rsidR="004F4C95" w:rsidRPr="00B75A2A">
        <w:rPr>
          <w:lang w:val="en-US"/>
        </w:rPr>
        <w:t>.</w:t>
      </w:r>
    </w:p>
    <w:p w14:paraId="607F2C41" w14:textId="77777777" w:rsidR="004A2877" w:rsidRPr="00B75A2A" w:rsidRDefault="004A2877" w:rsidP="00B75A2A">
      <w:pPr>
        <w:spacing w:line="480" w:lineRule="auto"/>
        <w:jc w:val="both"/>
        <w:rPr>
          <w:lang w:val="en-US"/>
        </w:rPr>
      </w:pPr>
    </w:p>
    <w:p w14:paraId="09D19328" w14:textId="77777777" w:rsidR="004A2877" w:rsidRPr="00B75A2A" w:rsidRDefault="004A2877" w:rsidP="00B75A2A">
      <w:pPr>
        <w:spacing w:line="480" w:lineRule="auto"/>
        <w:jc w:val="both"/>
        <w:rPr>
          <w:b/>
          <w:bCs/>
          <w:lang w:val="en-US"/>
        </w:rPr>
      </w:pPr>
      <w:r w:rsidRPr="00B75A2A">
        <w:rPr>
          <w:b/>
          <w:bCs/>
          <w:lang w:val="en-US"/>
        </w:rPr>
        <w:t>Identification of differentially expressed genes</w:t>
      </w:r>
    </w:p>
    <w:p w14:paraId="48071B54" w14:textId="0A2AFAA5" w:rsidR="004A2877" w:rsidRPr="00B75A2A" w:rsidRDefault="004A2877" w:rsidP="00B75A2A">
      <w:pPr>
        <w:spacing w:line="480" w:lineRule="auto"/>
        <w:jc w:val="both"/>
        <w:rPr>
          <w:lang w:val="en-US"/>
        </w:rPr>
      </w:pPr>
      <w:r w:rsidRPr="00B75A2A">
        <w:rPr>
          <w:lang w:val="en-US"/>
        </w:rPr>
        <w:t xml:space="preserve">Differentially expressed genes were retrieved using GEO2R according to the linear models for microarray analysis. DEGs following a </w:t>
      </w:r>
      <w:r w:rsidRPr="007569EB">
        <w:rPr>
          <w:i/>
          <w:iCs/>
          <w:lang w:val="en-US"/>
        </w:rPr>
        <w:t>P</w:t>
      </w:r>
      <w:r w:rsidR="000D4E6A">
        <w:rPr>
          <w:i/>
          <w:iCs/>
          <w:lang w:val="en-US"/>
        </w:rPr>
        <w:t xml:space="preserve"> </w:t>
      </w:r>
      <w:r w:rsidRPr="00B75A2A">
        <w:rPr>
          <w:lang w:val="en-US"/>
        </w:rPr>
        <w:t>&lt;</w:t>
      </w:r>
      <w:r w:rsidR="000D4E6A">
        <w:rPr>
          <w:lang w:val="en-US"/>
        </w:rPr>
        <w:t xml:space="preserve"> </w:t>
      </w:r>
      <w:r w:rsidRPr="00B75A2A">
        <w:rPr>
          <w:lang w:val="en-US"/>
        </w:rPr>
        <w:t>0.05 corrected by the Benjamini-Hochberg False Discovery Rate were considered as significant. Those with a positive log</w:t>
      </w:r>
      <w:r w:rsidRPr="00B75A2A">
        <w:rPr>
          <w:vertAlign w:val="subscript"/>
          <w:lang w:val="en-US"/>
        </w:rPr>
        <w:t>2</w:t>
      </w:r>
      <w:r w:rsidRPr="00B75A2A">
        <w:rPr>
          <w:lang w:val="en-US"/>
        </w:rPr>
        <w:t xml:space="preserve"> fold change (FC) were regarded as upregulated and with a negative log</w:t>
      </w:r>
      <w:r w:rsidRPr="00B75A2A">
        <w:rPr>
          <w:vertAlign w:val="subscript"/>
          <w:lang w:val="en-US"/>
        </w:rPr>
        <w:t>2</w:t>
      </w:r>
      <w:r w:rsidRPr="00B75A2A">
        <w:rPr>
          <w:lang w:val="en-US"/>
        </w:rPr>
        <w:t>FC as downregulated.</w:t>
      </w:r>
      <w:r w:rsidRPr="00B75A2A">
        <w:t xml:space="preserve"> </w:t>
      </w:r>
      <w:r w:rsidRPr="00B75A2A">
        <w:rPr>
          <w:lang w:val="en-US"/>
        </w:rPr>
        <w:t>This approach was ensued to amplify the coverage of all possible DEGs in gut microbiota ageing without overestimating the precision.</w:t>
      </w:r>
    </w:p>
    <w:p w14:paraId="53B04F63" w14:textId="77777777" w:rsidR="004A2877" w:rsidRPr="00B75A2A" w:rsidRDefault="004A2877" w:rsidP="00B75A2A">
      <w:pPr>
        <w:spacing w:line="480" w:lineRule="auto"/>
        <w:jc w:val="both"/>
        <w:rPr>
          <w:lang w:val="en-US"/>
        </w:rPr>
      </w:pPr>
    </w:p>
    <w:p w14:paraId="2DE27C0E" w14:textId="77777777" w:rsidR="004A2877" w:rsidRPr="00B75A2A" w:rsidRDefault="004A2877" w:rsidP="00B75A2A">
      <w:pPr>
        <w:spacing w:line="480" w:lineRule="auto"/>
        <w:jc w:val="both"/>
        <w:rPr>
          <w:b/>
          <w:bCs/>
          <w:lang w:val="en-US"/>
        </w:rPr>
      </w:pPr>
      <w:r w:rsidRPr="00B75A2A">
        <w:rPr>
          <w:b/>
          <w:bCs/>
          <w:lang w:val="en-US"/>
        </w:rPr>
        <w:t>Construction of protein-protein interaction network</w:t>
      </w:r>
    </w:p>
    <w:p w14:paraId="64BDFEEC" w14:textId="4577B07A" w:rsidR="004A2877" w:rsidRPr="00B75A2A" w:rsidRDefault="004A2877" w:rsidP="00B75A2A">
      <w:pPr>
        <w:spacing w:line="480" w:lineRule="auto"/>
        <w:jc w:val="both"/>
        <w:rPr>
          <w:lang w:val="en-US"/>
        </w:rPr>
      </w:pPr>
      <w:r w:rsidRPr="00B75A2A">
        <w:rPr>
          <w:lang w:val="en-US"/>
        </w:rPr>
        <w:t>Gut DEGs were used to construct a network of encoded proteins through The Search Tool for the Retrieval of Interacting Genes (STRING)</w:t>
      </w:r>
      <w:r w:rsidR="00346DC7" w:rsidRPr="00B75A2A">
        <w:rPr>
          <w:lang w:val="en-US"/>
        </w:rPr>
        <w:t xml:space="preserve"> </w:t>
      </w:r>
      <w:r w:rsidR="00346DC7" w:rsidRPr="00B75A2A">
        <w:rPr>
          <w:lang w:val="en-US"/>
        </w:rPr>
        <w:fldChar w:fldCharType="begin"/>
      </w:r>
      <w:r w:rsidR="000D46E7" w:rsidRPr="00B75A2A">
        <w:rPr>
          <w:lang w:val="en-US"/>
        </w:rPr>
        <w:instrText xml:space="preserve"> ADDIN EN.CITE &lt;EndNote&gt;&lt;Cite&gt;&lt;Author&gt;Szklarczyk&lt;/Author&gt;&lt;Year&gt;2021&lt;/Year&gt;&lt;RecNum&gt;8&lt;/RecNum&gt;&lt;DisplayText&gt;[9]&lt;/DisplayText&gt;&lt;record&gt;&lt;rec-number&gt;8&lt;/rec-number&gt;&lt;foreign-keys&gt;&lt;key app="EN" db-id="awxxrz9fkt00vzea5p4pvvvzpt9fezd52xt5" timestamp="1668693132"&gt;8&lt;/key&gt;&lt;/foreign-keys&gt;&lt;ref-type name="Journal Article"&gt;17&lt;/ref-type&gt;&lt;contributors&gt;&lt;authors&gt;&lt;author&gt;Szklarczyk, Damian&lt;/author&gt;&lt;author&gt;Gable, Annika L&lt;/author&gt;&lt;author&gt;Nastou, Katerina C&lt;/author&gt;&lt;author&gt;Lyon, David&lt;/author&gt;&lt;author&gt;Kirsch, Rebecca&lt;/author&gt;&lt;author&gt;Pyysalo, Sampo&lt;/author&gt;&lt;author&gt;Doncheva, Nadezhda T&lt;/author&gt;&lt;author&gt;Legeay, Marc&lt;/author&gt;&lt;author&gt;Fang, Tao&lt;/author&gt;&lt;author&gt;Bork, Peer&lt;/author&gt;&lt;/authors&gt;&lt;/contributors&gt;&lt;titles&gt;&lt;title&gt;The STRING database in 2021: customizable protein–protein networks, and functional characterization of user-uploaded gene/measurement sets&lt;/title&gt;&lt;secondary-title&gt;Nucleic acids research&lt;/secondary-title&gt;&lt;/titles&gt;&lt;periodical&gt;&lt;full-title&gt;Nucleic acids research&lt;/full-title&gt;&lt;/periodical&gt;&lt;pages&gt;D605-D612&lt;/pages&gt;&lt;volume&gt;49&lt;/volume&gt;&lt;number&gt;D1&lt;/number&gt;&lt;dates&gt;&lt;year&gt;2021&lt;/year&gt;&lt;/dates&gt;&lt;isbn&gt;0305-1048&lt;/isbn&gt;&lt;urls&gt;&lt;/urls&gt;&lt;/record&gt;&lt;/Cite&gt;&lt;/EndNote&gt;</w:instrText>
      </w:r>
      <w:r w:rsidR="00346DC7" w:rsidRPr="00B75A2A">
        <w:rPr>
          <w:lang w:val="en-US"/>
        </w:rPr>
        <w:fldChar w:fldCharType="separate"/>
      </w:r>
      <w:r w:rsidR="000D46E7" w:rsidRPr="00B75A2A">
        <w:rPr>
          <w:noProof/>
          <w:lang w:val="en-US"/>
        </w:rPr>
        <w:t>[9]</w:t>
      </w:r>
      <w:r w:rsidR="00346DC7" w:rsidRPr="00B75A2A">
        <w:rPr>
          <w:lang w:val="en-US"/>
        </w:rPr>
        <w:fldChar w:fldCharType="end"/>
      </w:r>
      <w:r w:rsidRPr="00B75A2A">
        <w:rPr>
          <w:lang w:val="en-US"/>
        </w:rPr>
        <w:t xml:space="preserve">. Protein-protein interactions (PPI) in the network were approximated via a medium probabilistic confidence score &gt;0.4 and visualized </w:t>
      </w:r>
      <w:r w:rsidRPr="00B75A2A">
        <w:rPr>
          <w:lang w:val="en-US"/>
        </w:rPr>
        <w:lastRenderedPageBreak/>
        <w:t xml:space="preserve">with Cystoscope. The consideration of a reasonably moderate interaction cut-off was followed as to widen the coverage of potential protein interactions while attenuating their by-luck association. </w:t>
      </w:r>
    </w:p>
    <w:p w14:paraId="67E99BC4" w14:textId="77777777" w:rsidR="004A2877" w:rsidRPr="00B75A2A" w:rsidRDefault="004A2877" w:rsidP="00B75A2A">
      <w:pPr>
        <w:spacing w:line="480" w:lineRule="auto"/>
        <w:jc w:val="both"/>
        <w:rPr>
          <w:lang w:val="en-US"/>
        </w:rPr>
      </w:pPr>
    </w:p>
    <w:p w14:paraId="0809ADF6" w14:textId="77777777" w:rsidR="004A2877" w:rsidRPr="00B75A2A" w:rsidRDefault="004A2877" w:rsidP="00B75A2A">
      <w:pPr>
        <w:spacing w:line="480" w:lineRule="auto"/>
        <w:jc w:val="both"/>
        <w:rPr>
          <w:b/>
          <w:bCs/>
          <w:lang w:val="en-US"/>
        </w:rPr>
      </w:pPr>
      <w:r w:rsidRPr="00B75A2A">
        <w:rPr>
          <w:b/>
          <w:bCs/>
          <w:lang w:val="en-US"/>
        </w:rPr>
        <w:t xml:space="preserve">Immune-Associated Functional Enrichment </w:t>
      </w:r>
    </w:p>
    <w:p w14:paraId="76635E3A" w14:textId="6920D7D7" w:rsidR="004A2877" w:rsidRPr="00B75A2A" w:rsidRDefault="004A2877" w:rsidP="00B75A2A">
      <w:pPr>
        <w:spacing w:line="480" w:lineRule="auto"/>
        <w:jc w:val="both"/>
        <w:rPr>
          <w:lang w:val="en-US"/>
        </w:rPr>
      </w:pPr>
      <w:r w:rsidRPr="00B75A2A">
        <w:rPr>
          <w:lang w:val="en-US"/>
        </w:rPr>
        <w:t xml:space="preserve">DEGs were functionally enriched using gene ontology (GO) annotations </w:t>
      </w:r>
      <w:r w:rsidRPr="00B75A2A">
        <w:t xml:space="preserve">with a probability density </w:t>
      </w:r>
      <w:r w:rsidRPr="00B75A2A">
        <w:rPr>
          <w:i/>
          <w:iCs/>
        </w:rPr>
        <w:t>P</w:t>
      </w:r>
      <w:r w:rsidRPr="00B75A2A">
        <w:t xml:space="preserve"> &lt; 0.05 following </w:t>
      </w:r>
      <w:r w:rsidRPr="00B75A2A">
        <w:rPr>
          <w:lang w:val="en-US"/>
        </w:rPr>
        <w:t xml:space="preserve">Benjamini-Hochberg False Discovery Rate </w:t>
      </w:r>
      <w:r w:rsidRPr="00B75A2A">
        <w:t>correction, into GO terms of biological process (BP).</w:t>
      </w:r>
      <w:r w:rsidRPr="00B75A2A">
        <w:rPr>
          <w:lang w:val="en-US"/>
        </w:rPr>
        <w:t xml:space="preserve"> DEGs highly enriched in immune-associated BP terms were obtained using the Molecular Signatures Database (</w:t>
      </w:r>
      <w:proofErr w:type="spellStart"/>
      <w:r w:rsidRPr="00B75A2A">
        <w:rPr>
          <w:lang w:val="en-US"/>
        </w:rPr>
        <w:t>MSigDB</w:t>
      </w:r>
      <w:proofErr w:type="spellEnd"/>
      <w:r w:rsidRPr="00B75A2A">
        <w:rPr>
          <w:lang w:val="en-US"/>
        </w:rPr>
        <w:t>)</w:t>
      </w:r>
      <w:r w:rsidR="00906494" w:rsidRPr="00B75A2A">
        <w:rPr>
          <w:lang w:val="en-US"/>
        </w:rPr>
        <w:t xml:space="preserve"> </w:t>
      </w:r>
      <w:r w:rsidR="00346DC7" w:rsidRPr="00B75A2A">
        <w:rPr>
          <w:lang w:val="en-US"/>
        </w:rPr>
        <w:fldChar w:fldCharType="begin"/>
      </w:r>
      <w:r w:rsidR="000D46E7" w:rsidRPr="00B75A2A">
        <w:rPr>
          <w:lang w:val="en-US"/>
        </w:rPr>
        <w:instrText xml:space="preserve"> ADDIN EN.CITE &lt;EndNote&gt;&lt;Cite&gt;&lt;Author&gt;Subramanian&lt;/Author&gt;&lt;Year&gt;2005&lt;/Year&gt;&lt;RecNum&gt;9&lt;/RecNum&gt;&lt;DisplayText&gt;[10, 11]&lt;/DisplayText&gt;&lt;record&gt;&lt;rec-number&gt;9&lt;/rec-number&gt;&lt;foreign-keys&gt;&lt;key app="EN" db-id="awxxrz9fkt00vzea5p4pvvvzpt9fezd52xt5" timestamp="1668693132"&gt;9&lt;/key&gt;&lt;/foreign-keys&gt;&lt;ref-type name="Journal Article"&gt;17&lt;/ref-type&gt;&lt;contributors&gt;&lt;authors&gt;&lt;author&gt;Subramanian, Aravind&lt;/author&gt;&lt;author&gt;Tamayo, Pablo&lt;/author&gt;&lt;author&gt;Mootha, Vamsi K&lt;/author&gt;&lt;author&gt;Mukherjee, Sayan&lt;/author&gt;&lt;author&gt;Ebert, Benjamin L&lt;/author&gt;&lt;author&gt;Gillette, Michael A&lt;/author&gt;&lt;author&gt;Paulovich, Amanda&lt;/author&gt;&lt;author&gt;Pomeroy, Scott L&lt;/author&gt;&lt;author&gt;Golub, Todd R&lt;/author&gt;&lt;author&gt;Lander, Eric S&lt;/author&gt;&lt;/authors&gt;&lt;/contributors&gt;&lt;titles&gt;&lt;title&gt;Gene set enrichment analysis: a knowledge-based approach for interpreting genome-wide expression profiles&lt;/title&gt;&lt;secondary-title&gt;Proceedings of the National Academy of Sciences&lt;/secondary-title&gt;&lt;/titles&gt;&lt;periodical&gt;&lt;full-title&gt;Proceedings of the National Academy of Sciences&lt;/full-title&gt;&lt;/periodical&gt;&lt;pages&gt;15545-15550&lt;/pages&gt;&lt;volume&gt;102&lt;/volume&gt;&lt;number&gt;43&lt;/number&gt;&lt;dates&gt;&lt;year&gt;2005&lt;/year&gt;&lt;/dates&gt;&lt;isbn&gt;0027-8424&lt;/isbn&gt;&lt;urls&gt;&lt;/urls&gt;&lt;/record&gt;&lt;/Cite&gt;&lt;Cite&gt;&lt;Author&gt;Liberzon&lt;/Author&gt;&lt;Year&gt;2011&lt;/Year&gt;&lt;RecNum&gt;10&lt;/RecNum&gt;&lt;record&gt;&lt;rec-number&gt;10&lt;/rec-number&gt;&lt;foreign-keys&gt;&lt;key app="EN" db-id="awxxrz9fkt00vzea5p4pvvvzpt9fezd52xt5" timestamp="1668693132"&gt;10&lt;/key&gt;&lt;/foreign-keys&gt;&lt;ref-type name="Journal Article"&gt;17&lt;/ref-type&gt;&lt;contributors&gt;&lt;authors&gt;&lt;author&gt;Liberzon, Arthur&lt;/author&gt;&lt;author&gt;Subramanian, Aravind&lt;/author&gt;&lt;author&gt;Pinchback, Reid&lt;/author&gt;&lt;author&gt;Thorvaldsdóttir, Helga&lt;/author&gt;&lt;author&gt;Tamayo, Pablo&lt;/author&gt;&lt;author&gt;Mesirov, Jill P&lt;/author&gt;&lt;/authors&gt;&lt;/contributors&gt;&lt;titles&gt;&lt;title&gt;Molecular signatures database (MSigDB) 3.0&lt;/title&gt;&lt;secondary-title&gt;Bioinformatics&lt;/secondary-title&gt;&lt;/titles&gt;&lt;periodical&gt;&lt;full-title&gt;Bioinformatics&lt;/full-title&gt;&lt;/periodical&gt;&lt;pages&gt;1739-1740&lt;/pages&gt;&lt;volume&gt;27&lt;/volume&gt;&lt;number&gt;12&lt;/number&gt;&lt;dates&gt;&lt;year&gt;2011&lt;/year&gt;&lt;/dates&gt;&lt;isbn&gt;1460-2059&lt;/isbn&gt;&lt;urls&gt;&lt;/urls&gt;&lt;/record&gt;&lt;/Cite&gt;&lt;/EndNote&gt;</w:instrText>
      </w:r>
      <w:r w:rsidR="00346DC7" w:rsidRPr="00B75A2A">
        <w:rPr>
          <w:lang w:val="en-US"/>
        </w:rPr>
        <w:fldChar w:fldCharType="separate"/>
      </w:r>
      <w:r w:rsidR="000D46E7" w:rsidRPr="00B75A2A">
        <w:rPr>
          <w:noProof/>
          <w:lang w:val="en-US"/>
        </w:rPr>
        <w:t>[10, 11]</w:t>
      </w:r>
      <w:r w:rsidR="00346DC7" w:rsidRPr="00B75A2A">
        <w:rPr>
          <w:lang w:val="en-US"/>
        </w:rPr>
        <w:fldChar w:fldCharType="end"/>
      </w:r>
      <w:r w:rsidRPr="00B75A2A">
        <w:rPr>
          <w:lang w:val="en-US"/>
        </w:rPr>
        <w:t>.</w:t>
      </w:r>
      <w:r w:rsidR="009B484E" w:rsidRPr="00B75A2A">
        <w:rPr>
          <w:lang w:val="en-US"/>
        </w:rPr>
        <w:t xml:space="preserve"> Ingenuity Pathway Analysis (IPA) was used to predict canonical pathways and upstream regulators that were activated or inhibited in response to DEGs</w:t>
      </w:r>
      <w:r w:rsidR="00697D3A" w:rsidRPr="00B75A2A">
        <w:rPr>
          <w:lang w:val="en-US"/>
        </w:rPr>
        <w:t xml:space="preserve"> </w:t>
      </w:r>
      <w:r w:rsidR="00346DC7" w:rsidRPr="00B75A2A">
        <w:rPr>
          <w:lang w:val="en-US"/>
        </w:rPr>
        <w:fldChar w:fldCharType="begin"/>
      </w:r>
      <w:r w:rsidR="000D46E7" w:rsidRPr="00B75A2A">
        <w:rPr>
          <w:lang w:val="en-US"/>
        </w:rPr>
        <w:instrText xml:space="preserve"> ADDIN EN.CITE &lt;EndNote&gt;&lt;Cite&gt;&lt;Author&gt;Krämer&lt;/Author&gt;&lt;Year&gt;2014&lt;/Year&gt;&lt;RecNum&gt;11&lt;/RecNum&gt;&lt;DisplayText&gt;[12]&lt;/DisplayText&gt;&lt;record&gt;&lt;rec-number&gt;11&lt;/rec-number&gt;&lt;foreign-keys&gt;&lt;key app="EN" db-id="awxxrz9fkt00vzea5p4pvvvzpt9fezd52xt5" timestamp="1668693132"&gt;11&lt;/key&gt;&lt;/foreign-keys&gt;&lt;ref-type name="Journal Article"&gt;17&lt;/ref-type&gt;&lt;contributors&gt;&lt;authors&gt;&lt;author&gt;Krämer, Andreas&lt;/author&gt;&lt;author&gt;Green, Jeff&lt;/author&gt;&lt;author&gt;Pollard Jr, Jack&lt;/author&gt;&lt;author&gt;Tugendreich, Stuart&lt;/author&gt;&lt;/authors&gt;&lt;/contributors&gt;&lt;titles&gt;&lt;title&gt;Causal analysis approaches in ingenuity pathway analysis&lt;/title&gt;&lt;secondary-title&gt;Bioinformatics&lt;/secondary-title&gt;&lt;/titles&gt;&lt;periodical&gt;&lt;full-title&gt;Bioinformatics&lt;/full-title&gt;&lt;/periodical&gt;&lt;pages&gt;523-530&lt;/pages&gt;&lt;volume&gt;30&lt;/volume&gt;&lt;number&gt;4&lt;/number&gt;&lt;dates&gt;&lt;year&gt;2014&lt;/year&gt;&lt;/dates&gt;&lt;isbn&gt;1460-2059&lt;/isbn&gt;&lt;urls&gt;&lt;/urls&gt;&lt;/record&gt;&lt;/Cite&gt;&lt;/EndNote&gt;</w:instrText>
      </w:r>
      <w:r w:rsidR="00346DC7" w:rsidRPr="00B75A2A">
        <w:rPr>
          <w:lang w:val="en-US"/>
        </w:rPr>
        <w:fldChar w:fldCharType="separate"/>
      </w:r>
      <w:r w:rsidR="000D46E7" w:rsidRPr="00B75A2A">
        <w:rPr>
          <w:noProof/>
          <w:lang w:val="en-US"/>
        </w:rPr>
        <w:t>[12]</w:t>
      </w:r>
      <w:r w:rsidR="00346DC7" w:rsidRPr="00B75A2A">
        <w:rPr>
          <w:lang w:val="en-US"/>
        </w:rPr>
        <w:fldChar w:fldCharType="end"/>
      </w:r>
      <w:r w:rsidR="009B484E" w:rsidRPr="00B75A2A">
        <w:rPr>
          <w:lang w:val="en-US"/>
        </w:rPr>
        <w:t>.</w:t>
      </w:r>
    </w:p>
    <w:p w14:paraId="5D22C92F" w14:textId="77777777" w:rsidR="004A2877" w:rsidRPr="00B75A2A" w:rsidRDefault="004A2877" w:rsidP="00B75A2A">
      <w:pPr>
        <w:spacing w:line="480" w:lineRule="auto"/>
        <w:jc w:val="both"/>
        <w:rPr>
          <w:lang w:val="en-US"/>
        </w:rPr>
      </w:pPr>
    </w:p>
    <w:p w14:paraId="1A8D027E" w14:textId="77777777" w:rsidR="004A2877" w:rsidRPr="00B75A2A" w:rsidRDefault="004A2877" w:rsidP="00B75A2A">
      <w:pPr>
        <w:spacing w:line="480" w:lineRule="auto"/>
        <w:jc w:val="both"/>
        <w:rPr>
          <w:b/>
          <w:bCs/>
          <w:lang w:val="en-US"/>
        </w:rPr>
      </w:pPr>
      <w:r w:rsidRPr="00B75A2A">
        <w:rPr>
          <w:b/>
          <w:bCs/>
          <w:lang w:val="en-US"/>
        </w:rPr>
        <w:t>Immune Cell Infiltration Prediction</w:t>
      </w:r>
    </w:p>
    <w:p w14:paraId="2EA55D43" w14:textId="6A8FDBE3" w:rsidR="004A2877" w:rsidRPr="00B75A2A" w:rsidRDefault="004A2877" w:rsidP="00B75A2A">
      <w:pPr>
        <w:spacing w:line="480" w:lineRule="auto"/>
        <w:jc w:val="both"/>
        <w:rPr>
          <w:lang w:val="en-US"/>
        </w:rPr>
      </w:pPr>
      <w:r w:rsidRPr="00B75A2A">
        <w:rPr>
          <w:lang w:val="en-US"/>
        </w:rPr>
        <w:t xml:space="preserve">The association between immune-associated DEGs and the microenvironment status </w:t>
      </w:r>
      <w:bookmarkStart w:id="6" w:name="_Hlk93748834"/>
      <w:r w:rsidRPr="00B75A2A">
        <w:rPr>
          <w:lang w:val="en-US"/>
        </w:rPr>
        <w:t xml:space="preserve">in normal gut tissues via </w:t>
      </w:r>
      <w:bookmarkStart w:id="7" w:name="_Hlk93749493"/>
      <w:bookmarkStart w:id="8" w:name="_Hlk93749576"/>
      <w:r w:rsidRPr="00B75A2A">
        <w:rPr>
          <w:lang w:val="en-US"/>
        </w:rPr>
        <w:t xml:space="preserve">publicly available transcriptome </w:t>
      </w:r>
      <w:bookmarkEnd w:id="7"/>
      <w:r w:rsidRPr="00B75A2A">
        <w:rPr>
          <w:lang w:val="en-US"/>
        </w:rPr>
        <w:t xml:space="preserve">data </w:t>
      </w:r>
      <w:bookmarkEnd w:id="6"/>
      <w:bookmarkEnd w:id="8"/>
      <w:r w:rsidRPr="00B75A2A">
        <w:rPr>
          <w:lang w:val="en-US"/>
        </w:rPr>
        <w:t>from The Cancer Genome Atlas (TCGA</w:t>
      </w:r>
      <w:r w:rsidR="00766A2B" w:rsidRPr="00B75A2A">
        <w:rPr>
          <w:lang w:val="en-US"/>
        </w:rPr>
        <w:t>,</w:t>
      </w:r>
      <w:r w:rsidRPr="00B75A2A">
        <w:rPr>
          <w:lang w:val="en-US"/>
        </w:rPr>
        <w:t xml:space="preserve"> </w:t>
      </w:r>
      <w:r w:rsidR="00766A2B" w:rsidRPr="00B75A2A">
        <w:rPr>
          <w:lang w:val="en-US"/>
        </w:rPr>
        <w:t>(</w:t>
      </w:r>
      <w:hyperlink r:id="rId9" w:history="1">
        <w:r w:rsidR="00766A2B" w:rsidRPr="00B75A2A">
          <w:rPr>
            <w:lang w:val="en-US"/>
          </w:rPr>
          <w:t>https://www.cancer.gov/tcga</w:t>
        </w:r>
      </w:hyperlink>
      <w:r w:rsidR="00766A2B" w:rsidRPr="00B75A2A">
        <w:rPr>
          <w:lang w:val="en-US"/>
        </w:rPr>
        <w:t xml:space="preserve">.) </w:t>
      </w:r>
      <w:r w:rsidRPr="00B75A2A">
        <w:rPr>
          <w:lang w:val="en-US"/>
        </w:rPr>
        <w:t>and Genotype-Tissue Expression (</w:t>
      </w:r>
      <w:proofErr w:type="spellStart"/>
      <w:r w:rsidRPr="00B75A2A">
        <w:rPr>
          <w:lang w:val="en-US"/>
        </w:rPr>
        <w:t>GTEx</w:t>
      </w:r>
      <w:proofErr w:type="spellEnd"/>
      <w:r w:rsidR="00766A2B" w:rsidRPr="00B75A2A">
        <w:rPr>
          <w:lang w:val="en-US"/>
        </w:rPr>
        <w:t>, https://gtexportal.org/home/</w:t>
      </w:r>
      <w:r w:rsidRPr="00B75A2A">
        <w:rPr>
          <w:lang w:val="en-US"/>
        </w:rPr>
        <w:t>) project, was investigated using the Gene Expression Profiling Interactive Analysis 2 (GEPIA2)</w:t>
      </w:r>
      <w:r w:rsidR="00697D3A" w:rsidRPr="00B75A2A">
        <w:rPr>
          <w:lang w:val="en-US"/>
        </w:rPr>
        <w:t xml:space="preserve"> </w:t>
      </w:r>
      <w:r w:rsidR="00346DC7" w:rsidRPr="00B75A2A">
        <w:rPr>
          <w:lang w:val="en-US"/>
        </w:rPr>
        <w:fldChar w:fldCharType="begin"/>
      </w:r>
      <w:r w:rsidR="000D46E7" w:rsidRPr="00B75A2A">
        <w:rPr>
          <w:lang w:val="en-US"/>
        </w:rPr>
        <w:instrText xml:space="preserve"> ADDIN EN.CITE &lt;EndNote&gt;&lt;Cite&gt;&lt;Author&gt;Tang&lt;/Author&gt;&lt;Year&gt;2019&lt;/Year&gt;&lt;RecNum&gt;12&lt;/RecNum&gt;&lt;DisplayText&gt;[13]&lt;/DisplayText&gt;&lt;record&gt;&lt;rec-number&gt;12&lt;/rec-number&gt;&lt;foreign-keys&gt;&lt;key app="EN" db-id="awxxrz9fkt00vzea5p4pvvvzpt9fezd52xt5" timestamp="1668693132"&gt;12&lt;/key&gt;&lt;/foreign-keys&gt;&lt;ref-type name="Journal Article"&gt;17&lt;/ref-type&gt;&lt;contributors&gt;&lt;authors&gt;&lt;author&gt;Tang, Zefang&lt;/author&gt;&lt;author&gt;Kang, Boxi&lt;/author&gt;&lt;author&gt;Li, Chenwei&lt;/author&gt;&lt;author&gt;Chen, Tianxiang&lt;/author&gt;&lt;author&gt;Zhang, Zemin&lt;/author&gt;&lt;/authors&gt;&lt;/contributors&gt;&lt;titles&gt;&lt;title&gt;GEPIA2: an enhanced web server for large-scale expression profiling and interactive analysis&lt;/title&gt;&lt;secondary-title&gt;Nucleic acids research&lt;/secondary-title&gt;&lt;/titles&gt;&lt;periodical&gt;&lt;full-title&gt;Nucleic acids research&lt;/full-title&gt;&lt;/periodical&gt;&lt;pages&gt;W556-W560&lt;/pages&gt;&lt;volume&gt;47&lt;/volume&gt;&lt;number&gt;W1&lt;/number&gt;&lt;dates&gt;&lt;year&gt;2019&lt;/year&gt;&lt;/dates&gt;&lt;isbn&gt;0305-1048&lt;/isbn&gt;&lt;urls&gt;&lt;/urls&gt;&lt;/record&gt;&lt;/Cite&gt;&lt;/EndNote&gt;</w:instrText>
      </w:r>
      <w:r w:rsidR="00346DC7" w:rsidRPr="00B75A2A">
        <w:rPr>
          <w:lang w:val="en-US"/>
        </w:rPr>
        <w:fldChar w:fldCharType="separate"/>
      </w:r>
      <w:r w:rsidR="000D46E7" w:rsidRPr="00B75A2A">
        <w:rPr>
          <w:noProof/>
          <w:lang w:val="en-US"/>
        </w:rPr>
        <w:t>[13]</w:t>
      </w:r>
      <w:r w:rsidR="00346DC7" w:rsidRPr="00B75A2A">
        <w:rPr>
          <w:lang w:val="en-US"/>
        </w:rPr>
        <w:fldChar w:fldCharType="end"/>
      </w:r>
      <w:r w:rsidRPr="00B75A2A">
        <w:rPr>
          <w:lang w:val="en-US"/>
        </w:rPr>
        <w:t xml:space="preserve">. Their </w:t>
      </w:r>
      <w:bookmarkStart w:id="9" w:name="_Hlk93748875"/>
      <w:r w:rsidRPr="00B75A2A">
        <w:rPr>
          <w:lang w:val="en-US"/>
        </w:rPr>
        <w:t xml:space="preserve">expression with the abundance of immune infiltrates from gene signatures in normal colorectal tissues </w:t>
      </w:r>
      <w:bookmarkEnd w:id="9"/>
      <w:r w:rsidRPr="00B75A2A">
        <w:rPr>
          <w:lang w:val="en-US"/>
        </w:rPr>
        <w:t>was estimated using Spearman’s correlation.</w:t>
      </w:r>
    </w:p>
    <w:p w14:paraId="18F7A3BE" w14:textId="77777777" w:rsidR="004A2877" w:rsidRPr="00B75A2A" w:rsidRDefault="004A2877" w:rsidP="00B75A2A">
      <w:pPr>
        <w:spacing w:line="480" w:lineRule="auto"/>
        <w:jc w:val="both"/>
        <w:rPr>
          <w:lang w:val="en-US"/>
        </w:rPr>
      </w:pPr>
    </w:p>
    <w:p w14:paraId="17AA1407" w14:textId="6FC32D0E" w:rsidR="004A2877" w:rsidRPr="00B75A2A" w:rsidRDefault="004A2877" w:rsidP="00B75A2A">
      <w:pPr>
        <w:spacing w:line="480" w:lineRule="auto"/>
        <w:jc w:val="both"/>
        <w:rPr>
          <w:b/>
          <w:bCs/>
          <w:lang w:val="en-US"/>
        </w:rPr>
      </w:pPr>
      <w:r w:rsidRPr="00B75A2A">
        <w:rPr>
          <w:b/>
          <w:bCs/>
          <w:lang w:val="en-US"/>
        </w:rPr>
        <w:t>RESULTS</w:t>
      </w:r>
    </w:p>
    <w:p w14:paraId="1FEA037B" w14:textId="77777777" w:rsidR="009B484E" w:rsidRPr="00B75A2A" w:rsidRDefault="009B484E" w:rsidP="00B75A2A">
      <w:pPr>
        <w:spacing w:line="480" w:lineRule="auto"/>
        <w:jc w:val="both"/>
        <w:rPr>
          <w:b/>
          <w:bCs/>
          <w:lang w:val="en-US"/>
        </w:rPr>
      </w:pPr>
      <w:r w:rsidRPr="00B75A2A">
        <w:rPr>
          <w:b/>
          <w:bCs/>
          <w:lang w:val="en-US"/>
        </w:rPr>
        <w:t>Differentially expressed genes in old gut microbiota transplants</w:t>
      </w:r>
    </w:p>
    <w:p w14:paraId="1BDF10A1" w14:textId="643D22D7" w:rsidR="004A2877" w:rsidRPr="00B75A2A" w:rsidRDefault="004A2877" w:rsidP="00B75A2A">
      <w:pPr>
        <w:spacing w:line="480" w:lineRule="auto"/>
        <w:jc w:val="both"/>
        <w:rPr>
          <w:lang w:val="en-US"/>
        </w:rPr>
      </w:pPr>
      <w:r w:rsidRPr="00B75A2A">
        <w:rPr>
          <w:lang w:val="en-US"/>
        </w:rPr>
        <w:lastRenderedPageBreak/>
        <w:t xml:space="preserve">A total of </w:t>
      </w:r>
      <w:r w:rsidR="000B7DE1" w:rsidRPr="00B75A2A">
        <w:rPr>
          <w:lang w:val="en-US"/>
        </w:rPr>
        <w:t>112</w:t>
      </w:r>
      <w:r w:rsidRPr="00B75A2A">
        <w:rPr>
          <w:lang w:val="en-US"/>
        </w:rPr>
        <w:t xml:space="preserve"> DEGs were obtained in the </w:t>
      </w:r>
      <w:bookmarkStart w:id="10" w:name="_Hlk99362853"/>
      <w:r w:rsidRPr="00B75A2A">
        <w:rPr>
          <w:lang w:val="en-US"/>
        </w:rPr>
        <w:t>small intestine of young recipient mice transplanted with old donor gut microbiota when compared to age-matched young donor counterparts</w:t>
      </w:r>
      <w:bookmarkEnd w:id="10"/>
      <w:r w:rsidRPr="00B75A2A">
        <w:rPr>
          <w:lang w:val="en-US"/>
        </w:rPr>
        <w:t xml:space="preserve"> (</w:t>
      </w:r>
      <w:r w:rsidR="006F308C" w:rsidRPr="00B75A2A">
        <w:rPr>
          <w:lang w:val="en-US"/>
        </w:rPr>
        <w:t xml:space="preserve">Figure S1, </w:t>
      </w:r>
      <w:r w:rsidRPr="00B75A2A">
        <w:rPr>
          <w:lang w:val="en-US"/>
        </w:rPr>
        <w:t xml:space="preserve">Table S1). Of these, 24 upregulated and 90 downregulated DEGs were identified. </w:t>
      </w:r>
    </w:p>
    <w:p w14:paraId="578DA097" w14:textId="77777777" w:rsidR="004A2877" w:rsidRPr="00B75A2A" w:rsidRDefault="004A2877" w:rsidP="00B75A2A">
      <w:pPr>
        <w:spacing w:line="480" w:lineRule="auto"/>
        <w:jc w:val="both"/>
        <w:rPr>
          <w:lang w:val="en-US"/>
        </w:rPr>
      </w:pPr>
    </w:p>
    <w:p w14:paraId="6F56B238" w14:textId="77777777" w:rsidR="004A2877" w:rsidRPr="00B75A2A" w:rsidRDefault="004A2877" w:rsidP="00B75A2A">
      <w:pPr>
        <w:spacing w:line="480" w:lineRule="auto"/>
        <w:jc w:val="both"/>
        <w:rPr>
          <w:b/>
          <w:bCs/>
          <w:lang w:val="en-US"/>
        </w:rPr>
      </w:pPr>
      <w:r w:rsidRPr="00B75A2A">
        <w:rPr>
          <w:b/>
          <w:bCs/>
          <w:lang w:val="en-US"/>
        </w:rPr>
        <w:t>Protein interactome, immune-associated annotation and infiltration in old gut microbiota transplants</w:t>
      </w:r>
    </w:p>
    <w:p w14:paraId="6C0007BA" w14:textId="61BB893A" w:rsidR="004A2877" w:rsidRPr="00B75A2A" w:rsidRDefault="004A2877" w:rsidP="00B75A2A">
      <w:pPr>
        <w:spacing w:line="480" w:lineRule="auto"/>
        <w:jc w:val="both"/>
      </w:pPr>
      <w:r w:rsidRPr="00B75A2A">
        <w:t xml:space="preserve">A network of 108 encoded proteins with 73 interactions of small intestinal DEGs from recipient mice transplanted with old </w:t>
      </w:r>
      <w:r w:rsidR="00003F09" w:rsidRPr="00B75A2A">
        <w:t xml:space="preserve">gut </w:t>
      </w:r>
      <w:r w:rsidRPr="00B75A2A">
        <w:t>microbiota, was constructed (Figure 1). A 25-gene signature of DEGs was enriched in</w:t>
      </w:r>
      <w:r w:rsidR="009B484E" w:rsidRPr="00B75A2A">
        <w:t xml:space="preserve"> the GO Term</w:t>
      </w:r>
      <w:r w:rsidRPr="00B75A2A">
        <w:t xml:space="preserve"> </w:t>
      </w:r>
      <w:r w:rsidR="009B484E" w:rsidRPr="00B75A2A">
        <w:t>“</w:t>
      </w:r>
      <w:r w:rsidRPr="00B75A2A">
        <w:t>immune response</w:t>
      </w:r>
      <w:r w:rsidR="009B484E" w:rsidRPr="00B75A2A">
        <w:t>”</w:t>
      </w:r>
      <w:r w:rsidRPr="00B75A2A">
        <w:t xml:space="preserve"> (GO:0006955, </w:t>
      </w:r>
      <w:r w:rsidRPr="00B75A2A">
        <w:rPr>
          <w:i/>
          <w:iCs/>
        </w:rPr>
        <w:t xml:space="preserve">P </w:t>
      </w:r>
      <w:r w:rsidRPr="00B75A2A">
        <w:t xml:space="preserve">= 6.51E-8): ATPase copper transporting alpha (ATP7A), baculoviral IAP repeat containing 3 (BIRC3), caspase 1 (CASP1), CD74 molecule (CD74), C-X-C motif chemokine ligand 9 (CXCL9), dedicator of cytokinesis 11 (DOCK11), epithelial membrane protein 2 (EMP2), endoplasmic reticulum aminopeptidase 1 (ERAP1), </w:t>
      </w:r>
      <w:proofErr w:type="spellStart"/>
      <w:r w:rsidRPr="00B75A2A">
        <w:t>Fas</w:t>
      </w:r>
      <w:proofErr w:type="spellEnd"/>
      <w:r w:rsidRPr="00B75A2A">
        <w:t xml:space="preserve"> cell surface death receptor (FAS), FER tyrosine kinase (FER), guanylate binding protein 2 (GBP2), guanylate binding protein family member 6 (GBP6), granulin precursor (GRN), major histocompatibility complex, class II, DM alpha (HLA-DMA), major histocompatibility complex, class II, DM beta (HLA-DMB), major histocompatibility complex, class II, DQ beta 2 (HLA-DQB2), indoleamine 2,3-dioxygenase 1 (IDO1), leucine rich repeat containing G protein-coupled receptor 4 (LGR4), nuclear receptor subfamily 1 group D member 1 (NR1D1), proteasome 20S subunit beta 10 (PSMB10), ribonuclease T2 (RNASET2), RAR related orphan receptor C (RORC), solute carrier family 26 member 6 (SLC26A6), T cell immune regulator 1, ATPase H+ transporting V0 subunit a3 (TCIRG1) and X-C motif chemokine ligand 1 (XCL1) (Table 1, Table S2). All genes were downregulated with</w:t>
      </w:r>
      <w:r w:rsidR="009B484E" w:rsidRPr="00B75A2A">
        <w:t>in</w:t>
      </w:r>
      <w:r w:rsidRPr="00B75A2A">
        <w:t xml:space="preserve"> this </w:t>
      </w:r>
      <w:proofErr w:type="gramStart"/>
      <w:r w:rsidRPr="00B75A2A">
        <w:t>set in</w:t>
      </w:r>
      <w:proofErr w:type="gramEnd"/>
      <w:r w:rsidRPr="00B75A2A">
        <w:t xml:space="preserve"> response to gut microbiota ageing, apart from RORC which was upregulated. Moreover, the expression profile of this 25-gene signature showed a positive correlation with naïve T-cell (</w:t>
      </w:r>
      <w:r w:rsidRPr="00B75A2A">
        <w:rPr>
          <w:i/>
          <w:iCs/>
        </w:rPr>
        <w:t xml:space="preserve">P </w:t>
      </w:r>
      <w:r w:rsidRPr="00B75A2A">
        <w:t xml:space="preserve">= 8.3E-52, </w:t>
      </w:r>
      <w:r w:rsidRPr="00B75A2A">
        <w:rPr>
          <w:i/>
          <w:iCs/>
        </w:rPr>
        <w:t>R</w:t>
      </w:r>
      <w:r w:rsidRPr="00B75A2A">
        <w:t xml:space="preserve"> = 0.69), effector memory T-cell (</w:t>
      </w:r>
      <w:r w:rsidRPr="00B75A2A">
        <w:rPr>
          <w:i/>
          <w:iCs/>
        </w:rPr>
        <w:t xml:space="preserve">P </w:t>
      </w:r>
      <w:r w:rsidRPr="00B75A2A">
        <w:t xml:space="preserve">= 7.3E-61, </w:t>
      </w:r>
      <w:r w:rsidRPr="00B75A2A">
        <w:rPr>
          <w:i/>
          <w:iCs/>
        </w:rPr>
        <w:t>R</w:t>
      </w:r>
      <w:r w:rsidRPr="00B75A2A">
        <w:t xml:space="preserve"> = 0.73), central </w:t>
      </w:r>
      <w:r w:rsidRPr="00B75A2A">
        <w:lastRenderedPageBreak/>
        <w:t>memory T-cell (</w:t>
      </w:r>
      <w:r w:rsidRPr="00B75A2A">
        <w:rPr>
          <w:i/>
          <w:iCs/>
        </w:rPr>
        <w:t xml:space="preserve">P </w:t>
      </w:r>
      <w:r w:rsidRPr="00B75A2A">
        <w:t xml:space="preserve">= 1.3E-41, </w:t>
      </w:r>
      <w:r w:rsidRPr="00B75A2A">
        <w:rPr>
          <w:i/>
          <w:iCs/>
        </w:rPr>
        <w:t>R</w:t>
      </w:r>
      <w:r w:rsidRPr="00B75A2A">
        <w:t xml:space="preserve"> = 0.63), resident memory T-cell (</w:t>
      </w:r>
      <w:r w:rsidRPr="00B75A2A">
        <w:rPr>
          <w:i/>
          <w:iCs/>
        </w:rPr>
        <w:t xml:space="preserve">P </w:t>
      </w:r>
      <w:r w:rsidRPr="00B75A2A">
        <w:t xml:space="preserve">= 3.7E-16, </w:t>
      </w:r>
      <w:r w:rsidRPr="00B75A2A">
        <w:rPr>
          <w:i/>
          <w:iCs/>
        </w:rPr>
        <w:t>R</w:t>
      </w:r>
      <w:r w:rsidRPr="00B75A2A">
        <w:t xml:space="preserve"> = 0.41), exhausted T-cell (</w:t>
      </w:r>
      <w:r w:rsidRPr="00B75A2A">
        <w:rPr>
          <w:i/>
          <w:iCs/>
        </w:rPr>
        <w:t xml:space="preserve">P </w:t>
      </w:r>
      <w:r w:rsidRPr="00B75A2A">
        <w:t xml:space="preserve">= 1.6E-27, </w:t>
      </w:r>
      <w:r w:rsidRPr="00B75A2A">
        <w:rPr>
          <w:i/>
          <w:iCs/>
        </w:rPr>
        <w:t>R</w:t>
      </w:r>
      <w:r w:rsidRPr="00B75A2A">
        <w:t xml:space="preserve"> =0.53), resting Treg T-cell (</w:t>
      </w:r>
      <w:r w:rsidRPr="00B75A2A">
        <w:rPr>
          <w:i/>
          <w:iCs/>
        </w:rPr>
        <w:t xml:space="preserve">P </w:t>
      </w:r>
      <w:r w:rsidRPr="00B75A2A">
        <w:t xml:space="preserve">= 5.1E-38, </w:t>
      </w:r>
      <w:r w:rsidRPr="00B75A2A">
        <w:rPr>
          <w:i/>
          <w:iCs/>
        </w:rPr>
        <w:t>R</w:t>
      </w:r>
      <w:r w:rsidRPr="00B75A2A">
        <w:t xml:space="preserve"> =0.61), effector Treg T-cell (</w:t>
      </w:r>
      <w:r w:rsidRPr="00B75A2A">
        <w:rPr>
          <w:i/>
          <w:iCs/>
        </w:rPr>
        <w:t xml:space="preserve">P </w:t>
      </w:r>
      <w:r w:rsidRPr="00B75A2A">
        <w:t xml:space="preserve">=1.7E-58 , </w:t>
      </w:r>
      <w:r w:rsidRPr="00B75A2A">
        <w:rPr>
          <w:i/>
          <w:iCs/>
        </w:rPr>
        <w:t>R</w:t>
      </w:r>
      <w:r w:rsidRPr="00B75A2A">
        <w:t xml:space="preserve"> =0.72), and Th1-like (</w:t>
      </w:r>
      <w:r w:rsidRPr="00B75A2A">
        <w:rPr>
          <w:i/>
          <w:iCs/>
        </w:rPr>
        <w:t xml:space="preserve">P </w:t>
      </w:r>
      <w:r w:rsidRPr="00B75A2A">
        <w:t xml:space="preserve">= 3.8E-68 , </w:t>
      </w:r>
      <w:r w:rsidRPr="00B75A2A">
        <w:rPr>
          <w:i/>
          <w:iCs/>
        </w:rPr>
        <w:t>R</w:t>
      </w:r>
      <w:r w:rsidRPr="00B75A2A">
        <w:t xml:space="preserve"> =0.76), but not effector T-cell (</w:t>
      </w:r>
      <w:r w:rsidRPr="00B75A2A">
        <w:rPr>
          <w:i/>
          <w:iCs/>
        </w:rPr>
        <w:t xml:space="preserve">P </w:t>
      </w:r>
      <w:r w:rsidRPr="00B75A2A">
        <w:t xml:space="preserve">= 0.78 , </w:t>
      </w:r>
      <w:r w:rsidRPr="00B75A2A">
        <w:rPr>
          <w:i/>
          <w:iCs/>
        </w:rPr>
        <w:t>R</w:t>
      </w:r>
      <w:r w:rsidRPr="00B75A2A">
        <w:t xml:space="preserve"> = 0.015) gene signatures in normal colorectal tissues (Figure 2).</w:t>
      </w:r>
      <w:r w:rsidR="009B484E" w:rsidRPr="00B75A2A">
        <w:t xml:space="preserve"> The Antigen Presentation Pathway was the most significantly down-regulated canonical pathway predicted by IPA (p</w:t>
      </w:r>
      <w:r w:rsidR="007569EB">
        <w:t xml:space="preserve"> </w:t>
      </w:r>
      <w:r w:rsidR="009B484E" w:rsidRPr="00B75A2A">
        <w:t>&lt;</w:t>
      </w:r>
      <w:r w:rsidR="007569EB">
        <w:t xml:space="preserve"> </w:t>
      </w:r>
      <w:r w:rsidR="009B484E" w:rsidRPr="00B75A2A">
        <w:t>9.3x10</w:t>
      </w:r>
      <w:r w:rsidR="009B484E" w:rsidRPr="00B75A2A">
        <w:rPr>
          <w:vertAlign w:val="superscript"/>
        </w:rPr>
        <w:t>-7</w:t>
      </w:r>
      <w:r w:rsidR="009B484E" w:rsidRPr="00B75A2A">
        <w:t xml:space="preserve">). IPA also predicted that gene expression in recipient mice transplanted with old </w:t>
      </w:r>
      <w:r w:rsidR="00003F09" w:rsidRPr="00B75A2A">
        <w:t xml:space="preserve">gut </w:t>
      </w:r>
      <w:r w:rsidR="009B484E" w:rsidRPr="00B75A2A">
        <w:t>microbiota was down-regulated by a decrease in cytokine signalling in response to interferon-g (p</w:t>
      </w:r>
      <w:r w:rsidR="007569EB">
        <w:t xml:space="preserve"> </w:t>
      </w:r>
      <w:r w:rsidR="009B484E" w:rsidRPr="00B75A2A">
        <w:t>=</w:t>
      </w:r>
      <w:r w:rsidR="007569EB">
        <w:t xml:space="preserve"> </w:t>
      </w:r>
      <w:r w:rsidR="009B484E" w:rsidRPr="00B75A2A">
        <w:t>1.7x10</w:t>
      </w:r>
      <w:r w:rsidR="009B484E" w:rsidRPr="00B75A2A">
        <w:rPr>
          <w:vertAlign w:val="superscript"/>
        </w:rPr>
        <w:t>-10</w:t>
      </w:r>
      <w:r w:rsidR="009B484E" w:rsidRPr="00B75A2A">
        <w:t>), IL-1b (p</w:t>
      </w:r>
      <w:r w:rsidR="007569EB">
        <w:t xml:space="preserve"> </w:t>
      </w:r>
      <w:r w:rsidR="009B484E" w:rsidRPr="00B75A2A">
        <w:t>=</w:t>
      </w:r>
      <w:r w:rsidR="007569EB">
        <w:t xml:space="preserve"> </w:t>
      </w:r>
      <w:r w:rsidR="009B484E" w:rsidRPr="00B75A2A">
        <w:t>2.3x10</w:t>
      </w:r>
      <w:r w:rsidR="009B484E" w:rsidRPr="00B75A2A">
        <w:rPr>
          <w:vertAlign w:val="superscript"/>
        </w:rPr>
        <w:t>-9</w:t>
      </w:r>
      <w:r w:rsidR="009B484E" w:rsidRPr="00B75A2A">
        <w:t>), IL-27 (p</w:t>
      </w:r>
      <w:r w:rsidR="007569EB">
        <w:t xml:space="preserve"> </w:t>
      </w:r>
      <w:r w:rsidR="009B484E" w:rsidRPr="00B75A2A">
        <w:t>=</w:t>
      </w:r>
      <w:r w:rsidR="007569EB">
        <w:t xml:space="preserve"> </w:t>
      </w:r>
      <w:r w:rsidR="009B484E" w:rsidRPr="00B75A2A">
        <w:t>4.3x10</w:t>
      </w:r>
      <w:r w:rsidR="009B484E" w:rsidRPr="00B75A2A">
        <w:rPr>
          <w:vertAlign w:val="superscript"/>
        </w:rPr>
        <w:t>-8</w:t>
      </w:r>
      <w:r w:rsidR="009B484E" w:rsidRPr="00B75A2A">
        <w:t>), IL-4 (p</w:t>
      </w:r>
      <w:r w:rsidR="007569EB">
        <w:t xml:space="preserve"> </w:t>
      </w:r>
      <w:r w:rsidR="009B484E" w:rsidRPr="00B75A2A">
        <w:t>=</w:t>
      </w:r>
      <w:r w:rsidR="007569EB">
        <w:t xml:space="preserve"> </w:t>
      </w:r>
      <w:r w:rsidR="009B484E" w:rsidRPr="00B75A2A">
        <w:t>4.5x10</w:t>
      </w:r>
      <w:r w:rsidR="009B484E" w:rsidRPr="00B75A2A">
        <w:rPr>
          <w:vertAlign w:val="superscript"/>
        </w:rPr>
        <w:t>-7</w:t>
      </w:r>
      <w:r w:rsidR="009B484E" w:rsidRPr="00B75A2A">
        <w:t>) and IL-2 (p</w:t>
      </w:r>
      <w:r w:rsidR="007569EB">
        <w:t xml:space="preserve"> </w:t>
      </w:r>
      <w:r w:rsidR="009B484E" w:rsidRPr="00B75A2A">
        <w:t>=</w:t>
      </w:r>
      <w:r w:rsidR="007569EB">
        <w:t xml:space="preserve"> </w:t>
      </w:r>
      <w:r w:rsidR="009B484E" w:rsidRPr="00B75A2A">
        <w:t>2.2x10</w:t>
      </w:r>
      <w:r w:rsidR="009B484E" w:rsidRPr="00B75A2A">
        <w:rPr>
          <w:vertAlign w:val="superscript"/>
        </w:rPr>
        <w:t>-6</w:t>
      </w:r>
      <w:r w:rsidR="009B484E" w:rsidRPr="00B75A2A">
        <w:t>) which are key cytokines involved in the regulation of T cell function.</w:t>
      </w:r>
    </w:p>
    <w:p w14:paraId="58354E4C" w14:textId="77777777" w:rsidR="004A2877" w:rsidRPr="00B75A2A" w:rsidRDefault="004A2877" w:rsidP="00B75A2A">
      <w:pPr>
        <w:spacing w:line="480" w:lineRule="auto"/>
        <w:jc w:val="both"/>
        <w:rPr>
          <w:b/>
          <w:bCs/>
          <w:lang w:val="en-US"/>
        </w:rPr>
      </w:pPr>
    </w:p>
    <w:p w14:paraId="5ED141C0" w14:textId="372D537F" w:rsidR="004A2877" w:rsidRPr="00B75A2A" w:rsidRDefault="004A2877" w:rsidP="00B75A2A">
      <w:pPr>
        <w:spacing w:line="480" w:lineRule="auto"/>
        <w:rPr>
          <w:b/>
          <w:bCs/>
          <w:lang w:val="en-US"/>
        </w:rPr>
      </w:pPr>
      <w:r w:rsidRPr="00B75A2A">
        <w:rPr>
          <w:b/>
          <w:bCs/>
          <w:lang w:val="en-US"/>
        </w:rPr>
        <w:t>DISCUSSION</w:t>
      </w:r>
    </w:p>
    <w:p w14:paraId="1CD45E4F" w14:textId="7AC89019" w:rsidR="004A2877" w:rsidRPr="00B75A2A" w:rsidRDefault="00003F09" w:rsidP="00B75A2A">
      <w:pPr>
        <w:spacing w:line="480" w:lineRule="auto"/>
        <w:jc w:val="both"/>
        <w:rPr>
          <w:b/>
          <w:bCs/>
        </w:rPr>
      </w:pPr>
      <w:r w:rsidRPr="00B75A2A">
        <w:rPr>
          <w:lang w:val="en-US"/>
        </w:rPr>
        <w:t xml:space="preserve">Our </w:t>
      </w:r>
      <w:r w:rsidR="004A2877" w:rsidRPr="00B75A2A">
        <w:rPr>
          <w:lang w:val="en-US"/>
        </w:rPr>
        <w:t xml:space="preserve">analysis and functional annotation </w:t>
      </w:r>
      <w:r w:rsidR="004A2877" w:rsidRPr="00B75A2A">
        <w:t xml:space="preserve">of gut samples from young germ-free mice transplanted with old donor gut microbiota </w:t>
      </w:r>
      <w:r w:rsidRPr="00B75A2A">
        <w:t xml:space="preserve">has </w:t>
      </w:r>
      <w:r w:rsidR="004A2877" w:rsidRPr="00B75A2A">
        <w:t xml:space="preserve">identified a signature of 25 </w:t>
      </w:r>
      <w:proofErr w:type="gramStart"/>
      <w:r w:rsidR="004A2877" w:rsidRPr="00B75A2A">
        <w:t>immune-associated</w:t>
      </w:r>
      <w:proofErr w:type="gramEnd"/>
      <w:r w:rsidR="004A2877" w:rsidRPr="00B75A2A">
        <w:t xml:space="preserve"> DEGs, that were mostly downregulated following transplantation of old donor gut microbiota.  These DEGs were associated </w:t>
      </w:r>
      <w:r w:rsidR="004A2877" w:rsidRPr="00B75A2A">
        <w:rPr>
          <w:lang w:val="en-US"/>
        </w:rPr>
        <w:t xml:space="preserve">with </w:t>
      </w:r>
      <w:r w:rsidR="004A2877" w:rsidRPr="00B75A2A">
        <w:t>naïve T-cell, effector memory T-cell, central memory T-cell, resident memory T-cell, exhausted T-cell, resting Treg T-cell, effector Treg T-cell and Th1-like colorectal gene signatures. These genes may have a potential role as candidate markers of immune dysregulation in response to gut microbiota ageing.</w:t>
      </w:r>
      <w:r w:rsidR="004F4C95" w:rsidRPr="00B75A2A">
        <w:t xml:space="preserve"> The analysis </w:t>
      </w:r>
      <w:r w:rsidR="00226EEB" w:rsidRPr="00B75A2A">
        <w:t xml:space="preserve">we </w:t>
      </w:r>
      <w:r w:rsidR="004F4C95" w:rsidRPr="00B75A2A">
        <w:t xml:space="preserve">report here builds upon existing research that has identified </w:t>
      </w:r>
      <w:r w:rsidR="00226EEB" w:rsidRPr="00B75A2A">
        <w:t>dysfunction in macrophages leading to increased cytokine production and reduced bacterial killing in older mice house in non-sterile conditions</w:t>
      </w:r>
      <w:r w:rsidR="00CF202C" w:rsidRPr="00B75A2A">
        <w:t xml:space="preserve"> </w:t>
      </w:r>
      <w:r w:rsidR="00CF202C" w:rsidRPr="00B75A2A">
        <w:fldChar w:fldCharType="begin"/>
      </w:r>
      <w:r w:rsidR="00CF202C" w:rsidRPr="00B75A2A">
        <w:instrText xml:space="preserve"> ADDIN EN.CITE &lt;EndNote&gt;&lt;Cite&gt;&lt;Author&gt;Thevaranjan&lt;/Author&gt;&lt;Year&gt;2017&lt;/Year&gt;&lt;RecNum&gt;93&lt;/RecNum&gt;&lt;DisplayText&gt;[14]&lt;/DisplayText&gt;&lt;record&gt;&lt;rec-number&gt;93&lt;/rec-number&gt;&lt;foreign-keys&gt;&lt;key app="EN" db-id="awxxrz9fkt00vzea5p4pvvvzpt9fezd52xt5" timestamp="1668696029"&gt;93&lt;/key&gt;&lt;/foreign-keys&gt;&lt;ref-type name="Journal Article"&gt;17&lt;/ref-type&gt;&lt;contributors&gt;&lt;authors&gt;&lt;author&gt;Thevaranjan, Netusha&lt;/author&gt;&lt;author&gt;Puchta, Alicja&lt;/author&gt;&lt;author&gt;Schulz, Christian&lt;/author&gt;&lt;author&gt;Naidoo, Avee&lt;/author&gt;&lt;author&gt;Szamosi, JC&lt;/author&gt;&lt;author&gt;Verschoor, Chris P&lt;/author&gt;&lt;author&gt;Loukov, Dessi&lt;/author&gt;&lt;author&gt;Schenck, Louis P&lt;/author&gt;&lt;author&gt;Jury, Jennifer&lt;/author&gt;&lt;author&gt;Foley, Kevin P&lt;/author&gt;&lt;/authors&gt;&lt;/contributors&gt;&lt;titles&gt;&lt;title&gt;Age-associated microbial dysbiosis promotes intestinal permeability, systemic inflammation, and macrophage dysfunction&lt;/title&gt;&lt;secondary-title&gt;Cell host &amp;amp; microbe&lt;/secondary-title&gt;&lt;/titles&gt;&lt;periodical&gt;&lt;full-title&gt;Cell host &amp;amp; microbe&lt;/full-title&gt;&lt;/periodical&gt;&lt;pages&gt;455-466. e4&lt;/pages&gt;&lt;volume&gt;21&lt;/volume&gt;&lt;number&gt;4&lt;/number&gt;&lt;dates&gt;&lt;year&gt;2017&lt;/year&gt;&lt;/dates&gt;&lt;isbn&gt;1931-3128&lt;/isbn&gt;&lt;urls&gt;&lt;/urls&gt;&lt;/record&gt;&lt;/Cite&gt;&lt;/EndNote&gt;</w:instrText>
      </w:r>
      <w:r w:rsidR="00CF202C" w:rsidRPr="00B75A2A">
        <w:fldChar w:fldCharType="separate"/>
      </w:r>
      <w:r w:rsidR="00CF202C" w:rsidRPr="00B75A2A">
        <w:rPr>
          <w:noProof/>
        </w:rPr>
        <w:t>[14]</w:t>
      </w:r>
      <w:r w:rsidR="00CF202C" w:rsidRPr="00B75A2A">
        <w:fldChar w:fldCharType="end"/>
      </w:r>
      <w:r w:rsidR="00226EEB" w:rsidRPr="00B75A2A">
        <w:t xml:space="preserve">.  Our manuscript </w:t>
      </w:r>
      <w:r w:rsidR="006212AF" w:rsidRPr="00B75A2A">
        <w:t xml:space="preserve">is novel in the use of whole transcriptome analysis of gut tissue from young germ-free mice transplanted with old donor gut microbiota, and </w:t>
      </w:r>
      <w:r w:rsidR="00226EEB" w:rsidRPr="00B75A2A">
        <w:t xml:space="preserve">highlights for the first time that cells of the adaptive immune system are also altered by gut microbiota from older mice, with a general down-regulation of T-cell functions leading to chronic inflammation. </w:t>
      </w:r>
    </w:p>
    <w:p w14:paraId="1A32C455" w14:textId="77777777" w:rsidR="004A2877" w:rsidRPr="00B75A2A" w:rsidRDefault="004A2877" w:rsidP="00B75A2A">
      <w:pPr>
        <w:spacing w:line="480" w:lineRule="auto"/>
        <w:jc w:val="both"/>
        <w:rPr>
          <w:b/>
          <w:bCs/>
        </w:rPr>
      </w:pPr>
    </w:p>
    <w:p w14:paraId="7F88C3A7" w14:textId="62E6FF59" w:rsidR="002802C3" w:rsidRPr="00B75A2A" w:rsidRDefault="002802C3" w:rsidP="00B75A2A">
      <w:pPr>
        <w:spacing w:line="480" w:lineRule="auto"/>
        <w:jc w:val="both"/>
        <w:rPr>
          <w:b/>
          <w:bCs/>
          <w:i/>
          <w:iCs/>
          <w:lang w:val="en-US"/>
        </w:rPr>
      </w:pPr>
      <w:r w:rsidRPr="00B75A2A">
        <w:rPr>
          <w:b/>
          <w:bCs/>
          <w:i/>
          <w:iCs/>
          <w:lang w:val="en-US"/>
        </w:rPr>
        <w:lastRenderedPageBreak/>
        <w:t>Major histocompatibility complex</w:t>
      </w:r>
      <w:r w:rsidR="00057830" w:rsidRPr="00B75A2A">
        <w:rPr>
          <w:b/>
          <w:bCs/>
          <w:i/>
          <w:iCs/>
          <w:lang w:val="en-US"/>
        </w:rPr>
        <w:t xml:space="preserve"> </w:t>
      </w:r>
    </w:p>
    <w:p w14:paraId="28A2BD3C" w14:textId="3557BB9B" w:rsidR="004A2877" w:rsidRPr="00B75A2A" w:rsidRDefault="009B484E" w:rsidP="00B75A2A">
      <w:pPr>
        <w:spacing w:line="480" w:lineRule="auto"/>
        <w:jc w:val="both"/>
        <w:rPr>
          <w:lang w:val="en-US"/>
        </w:rPr>
      </w:pPr>
      <w:r w:rsidRPr="00B75A2A">
        <w:rPr>
          <w:lang w:val="en-US"/>
        </w:rPr>
        <w:t xml:space="preserve">Antigen Presentation was the most down-regulated canonical pathway in </w:t>
      </w:r>
      <w:r w:rsidRPr="00B75A2A">
        <w:t xml:space="preserve">recipient mice transplanted with old gut microbiota. </w:t>
      </w:r>
      <w:r w:rsidRPr="00B75A2A">
        <w:rPr>
          <w:lang w:val="en-US"/>
        </w:rPr>
        <w:t xml:space="preserve">Antigen presentation involves the HLA system (also known as major histocompatibility complex, MHC), </w:t>
      </w:r>
      <w:r w:rsidR="004A2877" w:rsidRPr="00B75A2A">
        <w:rPr>
          <w:lang w:val="en-US"/>
        </w:rPr>
        <w:t xml:space="preserve">a complex of genes encoding cell-surface proteins that regulate immune function by presenting processed peptide antigens </w:t>
      </w:r>
      <w:r w:rsidR="005B1A89" w:rsidRPr="00B75A2A">
        <w:rPr>
          <w:lang w:val="en-US"/>
        </w:rPr>
        <w:fldChar w:fldCharType="begin"/>
      </w:r>
      <w:r w:rsidR="00CF202C" w:rsidRPr="00B75A2A">
        <w:rPr>
          <w:lang w:val="en-US"/>
        </w:rPr>
        <w:instrText xml:space="preserve"> ADDIN EN.CITE &lt;EndNote&gt;&lt;Cite&gt;&lt;Author&gt;Fling&lt;/Author&gt;&lt;Year&gt;1994&lt;/Year&gt;&lt;RecNum&gt;14&lt;/RecNum&gt;&lt;DisplayText&gt;[15]&lt;/DisplayText&gt;&lt;record&gt;&lt;rec-number&gt;14&lt;/rec-number&gt;&lt;foreign-keys&gt;&lt;key app="EN" db-id="awxxrz9fkt00vzea5p4pvvvzpt9fezd52xt5" timestamp="1668693132"&gt;14&lt;/key&gt;&lt;/foreign-keys&gt;&lt;ref-type name="Journal Article"&gt;17&lt;/ref-type&gt;&lt;contributors&gt;&lt;authors&gt;&lt;author&gt;Fling, Steven P&lt;/author&gt;&lt;author&gt;Arp, Benjamin&lt;/author&gt;&lt;author&gt;Pious, Donald&lt;/author&gt;&lt;/authors&gt;&lt;/contributors&gt;&lt;titles&gt;&lt;title&gt;HLA-DMA and-DMB genes are both required for MHC class II/peptide complex formation in antigen-presenting cells&lt;/title&gt;&lt;secondary-title&gt;Nature&lt;/secondary-title&gt;&lt;/titles&gt;&lt;periodical&gt;&lt;full-title&gt;Nature&lt;/full-title&gt;&lt;/periodical&gt;&lt;pages&gt;554-558&lt;/pages&gt;&lt;volume&gt;368&lt;/volume&gt;&lt;number&gt;6471&lt;/number&gt;&lt;dates&gt;&lt;year&gt;1994&lt;/year&gt;&lt;/dates&gt;&lt;isbn&gt;1476-4687&lt;/isbn&gt;&lt;urls&gt;&lt;/urls&gt;&lt;/record&gt;&lt;/Cite&gt;&lt;/EndNote&gt;</w:instrText>
      </w:r>
      <w:r w:rsidR="005B1A89" w:rsidRPr="00B75A2A">
        <w:rPr>
          <w:lang w:val="en-US"/>
        </w:rPr>
        <w:fldChar w:fldCharType="separate"/>
      </w:r>
      <w:r w:rsidR="00CF202C" w:rsidRPr="00B75A2A">
        <w:rPr>
          <w:noProof/>
          <w:lang w:val="en-US"/>
        </w:rPr>
        <w:t>[15]</w:t>
      </w:r>
      <w:r w:rsidR="005B1A89" w:rsidRPr="00B75A2A">
        <w:rPr>
          <w:lang w:val="en-US"/>
        </w:rPr>
        <w:fldChar w:fldCharType="end"/>
      </w:r>
      <w:r w:rsidR="004A2877" w:rsidRPr="00B75A2A">
        <w:rPr>
          <w:lang w:val="en-US"/>
        </w:rPr>
        <w:t>. MHC-encoded HLA genes (i.e., HLA-DQB2, HLA-DMB, HLA-DMA) have been shown to alter microbial composition</w:t>
      </w:r>
      <w:r w:rsidR="005B1A89" w:rsidRPr="00B75A2A">
        <w:rPr>
          <w:lang w:val="en-US"/>
        </w:rPr>
        <w:t xml:space="preserve"> </w:t>
      </w:r>
      <w:r w:rsidR="005B1A89" w:rsidRPr="00B75A2A">
        <w:rPr>
          <w:lang w:val="en-US"/>
        </w:rPr>
        <w:fldChar w:fldCharType="begin"/>
      </w:r>
      <w:r w:rsidR="00CF202C" w:rsidRPr="00B75A2A">
        <w:rPr>
          <w:lang w:val="en-US"/>
        </w:rPr>
        <w:instrText xml:space="preserve"> ADDIN EN.CITE &lt;EndNote&gt;&lt;Cite&gt;&lt;Author&gt;Marietta&lt;/Author&gt;&lt;Year&gt;2015&lt;/Year&gt;&lt;RecNum&gt;15&lt;/RecNum&gt;&lt;DisplayText&gt;[16]&lt;/DisplayText&gt;&lt;record&gt;&lt;rec-number&gt;15&lt;/rec-number&gt;&lt;foreign-keys&gt;&lt;key app="EN" db-id="awxxrz9fkt00vzea5p4pvvvzpt9fezd52xt5" timestamp="1668693132"&gt;15&lt;/key&gt;&lt;/foreign-keys&gt;&lt;ref-type name="Journal Article"&gt;17&lt;/ref-type&gt;&lt;contributors&gt;&lt;authors&gt;&lt;author&gt;Marietta, Eric&lt;/author&gt;&lt;author&gt;Rishi, Abdul&lt;/author&gt;&lt;author&gt;Taneja, Veena&lt;/author&gt;&lt;/authors&gt;&lt;/contributors&gt;&lt;titles&gt;&lt;title&gt;Immunogenetic control of the intestinal microbiota&lt;/title&gt;&lt;secondary-title&gt;Immunology&lt;/secondary-title&gt;&lt;/titles&gt;&lt;periodical&gt;&lt;full-title&gt;Immunology&lt;/full-title&gt;&lt;/periodical&gt;&lt;pages&gt;313-322&lt;/pages&gt;&lt;volume&gt;145&lt;/volume&gt;&lt;number&gt;3&lt;/number&gt;&lt;dates&gt;&lt;year&gt;2015&lt;/year&gt;&lt;/dates&gt;&lt;isbn&gt;0019-2805&lt;/isbn&gt;&lt;urls&gt;&lt;/urls&gt;&lt;/record&gt;&lt;/Cite&gt;&lt;/EndNote&gt;</w:instrText>
      </w:r>
      <w:r w:rsidR="005B1A89" w:rsidRPr="00B75A2A">
        <w:rPr>
          <w:lang w:val="en-US"/>
        </w:rPr>
        <w:fldChar w:fldCharType="separate"/>
      </w:r>
      <w:r w:rsidR="00CF202C" w:rsidRPr="00B75A2A">
        <w:rPr>
          <w:noProof/>
          <w:lang w:val="en-US"/>
        </w:rPr>
        <w:t>[16]</w:t>
      </w:r>
      <w:r w:rsidR="005B1A89" w:rsidRPr="00B75A2A">
        <w:rPr>
          <w:lang w:val="en-US"/>
        </w:rPr>
        <w:fldChar w:fldCharType="end"/>
      </w:r>
      <w:r w:rsidR="004A2877" w:rsidRPr="00B75A2A">
        <w:rPr>
          <w:lang w:val="en-US"/>
        </w:rPr>
        <w:t xml:space="preserve">, particularly in resistant-HLA-DR transgenic mice that demonstrate enriched </w:t>
      </w:r>
      <w:proofErr w:type="spellStart"/>
      <w:r w:rsidR="004A2877" w:rsidRPr="00B75A2A">
        <w:rPr>
          <w:i/>
          <w:iCs/>
          <w:lang w:val="en-US"/>
        </w:rPr>
        <w:t>Porphyromonadaceae</w:t>
      </w:r>
      <w:proofErr w:type="spellEnd"/>
      <w:r w:rsidR="004A2877" w:rsidRPr="00B75A2A">
        <w:rPr>
          <w:lang w:val="en-US"/>
        </w:rPr>
        <w:t xml:space="preserve"> and </w:t>
      </w:r>
      <w:proofErr w:type="spellStart"/>
      <w:r w:rsidR="004A2877" w:rsidRPr="00B75A2A">
        <w:rPr>
          <w:i/>
          <w:iCs/>
          <w:lang w:val="en-US"/>
        </w:rPr>
        <w:t>Bifidobacteria</w:t>
      </w:r>
      <w:proofErr w:type="spellEnd"/>
      <w:r w:rsidR="004A2877" w:rsidRPr="00B75A2A">
        <w:rPr>
          <w:lang w:val="en-US"/>
        </w:rPr>
        <w:t xml:space="preserve"> species </w:t>
      </w:r>
      <w:r w:rsidR="005B1A89" w:rsidRPr="00B75A2A">
        <w:rPr>
          <w:lang w:val="en-US"/>
        </w:rPr>
        <w:fldChar w:fldCharType="begin"/>
      </w:r>
      <w:r w:rsidR="00CF202C" w:rsidRPr="00B75A2A">
        <w:rPr>
          <w:lang w:val="en-US"/>
        </w:rPr>
        <w:instrText xml:space="preserve"> ADDIN EN.CITE &lt;EndNote&gt;&lt;Cite&gt;&lt;Author&gt;Gomez&lt;/Author&gt;&lt;Year&gt;2012&lt;/Year&gt;&lt;RecNum&gt;16&lt;/RecNum&gt;&lt;DisplayText&gt;[17]&lt;/DisplayText&gt;&lt;record&gt;&lt;rec-number&gt;16&lt;/rec-number&gt;&lt;foreign-keys&gt;&lt;key app="EN" db-id="awxxrz9fkt00vzea5p4pvvvzpt9fezd52xt5" timestamp="1668693132"&gt;16&lt;/key&gt;&lt;/foreign-keys&gt;&lt;ref-type name="Journal Article"&gt;17&lt;/ref-type&gt;&lt;contributors&gt;&lt;authors&gt;&lt;author&gt;Gomez, Andres&lt;/author&gt;&lt;author&gt;Luckey, David&lt;/author&gt;&lt;author&gt;Yeoman, Carl J&lt;/author&gt;&lt;author&gt;Marietta, Eric V&lt;/author&gt;&lt;author&gt;Berg Miller, Margret E&lt;/author&gt;&lt;author&gt;Murray, Joseph A&lt;/author&gt;&lt;author&gt;White, Bryan A&lt;/author&gt;&lt;author&gt;Taneja, Veena&lt;/author&gt;&lt;/authors&gt;&lt;/contributors&gt;&lt;titles&gt;&lt;title&gt;Loss of sex and age driven differences in the gut microbiome characterize arthritis-susceptible* 0401 mice but not arthritis-resistant* 0402 mice&lt;/title&gt;&lt;secondary-title&gt;PloS one&lt;/secondary-title&gt;&lt;/titles&gt;&lt;periodical&gt;&lt;full-title&gt;PloS one&lt;/full-title&gt;&lt;/periodical&gt;&lt;pages&gt;e36095&lt;/pages&gt;&lt;volume&gt;7&lt;/volume&gt;&lt;number&gt;4&lt;/number&gt;&lt;dates&gt;&lt;year&gt;2012&lt;/year&gt;&lt;/dates&gt;&lt;isbn&gt;1932-6203&lt;/isbn&gt;&lt;urls&gt;&lt;/urls&gt;&lt;/record&gt;&lt;/Cite&gt;&lt;/EndNote&gt;</w:instrText>
      </w:r>
      <w:r w:rsidR="005B1A89" w:rsidRPr="00B75A2A">
        <w:rPr>
          <w:lang w:val="en-US"/>
        </w:rPr>
        <w:fldChar w:fldCharType="separate"/>
      </w:r>
      <w:r w:rsidR="00CF202C" w:rsidRPr="00B75A2A">
        <w:rPr>
          <w:noProof/>
          <w:lang w:val="en-US"/>
        </w:rPr>
        <w:t>[17]</w:t>
      </w:r>
      <w:r w:rsidR="005B1A89" w:rsidRPr="00B75A2A">
        <w:rPr>
          <w:lang w:val="en-US"/>
        </w:rPr>
        <w:fldChar w:fldCharType="end"/>
      </w:r>
      <w:r w:rsidR="005B1A89" w:rsidRPr="00B75A2A">
        <w:rPr>
          <w:lang w:val="en-US"/>
        </w:rPr>
        <w:t>.</w:t>
      </w:r>
      <w:r w:rsidR="004A2877" w:rsidRPr="00B75A2A">
        <w:rPr>
          <w:lang w:val="en-US"/>
        </w:rPr>
        <w:t xml:space="preserve"> Likewise, research in humans with HLA-DR genotype has revealed a lower microbial diversity which is associated with a greater risk of developing coeliac disease </w:t>
      </w:r>
      <w:r w:rsidR="005B1A89" w:rsidRPr="00B75A2A">
        <w:rPr>
          <w:lang w:val="en-US"/>
        </w:rPr>
        <w:fldChar w:fldCharType="begin"/>
      </w:r>
      <w:r w:rsidR="00CF202C" w:rsidRPr="00B75A2A">
        <w:rPr>
          <w:lang w:val="en-US"/>
        </w:rPr>
        <w:instrText xml:space="preserve"> ADDIN EN.CITE &lt;EndNote&gt;&lt;Cite&gt;&lt;Author&gt;De Palma&lt;/Author&gt;&lt;Year&gt;2012&lt;/Year&gt;&lt;RecNum&gt;17&lt;/RecNum&gt;&lt;DisplayText&gt;[18]&lt;/DisplayText&gt;&lt;record&gt;&lt;rec-number&gt;17&lt;/rec-number&gt;&lt;foreign-keys&gt;&lt;key app="EN" db-id="awxxrz9fkt00vzea5p4pvvvzpt9fezd52xt5" timestamp="1668693132"&gt;17&lt;/key&gt;&lt;/foreign-keys&gt;&lt;ref-type name="Journal Article"&gt;17&lt;/ref-type&gt;&lt;contributors&gt;&lt;authors&gt;&lt;author&gt;De Palma, Giada&lt;/author&gt;&lt;author&gt;Capilla, Amalia&lt;/author&gt;&lt;author&gt;Nova, Esther&lt;/author&gt;&lt;author&gt;Castillejo, Gemma&lt;/author&gt;&lt;author&gt;Varea, Vicente&lt;/author&gt;&lt;author&gt;Pozo, Tamara&lt;/author&gt;&lt;author&gt;Garrote, José Antonio&lt;/author&gt;&lt;author&gt;Polanco, Isabel&lt;/author&gt;&lt;author&gt;López, Ana&lt;/author&gt;&lt;author&gt;Ribes-Koninckx, Carmen&lt;/author&gt;&lt;/authors&gt;&lt;/contributors&gt;&lt;titles&gt;&lt;title&gt;Influence of milk-feeding type and genetic risk of developing coeliac disease on intestinal microbiota of infants: the PROFICEL study&lt;/title&gt;&lt;secondary-title&gt;PloS one&lt;/secondary-title&gt;&lt;/titles&gt;&lt;periodical&gt;&lt;full-title&gt;PloS one&lt;/full-title&gt;&lt;/periodical&gt;&lt;pages&gt;e30791&lt;/pages&gt;&lt;volume&gt;7&lt;/volume&gt;&lt;number&gt;2&lt;/number&gt;&lt;dates&gt;&lt;year&gt;2012&lt;/year&gt;&lt;/dates&gt;&lt;isbn&gt;1932-6203&lt;/isbn&gt;&lt;urls&gt;&lt;/urls&gt;&lt;/record&gt;&lt;/Cite&gt;&lt;/EndNote&gt;</w:instrText>
      </w:r>
      <w:r w:rsidR="005B1A89" w:rsidRPr="00B75A2A">
        <w:rPr>
          <w:lang w:val="en-US"/>
        </w:rPr>
        <w:fldChar w:fldCharType="separate"/>
      </w:r>
      <w:r w:rsidR="00CF202C" w:rsidRPr="00B75A2A">
        <w:rPr>
          <w:noProof/>
          <w:lang w:val="en-US"/>
        </w:rPr>
        <w:t>[18]</w:t>
      </w:r>
      <w:r w:rsidR="005B1A89" w:rsidRPr="00B75A2A">
        <w:rPr>
          <w:lang w:val="en-US"/>
        </w:rPr>
        <w:fldChar w:fldCharType="end"/>
      </w:r>
      <w:r w:rsidR="004A2877" w:rsidRPr="00B75A2A">
        <w:rPr>
          <w:lang w:val="en-US"/>
        </w:rPr>
        <w:t xml:space="preserve">, as well as ankylosing spondylitis and rheumatoid arthritis </w:t>
      </w:r>
      <w:r w:rsidR="005B1A89" w:rsidRPr="00B75A2A">
        <w:rPr>
          <w:lang w:val="en-US"/>
        </w:rPr>
        <w:fldChar w:fldCharType="begin"/>
      </w:r>
      <w:r w:rsidR="00CF202C" w:rsidRPr="00B75A2A">
        <w:rPr>
          <w:lang w:val="en-US"/>
        </w:rPr>
        <w:instrText xml:space="preserve"> ADDIN EN.CITE &lt;EndNote&gt;&lt;Cite&gt;&lt;Author&gt;Xu&lt;/Author&gt;&lt;Year&gt;2019&lt;/Year&gt;&lt;RecNum&gt;18&lt;/RecNum&gt;&lt;DisplayText&gt;[19]&lt;/DisplayText&gt;&lt;record&gt;&lt;rec-number&gt;18&lt;/rec-number&gt;&lt;foreign-keys&gt;&lt;key app="EN" db-id="awxxrz9fkt00vzea5p4pvvvzpt9fezd52xt5" timestamp="1668693132"&gt;18&lt;/key&gt;&lt;/foreign-keys&gt;&lt;ref-type name="Journal Article"&gt;17&lt;/ref-type&gt;&lt;contributors&gt;&lt;authors&gt;&lt;author&gt;Xu, Huji&lt;/author&gt;&lt;author&gt;Yin, Jian&lt;/author&gt;&lt;/authors&gt;&lt;/contributors&gt;&lt;titles&gt;&lt;title&gt;HLA risk alleles and gut microbiome in ankylosing spondylitis and rheumatoid arthritis&lt;/title&gt;&lt;secondary-title&gt;Best Practice &amp;amp; Research Clinical Rheumatology&lt;/secondary-title&gt;&lt;/titles&gt;&lt;periodical&gt;&lt;full-title&gt;Best Practice &amp;amp; Research Clinical Rheumatology&lt;/full-title&gt;&lt;/periodical&gt;&lt;pages&gt;101499&lt;/pages&gt;&lt;volume&gt;33&lt;/volume&gt;&lt;number&gt;6&lt;/number&gt;&lt;dates&gt;&lt;year&gt;2019&lt;/year&gt;&lt;/dates&gt;&lt;isbn&gt;1521-6942&lt;/isbn&gt;&lt;urls&gt;&lt;/urls&gt;&lt;/record&gt;&lt;/Cite&gt;&lt;/EndNote&gt;</w:instrText>
      </w:r>
      <w:r w:rsidR="005B1A89" w:rsidRPr="00B75A2A">
        <w:rPr>
          <w:lang w:val="en-US"/>
        </w:rPr>
        <w:fldChar w:fldCharType="separate"/>
      </w:r>
      <w:r w:rsidR="00CF202C" w:rsidRPr="00B75A2A">
        <w:rPr>
          <w:noProof/>
          <w:lang w:val="en-US"/>
        </w:rPr>
        <w:t>[19]</w:t>
      </w:r>
      <w:r w:rsidR="005B1A89" w:rsidRPr="00B75A2A">
        <w:rPr>
          <w:lang w:val="en-US"/>
        </w:rPr>
        <w:fldChar w:fldCharType="end"/>
      </w:r>
      <w:r w:rsidR="004A2877" w:rsidRPr="00B75A2A">
        <w:rPr>
          <w:lang w:val="en-US"/>
        </w:rPr>
        <w:t>. MHC II is a complex of protein subunits involved in antigen presentation to T cells and which is responsible for the development of an adaptive immune response to infection</w:t>
      </w:r>
      <w:r w:rsidR="005B1A89" w:rsidRPr="00B75A2A">
        <w:rPr>
          <w:lang w:val="en-US"/>
        </w:rPr>
        <w:t xml:space="preserve"> </w:t>
      </w:r>
      <w:r w:rsidR="005B1A89" w:rsidRPr="00B75A2A">
        <w:rPr>
          <w:lang w:val="en-US"/>
        </w:rPr>
        <w:fldChar w:fldCharType="begin"/>
      </w:r>
      <w:r w:rsidR="00CF202C" w:rsidRPr="00B75A2A">
        <w:rPr>
          <w:lang w:val="en-US"/>
        </w:rPr>
        <w:instrText xml:space="preserve"> ADDIN EN.CITE &lt;EndNote&gt;&lt;Cite&gt;&lt;Author&gt;Zakharova&lt;/Author&gt;&lt;Year&gt;2019&lt;/Year&gt;&lt;RecNum&gt;19&lt;/RecNum&gt;&lt;DisplayText&gt;[20]&lt;/DisplayText&gt;&lt;record&gt;&lt;rec-number&gt;19&lt;/rec-number&gt;&lt;foreign-keys&gt;&lt;key app="EN" db-id="awxxrz9fkt00vzea5p4pvvvzpt9fezd52xt5" timestamp="1668693132"&gt;19&lt;/key&gt;&lt;/foreign-keys&gt;&lt;ref-type name="Journal Article"&gt;17&lt;/ref-type&gt;&lt;contributors&gt;&lt;authors&gt;&lt;author&gt;Zakharova, M Yu&lt;/author&gt;&lt;author&gt;Belyanina, TA&lt;/author&gt;&lt;author&gt;Sokolov, AV&lt;/author&gt;&lt;author&gt;Kiselev, IS&lt;/author&gt;&lt;author&gt;Mamedov, AE&lt;/author&gt;&lt;/authors&gt;&lt;/contributors&gt;&lt;titles&gt;&lt;title&gt;The contribution of major histocompatibility complex class II genes to an association with autoimmune diseases&lt;/title&gt;&lt;secondary-title&gt;Acta Naturae (англоязычная версия)&lt;/secondary-title&gt;&lt;/titles&gt;&lt;periodical&gt;&lt;full-title&gt;Acta Naturae (англоязычная версия)&lt;/full-title&gt;&lt;/periodical&gt;&lt;volume&gt;11&lt;/volume&gt;&lt;number&gt;4 (43)&lt;/number&gt;&lt;dates&gt;&lt;year&gt;2019&lt;/year&gt;&lt;/dates&gt;&lt;isbn&gt;2075-8251&lt;/isbn&gt;&lt;urls&gt;&lt;/urls&gt;&lt;/record&gt;&lt;/Cite&gt;&lt;/EndNote&gt;</w:instrText>
      </w:r>
      <w:r w:rsidR="005B1A89" w:rsidRPr="00B75A2A">
        <w:rPr>
          <w:lang w:val="en-US"/>
        </w:rPr>
        <w:fldChar w:fldCharType="separate"/>
      </w:r>
      <w:r w:rsidR="00CF202C" w:rsidRPr="00B75A2A">
        <w:rPr>
          <w:noProof/>
          <w:lang w:val="en-US"/>
        </w:rPr>
        <w:t>[20]</w:t>
      </w:r>
      <w:r w:rsidR="005B1A89" w:rsidRPr="00B75A2A">
        <w:rPr>
          <w:lang w:val="en-US"/>
        </w:rPr>
        <w:fldChar w:fldCharType="end"/>
      </w:r>
      <w:r w:rsidR="004A2877" w:rsidRPr="00B75A2A">
        <w:rPr>
          <w:lang w:val="en-US"/>
        </w:rPr>
        <w:t xml:space="preserve">. CD74 is a subunit of MHC Class II and is expressed in intestinal and gastric epithelial cells </w:t>
      </w:r>
      <w:r w:rsidR="005B1A89" w:rsidRPr="00B75A2A">
        <w:rPr>
          <w:lang w:val="en-US"/>
        </w:rPr>
        <w:fldChar w:fldCharType="begin"/>
      </w:r>
      <w:r w:rsidR="00CF202C" w:rsidRPr="00B75A2A">
        <w:rPr>
          <w:lang w:val="en-US"/>
        </w:rPr>
        <w:instrText xml:space="preserve"> ADDIN EN.CITE &lt;EndNote&gt;&lt;Cite&gt;&lt;Author&gt;Beswick&lt;/Author&gt;&lt;Year&gt;2009&lt;/Year&gt;&lt;RecNum&gt;20&lt;/RecNum&gt;&lt;DisplayText&gt;[21]&lt;/DisplayText&gt;&lt;record&gt;&lt;rec-number&gt;20&lt;/rec-number&gt;&lt;foreign-keys&gt;&lt;key app="EN" db-id="awxxrz9fkt00vzea5p4pvvvzpt9fezd52xt5" timestamp="1668693132"&gt;20&lt;/key&gt;&lt;/foreign-keys&gt;&lt;ref-type name="Journal Article"&gt;17&lt;/ref-type&gt;&lt;contributors&gt;&lt;authors&gt;&lt;author&gt;Beswick, Ellen J&lt;/author&gt;&lt;author&gt;Reyes, Victor E&lt;/author&gt;&lt;/authors&gt;&lt;/contributors&gt;&lt;titles&gt;&lt;title&gt;CD74 in antigen presentation, inflammation, and cancers of the gastrointestinal tract&lt;/title&gt;&lt;secondary-title&gt;World journal of gastroenterology: WJG&lt;/secondary-title&gt;&lt;/titles&gt;&lt;periodical&gt;&lt;full-title&gt;World journal of gastroenterology: WJG&lt;/full-title&gt;&lt;/periodical&gt;&lt;pages&gt;2855&lt;/pages&gt;&lt;volume&gt;15&lt;/volume&gt;&lt;number&gt;23&lt;/number&gt;&lt;dates&gt;&lt;year&gt;2009&lt;/year&gt;&lt;/dates&gt;&lt;urls&gt;&lt;/urls&gt;&lt;/record&gt;&lt;/Cite&gt;&lt;/EndNote&gt;</w:instrText>
      </w:r>
      <w:r w:rsidR="005B1A89" w:rsidRPr="00B75A2A">
        <w:rPr>
          <w:lang w:val="en-US"/>
        </w:rPr>
        <w:fldChar w:fldCharType="separate"/>
      </w:r>
      <w:r w:rsidR="00CF202C" w:rsidRPr="00B75A2A">
        <w:rPr>
          <w:noProof/>
          <w:lang w:val="en-US"/>
        </w:rPr>
        <w:t>[21]</w:t>
      </w:r>
      <w:r w:rsidR="005B1A89" w:rsidRPr="00B75A2A">
        <w:rPr>
          <w:lang w:val="en-US"/>
        </w:rPr>
        <w:fldChar w:fldCharType="end"/>
      </w:r>
      <w:r w:rsidR="004A2877" w:rsidRPr="00B75A2A">
        <w:rPr>
          <w:lang w:val="en-US"/>
        </w:rPr>
        <w:t xml:space="preserve">. Low expression of CD74 may compromise antigen presentation in the gut, leading to subsequent impaired immune system in response to gut dysbiosis </w:t>
      </w:r>
      <w:r w:rsidR="005B1A89" w:rsidRPr="00B75A2A">
        <w:rPr>
          <w:lang w:val="en-US"/>
        </w:rPr>
        <w:fldChar w:fldCharType="begin"/>
      </w:r>
      <w:r w:rsidR="00CF202C" w:rsidRPr="00B75A2A">
        <w:rPr>
          <w:lang w:val="en-US"/>
        </w:rPr>
        <w:instrText xml:space="preserve"> ADDIN EN.CITE &lt;EndNote&gt;&lt;Cite&gt;&lt;Author&gt;Li&lt;/Author&gt;&lt;Year&gt;2021&lt;/Year&gt;&lt;RecNum&gt;21&lt;/RecNum&gt;&lt;DisplayText&gt;[22]&lt;/DisplayText&gt;&lt;record&gt;&lt;rec-number&gt;21&lt;/rec-number&gt;&lt;foreign-keys&gt;&lt;key app="EN" db-id="awxxrz9fkt00vzea5p4pvvvzpt9fezd52xt5" timestamp="1668693132"&gt;21&lt;/key&gt;&lt;/foreign-keys&gt;&lt;ref-type name="Journal Article"&gt;17&lt;/ref-type&gt;&lt;contributors&gt;&lt;authors&gt;&lt;author&gt;Li, Jing&lt;/author&gt;&lt;author&gt;Richards, Elaine M&lt;/author&gt;&lt;author&gt;Handberg, Eileen M&lt;/author&gt;&lt;author&gt;Pepine, Carl J&lt;/author&gt;&lt;author&gt;Raizada, Mohan K&lt;/author&gt;&lt;/authors&gt;&lt;/contributors&gt;&lt;titles&gt;&lt;title&gt;Distinct Gene Expression Profiles in Colonic Organoids from Normotensive and the Spontaneously Hypertensive Rats&lt;/title&gt;&lt;secondary-title&gt;Cells&lt;/secondary-title&gt;&lt;/titles&gt;&lt;periodical&gt;&lt;full-title&gt;Cells&lt;/full-title&gt;&lt;/periodical&gt;&lt;pages&gt;1523&lt;/pages&gt;&lt;volume&gt;10&lt;/volume&gt;&lt;number&gt;6&lt;/number&gt;&lt;dates&gt;&lt;year&gt;2021&lt;/year&gt;&lt;/dates&gt;&lt;urls&gt;&lt;/urls&gt;&lt;/record&gt;&lt;/Cite&gt;&lt;/EndNote&gt;</w:instrText>
      </w:r>
      <w:r w:rsidR="005B1A89" w:rsidRPr="00B75A2A">
        <w:rPr>
          <w:lang w:val="en-US"/>
        </w:rPr>
        <w:fldChar w:fldCharType="separate"/>
      </w:r>
      <w:r w:rsidR="00CF202C" w:rsidRPr="00B75A2A">
        <w:rPr>
          <w:noProof/>
          <w:lang w:val="en-US"/>
        </w:rPr>
        <w:t>[22]</w:t>
      </w:r>
      <w:r w:rsidR="005B1A89" w:rsidRPr="00B75A2A">
        <w:rPr>
          <w:lang w:val="en-US"/>
        </w:rPr>
        <w:fldChar w:fldCharType="end"/>
      </w:r>
      <w:r w:rsidR="004A2877" w:rsidRPr="00B75A2A">
        <w:rPr>
          <w:lang w:val="en-US"/>
        </w:rPr>
        <w:t xml:space="preserve">. </w:t>
      </w:r>
      <w:r w:rsidR="0040075C" w:rsidRPr="00B75A2A">
        <w:rPr>
          <w:lang w:val="en-US"/>
        </w:rPr>
        <w:t xml:space="preserve">The major source of intestinal MHC Class II expression is </w:t>
      </w:r>
      <w:r w:rsidR="004E7AC0">
        <w:rPr>
          <w:lang w:val="en-US"/>
        </w:rPr>
        <w:t xml:space="preserve">likely to be </w:t>
      </w:r>
      <w:r w:rsidR="0040075C" w:rsidRPr="00B75A2A">
        <w:rPr>
          <w:lang w:val="en-US"/>
        </w:rPr>
        <w:t>gut macrophages.  These innate immune cells have previously been identified as having an altered phenotype in older mice, driven by microbial dysbiosis, leading to increased cytokine production but lower bacterial killing capacity</w:t>
      </w:r>
      <w:r w:rsidR="00CF202C" w:rsidRPr="00B75A2A">
        <w:rPr>
          <w:lang w:val="en-US"/>
        </w:rPr>
        <w:t xml:space="preserve"> </w:t>
      </w:r>
      <w:r w:rsidR="00CF202C" w:rsidRPr="00B75A2A">
        <w:rPr>
          <w:lang w:val="en-US"/>
        </w:rPr>
        <w:fldChar w:fldCharType="begin"/>
      </w:r>
      <w:r w:rsidR="00CF202C" w:rsidRPr="00B75A2A">
        <w:rPr>
          <w:lang w:val="en-US"/>
        </w:rPr>
        <w:instrText xml:space="preserve"> ADDIN EN.CITE &lt;EndNote&gt;&lt;Cite&gt;&lt;Author&gt;Thevaranjan&lt;/Author&gt;&lt;Year&gt;2017&lt;/Year&gt;&lt;RecNum&gt;93&lt;/RecNum&gt;&lt;DisplayText&gt;[14]&lt;/DisplayText&gt;&lt;record&gt;&lt;rec-number&gt;93&lt;/rec-number&gt;&lt;foreign-keys&gt;&lt;key app="EN" db-id="awxxrz9fkt00vzea5p4pvvvzpt9fezd52xt5" timestamp="1668696029"&gt;93&lt;/key&gt;&lt;/foreign-keys&gt;&lt;ref-type name="Journal Article"&gt;17&lt;/ref-type&gt;&lt;contributors&gt;&lt;authors&gt;&lt;author&gt;Thevaranjan, Netusha&lt;/author&gt;&lt;author&gt;Puchta, Alicja&lt;/author&gt;&lt;author&gt;Schulz, Christian&lt;/author&gt;&lt;author&gt;Naidoo, Avee&lt;/author&gt;&lt;author&gt;Szamosi, JC&lt;/author&gt;&lt;author&gt;Verschoor, Chris P&lt;/author&gt;&lt;author&gt;Loukov, Dessi&lt;/author&gt;&lt;author&gt;Schenck, Louis P&lt;/author&gt;&lt;author&gt;Jury, Jennifer&lt;/author&gt;&lt;author&gt;Foley, Kevin P&lt;/author&gt;&lt;/authors&gt;&lt;/contributors&gt;&lt;titles&gt;&lt;title&gt;Age-associated microbial dysbiosis promotes intestinal permeability, systemic inflammation, and macrophage dysfunction&lt;/title&gt;&lt;secondary-title&gt;Cell host &amp;amp; microbe&lt;/secondary-title&gt;&lt;/titles&gt;&lt;periodical&gt;&lt;full-title&gt;Cell host &amp;amp; microbe&lt;/full-title&gt;&lt;/periodical&gt;&lt;pages&gt;455-466. e4&lt;/pages&gt;&lt;volume&gt;21&lt;/volume&gt;&lt;number&gt;4&lt;/number&gt;&lt;dates&gt;&lt;year&gt;2017&lt;/year&gt;&lt;/dates&gt;&lt;isbn&gt;1931-3128&lt;/isbn&gt;&lt;urls&gt;&lt;/urls&gt;&lt;/record&gt;&lt;/Cite&gt;&lt;/EndNote&gt;</w:instrText>
      </w:r>
      <w:r w:rsidR="00CF202C" w:rsidRPr="00B75A2A">
        <w:rPr>
          <w:lang w:val="en-US"/>
        </w:rPr>
        <w:fldChar w:fldCharType="separate"/>
      </w:r>
      <w:r w:rsidR="00CF202C" w:rsidRPr="00B75A2A">
        <w:rPr>
          <w:noProof/>
          <w:lang w:val="en-US"/>
        </w:rPr>
        <w:t>[14]</w:t>
      </w:r>
      <w:r w:rsidR="00CF202C" w:rsidRPr="00B75A2A">
        <w:rPr>
          <w:lang w:val="en-US"/>
        </w:rPr>
        <w:fldChar w:fldCharType="end"/>
      </w:r>
      <w:r w:rsidR="0040075C" w:rsidRPr="00B75A2A">
        <w:rPr>
          <w:lang w:val="en-US"/>
        </w:rPr>
        <w:t xml:space="preserve">. </w:t>
      </w:r>
      <w:r w:rsidR="004A2877" w:rsidRPr="00B75A2A">
        <w:rPr>
          <w:lang w:val="en-US"/>
        </w:rPr>
        <w:t>ERAP1 plays a key role in the cleavage of antigens in the endoplasmic reticulum for expression on MHC I molecules</w:t>
      </w:r>
      <w:r w:rsidR="005B1A89" w:rsidRPr="00B75A2A">
        <w:rPr>
          <w:lang w:val="en-US"/>
        </w:rPr>
        <w:t xml:space="preserve"> </w:t>
      </w:r>
      <w:r w:rsidR="005B1A89" w:rsidRPr="00B75A2A">
        <w:rPr>
          <w:lang w:val="en-US"/>
        </w:rPr>
        <w:fldChar w:fldCharType="begin"/>
      </w:r>
      <w:r w:rsidR="00CF202C" w:rsidRPr="00B75A2A">
        <w:rPr>
          <w:lang w:val="en-US"/>
        </w:rPr>
        <w:instrText xml:space="preserve"> ADDIN EN.CITE &lt;EndNote&gt;&lt;Cite&gt;&lt;Author&gt;Melaiu&lt;/Author&gt;&lt;Year&gt;2020&lt;/Year&gt;&lt;RecNum&gt;22&lt;/RecNum&gt;&lt;DisplayText&gt;[23, 24]&lt;/DisplayText&gt;&lt;record&gt;&lt;rec-number&gt;22&lt;/rec-number&gt;&lt;foreign-keys&gt;&lt;key app="EN" db-id="awxxrz9fkt00vzea5p4pvvvzpt9fezd52xt5" timestamp="1668693132"&gt;22&lt;/key&gt;&lt;/foreign-keys&gt;&lt;ref-type name="Journal Article"&gt;17&lt;/ref-type&gt;&lt;contributors&gt;&lt;authors&gt;&lt;author&gt;Melaiu, Ombretta&lt;/author&gt;&lt;author&gt;D’amico, Silvia&lt;/author&gt;&lt;author&gt;Tempora, Patrizia&lt;/author&gt;&lt;author&gt;Lucarini, Valeria&lt;/author&gt;&lt;author&gt;Fruci, Doriana&lt;/author&gt;&lt;/authors&gt;&lt;/contributors&gt;&lt;titles&gt;&lt;title&gt;Impact of Natural Occurring ERAP1 Single Nucleotide Polymorphisms within miRNA-Binding Sites on HCMV Infection&lt;/title&gt;&lt;secondary-title&gt;International Journal of Molecular Sciences&lt;/secondary-title&gt;&lt;/titles&gt;&lt;periodical&gt;&lt;full-title&gt;International Journal of Molecular Sciences&lt;/full-title&gt;&lt;/periodical&gt;&lt;pages&gt;5861&lt;/pages&gt;&lt;volume&gt;21&lt;/volume&gt;&lt;number&gt;16&lt;/number&gt;&lt;dates&gt;&lt;year&gt;2020&lt;/year&gt;&lt;/dates&gt;&lt;urls&gt;&lt;/urls&gt;&lt;/record&gt;&lt;/Cite&gt;&lt;Cite&gt;&lt;Author&gt;York&lt;/Author&gt;&lt;Year&gt;2002&lt;/Year&gt;&lt;RecNum&gt;23&lt;/RecNum&gt;&lt;record&gt;&lt;rec-number&gt;23&lt;/rec-number&gt;&lt;foreign-keys&gt;&lt;key app="EN" db-id="awxxrz9fkt00vzea5p4pvvvzpt9fezd52xt5" timestamp="1668693132"&gt;23&lt;/key&gt;&lt;/foreign-keys&gt;&lt;ref-type name="Journal Article"&gt;17&lt;/ref-type&gt;&lt;contributors&gt;&lt;authors&gt;&lt;author&gt;York, Ian A&lt;/author&gt;&lt;author&gt;Chang, Shih-Chung&lt;/author&gt;&lt;author&gt;Saric, Tomo&lt;/author&gt;&lt;author&gt;Keys, Jennifer A&lt;/author&gt;&lt;author&gt;Favreau, Janice M&lt;/author&gt;&lt;author&gt;Goldberg, Alfred L&lt;/author&gt;&lt;author&gt;Rock, Kenneth L&lt;/author&gt;&lt;/authors&gt;&lt;/contributors&gt;&lt;titles&gt;&lt;title&gt;The ER aminopeptidase ERAP1 enhances or limits antigen presentation by trimming epitopes to 8–9 residues&lt;/title&gt;&lt;secondary-title&gt;Nature immunology&lt;/secondary-title&gt;&lt;/titles&gt;&lt;periodical&gt;&lt;full-title&gt;Nature immunology&lt;/full-title&gt;&lt;/periodical&gt;&lt;pages&gt;1177-1184&lt;/pages&gt;&lt;volume&gt;3&lt;/volume&gt;&lt;number&gt;12&lt;/number&gt;&lt;dates&gt;&lt;year&gt;2002&lt;/year&gt;&lt;/dates&gt;&lt;isbn&gt;1529-2916&lt;/isbn&gt;&lt;urls&gt;&lt;/urls&gt;&lt;/record&gt;&lt;/Cite&gt;&lt;/EndNote&gt;</w:instrText>
      </w:r>
      <w:r w:rsidR="005B1A89" w:rsidRPr="00B75A2A">
        <w:rPr>
          <w:lang w:val="en-US"/>
        </w:rPr>
        <w:fldChar w:fldCharType="separate"/>
      </w:r>
      <w:r w:rsidR="00CF202C" w:rsidRPr="00B75A2A">
        <w:rPr>
          <w:noProof/>
          <w:lang w:val="en-US"/>
        </w:rPr>
        <w:t>[23, 24]</w:t>
      </w:r>
      <w:r w:rsidR="005B1A89" w:rsidRPr="00B75A2A">
        <w:rPr>
          <w:lang w:val="en-US"/>
        </w:rPr>
        <w:fldChar w:fldCharType="end"/>
      </w:r>
      <w:r w:rsidR="004A2877" w:rsidRPr="00B75A2A">
        <w:rPr>
          <w:lang w:val="en-US"/>
        </w:rPr>
        <w:t xml:space="preserve">. ERAP1 may modulate innate immunity as observed in mice lacking this protein which demonstrate higher inflammation levels </w:t>
      </w:r>
      <w:r w:rsidR="005B1A89" w:rsidRPr="00B75A2A">
        <w:rPr>
          <w:lang w:val="en-US"/>
        </w:rPr>
        <w:fldChar w:fldCharType="begin"/>
      </w:r>
      <w:r w:rsidR="00CF202C" w:rsidRPr="00B75A2A">
        <w:rPr>
          <w:lang w:val="en-US"/>
        </w:rPr>
        <w:instrText xml:space="preserve"> ADDIN EN.CITE &lt;EndNote&gt;&lt;Cite&gt;&lt;Author&gt;Aldhamen&lt;/Author&gt;&lt;Year&gt;2013&lt;/Year&gt;&lt;RecNum&gt;24&lt;/RecNum&gt;&lt;DisplayText&gt;[25]&lt;/DisplayText&gt;&lt;record&gt;&lt;rec-number&gt;24&lt;/rec-number&gt;&lt;foreign-keys&gt;&lt;key app="EN" db-id="awxxrz9fkt00vzea5p4pvvvzpt9fezd52xt5" timestamp="1668693132"&gt;24&lt;/key&gt;&lt;/foreign-keys&gt;&lt;ref-type name="Journal Article"&gt;17&lt;/ref-type&gt;&lt;contributors&gt;&lt;authors&gt;&lt;author&gt;Aldhamen, Yasser A&lt;/author&gt;&lt;author&gt;Seregin, Sergey S&lt;/author&gt;&lt;author&gt;Rastall, David PW&lt;/author&gt;&lt;author&gt;Aylsworth, Charles F&lt;/author&gt;&lt;author&gt;Pepelyayeva, Yuliya&lt;/author&gt;&lt;author&gt;Busuito, Christopher J&lt;/author&gt;&lt;author&gt;Godbehere-Roosa, Sarah&lt;/author&gt;&lt;author&gt;Kim, Sungjin&lt;/author&gt;&lt;author&gt;Amalfitano, Andrea&lt;/author&gt;&lt;/authors&gt;&lt;/contributors&gt;&lt;titles&gt;&lt;title&gt;Endoplasmic reticulum aminopeptidase-1 functions regulate key aspects of the innate immune response&lt;/title&gt;&lt;secondary-title&gt;PLoS One&lt;/secondary-title&gt;&lt;/titles&gt;&lt;periodical&gt;&lt;full-title&gt;PloS one&lt;/full-title&gt;&lt;/periodical&gt;&lt;pages&gt;e69539&lt;/pages&gt;&lt;volume&gt;8&lt;/volume&gt;&lt;number&gt;7&lt;/number&gt;&lt;dates&gt;&lt;year&gt;2013&lt;/year&gt;&lt;/dates&gt;&lt;isbn&gt;1932-6203&lt;/isbn&gt;&lt;urls&gt;&lt;/urls&gt;&lt;/record&gt;&lt;/Cite&gt;&lt;/EndNote&gt;</w:instrText>
      </w:r>
      <w:r w:rsidR="005B1A89" w:rsidRPr="00B75A2A">
        <w:rPr>
          <w:lang w:val="en-US"/>
        </w:rPr>
        <w:fldChar w:fldCharType="separate"/>
      </w:r>
      <w:r w:rsidR="00CF202C" w:rsidRPr="00B75A2A">
        <w:rPr>
          <w:noProof/>
          <w:lang w:val="en-US"/>
        </w:rPr>
        <w:t>[25]</w:t>
      </w:r>
      <w:r w:rsidR="005B1A89" w:rsidRPr="00B75A2A">
        <w:rPr>
          <w:lang w:val="en-US"/>
        </w:rPr>
        <w:fldChar w:fldCharType="end"/>
      </w:r>
      <w:r w:rsidR="004A2877" w:rsidRPr="00B75A2A">
        <w:rPr>
          <w:lang w:val="en-US"/>
        </w:rPr>
        <w:t xml:space="preserve">. Additionally, EPAP1 may aid in nitric oxide synthesis </w:t>
      </w:r>
      <w:r w:rsidR="005B1A89" w:rsidRPr="00B75A2A">
        <w:rPr>
          <w:lang w:val="en-US"/>
        </w:rPr>
        <w:fldChar w:fldCharType="begin"/>
      </w:r>
      <w:r w:rsidR="00CF202C" w:rsidRPr="00B75A2A">
        <w:rPr>
          <w:lang w:val="en-US"/>
        </w:rPr>
        <w:instrText xml:space="preserve"> ADDIN EN.CITE &lt;EndNote&gt;&lt;Cite&gt;&lt;Author&gt;Goto&lt;/Author&gt;&lt;Year&gt;2015&lt;/Year&gt;&lt;RecNum&gt;25&lt;/RecNum&gt;&lt;DisplayText&gt;[26]&lt;/DisplayText&gt;&lt;record&gt;&lt;rec-number&gt;25&lt;/rec-number&gt;&lt;foreign-keys&gt;&lt;key app="EN" db-id="awxxrz9fkt00vzea5p4pvvvzpt9fezd52xt5" timestamp="1668693132"&gt;25&lt;/key&gt;&lt;/foreign-keys&gt;&lt;ref-type name="Journal Article"&gt;17&lt;/ref-type&gt;&lt;contributors&gt;&lt;authors&gt;&lt;author&gt;Goto, Yoshikuni&lt;/author&gt;&lt;author&gt;Ogawa, Kenji&lt;/author&gt;&lt;author&gt;Nakamura, Takahiro J&lt;/author&gt;&lt;author&gt;Hattori, Akira&lt;/author&gt;&lt;author&gt;Tsujimoto, Masafumi&lt;/author&gt;&lt;/authors&gt;&lt;/contributors&gt;&lt;titles&gt;&lt;title&gt;Substrate-dependent nitric oxide synthesis by secreted endoplasmic reticulum aminopeptidase 1 in macrophages&lt;/title&gt;&lt;secondary-title&gt;The Journal of Biochemistry&lt;/secondary-title&gt;&lt;/titles&gt;&lt;periodical&gt;&lt;full-title&gt;The Journal of Biochemistry&lt;/full-title&gt;&lt;/periodical&gt;&lt;pages&gt;439-449&lt;/pages&gt;&lt;volume&gt;157&lt;/volume&gt;&lt;number&gt;6&lt;/number&gt;&lt;dates&gt;&lt;year&gt;2015&lt;/year&gt;&lt;/dates&gt;&lt;isbn&gt;1756-2651&lt;/isbn&gt;&lt;urls&gt;&lt;/urls&gt;&lt;/record&gt;&lt;/Cite&gt;&lt;/EndNote&gt;</w:instrText>
      </w:r>
      <w:r w:rsidR="005B1A89" w:rsidRPr="00B75A2A">
        <w:rPr>
          <w:lang w:val="en-US"/>
        </w:rPr>
        <w:fldChar w:fldCharType="separate"/>
      </w:r>
      <w:r w:rsidR="00CF202C" w:rsidRPr="00B75A2A">
        <w:rPr>
          <w:noProof/>
          <w:lang w:val="en-US"/>
        </w:rPr>
        <w:t>[26]</w:t>
      </w:r>
      <w:r w:rsidR="005B1A89" w:rsidRPr="00B75A2A">
        <w:rPr>
          <w:lang w:val="en-US"/>
        </w:rPr>
        <w:fldChar w:fldCharType="end"/>
      </w:r>
      <w:r w:rsidR="004A2877" w:rsidRPr="00B75A2A">
        <w:rPr>
          <w:lang w:val="en-US"/>
        </w:rPr>
        <w:t xml:space="preserve"> and facilitate in the shedding of IL-6, TNF-a, and IL-1 cytokine receptors from the plasma membrane </w:t>
      </w:r>
      <w:r w:rsidR="005B1A89" w:rsidRPr="00B75A2A">
        <w:rPr>
          <w:lang w:val="en-US"/>
        </w:rPr>
        <w:fldChar w:fldCharType="begin"/>
      </w:r>
      <w:r w:rsidR="00CF202C" w:rsidRPr="00B75A2A">
        <w:rPr>
          <w:lang w:val="en-US"/>
        </w:rPr>
        <w:instrText xml:space="preserve"> ADDIN EN.CITE &lt;EndNote&gt;&lt;Cite&gt;&lt;Author&gt;Reeves&lt;/Author&gt;&lt;Year&gt;2018&lt;/Year&gt;&lt;RecNum&gt;26&lt;/RecNum&gt;&lt;DisplayText&gt;[27]&lt;/DisplayText&gt;&lt;record&gt;&lt;rec-number&gt;26&lt;/rec-number&gt;&lt;foreign-keys&gt;&lt;key app="EN" db-id="awxxrz9fkt00vzea5p4pvvvzpt9fezd52xt5" timestamp="1668693132"&gt;26&lt;/key&gt;&lt;/foreign-keys&gt;&lt;ref-type name="Journal Article"&gt;17&lt;/ref-type&gt;&lt;contributors&gt;&lt;authors&gt;&lt;author&gt;Reeves, Emma&lt;/author&gt;&lt;author&gt;James, Edward&lt;/author&gt;&lt;/authors&gt;&lt;/contributors&gt;&lt;titles&gt;&lt;title&gt;The role of polymorphic ERAP1 in autoinflammatory disease&lt;/title&gt;&lt;secondary-title&gt;Bioscience reports&lt;/secondary-title&gt;&lt;/titles&gt;&lt;periodical&gt;&lt;full-title&gt;Bioscience reports&lt;/full-title&gt;&lt;/periodical&gt;&lt;volume&gt;38&lt;/volume&gt;&lt;number&gt;4&lt;/number&gt;&lt;dates&gt;&lt;year&gt;2018&lt;/year&gt;&lt;/dates&gt;&lt;isbn&gt;0144-8463&lt;/isbn&gt;&lt;urls&gt;&lt;/urls&gt;&lt;/record&gt;&lt;/Cite&gt;&lt;/EndNote&gt;</w:instrText>
      </w:r>
      <w:r w:rsidR="005B1A89" w:rsidRPr="00B75A2A">
        <w:rPr>
          <w:lang w:val="en-US"/>
        </w:rPr>
        <w:fldChar w:fldCharType="separate"/>
      </w:r>
      <w:r w:rsidR="00CF202C" w:rsidRPr="00B75A2A">
        <w:rPr>
          <w:noProof/>
          <w:lang w:val="en-US"/>
        </w:rPr>
        <w:t>[27]</w:t>
      </w:r>
      <w:r w:rsidR="005B1A89" w:rsidRPr="00B75A2A">
        <w:rPr>
          <w:lang w:val="en-US"/>
        </w:rPr>
        <w:fldChar w:fldCharType="end"/>
      </w:r>
      <w:r w:rsidR="004A2877" w:rsidRPr="00B75A2A">
        <w:rPr>
          <w:lang w:val="en-US"/>
        </w:rPr>
        <w:t xml:space="preserve">. Evidence has suggested that ERAP1 variants have an established role in autoimmune disorders, which has been described in ERAP1 deficient mice that exhibit reduced </w:t>
      </w:r>
      <w:r w:rsidR="004A2877" w:rsidRPr="00B75A2A">
        <w:rPr>
          <w:lang w:val="en-US"/>
        </w:rPr>
        <w:lastRenderedPageBreak/>
        <w:t xml:space="preserve">T and dendritic cell count, linked with ankylosing spondylitis </w:t>
      </w:r>
      <w:r w:rsidR="005B1A89" w:rsidRPr="00B75A2A">
        <w:rPr>
          <w:lang w:val="en-US"/>
        </w:rPr>
        <w:fldChar w:fldCharType="begin">
          <w:fldData xml:space="preserve">PEVuZE5vdGU+PENpdGU+PEF1dGhvcj5Db3J0ZXM8L0F1dGhvcj48WWVhcj4yMDE1PC9ZZWFyPjxS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</w:fldData>
        </w:fldChar>
      </w:r>
      <w:r w:rsidR="00CF202C" w:rsidRPr="00B75A2A">
        <w:rPr>
          <w:lang w:val="en-US"/>
        </w:rPr>
        <w:instrText xml:space="preserve"> ADDIN EN.CITE </w:instrText>
      </w:r>
      <w:r w:rsidR="00CF202C" w:rsidRPr="00B75A2A">
        <w:rPr>
          <w:lang w:val="en-US"/>
        </w:rPr>
        <w:fldChar w:fldCharType="begin">
          <w:fldData xml:space="preserve">PEVuZE5vdGU+PENpdGU+PEF1dGhvcj5Db3J0ZXM8L0F1dGhvcj48WWVhcj4yMDE1PC9ZZWFyPjxS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</w:fldData>
        </w:fldChar>
      </w:r>
      <w:r w:rsidR="00CF202C" w:rsidRPr="00B75A2A">
        <w:rPr>
          <w:lang w:val="en-US"/>
        </w:rPr>
        <w:instrText xml:space="preserve"> ADDIN EN.CITE.DATA </w:instrText>
      </w:r>
      <w:r w:rsidR="00CF202C" w:rsidRPr="00B75A2A">
        <w:rPr>
          <w:lang w:val="en-US"/>
        </w:rPr>
      </w:r>
      <w:r w:rsidR="00CF202C" w:rsidRPr="00B75A2A">
        <w:rPr>
          <w:lang w:val="en-US"/>
        </w:rPr>
        <w:fldChar w:fldCharType="end"/>
      </w:r>
      <w:r w:rsidR="005B1A89" w:rsidRPr="00B75A2A">
        <w:rPr>
          <w:lang w:val="en-US"/>
        </w:rPr>
      </w:r>
      <w:r w:rsidR="005B1A89" w:rsidRPr="00B75A2A">
        <w:rPr>
          <w:lang w:val="en-US"/>
        </w:rPr>
        <w:fldChar w:fldCharType="separate"/>
      </w:r>
      <w:r w:rsidR="00CF202C" w:rsidRPr="00B75A2A">
        <w:rPr>
          <w:noProof/>
          <w:lang w:val="en-US"/>
        </w:rPr>
        <w:t>[28, 29]</w:t>
      </w:r>
      <w:r w:rsidR="005B1A89" w:rsidRPr="00B75A2A">
        <w:rPr>
          <w:lang w:val="en-US"/>
        </w:rPr>
        <w:fldChar w:fldCharType="end"/>
      </w:r>
      <w:r w:rsidR="004A2877" w:rsidRPr="00B75A2A">
        <w:rPr>
          <w:lang w:val="en-US"/>
        </w:rPr>
        <w:t xml:space="preserve">. Interestingly, the gut microbiota has been proposed as potential mechanisms in driving the pathogenesis of ankylosing spondylitis, highlighting the immunomodulatory influence of a perturbed microbiome </w:t>
      </w:r>
      <w:r w:rsidR="005B1A89" w:rsidRPr="00B75A2A">
        <w:rPr>
          <w:lang w:val="en-US"/>
        </w:rPr>
        <w:fldChar w:fldCharType="begin"/>
      </w:r>
      <w:r w:rsidR="00CF202C" w:rsidRPr="00B75A2A">
        <w:rPr>
          <w:lang w:val="en-US"/>
        </w:rPr>
        <w:instrText xml:space="preserve"> ADDIN EN.CITE &lt;EndNote&gt;&lt;Cite&gt;&lt;Author&gt;Yin&lt;/Author&gt;&lt;Year&gt;2020&lt;/Year&gt;&lt;RecNum&gt;29&lt;/RecNum&gt;&lt;DisplayText&gt;[30]&lt;/DisplayText&gt;&lt;record&gt;&lt;rec-number&gt;29&lt;/rec-number&gt;&lt;foreign-keys&gt;&lt;key app="EN" db-id="awxxrz9fkt00vzea5p4pvvvzpt9fezd52xt5" timestamp="1668693132"&gt;29&lt;/key&gt;&lt;/foreign-keys&gt;&lt;ref-type name="Journal Article"&gt;17&lt;/ref-type&gt;&lt;contributors&gt;&lt;authors&gt;&lt;author&gt;Yin, Jian&lt;/author&gt;&lt;author&gt;Sternes, Peter Richard&lt;/author&gt;&lt;author&gt;Wang, Mingbang&lt;/author&gt;&lt;author&gt;Song, Jing&lt;/author&gt;&lt;author&gt;Morrison, Mark&lt;/author&gt;&lt;author&gt;Li, Ting&lt;/author&gt;&lt;author&gt;Zhou, Ling&lt;/author&gt;&lt;author&gt;Wu, Xin&lt;/author&gt;&lt;author&gt;He, Fusheng&lt;/author&gt;&lt;author&gt;Zhu, Jian&lt;/author&gt;&lt;/authors&gt;&lt;/contributors&gt;&lt;titles&gt;&lt;title&gt;Shotgun metagenomics reveals an enrichment of potentially cross-reactive bacterial epitopes in ankylosing spondylitis patients, as well as the effects of TNFi therapy upon microbiome composition&lt;/title&gt;&lt;secondary-title&gt;Annals of the Rheumatic Diseases&lt;/secondary-title&gt;&lt;/titles&gt;&lt;periodical&gt;&lt;full-title&gt;Annals of the Rheumatic Diseases&lt;/full-title&gt;&lt;/periodical&gt;&lt;pages&gt;132-140&lt;/pages&gt;&lt;volume&gt;79&lt;/volume&gt;&lt;number&gt;1&lt;/number&gt;&lt;dates&gt;&lt;year&gt;2020&lt;/year&gt;&lt;/dates&gt;&lt;isbn&gt;0003-4967&lt;/isbn&gt;&lt;urls&gt;&lt;/urls&gt;&lt;/record&gt;&lt;/Cite&gt;&lt;/EndNote&gt;</w:instrText>
      </w:r>
      <w:r w:rsidR="005B1A89" w:rsidRPr="00B75A2A">
        <w:rPr>
          <w:lang w:val="en-US"/>
        </w:rPr>
        <w:fldChar w:fldCharType="separate"/>
      </w:r>
      <w:r w:rsidR="00CF202C" w:rsidRPr="00B75A2A">
        <w:rPr>
          <w:noProof/>
          <w:lang w:val="en-US"/>
        </w:rPr>
        <w:t>[30]</w:t>
      </w:r>
      <w:r w:rsidR="005B1A89" w:rsidRPr="00B75A2A">
        <w:rPr>
          <w:lang w:val="en-US"/>
        </w:rPr>
        <w:fldChar w:fldCharType="end"/>
      </w:r>
      <w:r w:rsidR="004A2877" w:rsidRPr="00B75A2A">
        <w:rPr>
          <w:lang w:val="en-US"/>
        </w:rPr>
        <w:t xml:space="preserve">. </w:t>
      </w:r>
    </w:p>
    <w:p w14:paraId="06425DCC" w14:textId="77777777" w:rsidR="004A2877" w:rsidRPr="00B75A2A" w:rsidRDefault="004A2877" w:rsidP="00B75A2A">
      <w:pPr>
        <w:spacing w:line="480" w:lineRule="auto"/>
        <w:jc w:val="both"/>
        <w:rPr>
          <w:lang w:val="en-US"/>
        </w:rPr>
      </w:pPr>
    </w:p>
    <w:p w14:paraId="446EDAEE" w14:textId="77777777" w:rsidR="002802C3" w:rsidRPr="00B75A2A" w:rsidRDefault="002802C3" w:rsidP="00B75A2A">
      <w:pPr>
        <w:spacing w:line="480" w:lineRule="auto"/>
        <w:jc w:val="both"/>
        <w:rPr>
          <w:b/>
          <w:bCs/>
          <w:i/>
          <w:iCs/>
          <w:lang w:val="en-US"/>
        </w:rPr>
      </w:pPr>
      <w:r w:rsidRPr="00B75A2A">
        <w:rPr>
          <w:b/>
          <w:bCs/>
          <w:i/>
          <w:iCs/>
          <w:lang w:val="en-US"/>
        </w:rPr>
        <w:t>Chemokines, cytokines, and interferons</w:t>
      </w:r>
    </w:p>
    <w:p w14:paraId="4F6F3869" w14:textId="305564FF" w:rsidR="004A2877" w:rsidRPr="00B75A2A" w:rsidRDefault="009B484E" w:rsidP="00B75A2A">
      <w:pPr>
        <w:spacing w:line="480" w:lineRule="auto"/>
        <w:jc w:val="both"/>
      </w:pPr>
      <w:r w:rsidRPr="00B75A2A">
        <w:rPr>
          <w:lang w:val="en-US"/>
        </w:rPr>
        <w:t xml:space="preserve">Our analysis of DEGs from </w:t>
      </w:r>
      <w:r w:rsidRPr="00B75A2A">
        <w:t xml:space="preserve">recipient mice transplanted with old </w:t>
      </w:r>
      <w:r w:rsidR="00003F09" w:rsidRPr="00B75A2A">
        <w:t xml:space="preserve">gut </w:t>
      </w:r>
      <w:r w:rsidRPr="00B75A2A">
        <w:t>microbiota also predicted a down-regulation of genes in response to a decrease in expression of key cytokines (</w:t>
      </w:r>
      <w:proofErr w:type="spellStart"/>
      <w:r w:rsidRPr="00B75A2A">
        <w:t>IFNg</w:t>
      </w:r>
      <w:proofErr w:type="spellEnd"/>
      <w:r w:rsidRPr="00B75A2A">
        <w:t xml:space="preserve">, IL-1b, IL-27, IL-4, IL-2) involved in T cell activation and differentiation. </w:t>
      </w:r>
      <w:r w:rsidRPr="00B75A2A">
        <w:rPr>
          <w:lang w:val="en-US"/>
        </w:rPr>
        <w:t xml:space="preserve">Cytokines and chemokines </w:t>
      </w:r>
      <w:r w:rsidR="004A2877" w:rsidRPr="00B75A2A">
        <w:rPr>
          <w:lang w:val="en-US"/>
        </w:rPr>
        <w:t xml:space="preserve">have been proposed as potential mediators of intestinal barrier that may protect against microbiota-induced inflammation </w:t>
      </w:r>
      <w:r w:rsidR="005B1A89" w:rsidRPr="00B75A2A">
        <w:rPr>
          <w:lang w:val="en-US"/>
        </w:rPr>
        <w:fldChar w:fldCharType="begin"/>
      </w:r>
      <w:r w:rsidR="00CF202C" w:rsidRPr="00B75A2A">
        <w:rPr>
          <w:lang w:val="en-US"/>
        </w:rPr>
        <w:instrText xml:space="preserve"> ADDIN EN.CITE &lt;EndNote&gt;&lt;Cite&gt;&lt;Author&gt;Kim&lt;/Author&gt;&lt;Year&gt;2018&lt;/Year&gt;&lt;RecNum&gt;30&lt;/RecNum&gt;&lt;DisplayText&gt;[31]&lt;/DisplayText&gt;&lt;record&gt;&lt;rec-number&gt;30&lt;/rec-number&gt;&lt;foreign-keys&gt;&lt;key app="EN" db-id="awxxrz9fkt00vzea5p4pvvvzpt9fezd52xt5" timestamp="1668693133"&gt;30&lt;/key&gt;&lt;/foreign-keys&gt;&lt;ref-type name="Journal Article"&gt;17&lt;/ref-type&gt;&lt;contributors&gt;&lt;authors&gt;&lt;author&gt;Kim, Myunghoo&lt;/author&gt;&lt;author&gt;Galan, Carolina&lt;/author&gt;&lt;author&gt;Hill, Andrea A&lt;/author&gt;&lt;author&gt;Wu, Wan-Jung&lt;/author&gt;&lt;author&gt;Fehlner-Peach, Hannah&lt;/author&gt;&lt;author&gt;Song, Hyo Won&lt;/author&gt;&lt;author&gt;Schady, Deborah&lt;/author&gt;&lt;author&gt;Bettini, Matthew L&lt;/author&gt;&lt;author&gt;Simpson, Kenneth W&lt;/author&gt;&lt;author&gt;Longman, Randy S&lt;/author&gt;&lt;/authors&gt;&lt;/contributors&gt;&lt;titles&gt;&lt;title&gt;Critical role for the microbiota in CX3CR1+ intestinal mononuclear phagocyte regulation of intestinal T cell responses&lt;/title&gt;&lt;secondary-title&gt;Immunity&lt;/secondary-title&gt;&lt;/titles&gt;&lt;periodical&gt;&lt;full-title&gt;Immunity&lt;/full-title&gt;&lt;/periodical&gt;&lt;pages&gt;151-163. e5&lt;/pages&gt;&lt;volume&gt;49&lt;/volume&gt;&lt;number&gt;1&lt;/number&gt;&lt;dates&gt;&lt;year&gt;2018&lt;/year&gt;&lt;/dates&gt;&lt;isbn&gt;1074-7613&lt;/isbn&gt;&lt;urls&gt;&lt;/urls&gt;&lt;/record&gt;&lt;/Cite&gt;&lt;/EndNote&gt;</w:instrText>
      </w:r>
      <w:r w:rsidR="005B1A89" w:rsidRPr="00B75A2A">
        <w:rPr>
          <w:lang w:val="en-US"/>
        </w:rPr>
        <w:fldChar w:fldCharType="separate"/>
      </w:r>
      <w:r w:rsidR="00CF202C" w:rsidRPr="00B75A2A">
        <w:rPr>
          <w:noProof/>
          <w:lang w:val="en-US"/>
        </w:rPr>
        <w:t>[31]</w:t>
      </w:r>
      <w:r w:rsidR="005B1A89" w:rsidRPr="00B75A2A">
        <w:rPr>
          <w:lang w:val="en-US"/>
        </w:rPr>
        <w:fldChar w:fldCharType="end"/>
      </w:r>
      <w:r w:rsidR="004A2877" w:rsidRPr="00B75A2A">
        <w:rPr>
          <w:lang w:val="en-US"/>
        </w:rPr>
        <w:t xml:space="preserve">. XCL1 </w:t>
      </w:r>
      <w:r w:rsidR="00003F09" w:rsidRPr="00B75A2A">
        <w:rPr>
          <w:lang w:val="en-US"/>
        </w:rPr>
        <w:t xml:space="preserve">is a chemokine that </w:t>
      </w:r>
      <w:r w:rsidR="004A2877" w:rsidRPr="00B75A2A">
        <w:rPr>
          <w:lang w:val="en-US"/>
        </w:rPr>
        <w:t xml:space="preserve">has been proposed </w:t>
      </w:r>
      <w:r w:rsidRPr="00B75A2A">
        <w:rPr>
          <w:lang w:val="en-US"/>
        </w:rPr>
        <w:t xml:space="preserve">as </w:t>
      </w:r>
      <w:r w:rsidR="004A2877" w:rsidRPr="00B75A2A">
        <w:rPr>
          <w:lang w:val="en-US"/>
        </w:rPr>
        <w:t xml:space="preserve">a regulator of intestinal homeostasis. XCL-1-deficient mice have dysregulated gut milieu, </w:t>
      </w:r>
      <w:proofErr w:type="spellStart"/>
      <w:r w:rsidR="004A2877" w:rsidRPr="00B75A2A">
        <w:rPr>
          <w:lang w:val="en-US"/>
        </w:rPr>
        <w:t>characterised</w:t>
      </w:r>
      <w:proofErr w:type="spellEnd"/>
      <w:r w:rsidR="004A2877" w:rsidRPr="00B75A2A">
        <w:rPr>
          <w:lang w:val="en-US"/>
        </w:rPr>
        <w:t xml:space="preserve"> by increased Th1/Th17 cells and decreased Treg cells </w:t>
      </w:r>
      <w:r w:rsidR="005B1A89" w:rsidRPr="00B75A2A">
        <w:rPr>
          <w:lang w:val="en-US"/>
        </w:rPr>
        <w:fldChar w:fldCharType="begin"/>
      </w:r>
      <w:r w:rsidR="00CF202C" w:rsidRPr="00B75A2A">
        <w:rPr>
          <w:lang w:val="en-US"/>
        </w:rPr>
        <w:instrText xml:space="preserve"> ADDIN EN.CITE &lt;EndNote&gt;&lt;Cite&gt;&lt;Author&gt;Moreira&lt;/Author&gt;&lt;Year&gt;2021&lt;/Year&gt;&lt;RecNum&gt;31&lt;/RecNum&gt;&lt;DisplayText&gt;[32]&lt;/DisplayText&gt;&lt;record&gt;&lt;rec-number&gt;31&lt;/rec-number&gt;&lt;foreign-keys&gt;&lt;key app="EN" db-id="awxxrz9fkt00vzea5p4pvvvzpt9fezd52xt5" timestamp="1668693133"&gt;31&lt;/key&gt;&lt;/foreign-keys&gt;&lt;ref-type name="Journal Article"&gt;17&lt;/ref-type&gt;&lt;contributors&gt;&lt;authors&gt;&lt;author&gt;Moreira, Thais G&lt;/author&gt;&lt;author&gt;Mangani, Davide&lt;/author&gt;&lt;author&gt;Cox, Laura M&lt;/author&gt;&lt;author&gt;Leibowitz, Jeffrey&lt;/author&gt;&lt;author&gt;Lobo, Eduardo&lt;/author&gt;&lt;author&gt;Oliveira, Mariana A&lt;/author&gt;&lt;author&gt;Gauthier, Christian D&lt;/author&gt;&lt;author&gt;Nakagaki, Brenda N&lt;/author&gt;&lt;author&gt;Willocq, Valerie&lt;/author&gt;&lt;author&gt;Song, Anya&lt;/author&gt;&lt;/authors&gt;&lt;/contributors&gt;&lt;titles&gt;&lt;title&gt;PD-L1+ and XCR1+ dendritic cells are region-specific regulators of gut homeostasis&lt;/title&gt;&lt;secondary-title&gt;Nature Communications&lt;/secondary-title&gt;&lt;/titles&gt;&lt;periodical&gt;&lt;full-title&gt;Nature communications&lt;/full-title&gt;&lt;/periodical&gt;&lt;pages&gt;1-13&lt;/pages&gt;&lt;volume&gt;12&lt;/volume&gt;&lt;number&gt;1&lt;/number&gt;&lt;dates&gt;&lt;year&gt;2021&lt;/year&gt;&lt;/dates&gt;&lt;isbn&gt;2041-1723&lt;/isbn&gt;&lt;urls&gt;&lt;/urls&gt;&lt;/record&gt;&lt;/Cite&gt;&lt;/EndNote&gt;</w:instrText>
      </w:r>
      <w:r w:rsidR="005B1A89" w:rsidRPr="00B75A2A">
        <w:rPr>
          <w:lang w:val="en-US"/>
        </w:rPr>
        <w:fldChar w:fldCharType="separate"/>
      </w:r>
      <w:r w:rsidR="00CF202C" w:rsidRPr="00B75A2A">
        <w:rPr>
          <w:noProof/>
          <w:lang w:val="en-US"/>
        </w:rPr>
        <w:t>[32]</w:t>
      </w:r>
      <w:r w:rsidR="005B1A89" w:rsidRPr="00B75A2A">
        <w:rPr>
          <w:lang w:val="en-US"/>
        </w:rPr>
        <w:fldChar w:fldCharType="end"/>
      </w:r>
      <w:r w:rsidR="004A2877" w:rsidRPr="00B75A2A">
        <w:rPr>
          <w:lang w:val="en-US"/>
        </w:rPr>
        <w:t xml:space="preserve">. Mice with diminished intestinal T cells and accumulated dendritic cells in the gut upon have also been described upon XCL-1 deficiency </w:t>
      </w:r>
      <w:r w:rsidR="005B1A89" w:rsidRPr="00B75A2A">
        <w:rPr>
          <w:lang w:val="en-US"/>
        </w:rPr>
        <w:fldChar w:fldCharType="begin"/>
      </w:r>
      <w:r w:rsidR="00CF202C" w:rsidRPr="00B75A2A">
        <w:rPr>
          <w:lang w:val="en-US"/>
        </w:rPr>
        <w:instrText xml:space="preserve"> ADDIN EN.CITE &lt;EndNote&gt;&lt;Cite&gt;&lt;Author&gt;Ohta&lt;/Author&gt;&lt;Year&gt;2016&lt;/Year&gt;&lt;RecNum&gt;32&lt;/RecNum&gt;&lt;DisplayText&gt;[33]&lt;/DisplayText&gt;&lt;record&gt;&lt;rec-number&gt;32&lt;/rec-number&gt;&lt;foreign-keys&gt;&lt;key app="EN" db-id="awxxrz9fkt00vzea5p4pvvvzpt9fezd52xt5" timestamp="1668693133"&gt;32&lt;/key&gt;&lt;/foreign-keys&gt;&lt;ref-type name="Journal Article"&gt;17&lt;/ref-type&gt;&lt;contributors&gt;&lt;authors&gt;&lt;author&gt;Ohta, Tomokazu&lt;/author&gt;&lt;author&gt;Sugiyama, Masanaka&lt;/author&gt;&lt;author&gt;Hemmi, Hiroaki&lt;/author&gt;&lt;author&gt;Yamazaki, Chihiro&lt;/author&gt;&lt;author&gt;Okura, Soichiro&lt;/author&gt;&lt;author&gt;Sasaki, Izumi&lt;/author&gt;&lt;author&gt;Fukuda, Yuri&lt;/author&gt;&lt;author&gt;Orimo, Takashi&lt;/author&gt;&lt;author&gt;Ishii, Ken J&lt;/author&gt;&lt;author&gt;Hoshino, Katsuaki&lt;/author&gt;&lt;/authors&gt;&lt;/contributors&gt;&lt;titles&gt;&lt;title&gt;Crucial roles of XCR1-expressing dendritic cells and the XCR1-XCL1 chemokine axis in intestinal immune homeostasis&lt;/title&gt;&lt;secondary-title&gt;Scientific reports&lt;/secondary-title&gt;&lt;/titles&gt;&lt;periodical&gt;&lt;full-title&gt;Scientific reports&lt;/full-title&gt;&lt;/periodical&gt;&lt;pages&gt;1-11&lt;/pages&gt;&lt;volume&gt;6&lt;/volume&gt;&lt;number&gt;1&lt;/number&gt;&lt;dates&gt;&lt;year&gt;2016&lt;/year&gt;&lt;/dates&gt;&lt;isbn&gt;2045-2322&lt;/isbn&gt;&lt;urls&gt;&lt;/urls&gt;&lt;/record&gt;&lt;/Cite&gt;&lt;/EndNote&gt;</w:instrText>
      </w:r>
      <w:r w:rsidR="005B1A89" w:rsidRPr="00B75A2A">
        <w:rPr>
          <w:lang w:val="en-US"/>
        </w:rPr>
        <w:fldChar w:fldCharType="separate"/>
      </w:r>
      <w:r w:rsidR="00CF202C" w:rsidRPr="00B75A2A">
        <w:rPr>
          <w:noProof/>
          <w:lang w:val="en-US"/>
        </w:rPr>
        <w:t>[33]</w:t>
      </w:r>
      <w:r w:rsidR="005B1A89" w:rsidRPr="00B75A2A">
        <w:rPr>
          <w:lang w:val="en-US"/>
        </w:rPr>
        <w:fldChar w:fldCharType="end"/>
      </w:r>
      <w:r w:rsidR="004A2877" w:rsidRPr="00B75A2A">
        <w:rPr>
          <w:lang w:val="en-US"/>
        </w:rPr>
        <w:t>. CXCL9 is another key chemokine which may recruit T cells by binding to its CXCR3 receptor</w:t>
      </w:r>
      <w:r w:rsidR="005B1A89" w:rsidRPr="00B75A2A">
        <w:rPr>
          <w:lang w:val="en-US"/>
        </w:rPr>
        <w:t xml:space="preserve"> </w:t>
      </w:r>
      <w:r w:rsidR="005B1A89" w:rsidRPr="00B75A2A">
        <w:rPr>
          <w:lang w:val="en-US"/>
        </w:rPr>
        <w:fldChar w:fldCharType="begin"/>
      </w:r>
      <w:r w:rsidR="00CF202C" w:rsidRPr="00B75A2A">
        <w:rPr>
          <w:lang w:val="en-US"/>
        </w:rPr>
        <w:instrText xml:space="preserve"> ADDIN EN.CITE &lt;EndNote&gt;&lt;Cite&gt;&lt;Author&gt;Ochiai&lt;/Author&gt;&lt;Year&gt;2015&lt;/Year&gt;&lt;RecNum&gt;33&lt;/RecNum&gt;&lt;DisplayText&gt;[34]&lt;/DisplayText&gt;&lt;record&gt;&lt;rec-number&gt;33&lt;/rec-number&gt;&lt;foreign-keys&gt;&lt;key app="EN" db-id="awxxrz9fkt00vzea5p4pvvvzpt9fezd52xt5" timestamp="1668693133"&gt;33&lt;/key&gt;&lt;/foreign-keys&gt;&lt;ref-type name="Journal Article"&gt;17&lt;/ref-type&gt;&lt;contributors&gt;&lt;authors&gt;&lt;author&gt;Ochiai, Eri&lt;/author&gt;&lt;author&gt;Sa, Qila&lt;/author&gt;&lt;author&gt;Brogli, Morgan&lt;/author&gt;&lt;author&gt;Kudo, Tomoya&lt;/author&gt;&lt;author&gt;Wang, Xisheng&lt;/author&gt;&lt;author&gt;Dubey, Jitender P&lt;/author&gt;&lt;author&gt;Suzuki, Yasuhiro&lt;/author&gt;&lt;/authors&gt;&lt;/contributors&gt;&lt;titles&gt;&lt;title&gt;CXCL9 is important for recruiting immune T cells into the brain and inducing an accumulation of the T cells to the areas of tachyzoite proliferation to prevent reactivation of chronic cerebral infection with Toxoplasma gondii&lt;/title&gt;&lt;secondary-title&gt;The American journal of pathology&lt;/secondary-title&gt;&lt;/titles&gt;&lt;periodical&gt;&lt;full-title&gt;The American journal of pathology&lt;/full-title&gt;&lt;/periodical&gt;&lt;pages&gt;314-324&lt;/pages&gt;&lt;volume&gt;185&lt;/volume&gt;&lt;number&gt;2&lt;/number&gt;&lt;dates&gt;&lt;year&gt;2015&lt;/year&gt;&lt;/dates&gt;&lt;isbn&gt;0002-9440&lt;/isbn&gt;&lt;urls&gt;&lt;/urls&gt;&lt;/record&gt;&lt;/Cite&gt;&lt;/EndNote&gt;</w:instrText>
      </w:r>
      <w:r w:rsidR="005B1A89" w:rsidRPr="00B75A2A">
        <w:rPr>
          <w:lang w:val="en-US"/>
        </w:rPr>
        <w:fldChar w:fldCharType="separate"/>
      </w:r>
      <w:r w:rsidR="00CF202C" w:rsidRPr="00B75A2A">
        <w:rPr>
          <w:noProof/>
          <w:lang w:val="en-US"/>
        </w:rPr>
        <w:t>[34]</w:t>
      </w:r>
      <w:r w:rsidR="005B1A89" w:rsidRPr="00B75A2A">
        <w:rPr>
          <w:lang w:val="en-US"/>
        </w:rPr>
        <w:fldChar w:fldCharType="end"/>
      </w:r>
      <w:r w:rsidR="004A2877" w:rsidRPr="00B75A2A">
        <w:rPr>
          <w:lang w:val="en-US"/>
        </w:rPr>
        <w:t xml:space="preserve"> and inhibit intestinal cell apoptosis </w:t>
      </w:r>
      <w:r w:rsidR="005B1A89" w:rsidRPr="00B75A2A">
        <w:rPr>
          <w:lang w:val="en-US"/>
        </w:rPr>
        <w:fldChar w:fldCharType="begin"/>
      </w:r>
      <w:r w:rsidR="00CF202C" w:rsidRPr="00B75A2A">
        <w:rPr>
          <w:lang w:val="en-US"/>
        </w:rPr>
        <w:instrText xml:space="preserve"> ADDIN EN.CITE &lt;EndNote&gt;&lt;Cite&gt;&lt;Author&gt;Han&lt;/Author&gt;&lt;Year&gt;2011&lt;/Year&gt;&lt;RecNum&gt;34&lt;/RecNum&gt;&lt;DisplayText&gt;[35]&lt;/DisplayText&gt;&lt;record&gt;&lt;rec-number&gt;34&lt;/rec-number&gt;&lt;foreign-keys&gt;&lt;key app="EN" db-id="awxxrz9fkt00vzea5p4pvvvzpt9fezd52xt5" timestamp="1668693133"&gt;34&lt;/key&gt;&lt;/foreign-keys&gt;&lt;ref-type name="Journal Article"&gt;17&lt;/ref-type&gt;&lt;contributors&gt;&lt;authors&gt;&lt;author&gt;Han, Xiaodong&lt;/author&gt;&lt;author&gt;Wu, Zhenqian&lt;/author&gt;&lt;author&gt;Di, Jianzhong&lt;/author&gt;&lt;author&gt;Pan, Ye&lt;/author&gt;&lt;author&gt;Zhang, Hongwei&lt;/author&gt;&lt;author&gt;Du, Yibao&lt;/author&gt;&lt;author&gt;Cheng, Zhe&lt;/author&gt;&lt;author&gt;Jin, Zhiming&lt;/author&gt;&lt;author&gt;Wang, Zhigang&lt;/author&gt;&lt;author&gt;Zheng, Qi&lt;/author&gt;&lt;/authors&gt;&lt;/contributors&gt;&lt;titles&gt;&lt;title&gt;CXCL9 attenuated chemotherapy-induced intestinal mucositis by inhibiting proliferation and reducing apoptosis&lt;/title&gt;&lt;secondary-title&gt;Biomedicine &amp;amp; Pharmacotherapy&lt;/secondary-title&gt;&lt;/titles&gt;&lt;periodical&gt;&lt;full-title&gt;Biomedicine &amp;amp; Pharmacotherapy&lt;/full-title&gt;&lt;/periodical&gt;&lt;pages&gt;547-554&lt;/pages&gt;&lt;volume&gt;65&lt;/volume&gt;&lt;number&gt;8&lt;/number&gt;&lt;dates&gt;&lt;year&gt;2011&lt;/year&gt;&lt;/dates&gt;&lt;isbn&gt;0753-3322&lt;/isbn&gt;&lt;urls&gt;&lt;/urls&gt;&lt;/record&gt;&lt;/Cite&gt;&lt;/EndNote&gt;</w:instrText>
      </w:r>
      <w:r w:rsidR="005B1A89" w:rsidRPr="00B75A2A">
        <w:rPr>
          <w:lang w:val="en-US"/>
        </w:rPr>
        <w:fldChar w:fldCharType="separate"/>
      </w:r>
      <w:r w:rsidR="00CF202C" w:rsidRPr="00B75A2A">
        <w:rPr>
          <w:noProof/>
          <w:lang w:val="en-US"/>
        </w:rPr>
        <w:t>[35]</w:t>
      </w:r>
      <w:r w:rsidR="005B1A89" w:rsidRPr="00B75A2A">
        <w:rPr>
          <w:lang w:val="en-US"/>
        </w:rPr>
        <w:fldChar w:fldCharType="end"/>
      </w:r>
      <w:r w:rsidR="004A2877" w:rsidRPr="00B75A2A">
        <w:rPr>
          <w:lang w:val="en-US"/>
        </w:rPr>
        <w:t xml:space="preserve">, as shown in inflated and infected gut models </w:t>
      </w:r>
      <w:r w:rsidR="005B1A89" w:rsidRPr="00B75A2A">
        <w:rPr>
          <w:lang w:val="en-US"/>
        </w:rPr>
        <w:fldChar w:fldCharType="begin"/>
      </w:r>
      <w:r w:rsidR="00CF202C" w:rsidRPr="00B75A2A">
        <w:rPr>
          <w:lang w:val="en-US"/>
        </w:rPr>
        <w:instrText xml:space="preserve"> ADDIN EN.CITE &lt;EndNote&gt;&lt;Cite&gt;&lt;Author&gt;Reid-Yu&lt;/Author&gt;&lt;Year&gt;2015&lt;/Year&gt;&lt;RecNum&gt;35&lt;/RecNum&gt;&lt;DisplayText&gt;[36]&lt;/DisplayText&gt;&lt;record&gt;&lt;rec-number&gt;35&lt;/rec-number&gt;&lt;foreign-keys&gt;&lt;key app="EN" db-id="awxxrz9fkt00vzea5p4pvvvzpt9fezd52xt5" timestamp="1668693133"&gt;35&lt;/key&gt;&lt;/foreign-keys&gt;&lt;ref-type name="Journal Article"&gt;17&lt;/ref-type&gt;&lt;contributors&gt;&lt;authors&gt;&lt;author&gt;Reid-Yu, Sarah A&lt;/author&gt;&lt;author&gt;Tuinema, Brian R&lt;/author&gt;&lt;author&gt;Small, Cherrie N&lt;/author&gt;&lt;author&gt;Xing, Lydia&lt;/author&gt;&lt;author&gt;Coombes, Brian K&lt;/author&gt;&lt;/authors&gt;&lt;/contributors&gt;&lt;titles&gt;&lt;title&gt;CXCL9 contributes to antimicrobial protection of the gut during citrobacter rodentium infection independent of chemokine-receptor signaling&lt;/title&gt;&lt;secondary-title&gt;PLoS Pathogens&lt;/secondary-title&gt;&lt;/titles&gt;&lt;periodical&gt;&lt;full-title&gt;PLoS Pathogens&lt;/full-title&gt;&lt;/periodical&gt;&lt;pages&gt;e1004648&lt;/pages&gt;&lt;volume&gt;11&lt;/volume&gt;&lt;number&gt;2&lt;/number&gt;&lt;dates&gt;&lt;year&gt;2015&lt;/year&gt;&lt;/dates&gt;&lt;isbn&gt;1553-7366&lt;/isbn&gt;&lt;urls&gt;&lt;/urls&gt;&lt;/record&gt;&lt;/Cite&gt;&lt;/EndNote&gt;</w:instrText>
      </w:r>
      <w:r w:rsidR="005B1A89" w:rsidRPr="00B75A2A">
        <w:rPr>
          <w:lang w:val="en-US"/>
        </w:rPr>
        <w:fldChar w:fldCharType="separate"/>
      </w:r>
      <w:r w:rsidR="00CF202C" w:rsidRPr="00B75A2A">
        <w:rPr>
          <w:noProof/>
          <w:lang w:val="en-US"/>
        </w:rPr>
        <w:t>[36]</w:t>
      </w:r>
      <w:r w:rsidR="005B1A89" w:rsidRPr="00B75A2A">
        <w:rPr>
          <w:lang w:val="en-US"/>
        </w:rPr>
        <w:fldChar w:fldCharType="end"/>
      </w:r>
      <w:r w:rsidR="004A2877" w:rsidRPr="00B75A2A">
        <w:rPr>
          <w:lang w:val="en-US"/>
        </w:rPr>
        <w:t>. Specifically, CXCL9 has been associated with regenerated islet-derived protein-mediated microbiota expression, which when under-expressed is suggested to be responsible for lower microbial diversity</w:t>
      </w:r>
      <w:r w:rsidR="005B1A89" w:rsidRPr="00B75A2A">
        <w:rPr>
          <w:lang w:val="en-US"/>
        </w:rPr>
        <w:t xml:space="preserve"> </w:t>
      </w:r>
      <w:r w:rsidR="005B1A89" w:rsidRPr="00B75A2A">
        <w:rPr>
          <w:lang w:val="en-US"/>
        </w:rPr>
        <w:fldChar w:fldCharType="begin"/>
      </w:r>
      <w:r w:rsidR="00CF202C" w:rsidRPr="00B75A2A">
        <w:rPr>
          <w:lang w:val="en-US"/>
        </w:rPr>
        <w:instrText xml:space="preserve"> ADDIN EN.CITE &lt;EndNote&gt;&lt;Cite&gt;&lt;Author&gt;Cao&lt;/Author&gt;&lt;Year&gt;2016&lt;/Year&gt;&lt;RecNum&gt;36&lt;/RecNum&gt;&lt;DisplayText&gt;[37]&lt;/DisplayText&gt;&lt;record&gt;&lt;rec-number&gt;36&lt;/rec-number&gt;&lt;foreign-keys&gt;&lt;key app="EN" db-id="awxxrz9fkt00vzea5p4pvvvzpt9fezd52xt5" timestamp="1668693133"&gt;36&lt;/key&gt;&lt;/foreign-keys&gt;&lt;ref-type name="Journal Article"&gt;17&lt;/ref-type&gt;&lt;contributors&gt;&lt;authors&gt;&lt;author&gt;Cao, Shuisong&lt;/author&gt;&lt;author&gt;Su, Xiaomin&lt;/author&gt;&lt;author&gt;Zeng, Benhua&lt;/author&gt;&lt;author&gt;Yan, Hui&lt;/author&gt;&lt;author&gt;Huang, Yugang&lt;/author&gt;&lt;author&gt;Wang, Enlin&lt;/author&gt;&lt;author&gt;Yun, Huan&lt;/author&gt;&lt;author&gt;Zhang, Yuan&lt;/author&gt;&lt;author&gt;Liu, Feifei&lt;/author&gt;&lt;author&gt;Li, Wenxia&lt;/author&gt;&lt;/authors&gt;&lt;/contributors&gt;&lt;titles&gt;&lt;title&gt;The gut epithelial receptor LRRC19 promotes the recruitment of immune cells and gut inflammation&lt;/title&gt;&lt;secondary-title&gt;Cell reports&lt;/secondary-title&gt;&lt;/titles&gt;&lt;periodical&gt;&lt;full-title&gt;Cell reports&lt;/full-title&gt;&lt;/periodical&gt;&lt;pages&gt;695-707&lt;/pages&gt;&lt;volume&gt;14&lt;/volume&gt;&lt;number&gt;4&lt;/number&gt;&lt;dates&gt;&lt;year&gt;2016&lt;/year&gt;&lt;/dates&gt;&lt;isbn&gt;2211-1247&lt;/isbn&gt;&lt;urls&gt;&lt;/urls&gt;&lt;/record&gt;&lt;/Cite&gt;&lt;/EndNote&gt;</w:instrText>
      </w:r>
      <w:r w:rsidR="005B1A89" w:rsidRPr="00B75A2A">
        <w:rPr>
          <w:lang w:val="en-US"/>
        </w:rPr>
        <w:fldChar w:fldCharType="separate"/>
      </w:r>
      <w:r w:rsidR="00CF202C" w:rsidRPr="00B75A2A">
        <w:rPr>
          <w:noProof/>
          <w:lang w:val="en-US"/>
        </w:rPr>
        <w:t>[37]</w:t>
      </w:r>
      <w:r w:rsidR="005B1A89" w:rsidRPr="00B75A2A">
        <w:rPr>
          <w:lang w:val="en-US"/>
        </w:rPr>
        <w:fldChar w:fldCharType="end"/>
      </w:r>
      <w:r w:rsidR="004A2877" w:rsidRPr="00B75A2A">
        <w:rPr>
          <w:lang w:val="en-US"/>
        </w:rPr>
        <w:t xml:space="preserve">. </w:t>
      </w:r>
      <w:r w:rsidR="002802C3" w:rsidRPr="00B75A2A">
        <w:rPr>
          <w:lang w:val="en-US"/>
        </w:rPr>
        <w:t xml:space="preserve">Moreover, </w:t>
      </w:r>
      <w:r w:rsidR="004A2877" w:rsidRPr="00B75A2A">
        <w:rPr>
          <w:lang w:val="en-US"/>
        </w:rPr>
        <w:t xml:space="preserve">DOCK11, a mediator of cytokinesis, is another contributor of </w:t>
      </w:r>
      <w:proofErr w:type="spellStart"/>
      <w:r w:rsidR="004A2877" w:rsidRPr="00B75A2A">
        <w:rPr>
          <w:lang w:val="en-US"/>
        </w:rPr>
        <w:t>immunosenescence</w:t>
      </w:r>
      <w:proofErr w:type="spellEnd"/>
      <w:r w:rsidR="004A2877" w:rsidRPr="00B75A2A">
        <w:rPr>
          <w:lang w:val="en-US"/>
        </w:rPr>
        <w:t xml:space="preserve"> during ageing, although independent of B cell antibody responses </w:t>
      </w:r>
      <w:r w:rsidR="005B1A89" w:rsidRPr="00B75A2A">
        <w:rPr>
          <w:lang w:val="en-US"/>
        </w:rPr>
        <w:fldChar w:fldCharType="begin"/>
      </w:r>
      <w:r w:rsidR="00CF202C" w:rsidRPr="00B75A2A">
        <w:rPr>
          <w:lang w:val="en-US"/>
        </w:rPr>
        <w:instrText xml:space="preserve"> ADDIN EN.CITE &lt;EndNote&gt;&lt;Cite&gt;&lt;Author&gt;Sugiyama&lt;/Author&gt;&lt;Year&gt;2022&lt;/Year&gt;&lt;RecNum&gt;37&lt;/RecNum&gt;&lt;DisplayText&gt;[38]&lt;/DisplayText&gt;&lt;record&gt;&lt;rec-number&gt;37&lt;/rec-number&gt;&lt;foreign-keys&gt;&lt;key app="EN" db-id="awxxrz9fkt00vzea5p4pvvvzpt9fezd52xt5" timestamp="1668693133"&gt;37&lt;/key&gt;&lt;/foreign-keys&gt;&lt;ref-type name="Journal Article"&gt;17&lt;/ref-type&gt;&lt;contributors&gt;&lt;authors&gt;&lt;author&gt;Sugiyama, Yuma&lt;/author&gt;&lt;author&gt;Fujiwara, Mitsuhiro&lt;/author&gt;&lt;author&gt;Sakamoto, Akihiko&lt;/author&gt;&lt;author&gt;Tsushima, Hiromichi&lt;/author&gt;&lt;author&gt;Nishikimi, Akihiko&lt;/author&gt;&lt;author&gt;Maruyama, Mitsuo&lt;/author&gt;&lt;/authors&gt;&lt;/contributors&gt;&lt;titles&gt;&lt;title&gt;The immunosenescence-related factor DOCK11 is involved in secondary immune responses of B cells&lt;/title&gt;&lt;secondary-title&gt;Immunity &amp;amp; Ageing&lt;/secondary-title&gt;&lt;/titles&gt;&lt;periodical&gt;&lt;full-title&gt;Immunity &amp;amp; Ageing&lt;/full-title&gt;&lt;/periodical&gt;&lt;pages&gt;1-10&lt;/pages&gt;&lt;volume&gt;19&lt;/volume&gt;&lt;number&gt;1&lt;/number&gt;&lt;dates&gt;&lt;year&gt;2022&lt;/year&gt;&lt;/dates&gt;&lt;isbn&gt;1742-4933&lt;/isbn&gt;&lt;urls&gt;&lt;/urls&gt;&lt;/record&gt;&lt;/Cite&gt;&lt;/EndNote&gt;</w:instrText>
      </w:r>
      <w:r w:rsidR="005B1A89" w:rsidRPr="00B75A2A">
        <w:rPr>
          <w:lang w:val="en-US"/>
        </w:rPr>
        <w:fldChar w:fldCharType="separate"/>
      </w:r>
      <w:r w:rsidR="00CF202C" w:rsidRPr="00B75A2A">
        <w:rPr>
          <w:noProof/>
          <w:lang w:val="en-US"/>
        </w:rPr>
        <w:t>[38]</w:t>
      </w:r>
      <w:r w:rsidR="005B1A89" w:rsidRPr="00B75A2A">
        <w:rPr>
          <w:lang w:val="en-US"/>
        </w:rPr>
        <w:fldChar w:fldCharType="end"/>
      </w:r>
      <w:r w:rsidR="004A2877" w:rsidRPr="00B75A2A">
        <w:rPr>
          <w:lang w:val="en-US"/>
        </w:rPr>
        <w:t xml:space="preserve">. For instance, mice with DOCK11-deificient B cells have reduced antigen-specific participation in germinal centers, which is accompanied by lower B cell intrinsic-signaling stimulation </w:t>
      </w:r>
      <w:r w:rsidR="005B1A89" w:rsidRPr="00B75A2A">
        <w:rPr>
          <w:lang w:val="en-US"/>
        </w:rPr>
        <w:fldChar w:fldCharType="begin"/>
      </w:r>
      <w:r w:rsidR="00CF202C" w:rsidRPr="00B75A2A">
        <w:rPr>
          <w:lang w:val="en-US"/>
        </w:rPr>
        <w:instrText xml:space="preserve"> ADDIN EN.CITE &lt;EndNote&gt;&lt;Cite&gt;&lt;Author&gt;Sakamoto&lt;/Author&gt;&lt;Year&gt;2020&lt;/Year&gt;&lt;RecNum&gt;38&lt;/RecNum&gt;&lt;DisplayText&gt;[39]&lt;/DisplayText&gt;&lt;record&gt;&lt;rec-number&gt;38&lt;/rec-number&gt;&lt;foreign-keys&gt;&lt;key app="EN" db-id="awxxrz9fkt00vzea5p4pvvvzpt9fezd52xt5" timestamp="1668693133"&gt;38&lt;/key&gt;&lt;/foreign-keys&gt;&lt;ref-type name="Journal Article"&gt;17&lt;/ref-type&gt;&lt;contributors&gt;&lt;authors&gt;&lt;author&gt;Sakamoto, Akihiko&lt;/author&gt;&lt;author&gt;Maruyama, Mitsuo&lt;/author&gt;&lt;/authors&gt;&lt;/contributors&gt;&lt;titles&gt;&lt;title&gt;Contribution of DOCK11 to the expansion of antigen-specific populations among germinal center B cells&lt;/title&gt;&lt;secondary-title&gt;Immunohorizons&lt;/secondary-title&gt;&lt;/titles&gt;&lt;periodical&gt;&lt;full-title&gt;Immunohorizons&lt;/full-title&gt;&lt;/periodical&gt;&lt;pages&gt;520-529&lt;/pages&gt;&lt;volume&gt;4&lt;/volume&gt;&lt;number&gt;9&lt;/number&gt;&lt;dates&gt;&lt;year&gt;2020&lt;/year&gt;&lt;/dates&gt;&lt;isbn&gt;2573-7732&lt;/isbn&gt;&lt;urls&gt;&lt;/urls&gt;&lt;/record&gt;&lt;/Cite&gt;&lt;/EndNote&gt;</w:instrText>
      </w:r>
      <w:r w:rsidR="005B1A89" w:rsidRPr="00B75A2A">
        <w:rPr>
          <w:lang w:val="en-US"/>
        </w:rPr>
        <w:fldChar w:fldCharType="separate"/>
      </w:r>
      <w:r w:rsidR="00CF202C" w:rsidRPr="00B75A2A">
        <w:rPr>
          <w:noProof/>
          <w:lang w:val="en-US"/>
        </w:rPr>
        <w:t>[39]</w:t>
      </w:r>
      <w:r w:rsidR="005B1A89" w:rsidRPr="00B75A2A">
        <w:rPr>
          <w:lang w:val="en-US"/>
        </w:rPr>
        <w:fldChar w:fldCharType="end"/>
      </w:r>
      <w:r w:rsidR="005B1A89" w:rsidRPr="00B75A2A">
        <w:rPr>
          <w:lang w:val="en-US"/>
        </w:rPr>
        <w:t>.</w:t>
      </w:r>
      <w:r w:rsidR="004A2877" w:rsidRPr="00B75A2A">
        <w:rPr>
          <w:lang w:val="en-US"/>
        </w:rPr>
        <w:t xml:space="preserve"> Furthermore, the interleukin-1 converting enzyme CASP1, is a protease which converts the inactive form of IL-1</w:t>
      </w:r>
      <w:r w:rsidR="004A2877" w:rsidRPr="00B75A2A">
        <w:rPr>
          <w:lang w:val="el-GR"/>
        </w:rPr>
        <w:t>Β</w:t>
      </w:r>
      <w:r w:rsidR="004A2877" w:rsidRPr="00B75A2A">
        <w:rPr>
          <w:lang w:val="en-US"/>
        </w:rPr>
        <w:t xml:space="preserve"> to its active form, that is a precursor of inflammatory processes </w:t>
      </w:r>
      <w:r w:rsidR="005B1A89" w:rsidRPr="00B75A2A">
        <w:rPr>
          <w:lang w:val="en-US"/>
        </w:rPr>
        <w:fldChar w:fldCharType="begin"/>
      </w:r>
      <w:r w:rsidR="00CF202C" w:rsidRPr="00B75A2A">
        <w:rPr>
          <w:lang w:val="en-US"/>
        </w:rPr>
        <w:instrText xml:space="preserve"> ADDIN EN.CITE &lt;EndNote&gt;&lt;Cite&gt;&lt;Author&gt;Franchi&lt;/Author&gt;&lt;Year&gt;2009&lt;/Year&gt;&lt;RecNum&gt;39&lt;/RecNum&gt;&lt;DisplayText&gt;[40]&lt;/DisplayText&gt;&lt;record&gt;&lt;rec-number&gt;39&lt;/rec-number&gt;&lt;foreign-keys&gt;&lt;key app="EN" db-id="awxxrz9fkt00vzea5p4pvvvzpt9fezd52xt5" timestamp="1668693133"&gt;39&lt;/key&gt;&lt;/foreign-keys&gt;&lt;ref-type name="Journal Article"&gt;17&lt;/ref-type&gt;&lt;contributors&gt;&lt;authors&gt;&lt;author&gt;Franchi, Luigi&lt;/author&gt;&lt;author&gt;Eigenbrod, Tatjana&lt;/author&gt;&lt;author&gt;Muñoz-Planillo, Raúl&lt;/author&gt;&lt;author&gt;Nuñez, Gabriel&lt;/author&gt;&lt;/authors&gt;&lt;/contributors&gt;&lt;titles&gt;&lt;title&gt;The inflammasome: a caspase-1-activation platform that regulates immune responses and disease pathogenesis&lt;/title&gt;&lt;secondary-title&gt;Nature immunology&lt;/secondary-title&gt;&lt;/titles&gt;&lt;periodical&gt;&lt;full-title&gt;Nature immunology&lt;/full-title&gt;&lt;/periodical&gt;&lt;pages&gt;241-247&lt;/pages&gt;&lt;volume&gt;10&lt;/volume&gt;&lt;number&gt;3&lt;/number&gt;&lt;dates&gt;&lt;year&gt;2009&lt;/year&gt;&lt;/dates&gt;&lt;isbn&gt;1529-2916&lt;/isbn&gt;&lt;urls&gt;&lt;/urls&gt;&lt;/record&gt;&lt;/Cite&gt;&lt;/EndNote&gt;</w:instrText>
      </w:r>
      <w:r w:rsidR="005B1A89" w:rsidRPr="00B75A2A">
        <w:rPr>
          <w:lang w:val="en-US"/>
        </w:rPr>
        <w:fldChar w:fldCharType="separate"/>
      </w:r>
      <w:r w:rsidR="00CF202C" w:rsidRPr="00B75A2A">
        <w:rPr>
          <w:noProof/>
          <w:lang w:val="en-US"/>
        </w:rPr>
        <w:t>[40]</w:t>
      </w:r>
      <w:r w:rsidR="005B1A89" w:rsidRPr="00B75A2A">
        <w:rPr>
          <w:lang w:val="en-US"/>
        </w:rPr>
        <w:fldChar w:fldCharType="end"/>
      </w:r>
      <w:r w:rsidR="004A2877" w:rsidRPr="00B75A2A">
        <w:rPr>
          <w:lang w:val="en-US"/>
        </w:rPr>
        <w:t xml:space="preserve">. CASP1 ablation in intestinal epithelial cells of mice </w:t>
      </w:r>
      <w:r w:rsidR="004A2877" w:rsidRPr="00B75A2A">
        <w:rPr>
          <w:lang w:val="en-US"/>
        </w:rPr>
        <w:lastRenderedPageBreak/>
        <w:t>has a protective response against inflammation-induced intestinal tumors compared to controls, independent of gut microbiota composition</w:t>
      </w:r>
      <w:r w:rsidR="005B1A89" w:rsidRPr="00B75A2A">
        <w:rPr>
          <w:lang w:val="en-US"/>
        </w:rPr>
        <w:t xml:space="preserve"> </w:t>
      </w:r>
      <w:r w:rsidR="005B1A89" w:rsidRPr="00B75A2A">
        <w:rPr>
          <w:lang w:val="en-US"/>
        </w:rPr>
        <w:fldChar w:fldCharType="begin"/>
      </w:r>
      <w:r w:rsidR="00CF202C" w:rsidRPr="00B75A2A">
        <w:rPr>
          <w:lang w:val="en-US"/>
        </w:rPr>
        <w:instrText xml:space="preserve"> ADDIN EN.CITE &lt;EndNote&gt;&lt;Cite&gt;&lt;Author&gt;Błażejewski&lt;/Author&gt;&lt;Year&gt;2017&lt;/Year&gt;&lt;RecNum&gt;40&lt;/RecNum&gt;&lt;DisplayText&gt;[41]&lt;/DisplayText&gt;&lt;record&gt;&lt;rec-number&gt;40&lt;/rec-number&gt;&lt;foreign-keys&gt;&lt;key app="EN" db-id="awxxrz9fkt00vzea5p4pvvvzpt9fezd52xt5" timestamp="1668693133"&gt;40&lt;/key&gt;&lt;/foreign-keys&gt;&lt;ref-type name="Journal Article"&gt;17&lt;/ref-type&gt;&lt;contributors&gt;&lt;authors&gt;&lt;author&gt;Błażejewski, Adrian J&lt;/author&gt;&lt;author&gt;Thiemann, Sophie&lt;/author&gt;&lt;author&gt;Schenk, Alexander&lt;/author&gt;&lt;author&gt;Pils, Marina C&lt;/author&gt;&lt;author&gt;Gálvez, Eric JC&lt;/author&gt;&lt;author&gt;Roy, Urmi&lt;/author&gt;&lt;author&gt;Heise, Ulrike&lt;/author&gt;&lt;author&gt;de Zoete, Marcel R&lt;/author&gt;&lt;author&gt;Flavell, Richard A&lt;/author&gt;&lt;author&gt;Strowig, Till&lt;/author&gt;&lt;/authors&gt;&lt;/contributors&gt;&lt;titles&gt;&lt;title&gt;Microbiota normalization reveals that canonical caspase-1 activation exacerbates chemically induced intestinal inflammation&lt;/title&gt;&lt;secondary-title&gt;Cell reports&lt;/secondary-title&gt;&lt;/titles&gt;&lt;periodical&gt;&lt;full-title&gt;Cell reports&lt;/full-title&gt;&lt;/periodical&gt;&lt;pages&gt;2319-2330&lt;/pages&gt;&lt;volume&gt;19&lt;/volume&gt;&lt;number&gt;11&lt;/number&gt;&lt;dates&gt;&lt;year&gt;2017&lt;/year&gt;&lt;/dates&gt;&lt;isbn&gt;2211-1247&lt;/isbn&gt;&lt;urls&gt;&lt;/urls&gt;&lt;/record&gt;&lt;/Cite&gt;&lt;/EndNote&gt;</w:instrText>
      </w:r>
      <w:r w:rsidR="005B1A89" w:rsidRPr="00B75A2A">
        <w:rPr>
          <w:lang w:val="en-US"/>
        </w:rPr>
        <w:fldChar w:fldCharType="separate"/>
      </w:r>
      <w:r w:rsidR="00CF202C" w:rsidRPr="00B75A2A">
        <w:rPr>
          <w:noProof/>
          <w:lang w:val="en-US"/>
        </w:rPr>
        <w:t>[41]</w:t>
      </w:r>
      <w:r w:rsidR="005B1A89" w:rsidRPr="00B75A2A">
        <w:rPr>
          <w:lang w:val="en-US"/>
        </w:rPr>
        <w:fldChar w:fldCharType="end"/>
      </w:r>
      <w:r w:rsidR="005B1A89" w:rsidRPr="00B75A2A">
        <w:rPr>
          <w:lang w:val="en-US"/>
        </w:rPr>
        <w:t xml:space="preserve">, </w:t>
      </w:r>
      <w:r w:rsidR="004A2877" w:rsidRPr="00B75A2A">
        <w:rPr>
          <w:lang w:val="en-US"/>
        </w:rPr>
        <w:t xml:space="preserve">suggesting an immune-deprived status under normal physiology upon downregulation. Finally, profiles of enhanced systemic inflammation have been observed following fecal microbiota transplantation of CASP1-deficient mice into </w:t>
      </w:r>
      <w:proofErr w:type="spellStart"/>
      <w:r w:rsidR="004A2877" w:rsidRPr="00B75A2A">
        <w:rPr>
          <w:lang w:val="en-US"/>
        </w:rPr>
        <w:t>Ldlr</w:t>
      </w:r>
      <w:proofErr w:type="spellEnd"/>
      <w:r w:rsidR="004A2877" w:rsidRPr="00B75A2A">
        <w:rPr>
          <w:lang w:val="en-US"/>
        </w:rPr>
        <w:t xml:space="preserve">-deficient mice, further augmenting the impact of CASP1 on gut permeability disruption </w:t>
      </w:r>
      <w:r w:rsidR="005B1A89" w:rsidRPr="00B75A2A">
        <w:rPr>
          <w:lang w:val="en-US"/>
        </w:rPr>
        <w:fldChar w:fldCharType="begin"/>
      </w:r>
      <w:r w:rsidR="00CF202C" w:rsidRPr="00B75A2A">
        <w:rPr>
          <w:lang w:val="en-US"/>
        </w:rPr>
        <w:instrText xml:space="preserve"> ADDIN EN.CITE &lt;EndNote&gt;&lt;Cite&gt;&lt;Author&gt;Yeh&lt;/Author&gt;&lt;Year&gt;2020&lt;/Year&gt;&lt;RecNum&gt;41&lt;/RecNum&gt;&lt;DisplayText&gt;[42]&lt;/DisplayText&gt;&lt;record&gt;&lt;rec-number&gt;41&lt;/rec-number&gt;&lt;foreign-keys&gt;&lt;key app="EN" db-id="awxxrz9fkt00vzea5p4pvvvzpt9fezd52xt5" timestamp="1668693133"&gt;41&lt;/key&gt;&lt;/foreign-keys&gt;&lt;ref-type name="Journal Article"&gt;17&lt;/ref-type&gt;&lt;contributors&gt;&lt;authors&gt;&lt;author&gt;Yeh, Chih-Fan&lt;/author&gt;&lt;author&gt;Chen, Ying-Hsien&lt;/author&gt;&lt;author&gt;Liu, Sheng-Fu&lt;/author&gt;&lt;author&gt;Kao, Hsien-Li&lt;/author&gt;&lt;author&gt;Wu, Ming-Shiang&lt;/author&gt;&lt;author&gt;Yang, Kai-Chien&lt;/author&gt;&lt;author&gt;Wu, Wei-Kai&lt;/author&gt;&lt;/authors&gt;&lt;/contributors&gt;&lt;titles&gt;&lt;title&gt;Mutual interplay of host immune system and gut microbiota in the immunopathology of atherosclerosis&lt;/title&gt;&lt;secondary-title&gt;International Journal of Molecular Sciences&lt;/secondary-title&gt;&lt;/titles&gt;&lt;periodical&gt;&lt;full-title&gt;International Journal of Molecular Sciences&lt;/full-title&gt;&lt;/periodical&gt;&lt;pages&gt;8729&lt;/pages&gt;&lt;volume&gt;21&lt;/volume&gt;&lt;number&gt;22&lt;/number&gt;&lt;dates&gt;&lt;year&gt;2020&lt;/year&gt;&lt;/dates&gt;&lt;urls&gt;&lt;/urls&gt;&lt;/record&gt;&lt;/Cite&gt;&lt;/EndNote&gt;</w:instrText>
      </w:r>
      <w:r w:rsidR="005B1A89" w:rsidRPr="00B75A2A">
        <w:rPr>
          <w:lang w:val="en-US"/>
        </w:rPr>
        <w:fldChar w:fldCharType="separate"/>
      </w:r>
      <w:r w:rsidR="00CF202C" w:rsidRPr="00B75A2A">
        <w:rPr>
          <w:noProof/>
          <w:lang w:val="en-US"/>
        </w:rPr>
        <w:t>[42]</w:t>
      </w:r>
      <w:r w:rsidR="005B1A89" w:rsidRPr="00B75A2A">
        <w:rPr>
          <w:lang w:val="en-US"/>
        </w:rPr>
        <w:fldChar w:fldCharType="end"/>
      </w:r>
      <w:r w:rsidR="004A2877" w:rsidRPr="00B75A2A">
        <w:rPr>
          <w:lang w:val="en-US"/>
        </w:rPr>
        <w:t>.</w:t>
      </w:r>
      <w:r w:rsidR="002802C3" w:rsidRPr="00B75A2A">
        <w:rPr>
          <w:lang w:val="en-US"/>
        </w:rPr>
        <w:t xml:space="preserve"> In addition, g</w:t>
      </w:r>
      <w:r w:rsidR="004A2877" w:rsidRPr="00B75A2A">
        <w:rPr>
          <w:lang w:val="en-US"/>
        </w:rPr>
        <w:t xml:space="preserve">uanylate binding proteins (GBPs) are a family of GTPases that are induced by interferon </w:t>
      </w:r>
      <w:proofErr w:type="spellStart"/>
      <w:r w:rsidR="004A2877" w:rsidRPr="00B75A2A">
        <w:rPr>
          <w:lang w:val="en-US"/>
        </w:rPr>
        <w:t>signalling</w:t>
      </w:r>
      <w:proofErr w:type="spellEnd"/>
      <w:r w:rsidR="004A2877" w:rsidRPr="00B75A2A">
        <w:rPr>
          <w:lang w:val="en-US"/>
        </w:rPr>
        <w:t xml:space="preserve"> and which drive inflammation. Interferons are </w:t>
      </w:r>
      <w:r w:rsidRPr="00B75A2A">
        <w:rPr>
          <w:lang w:val="en-US"/>
        </w:rPr>
        <w:t xml:space="preserve">key </w:t>
      </w:r>
      <w:r w:rsidR="004A2877" w:rsidRPr="00B75A2A">
        <w:rPr>
          <w:lang w:val="en-US"/>
        </w:rPr>
        <w:t xml:space="preserve">mediators </w:t>
      </w:r>
      <w:r w:rsidRPr="00B75A2A">
        <w:rPr>
          <w:lang w:val="en-US"/>
        </w:rPr>
        <w:t>of the</w:t>
      </w:r>
      <w:r w:rsidR="004A2877" w:rsidRPr="00B75A2A">
        <w:rPr>
          <w:lang w:val="en-US"/>
        </w:rPr>
        <w:t xml:space="preserve"> cellular immune system defense against infected host cells, as previously observed in GBP (GBP2 and GBP6) knock-out mice </w:t>
      </w:r>
      <w:r w:rsidR="005B1A89" w:rsidRPr="00B75A2A">
        <w:rPr>
          <w:lang w:val="en-US"/>
        </w:rPr>
        <w:fldChar w:fldCharType="begin"/>
      </w:r>
      <w:r w:rsidR="00CF202C" w:rsidRPr="00B75A2A">
        <w:rPr>
          <w:lang w:val="en-US"/>
        </w:rPr>
        <w:instrText xml:space="preserve"> ADDIN EN.CITE &lt;EndNote&gt;&lt;Cite&gt;&lt;Author&gt;Tretina&lt;/Author&gt;&lt;Year&gt;2019&lt;/Year&gt;&lt;RecNum&gt;42&lt;/RecNum&gt;&lt;DisplayText&gt;[43]&lt;/DisplayText&gt;&lt;record&gt;&lt;rec-number&gt;42&lt;/rec-number&gt;&lt;foreign-keys&gt;&lt;key app="EN" db-id="awxxrz9fkt00vzea5p4pvvvzpt9fezd52xt5" timestamp="1668693133"&gt;42&lt;/key&gt;&lt;/foreign-keys&gt;&lt;ref-type name="Journal Article"&gt;17&lt;/ref-type&gt;&lt;contributors&gt;&lt;authors&gt;&lt;author&gt;Tretina, Kyle&lt;/author&gt;&lt;author&gt;Park, Eui-Soon&lt;/author&gt;&lt;author&gt;Maminska, Agnieszka&lt;/author&gt;&lt;author&gt;MacMicking, John D&lt;/author&gt;&lt;/authors&gt;&lt;/contributors&gt;&lt;titles&gt;&lt;title&gt;Interferon-induced guanylate-binding proteins: Guardians of host defense in health and disease&lt;/title&gt;&lt;secondary-title&gt;Journal of Experimental Medicine&lt;/secondary-title&gt;&lt;/titles&gt;&lt;periodical&gt;&lt;full-title&gt;Journal of Experimental Medicine&lt;/full-title&gt;&lt;/periodical&gt;&lt;pages&gt;482-500&lt;/pages&gt;&lt;volume&gt;216&lt;/volume&gt;&lt;number&gt;3&lt;/number&gt;&lt;dates&gt;&lt;year&gt;2019&lt;/year&gt;&lt;/dates&gt;&lt;isbn&gt;0022-1007&lt;/isbn&gt;&lt;urls&gt;&lt;/urls&gt;&lt;/record&gt;&lt;/Cite&gt;&lt;/EndNote&gt;</w:instrText>
      </w:r>
      <w:r w:rsidR="005B1A89" w:rsidRPr="00B75A2A">
        <w:rPr>
          <w:lang w:val="en-US"/>
        </w:rPr>
        <w:fldChar w:fldCharType="separate"/>
      </w:r>
      <w:r w:rsidR="00CF202C" w:rsidRPr="00B75A2A">
        <w:rPr>
          <w:noProof/>
          <w:lang w:val="en-US"/>
        </w:rPr>
        <w:t>[43]</w:t>
      </w:r>
      <w:r w:rsidR="005B1A89" w:rsidRPr="00B75A2A">
        <w:rPr>
          <w:lang w:val="en-US"/>
        </w:rPr>
        <w:fldChar w:fldCharType="end"/>
      </w:r>
      <w:r w:rsidR="004A2877" w:rsidRPr="00B75A2A">
        <w:rPr>
          <w:lang w:val="en-US"/>
        </w:rPr>
        <w:t xml:space="preserve">. GBPs may also promote phagocyte oxidase, antimicrobial peptides, and autophagy effectors to provide protection against inflammation </w:t>
      </w:r>
      <w:r w:rsidR="005B1A89" w:rsidRPr="00B75A2A">
        <w:rPr>
          <w:lang w:val="en-US"/>
        </w:rPr>
        <w:fldChar w:fldCharType="begin"/>
      </w:r>
      <w:r w:rsidR="00CF202C" w:rsidRPr="00B75A2A">
        <w:rPr>
          <w:lang w:val="en-US"/>
        </w:rPr>
        <w:instrText xml:space="preserve"> ADDIN EN.CITE &lt;EndNote&gt;&lt;Cite&gt;&lt;Author&gt;Finethy&lt;/Author&gt;&lt;Year&gt;2017&lt;/Year&gt;&lt;RecNum&gt;43&lt;/RecNum&gt;&lt;DisplayText&gt;[44]&lt;/DisplayText&gt;&lt;record&gt;&lt;rec-number&gt;43&lt;/rec-number&gt;&lt;foreign-keys&gt;&lt;key app="EN" db-id="awxxrz9fkt00vzea5p4pvvvzpt9fezd52xt5" timestamp="1668693133"&gt;43&lt;/key&gt;&lt;/foreign-keys&gt;&lt;ref-type name="Journal Article"&gt;17&lt;/ref-type&gt;&lt;contributors&gt;&lt;authors&gt;&lt;author&gt;Finethy, Ryan&lt;/author&gt;&lt;author&gt;Luoma, Sarah&lt;/author&gt;&lt;author&gt;Orench-Rivera, Nichole&lt;/author&gt;&lt;author&gt;Feeley, Eric M&lt;/author&gt;&lt;author&gt;Haldar, Arun K&lt;/author&gt;&lt;author&gt;Yamamoto, Masahiro&lt;/author&gt;&lt;author&gt;Kanneganti, Thirumala-Devi&lt;/author&gt;&lt;author&gt;Kuehn, Meta J&lt;/author&gt;&lt;author&gt;Coers, Jörn&lt;/author&gt;&lt;/authors&gt;&lt;/contributors&gt;&lt;titles&gt;&lt;title&gt;Inflammasome activation by bacterial outer membrane vesicles requires guanylate binding proteins&lt;/title&gt;&lt;secondary-title&gt;MBio&lt;/secondary-title&gt;&lt;/titles&gt;&lt;periodical&gt;&lt;full-title&gt;MBio&lt;/full-title&gt;&lt;/periodical&gt;&lt;pages&gt;e01188-17&lt;/pages&gt;&lt;volume&gt;8&lt;/volume&gt;&lt;number&gt;5&lt;/number&gt;&lt;dates&gt;&lt;year&gt;2017&lt;/year&gt;&lt;/dates&gt;&lt;isbn&gt;2161-2129&lt;/isbn&gt;&lt;urls&gt;&lt;/urls&gt;&lt;/record&gt;&lt;/Cite&gt;&lt;/EndNote&gt;</w:instrText>
      </w:r>
      <w:r w:rsidR="005B1A89" w:rsidRPr="00B75A2A">
        <w:rPr>
          <w:lang w:val="en-US"/>
        </w:rPr>
        <w:fldChar w:fldCharType="separate"/>
      </w:r>
      <w:r w:rsidR="00CF202C" w:rsidRPr="00B75A2A">
        <w:rPr>
          <w:noProof/>
          <w:lang w:val="en-US"/>
        </w:rPr>
        <w:t>[44]</w:t>
      </w:r>
      <w:r w:rsidR="005B1A89" w:rsidRPr="00B75A2A">
        <w:rPr>
          <w:lang w:val="en-US"/>
        </w:rPr>
        <w:fldChar w:fldCharType="end"/>
      </w:r>
      <w:r w:rsidR="004A2877" w:rsidRPr="00B75A2A">
        <w:rPr>
          <w:lang w:val="en-US"/>
        </w:rPr>
        <w:t xml:space="preserve"> and intracellular pathogens, including </w:t>
      </w:r>
      <w:r w:rsidR="004A2877" w:rsidRPr="00B75A2A">
        <w:rPr>
          <w:i/>
          <w:iCs/>
          <w:lang w:val="en-US"/>
        </w:rPr>
        <w:t xml:space="preserve">L. monocytogenes, </w:t>
      </w:r>
      <w:proofErr w:type="spellStart"/>
      <w:r w:rsidR="004A2877" w:rsidRPr="00B75A2A">
        <w:rPr>
          <w:i/>
          <w:iCs/>
          <w:lang w:val="en-US"/>
        </w:rPr>
        <w:t>Francisella</w:t>
      </w:r>
      <w:proofErr w:type="spellEnd"/>
      <w:r w:rsidR="004A2877" w:rsidRPr="00B75A2A">
        <w:rPr>
          <w:i/>
          <w:iCs/>
          <w:lang w:val="en-US"/>
        </w:rPr>
        <w:t xml:space="preserve"> </w:t>
      </w:r>
      <w:proofErr w:type="spellStart"/>
      <w:r w:rsidR="004A2877" w:rsidRPr="00B75A2A">
        <w:rPr>
          <w:i/>
          <w:iCs/>
          <w:lang w:val="en-US"/>
        </w:rPr>
        <w:t>novicida</w:t>
      </w:r>
      <w:proofErr w:type="spellEnd"/>
      <w:r w:rsidR="004A2877" w:rsidRPr="00B75A2A">
        <w:rPr>
          <w:lang w:val="en-US"/>
        </w:rPr>
        <w:t xml:space="preserve">, and Mycobacteria </w:t>
      </w:r>
      <w:r w:rsidR="005B1A89" w:rsidRPr="00B75A2A">
        <w:rPr>
          <w:lang w:val="en-US"/>
        </w:rPr>
        <w:fldChar w:fldCharType="begin">
          <w:fldData xml:space="preserve">PEVuZE5vdGU+PENpdGU+PEF1dGhvcj5EZWdyYW5kaTwvQXV0aG9yPjxZZWFyPjIwMTM8L1llYXI+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</w:fldData>
        </w:fldChar>
      </w:r>
      <w:r w:rsidR="00CF202C" w:rsidRPr="00B75A2A">
        <w:rPr>
          <w:lang w:val="en-US"/>
        </w:rPr>
        <w:instrText xml:space="preserve"> ADDIN EN.CITE </w:instrText>
      </w:r>
      <w:r w:rsidR="00CF202C" w:rsidRPr="00B75A2A">
        <w:rPr>
          <w:lang w:val="en-US"/>
        </w:rPr>
        <w:fldChar w:fldCharType="begin">
          <w:fldData xml:space="preserve">PEVuZE5vdGU+PENpdGU+PEF1dGhvcj5EZWdyYW5kaTwvQXV0aG9yPjxZZWFyPjIwMTM8L1llYXI+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</w:fldData>
        </w:fldChar>
      </w:r>
      <w:r w:rsidR="00CF202C" w:rsidRPr="00B75A2A">
        <w:rPr>
          <w:lang w:val="en-US"/>
        </w:rPr>
        <w:instrText xml:space="preserve"> ADDIN EN.CITE.DATA </w:instrText>
      </w:r>
      <w:r w:rsidR="00CF202C" w:rsidRPr="00B75A2A">
        <w:rPr>
          <w:lang w:val="en-US"/>
        </w:rPr>
      </w:r>
      <w:r w:rsidR="00CF202C" w:rsidRPr="00B75A2A">
        <w:rPr>
          <w:lang w:val="en-US"/>
        </w:rPr>
        <w:fldChar w:fldCharType="end"/>
      </w:r>
      <w:r w:rsidR="005B1A89" w:rsidRPr="00B75A2A">
        <w:rPr>
          <w:lang w:val="en-US"/>
        </w:rPr>
      </w:r>
      <w:r w:rsidR="005B1A89" w:rsidRPr="00B75A2A">
        <w:rPr>
          <w:lang w:val="en-US"/>
        </w:rPr>
        <w:fldChar w:fldCharType="separate"/>
      </w:r>
      <w:r w:rsidR="00CF202C" w:rsidRPr="00B75A2A">
        <w:rPr>
          <w:noProof/>
          <w:lang w:val="en-US"/>
        </w:rPr>
        <w:t>[45-47]</w:t>
      </w:r>
      <w:r w:rsidR="005B1A89" w:rsidRPr="00B75A2A">
        <w:rPr>
          <w:lang w:val="en-US"/>
        </w:rPr>
        <w:fldChar w:fldCharType="end"/>
      </w:r>
      <w:r w:rsidR="004A2877" w:rsidRPr="00B75A2A">
        <w:rPr>
          <w:lang w:val="en-US"/>
        </w:rPr>
        <w:t>. PSMB10</w:t>
      </w:r>
      <w:r w:rsidR="004A2877" w:rsidRPr="00B75A2A">
        <w:t xml:space="preserve"> </w:t>
      </w:r>
      <w:r w:rsidR="004A2877" w:rsidRPr="00B75A2A">
        <w:rPr>
          <w:lang w:val="en-US"/>
        </w:rPr>
        <w:t>is an immunoproteasome gene which is stimulated by interferon-</w:t>
      </w:r>
      <w:r w:rsidR="004A2877" w:rsidRPr="00B75A2A">
        <w:rPr>
          <w:lang w:val="el-GR"/>
        </w:rPr>
        <w:t>γ</w:t>
      </w:r>
      <w:r w:rsidR="004A2877" w:rsidRPr="00B75A2A">
        <w:rPr>
          <w:lang w:val="en-US"/>
        </w:rPr>
        <w:t xml:space="preserve"> (IFN</w:t>
      </w:r>
      <w:r w:rsidR="004A2877" w:rsidRPr="00B75A2A">
        <w:rPr>
          <w:lang w:val="el-GR"/>
        </w:rPr>
        <w:t>γ</w:t>
      </w:r>
      <w:r w:rsidR="004A2877" w:rsidRPr="00B75A2A">
        <w:t xml:space="preserve">) </w:t>
      </w:r>
      <w:r w:rsidR="005B1A89" w:rsidRPr="00B75A2A">
        <w:fldChar w:fldCharType="begin"/>
      </w:r>
      <w:r w:rsidR="00CF202C" w:rsidRPr="00B75A2A">
        <w:instrText xml:space="preserve"> ADDIN EN.CITE &lt;EndNote&gt;&lt;Cite&gt;&lt;Author&gt;Mohapatra&lt;/Author&gt;&lt;Year&gt;2021&lt;/Year&gt;&lt;RecNum&gt;47&lt;/RecNum&gt;&lt;DisplayText&gt;[48]&lt;/DisplayText&gt;&lt;record&gt;&lt;rec-number&gt;47&lt;/rec-number&gt;&lt;foreign-keys&gt;&lt;key app="EN" db-id="awxxrz9fkt00vzea5p4pvvvzpt9fezd52xt5" timestamp="1668693133"&gt;47&lt;/key&gt;&lt;/foreign-keys&gt;&lt;ref-type name="Journal Article"&gt;17&lt;/ref-type&gt;&lt;contributors&gt;&lt;authors&gt;&lt;author&gt;Mohapatra, Gayatree&lt;/author&gt;&lt;author&gt;Eisenberg-Lerner, Avital&lt;/author&gt;&lt;author&gt;Merbl, Yifat&lt;/author&gt;&lt;/authors&gt;&lt;/contributors&gt;&lt;titles&gt;&lt;title&gt;Gatekeepers of the Gut: The Roles of Proteasomes at the Gastrointestinal Barrier&lt;/title&gt;&lt;secondary-title&gt;Biomolecules&lt;/secondary-title&gt;&lt;/titles&gt;&lt;periodical&gt;&lt;full-title&gt;Biomolecules&lt;/full-title&gt;&lt;/periodical&gt;&lt;pages&gt;989&lt;/pages&gt;&lt;volume&gt;11&lt;/volume&gt;&lt;number&gt;7&lt;/number&gt;&lt;dates&gt;&lt;year&gt;2021&lt;/year&gt;&lt;/dates&gt;&lt;urls&gt;&lt;/urls&gt;&lt;/record&gt;&lt;/Cite&gt;&lt;/EndNote&gt;</w:instrText>
      </w:r>
      <w:r w:rsidR="005B1A89" w:rsidRPr="00B75A2A">
        <w:fldChar w:fldCharType="separate"/>
      </w:r>
      <w:r w:rsidR="00CF202C" w:rsidRPr="00B75A2A">
        <w:rPr>
          <w:noProof/>
        </w:rPr>
        <w:t>[48]</w:t>
      </w:r>
      <w:r w:rsidR="005B1A89" w:rsidRPr="00B75A2A">
        <w:fldChar w:fldCharType="end"/>
      </w:r>
      <w:r w:rsidR="004A2877" w:rsidRPr="00B75A2A">
        <w:t xml:space="preserve">. </w:t>
      </w:r>
      <w:r w:rsidR="004A2877" w:rsidRPr="00B75A2A">
        <w:rPr>
          <w:i/>
          <w:iCs/>
        </w:rPr>
        <w:t>Toxoplasma gondii</w:t>
      </w:r>
      <w:r w:rsidR="004A2877" w:rsidRPr="00B75A2A">
        <w:t xml:space="preserve"> infected mice have exhibited an increased expression of PSMB10 in both the RNA and protein levels compared to uninfected controls </w:t>
      </w:r>
      <w:r w:rsidR="004A2877" w:rsidRPr="00B75A2A">
        <w:rPr>
          <w:noProof/>
        </w:rPr>
        <w:t>(French</w:t>
      </w:r>
      <w:r w:rsidR="004A2877" w:rsidRPr="00B75A2A">
        <w:rPr>
          <w:i/>
          <w:noProof/>
        </w:rPr>
        <w:t xml:space="preserve"> et al</w:t>
      </w:r>
      <w:r w:rsidR="004A2877" w:rsidRPr="00B75A2A">
        <w:rPr>
          <w:noProof/>
        </w:rPr>
        <w:t>, 2021)</w:t>
      </w:r>
      <w:r w:rsidR="004A2877" w:rsidRPr="00B75A2A">
        <w:t xml:space="preserve">. Infection with </w:t>
      </w:r>
      <w:r w:rsidR="004A2877" w:rsidRPr="00B75A2A">
        <w:rPr>
          <w:i/>
          <w:iCs/>
        </w:rPr>
        <w:t>Toxoplasma gondii</w:t>
      </w:r>
      <w:r w:rsidR="004A2877" w:rsidRPr="00B75A2A">
        <w:t xml:space="preserve"> induces the secretion of proinflammatory cytokines, including TNF-a </w:t>
      </w:r>
      <w:r w:rsidR="005B1A89" w:rsidRPr="00B75A2A">
        <w:fldChar w:fldCharType="begin"/>
      </w:r>
      <w:r w:rsidR="00CF202C" w:rsidRPr="00B75A2A">
        <w:instrText xml:space="preserve"> ADDIN EN.CITE &lt;EndNote&gt;&lt;Cite&gt;&lt;Author&gt;Dunay&lt;/Author&gt;&lt;Year&gt;2010&lt;/Year&gt;&lt;RecNum&gt;48&lt;/RecNum&gt;&lt;DisplayText&gt;[49]&lt;/DisplayText&gt;&lt;record&gt;&lt;rec-number&gt;48&lt;/rec-number&gt;&lt;foreign-keys&gt;&lt;key app="EN" db-id="awxxrz9fkt00vzea5p4pvvvzpt9fezd52xt5" timestamp="1668693133"&gt;48&lt;/key&gt;&lt;/foreign-keys&gt;&lt;ref-type name="Journal Article"&gt;17&lt;/ref-type&gt;&lt;contributors&gt;&lt;authors&gt;&lt;author&gt;Dunay, Ildiko R&lt;/author&gt;&lt;author&gt;Fuchs, Anja&lt;/author&gt;&lt;author&gt;Sibley, L David&lt;/author&gt;&lt;/authors&gt;&lt;/contributors&gt;&lt;titles&gt;&lt;title&gt;Inflammatory monocytes but not neutrophils are necessary to control infection with Toxoplasma gondii in mice&lt;/title&gt;&lt;secondary-title&gt;Infection and immunity&lt;/secondary-title&gt;&lt;/titles&gt;&lt;periodical&gt;&lt;full-title&gt;Infection and immunity&lt;/full-title&gt;&lt;/periodical&gt;&lt;pages&gt;1564-1570&lt;/pages&gt;&lt;volume&gt;78&lt;/volume&gt;&lt;number&gt;4&lt;/number&gt;&lt;dates&gt;&lt;year&gt;2010&lt;/year&gt;&lt;/dates&gt;&lt;isbn&gt;0019-9567&lt;/isbn&gt;&lt;urls&gt;&lt;/urls&gt;&lt;/record&gt;&lt;/Cite&gt;&lt;/EndNote&gt;</w:instrText>
      </w:r>
      <w:r w:rsidR="005B1A89" w:rsidRPr="00B75A2A">
        <w:fldChar w:fldCharType="separate"/>
      </w:r>
      <w:r w:rsidR="00CF202C" w:rsidRPr="00B75A2A">
        <w:rPr>
          <w:noProof/>
        </w:rPr>
        <w:t>[49]</w:t>
      </w:r>
      <w:r w:rsidR="005B1A89" w:rsidRPr="00B75A2A">
        <w:fldChar w:fldCharType="end"/>
      </w:r>
      <w:r w:rsidR="004A2877" w:rsidRPr="00B75A2A">
        <w:t xml:space="preserve">. PSMB10 has been considered a risk factor for the regulation of viral response and epithelial cell differentiation, particularly during immunocompromised-induced conditions such as cancer </w:t>
      </w:r>
      <w:r w:rsidR="005B1A89" w:rsidRPr="00B75A2A">
        <w:fldChar w:fldCharType="begin"/>
      </w:r>
      <w:r w:rsidR="00CF202C" w:rsidRPr="00B75A2A">
        <w:instrText xml:space="preserve"> ADDIN EN.CITE &lt;EndNote&gt;&lt;Cite&gt;&lt;Author&gt;Xu&lt;/Author&gt;&lt;Year&gt;2019&lt;/Year&gt;&lt;RecNum&gt;18&lt;/RecNum&gt;&lt;DisplayText&gt;[19]&lt;/DisplayText&gt;&lt;record&gt;&lt;rec-number&gt;18&lt;/rec-number&gt;&lt;foreign-keys&gt;&lt;key app="EN" db-id="awxxrz9fkt00vzea5p4pvvvzpt9fezd52xt5" timestamp="1668693132"&gt;18&lt;/key&gt;&lt;/foreign-keys&gt;&lt;ref-type name="Journal Article"&gt;17&lt;/ref-type&gt;&lt;contributors&gt;&lt;authors&gt;&lt;author&gt;Xu, Huji&lt;/author&gt;&lt;author&gt;Yin, Jian&lt;/author&gt;&lt;/authors&gt;&lt;/contributors&gt;&lt;titles&gt;&lt;title&gt;HLA risk alleles and gut microbiome in ankylosing spondylitis and rheumatoid arthritis&lt;/title&gt;&lt;secondary-title&gt;Best Practice &amp;amp; Research Clinical Rheumatology&lt;/secondary-title&gt;&lt;/titles&gt;&lt;periodical&gt;&lt;full-title&gt;Best Practice &amp;amp; Research Clinical Rheumatology&lt;/full-title&gt;&lt;/periodical&gt;&lt;pages&gt;101499&lt;/pages&gt;&lt;volume&gt;33&lt;/volume&gt;&lt;number&gt;6&lt;/number&gt;&lt;dates&gt;&lt;year&gt;2019&lt;/year&gt;&lt;/dates&gt;&lt;isbn&gt;1521-6942&lt;/isbn&gt;&lt;urls&gt;&lt;/urls&gt;&lt;/record&gt;&lt;/Cite&gt;&lt;/EndNote&gt;</w:instrText>
      </w:r>
      <w:r w:rsidR="005B1A89" w:rsidRPr="00B75A2A">
        <w:fldChar w:fldCharType="separate"/>
      </w:r>
      <w:r w:rsidR="00CF202C" w:rsidRPr="00B75A2A">
        <w:rPr>
          <w:noProof/>
        </w:rPr>
        <w:t>[19]</w:t>
      </w:r>
      <w:r w:rsidR="005B1A89" w:rsidRPr="00B75A2A">
        <w:fldChar w:fldCharType="end"/>
      </w:r>
      <w:r w:rsidR="004A2877" w:rsidRPr="00B75A2A">
        <w:t>.</w:t>
      </w:r>
    </w:p>
    <w:p w14:paraId="647F5935" w14:textId="048E4137" w:rsidR="00877326" w:rsidRPr="00B75A2A" w:rsidRDefault="00877326" w:rsidP="00B75A2A">
      <w:pPr>
        <w:spacing w:line="480" w:lineRule="auto"/>
        <w:jc w:val="both"/>
      </w:pPr>
    </w:p>
    <w:p w14:paraId="26984B64" w14:textId="77777777" w:rsidR="00877326" w:rsidRPr="00B75A2A" w:rsidRDefault="00877326" w:rsidP="00B75A2A">
      <w:pPr>
        <w:spacing w:line="480" w:lineRule="auto"/>
        <w:jc w:val="both"/>
        <w:rPr>
          <w:b/>
          <w:bCs/>
          <w:i/>
          <w:iCs/>
          <w:lang w:val="en-US"/>
        </w:rPr>
      </w:pPr>
      <w:r w:rsidRPr="00B75A2A">
        <w:rPr>
          <w:b/>
          <w:bCs/>
          <w:i/>
          <w:iCs/>
          <w:lang w:val="en-US"/>
        </w:rPr>
        <w:t>Membrane proteins</w:t>
      </w:r>
    </w:p>
    <w:p w14:paraId="47814E66" w14:textId="186E70BE" w:rsidR="00154D46" w:rsidRPr="00B75A2A" w:rsidRDefault="00CF202C" w:rsidP="00B75A2A">
      <w:pPr>
        <w:spacing w:line="480" w:lineRule="auto"/>
        <w:jc w:val="both"/>
        <w:rPr>
          <w:lang w:val="en-US"/>
        </w:rPr>
      </w:pPr>
      <w:r w:rsidRPr="00B75A2A">
        <w:rPr>
          <w:lang w:val="en-US"/>
        </w:rPr>
        <w:t>Seven</w:t>
      </w:r>
      <w:r w:rsidR="009B484E" w:rsidRPr="00B75A2A">
        <w:rPr>
          <w:lang w:val="en-US"/>
        </w:rPr>
        <w:t xml:space="preserve"> down-regulated DEGs in </w:t>
      </w:r>
      <w:r w:rsidR="009B484E" w:rsidRPr="00B75A2A">
        <w:t xml:space="preserve">recipient mice transplanted with old </w:t>
      </w:r>
      <w:r w:rsidR="00003F09" w:rsidRPr="00B75A2A">
        <w:t xml:space="preserve">gut </w:t>
      </w:r>
      <w:r w:rsidR="009B484E" w:rsidRPr="00B75A2A">
        <w:t xml:space="preserve">microbiota </w:t>
      </w:r>
      <w:r w:rsidR="009B484E" w:rsidRPr="00B75A2A">
        <w:rPr>
          <w:lang w:val="en-US"/>
        </w:rPr>
        <w:t xml:space="preserve">can be classified as membrane </w:t>
      </w:r>
      <w:r w:rsidR="009B484E" w:rsidRPr="00E75F60">
        <w:rPr>
          <w:color w:val="000000" w:themeColor="text1"/>
          <w:lang w:val="en-US"/>
        </w:rPr>
        <w:t>proteins</w:t>
      </w:r>
      <w:r w:rsidR="004E7AC0" w:rsidRPr="00E75F60">
        <w:rPr>
          <w:color w:val="000000" w:themeColor="text1"/>
          <w:lang w:val="en-US"/>
        </w:rPr>
        <w:t xml:space="preserve"> </w:t>
      </w:r>
      <w:r w:rsidR="004E7AC0" w:rsidRPr="00E75F60">
        <w:rPr>
          <w:color w:val="000000" w:themeColor="text1"/>
        </w:rPr>
        <w:t>(EMP2, GRN, SLC26A6, LGR4, TCIRG, ATP7A, FER)</w:t>
      </w:r>
      <w:r w:rsidR="009B484E" w:rsidRPr="00E75F60">
        <w:rPr>
          <w:color w:val="000000" w:themeColor="text1"/>
          <w:lang w:val="en-US"/>
        </w:rPr>
        <w:t xml:space="preserve">. </w:t>
      </w:r>
      <w:r w:rsidR="00877326" w:rsidRPr="00B75A2A">
        <w:rPr>
          <w:lang w:val="en-US"/>
        </w:rPr>
        <w:t xml:space="preserve">EMP2 has been shown to confer a potential therapeutic role against host infection </w:t>
      </w:r>
      <w:r w:rsidR="00447154" w:rsidRPr="00B75A2A">
        <w:rPr>
          <w:lang w:val="en-US"/>
        </w:rPr>
        <w:fldChar w:fldCharType="begin"/>
      </w:r>
      <w:r w:rsidRPr="00B75A2A">
        <w:rPr>
          <w:lang w:val="en-US"/>
        </w:rPr>
        <w:instrText xml:space="preserve"> ADDIN EN.CITE &lt;EndNote&gt;&lt;Cite&gt;&lt;Author&gt;Shimazaki&lt;/Author&gt;&lt;Year&gt;2009&lt;/Year&gt;&lt;RecNum&gt;49&lt;/RecNum&gt;&lt;DisplayText&gt;[50]&lt;/DisplayText&gt;&lt;record&gt;&lt;rec-number&gt;49&lt;/rec-number&gt;&lt;foreign-keys&gt;&lt;key app="EN" db-id="awxxrz9fkt00vzea5p4pvvvzpt9fezd52xt5" timestamp="1668693133"&gt;49&lt;/key&gt;&lt;/foreign-keys&gt;&lt;ref-type name="Journal Article"&gt;17&lt;/ref-type&gt;&lt;contributors&gt;&lt;authors&gt;&lt;author&gt;Shimazaki, Kaori&lt;/author&gt;&lt;author&gt;Chan, Ann M&lt;/author&gt;&lt;author&gt;Moniz, Raymond J&lt;/author&gt;&lt;author&gt;Wadehra, Madhuri&lt;/author&gt;&lt;author&gt;Nagy, Agnes&lt;/author&gt;&lt;author&gt;Coulam, Catherine P&lt;/author&gt;&lt;author&gt;Mareninov, Sergey&lt;/author&gt;&lt;author&gt;Lepin, Eric M&lt;/author&gt;&lt;author&gt;Wu, Anna M&lt;/author&gt;&lt;author&gt;Kelly, Kathleen A&lt;/author&gt;&lt;/authors&gt;&lt;/contributors&gt;&lt;titles&gt;&lt;title&gt;Blockade of epithelial membrane protein 2 (EMP2) abrogates infection of Chlamydia muridarum murine genital infection model&lt;/title&gt;&lt;secondary-title&gt;FEMS Immunology &amp;amp; Medical Microbiology&lt;/secondary-title&gt;&lt;/titles&gt;&lt;periodical&gt;&lt;full-title&gt;FEMS Immunology &amp;amp; Medical Microbiology&lt;/full-title&gt;&lt;/periodical&gt;&lt;pages&gt;240-249&lt;/pages&gt;&lt;volume&gt;55&lt;/volume&gt;&lt;number&gt;2&lt;/number&gt;&lt;dates&gt;&lt;year&gt;2009&lt;/year&gt;&lt;/dates&gt;&lt;isbn&gt;1574-695X&lt;/isbn&gt;&lt;urls&gt;&lt;/urls&gt;&lt;/record&gt;&lt;/Cite&gt;&lt;/EndNote&gt;</w:instrText>
      </w:r>
      <w:r w:rsidR="00447154" w:rsidRPr="00B75A2A">
        <w:rPr>
          <w:lang w:val="en-US"/>
        </w:rPr>
        <w:fldChar w:fldCharType="separate"/>
      </w:r>
      <w:r w:rsidRPr="00B75A2A">
        <w:rPr>
          <w:noProof/>
          <w:lang w:val="en-US"/>
        </w:rPr>
        <w:t>[50]</w:t>
      </w:r>
      <w:r w:rsidR="00447154" w:rsidRPr="00B75A2A">
        <w:rPr>
          <w:lang w:val="en-US"/>
        </w:rPr>
        <w:fldChar w:fldCharType="end"/>
      </w:r>
      <w:r w:rsidR="00447154" w:rsidRPr="00B75A2A">
        <w:rPr>
          <w:lang w:val="en-US"/>
        </w:rPr>
        <w:t>.</w:t>
      </w:r>
      <w:r w:rsidR="00877326" w:rsidRPr="00B75A2A">
        <w:rPr>
          <w:lang w:val="en-US"/>
        </w:rPr>
        <w:t xml:space="preserve"> In particular, increased EMP2 expression promotes integrin </w:t>
      </w:r>
      <w:r w:rsidR="00877326" w:rsidRPr="00B75A2A">
        <w:rPr>
          <w:lang w:val="el-GR"/>
        </w:rPr>
        <w:t>α</w:t>
      </w:r>
      <w:r w:rsidR="00877326" w:rsidRPr="00B75A2A">
        <w:t>6</w:t>
      </w:r>
      <w:r w:rsidR="00877326" w:rsidRPr="00B75A2A">
        <w:rPr>
          <w:lang w:val="el-GR"/>
        </w:rPr>
        <w:t>β</w:t>
      </w:r>
      <w:r w:rsidR="00877326" w:rsidRPr="00B75A2A">
        <w:t xml:space="preserve">1 </w:t>
      </w:r>
      <w:r w:rsidR="00877326" w:rsidRPr="00B75A2A">
        <w:rPr>
          <w:lang w:val="en-US"/>
        </w:rPr>
        <w:t xml:space="preserve">and </w:t>
      </w:r>
      <w:r w:rsidR="00877326" w:rsidRPr="00B75A2A">
        <w:rPr>
          <w:lang w:val="el-GR"/>
        </w:rPr>
        <w:t>α</w:t>
      </w:r>
      <w:r w:rsidR="00877326" w:rsidRPr="00B75A2A">
        <w:rPr>
          <w:lang w:val="en-US"/>
        </w:rPr>
        <w:t>V</w:t>
      </w:r>
      <w:r w:rsidR="00877326" w:rsidRPr="00B75A2A">
        <w:rPr>
          <w:lang w:val="el-GR"/>
        </w:rPr>
        <w:t>β</w:t>
      </w:r>
      <w:r w:rsidR="00877326" w:rsidRPr="00B75A2A">
        <w:t xml:space="preserve">3 </w:t>
      </w:r>
      <w:r w:rsidR="00877326" w:rsidRPr="00B75A2A">
        <w:rPr>
          <w:lang w:val="en-US"/>
        </w:rPr>
        <w:t xml:space="preserve">expression, which facilitates immune cell trafficking, effector cell activation, and proliferation in tissues </w:t>
      </w:r>
      <w:r w:rsidR="00447154" w:rsidRPr="00B75A2A">
        <w:rPr>
          <w:lang w:val="en-US"/>
        </w:rPr>
        <w:fldChar w:fldCharType="begin"/>
      </w:r>
      <w:r w:rsidRPr="00B75A2A">
        <w:rPr>
          <w:lang w:val="en-US"/>
        </w:rPr>
        <w:instrText xml:space="preserve"> ADDIN EN.CITE &lt;EndNote&gt;&lt;Cite&gt;&lt;Author&gt;Wadehra&lt;/Author&gt;&lt;Year&gt;2002&lt;/Year&gt;&lt;RecNum&gt;50&lt;/RecNum&gt;&lt;DisplayText&gt;[51]&lt;/DisplayText&gt;&lt;record&gt;&lt;rec-number&gt;50&lt;/rec-number&gt;&lt;foreign-keys&gt;&lt;key app="EN" db-id="awxxrz9fkt00vzea5p4pvvvzpt9fezd52xt5" timestamp="1668693133"&gt;50&lt;/key&gt;&lt;/foreign-keys&gt;&lt;ref-type name="Journal Article"&gt;17&lt;/ref-type&gt;&lt;contributors&gt;&lt;authors&gt;&lt;author&gt;Wadehra, Madhuri&lt;/author&gt;&lt;author&gt;Iyer, Ramaswamy&lt;/author&gt;&lt;author&gt;Goodglick, Lee&lt;/author&gt;&lt;author&gt;Braun, Jonathan&lt;/author&gt;&lt;/authors&gt;&lt;/contributors&gt;&lt;titles&gt;&lt;title&gt;The tetraspan protein epithelial membrane protein-2 interacts with β1 integrins and regulates adhesion&lt;/title&gt;&lt;secondary-title&gt;Journal of Biological Chemistry&lt;/secondary-title&gt;&lt;/titles&gt;&lt;periodical&gt;&lt;full-title&gt;Journal of Biological Chemistry&lt;/full-title&gt;&lt;/periodical&gt;&lt;pages&gt;41094-41100&lt;/pages&gt;&lt;volume&gt;277&lt;/volume&gt;&lt;number&gt;43&lt;/number&gt;&lt;dates&gt;&lt;year&gt;2002&lt;/year&gt;&lt;/dates&gt;&lt;isbn&gt;0021-9258&lt;/isbn&gt;&lt;urls&gt;&lt;/urls&gt;&lt;/record&gt;&lt;/Cite&gt;&lt;/EndNote&gt;</w:instrText>
      </w:r>
      <w:r w:rsidR="00447154" w:rsidRPr="00B75A2A">
        <w:rPr>
          <w:lang w:val="en-US"/>
        </w:rPr>
        <w:fldChar w:fldCharType="separate"/>
      </w:r>
      <w:r w:rsidRPr="00B75A2A">
        <w:rPr>
          <w:noProof/>
          <w:lang w:val="en-US"/>
        </w:rPr>
        <w:t>[51]</w:t>
      </w:r>
      <w:r w:rsidR="00447154" w:rsidRPr="00B75A2A">
        <w:rPr>
          <w:lang w:val="en-US"/>
        </w:rPr>
        <w:fldChar w:fldCharType="end"/>
      </w:r>
      <w:r w:rsidR="00877326" w:rsidRPr="00B75A2A">
        <w:rPr>
          <w:lang w:val="en-US"/>
        </w:rPr>
        <w:t xml:space="preserve">. </w:t>
      </w:r>
      <w:r w:rsidR="00877326" w:rsidRPr="00B75A2A">
        <w:rPr>
          <w:lang w:val="en-US"/>
        </w:rPr>
        <w:lastRenderedPageBreak/>
        <w:t xml:space="preserve">EMP2 deficiency in mice has been linked with impaired epithelial neutrophil migration </w:t>
      </w:r>
      <w:r w:rsidR="00990267" w:rsidRPr="00B75A2A">
        <w:rPr>
          <w:lang w:val="en-US"/>
        </w:rPr>
        <w:fldChar w:fldCharType="begin"/>
      </w:r>
      <w:r w:rsidRPr="00B75A2A">
        <w:rPr>
          <w:lang w:val="en-US"/>
        </w:rPr>
        <w:instrText xml:space="preserve"> ADDIN EN.CITE &lt;EndNote&gt;&lt;Cite&gt;&lt;Author&gt;Lin&lt;/Author&gt;&lt;Year&gt;2020&lt;/Year&gt;&lt;RecNum&gt;51&lt;/RecNum&gt;&lt;DisplayText&gt;[52]&lt;/DisplayText&gt;&lt;record&gt;&lt;rec-number&gt;51&lt;/rec-number&gt;&lt;foreign-keys&gt;&lt;key app="EN" db-id="awxxrz9fkt00vzea5p4pvvvzpt9fezd52xt5" timestamp="1668693133"&gt;51&lt;/key&gt;&lt;/foreign-keys&gt;&lt;ref-type name="Journal Article"&gt;17&lt;/ref-type&gt;&lt;contributors&gt;&lt;authors&gt;&lt;author&gt;Lin, Wan-Chi&lt;/author&gt;&lt;author&gt;Gowdy, Kymberly M&lt;/author&gt;&lt;author&gt;Madenspacher, Jennifer H&lt;/author&gt;&lt;author&gt;Zemans, Rachel L&lt;/author&gt;&lt;author&gt;Yamamoto, Kazuko&lt;/author&gt;&lt;author&gt;Lyons-Cohen, Miranda&lt;/author&gt;&lt;author&gt;Nakano, Hideki&lt;/author&gt;&lt;author&gt;Janardhan, Kyathanahalli&lt;/author&gt;&lt;author&gt;Williams, Carmen J&lt;/author&gt;&lt;author&gt;Cook, Donald N&lt;/author&gt;&lt;/authors&gt;&lt;/contributors&gt;&lt;titles&gt;&lt;title&gt;Epithelial membrane protein 2 governs transepithelial migration of neutrophils into the airspace&lt;/title&gt;&lt;secondary-title&gt;The Journal of clinical investigation&lt;/secondary-title&gt;&lt;/titles&gt;&lt;periodical&gt;&lt;full-title&gt;The Journal of clinical investigation&lt;/full-title&gt;&lt;/periodical&gt;&lt;pages&gt;157-170&lt;/pages&gt;&lt;volume&gt;130&lt;/volume&gt;&lt;number&gt;1&lt;/number&gt;&lt;dates&gt;&lt;year&gt;2020&lt;/year&gt;&lt;/dates&gt;&lt;isbn&gt;0021-9738&lt;/isbn&gt;&lt;urls&gt;&lt;/urls&gt;&lt;/record&gt;&lt;/Cite&gt;&lt;/EndNote&gt;</w:instrText>
      </w:r>
      <w:r w:rsidR="00990267" w:rsidRPr="00B75A2A">
        <w:rPr>
          <w:lang w:val="en-US"/>
        </w:rPr>
        <w:fldChar w:fldCharType="separate"/>
      </w:r>
      <w:r w:rsidRPr="00B75A2A">
        <w:rPr>
          <w:noProof/>
          <w:lang w:val="en-US"/>
        </w:rPr>
        <w:t>[52]</w:t>
      </w:r>
      <w:r w:rsidR="00990267" w:rsidRPr="00B75A2A">
        <w:rPr>
          <w:lang w:val="en-US"/>
        </w:rPr>
        <w:fldChar w:fldCharType="end"/>
      </w:r>
      <w:r w:rsidR="00877326" w:rsidRPr="00B75A2A">
        <w:rPr>
          <w:lang w:val="en-US"/>
        </w:rPr>
        <w:t xml:space="preserve">, while a strong transcriptomic </w:t>
      </w:r>
      <w:r w:rsidR="00154D46" w:rsidRPr="00B75A2A">
        <w:rPr>
          <w:lang w:val="en-US"/>
        </w:rPr>
        <w:t xml:space="preserve">down-regulation of EMP2 </w:t>
      </w:r>
      <w:r w:rsidR="00877326" w:rsidRPr="00B75A2A">
        <w:rPr>
          <w:lang w:val="en-US"/>
        </w:rPr>
        <w:t xml:space="preserve">has been observed in inflammatory </w:t>
      </w:r>
      <w:r w:rsidR="00154D46" w:rsidRPr="00B75A2A">
        <w:rPr>
          <w:lang w:val="en-US"/>
        </w:rPr>
        <w:t xml:space="preserve">lung </w:t>
      </w:r>
      <w:r w:rsidR="00877326" w:rsidRPr="00B75A2A">
        <w:rPr>
          <w:lang w:val="en-US"/>
        </w:rPr>
        <w:t xml:space="preserve">disease </w:t>
      </w:r>
      <w:r w:rsidR="00990267" w:rsidRPr="00B75A2A">
        <w:rPr>
          <w:lang w:val="en-US"/>
        </w:rPr>
        <w:fldChar w:fldCharType="begin"/>
      </w:r>
      <w:r w:rsidRPr="00B75A2A">
        <w:rPr>
          <w:lang w:val="en-US"/>
        </w:rPr>
        <w:instrText xml:space="preserve"> ADDIN EN.CITE &lt;EndNote&gt;&lt;Cite&gt;&lt;Author&gt;Paci&lt;/Author&gt;&lt;Year&gt;2020&lt;/Year&gt;&lt;RecNum&gt;52&lt;/RecNum&gt;&lt;DisplayText&gt;[53]&lt;/DisplayText&gt;&lt;record&gt;&lt;rec-number&gt;52&lt;/rec-number&gt;&lt;foreign-keys&gt;&lt;key app="EN" db-id="awxxrz9fkt00vzea5p4pvvvzpt9fezd52xt5" timestamp="1668693133"&gt;52&lt;/key&gt;&lt;/foreign-keys&gt;&lt;ref-type name="Journal Article"&gt;17&lt;/ref-type&gt;&lt;contributors&gt;&lt;authors&gt;&lt;author&gt;Paci, Paola&lt;/author&gt;&lt;author&gt;Fiscon, Giulia&lt;/author&gt;&lt;author&gt;Conte, Federica&lt;/author&gt;&lt;author&gt;Licursi, Valerio&lt;/author&gt;&lt;author&gt;Morrow, Jarrett&lt;/author&gt;&lt;author&gt;Hersh, Craig&lt;/author&gt;&lt;author&gt;Cho, Michael&lt;/author&gt;&lt;author&gt;Castaldi, Peter&lt;/author&gt;&lt;author&gt;Glass, Kimberly&lt;/author&gt;&lt;author&gt;Silverman, Edwin K&lt;/author&gt;&lt;/authors&gt;&lt;/contributors&gt;&lt;titles&gt;&lt;title&gt;Integrated transcriptomic correlation network analysis identifies COPD molecular determinants&lt;/title&gt;&lt;secondary-title&gt;Scientific reports&lt;/secondary-title&gt;&lt;/titles&gt;&lt;periodical&gt;&lt;full-title&gt;Scientific reports&lt;/full-title&gt;&lt;/periodical&gt;&lt;pages&gt;1-18&lt;/pages&gt;&lt;volume&gt;10&lt;/volume&gt;&lt;number&gt;1&lt;/number&gt;&lt;dates&gt;&lt;year&gt;2020&lt;/year&gt;&lt;/dates&gt;&lt;isbn&gt;2045-2322&lt;/isbn&gt;&lt;urls&gt;&lt;/urls&gt;&lt;/record&gt;&lt;/Cite&gt;&lt;/EndNote&gt;</w:instrText>
      </w:r>
      <w:r w:rsidR="00990267" w:rsidRPr="00B75A2A">
        <w:rPr>
          <w:lang w:val="en-US"/>
        </w:rPr>
        <w:fldChar w:fldCharType="separate"/>
      </w:r>
      <w:r w:rsidRPr="00B75A2A">
        <w:rPr>
          <w:noProof/>
          <w:lang w:val="en-US"/>
        </w:rPr>
        <w:t>[53]</w:t>
      </w:r>
      <w:r w:rsidR="00990267" w:rsidRPr="00B75A2A">
        <w:rPr>
          <w:lang w:val="en-US"/>
        </w:rPr>
        <w:fldChar w:fldCharType="end"/>
      </w:r>
      <w:r w:rsidR="00877326" w:rsidRPr="00B75A2A">
        <w:rPr>
          <w:lang w:val="en-US"/>
        </w:rPr>
        <w:t xml:space="preserve">. GRN, an immune-regulatory molecule, has been shown to modulate TNF/TNFR signaling via increased leukocyte elastase activity, which becomes triggered by neutrophil stimulation </w:t>
      </w:r>
      <w:r w:rsidR="00990267" w:rsidRPr="00B75A2A">
        <w:rPr>
          <w:lang w:val="en-US"/>
        </w:rPr>
        <w:fldChar w:fldCharType="begin"/>
      </w:r>
      <w:r w:rsidRPr="00B75A2A">
        <w:rPr>
          <w:lang w:val="en-US"/>
        </w:rPr>
        <w:instrText xml:space="preserve"> ADDIN EN.CITE &lt;EndNote&gt;&lt;Cite&gt;&lt;Author&gt;Zhu&lt;/Author&gt;&lt;Year&gt;2002&lt;/Year&gt;&lt;RecNum&gt;53&lt;/RecNum&gt;&lt;DisplayText&gt;[54]&lt;/DisplayText&gt;&lt;record&gt;&lt;rec-number&gt;53&lt;/rec-number&gt;&lt;foreign-keys&gt;&lt;key app="EN" db-id="awxxrz9fkt00vzea5p4pvvvzpt9fezd52xt5" timestamp="1668693133"&gt;53&lt;/key&gt;&lt;/foreign-keys&gt;&lt;ref-type name="Journal Article"&gt;17&lt;/ref-type&gt;&lt;contributors&gt;&lt;authors&gt;&lt;author&gt;Zhu, Jing&lt;/author&gt;&lt;author&gt;Nathan, Carl&lt;/author&gt;&lt;author&gt;Jin, Wenwen&lt;/author&gt;&lt;author&gt;Sim, Davis&lt;/author&gt;&lt;author&gt;Ashcroft, Gillian S&lt;/author&gt;&lt;author&gt;Wahl, Sharon M&lt;/author&gt;&lt;author&gt;Lacomis, Lynne&lt;/author&gt;&lt;author&gt;Erdjument-Bromage, Hediye&lt;/author&gt;&lt;author&gt;Tempst, Paul&lt;/author&gt;&lt;author&gt;Wright, Clifford D&lt;/author&gt;&lt;/authors&gt;&lt;/contributors&gt;&lt;titles&gt;&lt;title&gt;Conversion of proepithelin to epithelins: roles of SLPI and elastase in host defense and wound repair&lt;/title&gt;&lt;secondary-title&gt;Cell&lt;/secondary-title&gt;&lt;/titles&gt;&lt;periodical&gt;&lt;full-title&gt;Cell&lt;/full-title&gt;&lt;/periodical&gt;&lt;pages&gt;867-878&lt;/pages&gt;&lt;volume&gt;111&lt;/volume&gt;&lt;number&gt;6&lt;/number&gt;&lt;dates&gt;&lt;year&gt;2002&lt;/year&gt;&lt;/dates&gt;&lt;isbn&gt;0092-8674&lt;/isbn&gt;&lt;urls&gt;&lt;/urls&gt;&lt;/record&gt;&lt;/Cite&gt;&lt;/EndNote&gt;</w:instrText>
      </w:r>
      <w:r w:rsidR="00990267" w:rsidRPr="00B75A2A">
        <w:rPr>
          <w:lang w:val="en-US"/>
        </w:rPr>
        <w:fldChar w:fldCharType="separate"/>
      </w:r>
      <w:r w:rsidRPr="00B75A2A">
        <w:rPr>
          <w:noProof/>
          <w:lang w:val="en-US"/>
        </w:rPr>
        <w:t>[54]</w:t>
      </w:r>
      <w:r w:rsidR="00990267" w:rsidRPr="00B75A2A">
        <w:rPr>
          <w:lang w:val="en-US"/>
        </w:rPr>
        <w:fldChar w:fldCharType="end"/>
      </w:r>
      <w:r w:rsidR="00877326" w:rsidRPr="00B75A2A">
        <w:rPr>
          <w:lang w:val="en-US"/>
        </w:rPr>
        <w:t xml:space="preserve">. Indeed, increased mucosal progranulin (PGRN) expression in gastric epithelial cells following infection with </w:t>
      </w:r>
      <w:r w:rsidR="00877326" w:rsidRPr="00B75A2A">
        <w:rPr>
          <w:i/>
          <w:iCs/>
          <w:lang w:val="en-US"/>
        </w:rPr>
        <w:t>Helicobacter pylori</w:t>
      </w:r>
      <w:r w:rsidR="00877326" w:rsidRPr="00B75A2A">
        <w:rPr>
          <w:lang w:val="en-US"/>
        </w:rPr>
        <w:t xml:space="preserve"> has been observed </w:t>
      </w:r>
      <w:r w:rsidR="00990267" w:rsidRPr="00B75A2A">
        <w:rPr>
          <w:lang w:val="en-US"/>
        </w:rPr>
        <w:fldChar w:fldCharType="begin"/>
      </w:r>
      <w:r w:rsidRPr="00B75A2A">
        <w:rPr>
          <w:lang w:val="en-US"/>
        </w:rPr>
        <w:instrText xml:space="preserve"> ADDIN EN.CITE &lt;EndNote&gt;&lt;Cite&gt;&lt;Author&gt;Wang&lt;/Author&gt;&lt;Year&gt;2011&lt;/Year&gt;&lt;RecNum&gt;54&lt;/RecNum&gt;&lt;DisplayText&gt;[55, 56]&lt;/DisplayText&gt;&lt;record&gt;&lt;rec-number&gt;54&lt;/rec-number&gt;&lt;foreign-keys&gt;&lt;key app="EN" db-id="awxxrz9fkt00vzea5p4pvvvzpt9fezd52xt5" timestamp="1668693133"&gt;54&lt;/key&gt;&lt;/foreign-keys&gt;&lt;ref-type name="Journal Article"&gt;17&lt;/ref-type&gt;&lt;contributors&gt;&lt;authors&gt;&lt;author&gt;Wang, Hongyan&lt;/author&gt;&lt;author&gt;Sun, Yundong&lt;/author&gt;&lt;author&gt;Liu, Shili&lt;/author&gt;&lt;author&gt;Yu, Han&lt;/author&gt;&lt;author&gt;Li, Wenjuan&lt;/author&gt;&lt;author&gt;Zeng, Jiping&lt;/author&gt;&lt;author&gt;Chen, Chunyan&lt;/author&gt;&lt;author&gt;Jia, Jihui&lt;/author&gt;&lt;/authors&gt;&lt;/contributors&gt;&lt;titles&gt;&lt;title&gt;Upregulation of progranulin by Helicobacter pylori in human gastric epithelial cells via p38MAPK and MEK1/2 signaling pathway: role in epithelial cell proliferation and migration&lt;/title&gt;&lt;secondary-title&gt;FEMS Immunology &amp;amp; Medical Microbiology&lt;/secondary-title&gt;&lt;/titles&gt;&lt;periodical&gt;&lt;full-title&gt;FEMS Immunology &amp;amp; Medical Microbiology&lt;/full-title&gt;&lt;/periodical&gt;&lt;pages&gt;82-92&lt;/pages&gt;&lt;volume&gt;63&lt;/volume&gt;&lt;number&gt;1&lt;/number&gt;&lt;dates&gt;&lt;year&gt;2011&lt;/year&gt;&lt;/dates&gt;&lt;isbn&gt;1574-695X&lt;/isbn&gt;&lt;urls&gt;&lt;/urls&gt;&lt;/record&gt;&lt;/Cite&gt;&lt;Cite&gt;&lt;Author&gt;Wex&lt;/Author&gt;&lt;Year&gt;2011&lt;/Year&gt;&lt;RecNum&gt;55&lt;/RecNum&gt;&lt;record&gt;&lt;rec-number&gt;55&lt;/rec-number&gt;&lt;foreign-keys&gt;&lt;key app="EN" db-id="awxxrz9fkt00vzea5p4pvvvzpt9fezd52xt5" timestamp="1668693133"&gt;55&lt;/key&gt;&lt;/foreign-keys&gt;&lt;ref-type name="Journal Article"&gt;17&lt;/ref-type&gt;&lt;contributors&gt;&lt;authors&gt;&lt;author&gt;Wex, Thomas&lt;/author&gt;&lt;author&gt;Kuester, Doerthe&lt;/author&gt;&lt;author&gt;Schönberg, Cornelius&lt;/author&gt;&lt;author&gt;Schindele, Daniel&lt;/author&gt;&lt;author&gt;Treiber, Gerhard&lt;/author&gt;&lt;author&gt;Malfertheiner, Peter&lt;/author&gt;&lt;/authors&gt;&lt;/contributors&gt;&lt;titles&gt;&lt;title&gt;Mucosal Progranulin expression is induced by H. pylori, but independent of Secretory Leukocyte Protease Inhibitor (SLPI) expression&lt;/title&gt;&lt;secondary-title&gt;BMC gastroenterology&lt;/secondary-title&gt;&lt;/titles&gt;&lt;periodical&gt;&lt;full-title&gt;BMC gastroenterology&lt;/full-title&gt;&lt;/periodical&gt;&lt;pages&gt;1-9&lt;/pages&gt;&lt;volume&gt;11&lt;/volume&gt;&lt;number&gt;1&lt;/number&gt;&lt;dates&gt;&lt;year&gt;2011&lt;/year&gt;&lt;/dates&gt;&lt;isbn&gt;1471-230X&lt;/isbn&gt;&lt;urls&gt;&lt;/urls&gt;&lt;/record&gt;&lt;/Cite&gt;&lt;/EndNote&gt;</w:instrText>
      </w:r>
      <w:r w:rsidR="00990267" w:rsidRPr="00B75A2A">
        <w:rPr>
          <w:lang w:val="en-US"/>
        </w:rPr>
        <w:fldChar w:fldCharType="separate"/>
      </w:r>
      <w:r w:rsidRPr="00B75A2A">
        <w:rPr>
          <w:noProof/>
          <w:lang w:val="en-US"/>
        </w:rPr>
        <w:t>[55, 56]</w:t>
      </w:r>
      <w:r w:rsidR="00990267" w:rsidRPr="00B75A2A">
        <w:rPr>
          <w:lang w:val="en-US"/>
        </w:rPr>
        <w:fldChar w:fldCharType="end"/>
      </w:r>
      <w:r w:rsidR="00877326" w:rsidRPr="00B75A2A">
        <w:rPr>
          <w:lang w:val="en-US"/>
        </w:rPr>
        <w:t xml:space="preserve">. Similarly, research </w:t>
      </w:r>
      <w:r w:rsidR="00877326" w:rsidRPr="00B75A2A">
        <w:rPr>
          <w:i/>
          <w:iCs/>
          <w:lang w:val="en-US"/>
        </w:rPr>
        <w:t>in vivo</w:t>
      </w:r>
      <w:r w:rsidR="00877326" w:rsidRPr="00B75A2A">
        <w:rPr>
          <w:lang w:val="en-US"/>
        </w:rPr>
        <w:t xml:space="preserve"> has demonstrated that PGRN-deficient mice are unable to eliminate pathogenic bacteria compared to wild type mice </w:t>
      </w:r>
      <w:r w:rsidR="00990267" w:rsidRPr="00B75A2A">
        <w:rPr>
          <w:lang w:val="en-US"/>
        </w:rPr>
        <w:fldChar w:fldCharType="begin"/>
      </w:r>
      <w:r w:rsidRPr="00B75A2A">
        <w:rPr>
          <w:lang w:val="en-US"/>
        </w:rPr>
        <w:instrText xml:space="preserve"> ADDIN EN.CITE &lt;EndNote&gt;&lt;Cite&gt;&lt;Author&gt;Yin&lt;/Author&gt;&lt;Year&gt;2010&lt;/Year&gt;&lt;RecNum&gt;56&lt;/RecNum&gt;&lt;DisplayText&gt;[57]&lt;/DisplayText&gt;&lt;record&gt;&lt;rec-number&gt;56&lt;/rec-number&gt;&lt;foreign-keys&gt;&lt;key app="EN" db-id="awxxrz9fkt00vzea5p4pvvvzpt9fezd52xt5" timestamp="1668693133"&gt;56&lt;/key&gt;&lt;/foreign-keys&gt;&lt;ref-type name="Journal Article"&gt;17&lt;/ref-type&gt;&lt;contributors&gt;&lt;authors&gt;&lt;author&gt;Yin, Fangfang&lt;/author&gt;&lt;author&gt;Banerjee, Rebecca&lt;/author&gt;&lt;author&gt;Thomas, Bobby&lt;/author&gt;&lt;author&gt;Zhou, Ping&lt;/author&gt;&lt;author&gt;Qian, Liping&lt;/author&gt;&lt;author&gt;Jia, Ting&lt;/author&gt;&lt;author&gt;Ma, Xiaojing&lt;/author&gt;&lt;author&gt;Ma, Yao&lt;/author&gt;&lt;author&gt;Iadecola, Costantino&lt;/author&gt;&lt;author&gt;Beal, M Flint&lt;/author&gt;&lt;/authors&gt;&lt;/contributors&gt;&lt;titles&gt;&lt;title&gt;Exaggerated inflammation, impaired host defense, and neuropathology in progranulin-deficient mice&lt;/title&gt;&lt;secondary-title&gt;Journal of Experimental Medicine&lt;/secondary-title&gt;&lt;/titles&gt;&lt;periodical&gt;&lt;full-title&gt;Journal of Experimental Medicine&lt;/full-title&gt;&lt;/periodical&gt;&lt;pages&gt;117-128&lt;/pages&gt;&lt;volume&gt;207&lt;/volume&gt;&lt;number&gt;1&lt;/number&gt;&lt;dates&gt;&lt;year&gt;2010&lt;/year&gt;&lt;/dates&gt;&lt;isbn&gt;1540-9538&lt;/isbn&gt;&lt;urls&gt;&lt;/urls&gt;&lt;/record&gt;&lt;/Cite&gt;&lt;/EndNote&gt;</w:instrText>
      </w:r>
      <w:r w:rsidR="00990267" w:rsidRPr="00B75A2A">
        <w:rPr>
          <w:lang w:val="en-US"/>
        </w:rPr>
        <w:fldChar w:fldCharType="separate"/>
      </w:r>
      <w:r w:rsidRPr="00B75A2A">
        <w:rPr>
          <w:noProof/>
          <w:lang w:val="en-US"/>
        </w:rPr>
        <w:t>[57]</w:t>
      </w:r>
      <w:r w:rsidR="00990267" w:rsidRPr="00B75A2A">
        <w:rPr>
          <w:lang w:val="en-US"/>
        </w:rPr>
        <w:fldChar w:fldCharType="end"/>
      </w:r>
      <w:r w:rsidR="00877326" w:rsidRPr="00B75A2A">
        <w:rPr>
          <w:lang w:val="en-US"/>
        </w:rPr>
        <w:t xml:space="preserve">. These results indicate that GRN has an immunomodulatory role with a potential to alleviate inflammatory-induced responses from bacterial infection </w:t>
      </w:r>
      <w:r w:rsidR="00990267" w:rsidRPr="00B75A2A">
        <w:rPr>
          <w:lang w:val="en-US"/>
        </w:rPr>
        <w:fldChar w:fldCharType="begin"/>
      </w:r>
      <w:r w:rsidRPr="00B75A2A">
        <w:rPr>
          <w:lang w:val="en-US"/>
        </w:rPr>
        <w:instrText xml:space="preserve"> ADDIN EN.CITE &lt;EndNote&gt;&lt;Cite&gt;&lt;Author&gt;Jian&lt;/Author&gt;&lt;Year&gt;2013&lt;/Year&gt;&lt;RecNum&gt;57&lt;/RecNum&gt;&lt;DisplayText&gt;[58]&lt;/DisplayText&gt;&lt;record&gt;&lt;rec-number&gt;57&lt;/rec-number&gt;&lt;foreign-keys&gt;&lt;key app="EN" db-id="awxxrz9fkt00vzea5p4pvvvzpt9fezd52xt5" timestamp="1668693133"&gt;57&lt;/key&gt;&lt;/foreign-keys&gt;&lt;ref-type name="Journal Article"&gt;17&lt;/ref-type&gt;&lt;contributors&gt;&lt;authors&gt;&lt;author&gt;Jian, Jinlong&lt;/author&gt;&lt;author&gt;Konopka, Jessica&lt;/author&gt;&lt;author&gt;Liu, Chuanju&lt;/author&gt;&lt;/authors&gt;&lt;/contributors&gt;&lt;titles&gt;&lt;title&gt;Insights into the role of progranulin in immunity, infection, and inflammation&lt;/title&gt;&lt;secondary-title&gt;Journal of leukocyte biology&lt;/secondary-title&gt;&lt;/titles&gt;&lt;periodical&gt;&lt;full-title&gt;Journal of leukocyte biology&lt;/full-title&gt;&lt;/periodical&gt;&lt;pages&gt;199-208&lt;/pages&gt;&lt;volume&gt;93&lt;/volume&gt;&lt;number&gt;2&lt;/number&gt;&lt;dates&gt;&lt;year&gt;2013&lt;/year&gt;&lt;/dates&gt;&lt;isbn&gt;0741-5400&lt;/isbn&gt;&lt;urls&gt;&lt;/urls&gt;&lt;/record&gt;&lt;/Cite&gt;&lt;/EndNote&gt;</w:instrText>
      </w:r>
      <w:r w:rsidR="00990267" w:rsidRPr="00B75A2A">
        <w:rPr>
          <w:lang w:val="en-US"/>
        </w:rPr>
        <w:fldChar w:fldCharType="separate"/>
      </w:r>
      <w:r w:rsidRPr="00B75A2A">
        <w:rPr>
          <w:noProof/>
          <w:lang w:val="en-US"/>
        </w:rPr>
        <w:t>[58]</w:t>
      </w:r>
      <w:r w:rsidR="00990267" w:rsidRPr="00B75A2A">
        <w:rPr>
          <w:lang w:val="en-US"/>
        </w:rPr>
        <w:fldChar w:fldCharType="end"/>
      </w:r>
      <w:r w:rsidR="00877326" w:rsidRPr="00B75A2A">
        <w:rPr>
          <w:lang w:val="en-US"/>
        </w:rPr>
        <w:t>.</w:t>
      </w:r>
      <w:r w:rsidR="00154D46" w:rsidRPr="00B75A2A">
        <w:rPr>
          <w:lang w:val="en-US"/>
        </w:rPr>
        <w:t xml:space="preserve"> SLC26A6 is a chloride-oxalate exchanger that plays a key role in oxalate secretion in the gut, regulated by </w:t>
      </w:r>
      <w:proofErr w:type="spellStart"/>
      <w:r w:rsidR="00154D46" w:rsidRPr="00B75A2A">
        <w:rPr>
          <w:i/>
          <w:iCs/>
          <w:lang w:val="en-US"/>
        </w:rPr>
        <w:t>Oxalobacter</w:t>
      </w:r>
      <w:proofErr w:type="spellEnd"/>
      <w:r w:rsidR="00154D46" w:rsidRPr="00B75A2A">
        <w:rPr>
          <w:i/>
          <w:iCs/>
          <w:lang w:val="en-US"/>
        </w:rPr>
        <w:t xml:space="preserve"> </w:t>
      </w:r>
      <w:proofErr w:type="spellStart"/>
      <w:r w:rsidR="00154D46" w:rsidRPr="00B75A2A">
        <w:rPr>
          <w:i/>
          <w:iCs/>
          <w:lang w:val="en-US"/>
        </w:rPr>
        <w:t>formigenes</w:t>
      </w:r>
      <w:proofErr w:type="spellEnd"/>
      <w:r w:rsidR="00154D46" w:rsidRPr="00B75A2A">
        <w:rPr>
          <w:lang w:val="en-US"/>
        </w:rPr>
        <w:t xml:space="preserve"> </w:t>
      </w:r>
      <w:r w:rsidR="00990267" w:rsidRPr="00B75A2A">
        <w:rPr>
          <w:lang w:val="en-US"/>
        </w:rPr>
        <w:fldChar w:fldCharType="begin"/>
      </w:r>
      <w:r w:rsidRPr="00B75A2A">
        <w:rPr>
          <w:lang w:val="en-US"/>
        </w:rPr>
        <w:instrText xml:space="preserve"> ADDIN EN.CITE &lt;EndNote&gt;&lt;Cite&gt;&lt;Author&gt;Knauf&lt;/Author&gt;&lt;Year&gt;2019&lt;/Year&gt;&lt;RecNum&gt;58&lt;/RecNum&gt;&lt;DisplayText&gt;[59]&lt;/DisplayText&gt;&lt;record&gt;&lt;rec-number&gt;58&lt;/rec-number&gt;&lt;foreign-keys&gt;&lt;key app="EN" db-id="awxxrz9fkt00vzea5p4pvvvzpt9fezd52xt5" timestamp="1668693133"&gt;58&lt;/key&gt;&lt;/foreign-keys&gt;&lt;ref-type name="Journal Article"&gt;17&lt;/ref-type&gt;&lt;contributors&gt;&lt;authors&gt;&lt;author&gt;Knauf, Felix&lt;/author&gt;&lt;author&gt;Brewer, J Richard&lt;/author&gt;&lt;author&gt;Flavell, Richard A&lt;/author&gt;&lt;/authors&gt;&lt;/contributors&gt;&lt;titles&gt;&lt;title&gt;Immunity, microbiota and kidney disease&lt;/title&gt;&lt;secondary-title&gt;Nature Reviews Nephrology&lt;/secondary-title&gt;&lt;/titles&gt;&lt;periodical&gt;&lt;full-title&gt;Nature Reviews Nephrology&lt;/full-title&gt;&lt;/periodical&gt;&lt;pages&gt;263-274&lt;/pages&gt;&lt;volume&gt;15&lt;/volume&gt;&lt;number&gt;5&lt;/number&gt;&lt;dates&gt;&lt;year&gt;2019&lt;/year&gt;&lt;/dates&gt;&lt;isbn&gt;1759-507X&lt;/isbn&gt;&lt;urls&gt;&lt;/urls&gt;&lt;/record&gt;&lt;/Cite&gt;&lt;/EndNote&gt;</w:instrText>
      </w:r>
      <w:r w:rsidR="00990267" w:rsidRPr="00B75A2A">
        <w:rPr>
          <w:lang w:val="en-US"/>
        </w:rPr>
        <w:fldChar w:fldCharType="separate"/>
      </w:r>
      <w:r w:rsidRPr="00B75A2A">
        <w:rPr>
          <w:noProof/>
          <w:lang w:val="en-US"/>
        </w:rPr>
        <w:t>[59]</w:t>
      </w:r>
      <w:r w:rsidR="00990267" w:rsidRPr="00B75A2A">
        <w:rPr>
          <w:lang w:val="en-US"/>
        </w:rPr>
        <w:fldChar w:fldCharType="end"/>
      </w:r>
      <w:r w:rsidR="00154D46" w:rsidRPr="00B75A2A">
        <w:rPr>
          <w:lang w:val="en-US"/>
        </w:rPr>
        <w:t xml:space="preserve">. Research has shown that antibiotic administration may induce repercussions to the gut microbiota, impairing oxalate transport and metabolism </w:t>
      </w:r>
      <w:r w:rsidR="00990267" w:rsidRPr="00B75A2A">
        <w:rPr>
          <w:lang w:val="en-US"/>
        </w:rPr>
        <w:fldChar w:fldCharType="begin"/>
      </w:r>
      <w:r w:rsidRPr="00B75A2A">
        <w:rPr>
          <w:lang w:val="en-US"/>
        </w:rPr>
        <w:instrText xml:space="preserve"> ADDIN EN.CITE &lt;EndNote&gt;&lt;Cite&gt;&lt;Author&gt;Knauf&lt;/Author&gt;&lt;Year&gt;2019&lt;/Year&gt;&lt;RecNum&gt;58&lt;/RecNum&gt;&lt;DisplayText&gt;[59]&lt;/DisplayText&gt;&lt;record&gt;&lt;rec-number&gt;58&lt;/rec-number&gt;&lt;foreign-keys&gt;&lt;key app="EN" db-id="awxxrz9fkt00vzea5p4pvvvzpt9fezd52xt5" timestamp="1668693133"&gt;58&lt;/key&gt;&lt;/foreign-keys&gt;&lt;ref-type name="Journal Article"&gt;17&lt;/ref-type&gt;&lt;contributors&gt;&lt;authors&gt;&lt;author&gt;Knauf, Felix&lt;/author&gt;&lt;author&gt;Brewer, J Richard&lt;/author&gt;&lt;author&gt;Flavell, Richard A&lt;/author&gt;&lt;/authors&gt;&lt;/contributors&gt;&lt;titles&gt;&lt;title&gt;Immunity, microbiota and kidney disease&lt;/title&gt;&lt;secondary-title&gt;Nature Reviews Nephrology&lt;/secondary-title&gt;&lt;/titles&gt;&lt;periodical&gt;&lt;full-title&gt;Nature Reviews Nephrology&lt;/full-title&gt;&lt;/periodical&gt;&lt;pages&gt;263-274&lt;/pages&gt;&lt;volume&gt;15&lt;/volume&gt;&lt;number&gt;5&lt;/number&gt;&lt;dates&gt;&lt;year&gt;2019&lt;/year&gt;&lt;/dates&gt;&lt;isbn&gt;1759-507X&lt;/isbn&gt;&lt;urls&gt;&lt;/urls&gt;&lt;/record&gt;&lt;/Cite&gt;&lt;/EndNote&gt;</w:instrText>
      </w:r>
      <w:r w:rsidR="00990267" w:rsidRPr="00B75A2A">
        <w:rPr>
          <w:lang w:val="en-US"/>
        </w:rPr>
        <w:fldChar w:fldCharType="separate"/>
      </w:r>
      <w:r w:rsidRPr="00B75A2A">
        <w:rPr>
          <w:noProof/>
          <w:lang w:val="en-US"/>
        </w:rPr>
        <w:t>[59]</w:t>
      </w:r>
      <w:r w:rsidR="00990267" w:rsidRPr="00B75A2A">
        <w:rPr>
          <w:lang w:val="en-US"/>
        </w:rPr>
        <w:fldChar w:fldCharType="end"/>
      </w:r>
      <w:r w:rsidR="00154D46" w:rsidRPr="00B75A2A">
        <w:rPr>
          <w:lang w:val="en-US"/>
        </w:rPr>
        <w:t xml:space="preserve">. Mice lacking SLC26A6 have impaired intestinal oxalate secretion </w:t>
      </w:r>
      <w:r w:rsidR="00990267" w:rsidRPr="00B75A2A">
        <w:rPr>
          <w:lang w:val="en-US"/>
        </w:rPr>
        <w:fldChar w:fldCharType="begin"/>
      </w:r>
      <w:r w:rsidRPr="00B75A2A">
        <w:rPr>
          <w:lang w:val="en-US"/>
        </w:rPr>
        <w:instrText xml:space="preserve"> ADDIN EN.CITE &lt;EndNote&gt;&lt;Cite&gt;&lt;Author&gt;Freel&lt;/Author&gt;&lt;Year&gt;2006&lt;/Year&gt;&lt;RecNum&gt;59&lt;/RecNum&gt;&lt;DisplayText&gt;[60, 61]&lt;/DisplayText&gt;&lt;record&gt;&lt;rec-number&gt;59&lt;/rec-number&gt;&lt;foreign-keys&gt;&lt;key app="EN" db-id="awxxrz9fkt00vzea5p4pvvvzpt9fezd52xt5" timestamp="1668693133"&gt;59&lt;/key&gt;&lt;/foreign-keys&gt;&lt;ref-type name="Journal Article"&gt;17&lt;/ref-type&gt;&lt;contributors&gt;&lt;authors&gt;&lt;author&gt;Freel, Robert W&lt;/author&gt;&lt;author&gt;Hatch, Marguerite&lt;/author&gt;&lt;author&gt;Green, Mike&lt;/author&gt;&lt;author&gt;Soleimani, Manoocher&lt;/author&gt;&lt;/authors&gt;&lt;/contributors&gt;&lt;titles&gt;&lt;title&gt;Ileal oxalate absorption and urinary oxalate excretion are enhanced in Slc26a6 null mice&lt;/title&gt;&lt;secondary-title&gt;American Journal of Physiology-Gastrointestinal and Liver Physiology&lt;/secondary-title&gt;&lt;/titles&gt;&lt;periodical&gt;&lt;full-title&gt;American Journal of Physiology-Gastrointestinal and Liver Physiology&lt;/full-title&gt;&lt;/periodical&gt;&lt;pages&gt;G719-G728&lt;/pages&gt;&lt;volume&gt;290&lt;/volume&gt;&lt;number&gt;4&lt;/number&gt;&lt;dates&gt;&lt;year&gt;2006&lt;/year&gt;&lt;/dates&gt;&lt;isbn&gt;0193-1857&lt;/isbn&gt;&lt;urls&gt;&lt;/urls&gt;&lt;/record&gt;&lt;/Cite&gt;&lt;Cite&gt;&lt;Author&gt;Jiang&lt;/Author&gt;&lt;Year&gt;2006&lt;/Year&gt;&lt;RecNum&gt;60&lt;/RecNum&gt;&lt;record&gt;&lt;rec-number&gt;60&lt;/rec-number&gt;&lt;foreign-keys&gt;&lt;key app="EN" db-id="awxxrz9fkt00vzea5p4pvvvzpt9fezd52xt5" timestamp="1668693133"&gt;60&lt;/key&gt;&lt;/foreign-keys&gt;&lt;ref-type name="Journal Article"&gt;17&lt;/ref-type&gt;&lt;contributors&gt;&lt;authors&gt;&lt;author&gt;Jiang, Zhirong&lt;/author&gt;&lt;author&gt;Asplin, John R&lt;/author&gt;&lt;author&gt;Evan, Andrew P&lt;/author&gt;&lt;author&gt;Rajendran, Vazhaikkurichi M&lt;/author&gt;&lt;author&gt;Velazquez, Heino&lt;/author&gt;&lt;author&gt;Nottoli, Timothy P&lt;/author&gt;&lt;author&gt;Binder, Henry J&lt;/author&gt;&lt;author&gt;Aronson, Peter S&lt;/author&gt;&lt;/authors&gt;&lt;/contributors&gt;&lt;titles&gt;&lt;title&gt;Calcium oxalate urolithiasis in mice lacking anion transporter Slc26a6&lt;/title&gt;&lt;secondary-title&gt;Nature genetics&lt;/secondary-title&gt;&lt;/titles&gt;&lt;periodical&gt;&lt;full-title&gt;Nature genetics&lt;/full-title&gt;&lt;/periodical&gt;&lt;pages&gt;474-478&lt;/pages&gt;&lt;volume&gt;38&lt;/volume&gt;&lt;number&gt;4&lt;/number&gt;&lt;dates&gt;&lt;year&gt;2006&lt;/year&gt;&lt;/dates&gt;&lt;isbn&gt;1546-1718&lt;/isbn&gt;&lt;urls&gt;&lt;/urls&gt;&lt;/record&gt;&lt;/Cite&gt;&lt;/EndNote&gt;</w:instrText>
      </w:r>
      <w:r w:rsidR="00990267" w:rsidRPr="00B75A2A">
        <w:rPr>
          <w:lang w:val="en-US"/>
        </w:rPr>
        <w:fldChar w:fldCharType="separate"/>
      </w:r>
      <w:r w:rsidRPr="00B75A2A">
        <w:rPr>
          <w:noProof/>
          <w:lang w:val="en-US"/>
        </w:rPr>
        <w:t>[60, 61]</w:t>
      </w:r>
      <w:r w:rsidR="00990267" w:rsidRPr="00B75A2A">
        <w:rPr>
          <w:lang w:val="en-US"/>
        </w:rPr>
        <w:fldChar w:fldCharType="end"/>
      </w:r>
      <w:r w:rsidR="00154D46" w:rsidRPr="00B75A2A">
        <w:rPr>
          <w:lang w:val="en-US"/>
        </w:rPr>
        <w:t>, which disrupts NLRP3 inflammasome sensors to mediate gut microbiota in inhibiting leakage of toll-like receptor agonists. This may lead to IL-1</w:t>
      </w:r>
      <w:r w:rsidR="00154D46" w:rsidRPr="00B75A2A">
        <w:rPr>
          <w:lang w:val="el-GR"/>
        </w:rPr>
        <w:t>Β</w:t>
      </w:r>
      <w:r w:rsidR="00154D46" w:rsidRPr="00B75A2A">
        <w:rPr>
          <w:lang w:val="en-US"/>
        </w:rPr>
        <w:t xml:space="preserve"> secretion inducing </w:t>
      </w:r>
      <w:proofErr w:type="spellStart"/>
      <w:r w:rsidR="00154D46" w:rsidRPr="00B75A2A">
        <w:rPr>
          <w:lang w:val="en-US"/>
        </w:rPr>
        <w:t>pyroptosis</w:t>
      </w:r>
      <w:proofErr w:type="spellEnd"/>
      <w:r w:rsidR="00154D46" w:rsidRPr="00B75A2A">
        <w:rPr>
          <w:lang w:val="en-US"/>
        </w:rPr>
        <w:t xml:space="preserve"> </w:t>
      </w:r>
      <w:r w:rsidR="00990267" w:rsidRPr="00B75A2A">
        <w:rPr>
          <w:lang w:val="en-US"/>
        </w:rPr>
        <w:fldChar w:fldCharType="begin"/>
      </w:r>
      <w:r w:rsidRPr="00B75A2A">
        <w:rPr>
          <w:lang w:val="en-US"/>
        </w:rPr>
        <w:instrText xml:space="preserve"> ADDIN EN.CITE &lt;EndNote&gt;&lt;Cite&gt;&lt;Author&gt;Zahid&lt;/Author&gt;&lt;Year&gt;2019&lt;/Year&gt;&lt;RecNum&gt;61&lt;/RecNum&gt;&lt;DisplayText&gt;[62]&lt;/DisplayText&gt;&lt;record&gt;&lt;rec-number&gt;61&lt;/rec-number&gt;&lt;foreign-keys&gt;&lt;key app="EN" db-id="awxxrz9fkt00vzea5p4pvvvzpt9fezd52xt5" timestamp="1668693133"&gt;61&lt;/key&gt;&lt;/foreign-keys&gt;&lt;ref-type name="Journal Article"&gt;17&lt;/ref-type&gt;&lt;contributors&gt;&lt;authors&gt;&lt;author&gt;Zahid, Ayesha&lt;/author&gt;&lt;author&gt;Li, Bofeng&lt;/author&gt;&lt;author&gt;Kombe, Arnaud John Kombe&lt;/author&gt;&lt;author&gt;Jin, Tengchuan&lt;/author&gt;&lt;author&gt;Tao, Jinhui&lt;/author&gt;&lt;/authors&gt;&lt;/contributors&gt;&lt;titles&gt;&lt;title&gt;Pharmacological inhibitors of the NLRP3 inflammasome&lt;/title&gt;&lt;secondary-title&gt;Frontiers in immunology&lt;/secondary-title&gt;&lt;/titles&gt;&lt;periodical&gt;&lt;full-title&gt;Frontiers in immunology&lt;/full-title&gt;&lt;/periodical&gt;&lt;pages&gt;2538&lt;/pages&gt;&lt;dates&gt;&lt;year&gt;2019&lt;/year&gt;&lt;/dates&gt;&lt;isbn&gt;1664-3224&lt;/isbn&gt;&lt;urls&gt;&lt;/urls&gt;&lt;/record&gt;&lt;/Cite&gt;&lt;/EndNote&gt;</w:instrText>
      </w:r>
      <w:r w:rsidR="00990267" w:rsidRPr="00B75A2A">
        <w:rPr>
          <w:lang w:val="en-US"/>
        </w:rPr>
        <w:fldChar w:fldCharType="separate"/>
      </w:r>
      <w:r w:rsidRPr="00B75A2A">
        <w:rPr>
          <w:noProof/>
          <w:lang w:val="en-US"/>
        </w:rPr>
        <w:t>[62]</w:t>
      </w:r>
      <w:r w:rsidR="00990267" w:rsidRPr="00B75A2A">
        <w:rPr>
          <w:lang w:val="en-US"/>
        </w:rPr>
        <w:fldChar w:fldCharType="end"/>
      </w:r>
      <w:r w:rsidR="00154D46" w:rsidRPr="00B75A2A">
        <w:rPr>
          <w:lang w:val="en-US"/>
        </w:rPr>
        <w:t>. L</w:t>
      </w:r>
      <w:r w:rsidR="00003F09" w:rsidRPr="00B75A2A">
        <w:rPr>
          <w:lang w:val="en-US"/>
        </w:rPr>
        <w:t>GR</w:t>
      </w:r>
      <w:r w:rsidR="00154D46" w:rsidRPr="00B75A2A">
        <w:rPr>
          <w:lang w:val="en-US"/>
        </w:rPr>
        <w:t>4, a member of leucine-rich repeat-containing G protein-coupled receptors (LGRs), is a mediator of immune response via macrophage activity. L</w:t>
      </w:r>
      <w:r w:rsidR="00003F09" w:rsidRPr="00B75A2A">
        <w:rPr>
          <w:lang w:val="en-US"/>
        </w:rPr>
        <w:t>GR</w:t>
      </w:r>
      <w:r w:rsidR="00154D46" w:rsidRPr="00B75A2A">
        <w:rPr>
          <w:lang w:val="en-US"/>
        </w:rPr>
        <w:t xml:space="preserve">4 knock-out mice have exhibited a pro-inflammatory transcriptional signature </w:t>
      </w:r>
      <w:r w:rsidR="00990267" w:rsidRPr="00B75A2A">
        <w:rPr>
          <w:lang w:val="en-US"/>
        </w:rPr>
        <w:fldChar w:fldCharType="begin"/>
      </w:r>
      <w:r w:rsidRPr="00B75A2A">
        <w:rPr>
          <w:lang w:val="en-US"/>
        </w:rPr>
        <w:instrText xml:space="preserve"> ADDIN EN.CITE &lt;EndNote&gt;&lt;Cite&gt;&lt;Author&gt;Huang&lt;/Author&gt;&lt;Year&gt;2020&lt;/Year&gt;&lt;RecNum&gt;62&lt;/RecNum&gt;&lt;DisplayText&gt;[63]&lt;/DisplayText&gt;&lt;record&gt;&lt;rec-number&gt;62&lt;/rec-number&gt;&lt;foreign-keys&gt;&lt;key app="EN" db-id="awxxrz9fkt00vzea5p4pvvvzpt9fezd52xt5" timestamp="1668693133"&gt;62&lt;/key&gt;&lt;/foreign-keys&gt;&lt;ref-type name="Journal Article"&gt;17&lt;/ref-type&gt;&lt;contributors&gt;&lt;authors&gt;&lt;author&gt;Huang, Chun-Kai&lt;/author&gt;&lt;author&gt;Dai, Daopeng&lt;/author&gt;&lt;author&gt;Xie, Hongyang&lt;/author&gt;&lt;author&gt;Zhu, Zhengbin&lt;/author&gt;&lt;author&gt;Hu, Jian&lt;/author&gt;&lt;author&gt;Su, Min&lt;/author&gt;&lt;author&gt;Liu, Mingyao&lt;/author&gt;&lt;author&gt;Lu, Lin&lt;/author&gt;&lt;author&gt;Shen, Weifeng&lt;/author&gt;&lt;author&gt;Ning, Guang&lt;/author&gt;&lt;/authors&gt;&lt;/contributors&gt;&lt;titles&gt;&lt;title&gt;Lgr4 governs a pro-inflammatory program in macrophages to antagonize post-infarction cardiac repair&lt;/title&gt;&lt;secondary-title&gt;Circulation Research&lt;/secondary-title&gt;&lt;/titles&gt;&lt;periodical&gt;&lt;full-title&gt;Circulation Research&lt;/full-title&gt;&lt;/periodical&gt;&lt;pages&gt;953-973&lt;/pages&gt;&lt;volume&gt;127&lt;/volume&gt;&lt;number&gt;8&lt;/number&gt;&lt;dates&gt;&lt;year&gt;2020&lt;/year&gt;&lt;/dates&gt;&lt;isbn&gt;0009-7330&lt;/isbn&gt;&lt;urls&gt;&lt;/urls&gt;&lt;/record&gt;&lt;/Cite&gt;&lt;/EndNote&gt;</w:instrText>
      </w:r>
      <w:r w:rsidR="00990267" w:rsidRPr="00B75A2A">
        <w:rPr>
          <w:lang w:val="en-US"/>
        </w:rPr>
        <w:fldChar w:fldCharType="separate"/>
      </w:r>
      <w:r w:rsidRPr="00B75A2A">
        <w:rPr>
          <w:noProof/>
          <w:lang w:val="en-US"/>
        </w:rPr>
        <w:t>[63]</w:t>
      </w:r>
      <w:r w:rsidR="00990267" w:rsidRPr="00B75A2A">
        <w:rPr>
          <w:lang w:val="en-US"/>
        </w:rPr>
        <w:fldChar w:fldCharType="end"/>
      </w:r>
      <w:r w:rsidR="00154D46" w:rsidRPr="00B75A2A">
        <w:rPr>
          <w:lang w:val="en-US"/>
        </w:rPr>
        <w:t xml:space="preserve">, whereas peripheral blood mononuclear cells of antibiotic-treated monkeys have revealed a prominent role of Lgr4 in immune homeostasis compared to germ-free monkeys </w:t>
      </w:r>
      <w:r w:rsidR="00990267" w:rsidRPr="00B75A2A">
        <w:rPr>
          <w:lang w:val="en-US"/>
        </w:rPr>
        <w:fldChar w:fldCharType="begin"/>
      </w:r>
      <w:r w:rsidRPr="00B75A2A">
        <w:rPr>
          <w:lang w:val="en-US"/>
        </w:rPr>
        <w:instrText xml:space="preserve"> ADDIN EN.CITE &lt;EndNote&gt;&lt;Cite&gt;&lt;Author&gt;Li&lt;/Author&gt;&lt;Year&gt;2020&lt;/Year&gt;&lt;RecNum&gt;63&lt;/RecNum&gt;&lt;DisplayText&gt;[64]&lt;/DisplayText&gt;&lt;record&gt;&lt;rec-number&gt;63&lt;/rec-number&gt;&lt;foreign-keys&gt;&lt;key app="EN" db-id="awxxrz9fkt00vzea5p4pvvvzpt9fezd52xt5" timestamp="1668693133"&gt;63&lt;/key&gt;&lt;/foreign-keys&gt;&lt;ref-type name="Journal Article"&gt;17&lt;/ref-type&gt;&lt;contributors&gt;&lt;authors&gt;&lt;author&gt;Li, Hong-Zhe&lt;/author&gt;&lt;author&gt;Li, Nan&lt;/author&gt;&lt;author&gt;Wang, Jing-Jing&lt;/author&gt;&lt;author&gt;Li, Heng&lt;/author&gt;&lt;author&gt;Huang, Xing&lt;/author&gt;&lt;author&gt;Guo, Lei&lt;/author&gt;&lt;author&gt;Zheng, Hui-Wen&lt;/author&gt;&lt;author&gt;He, Zhan-Long&lt;/author&gt;&lt;author&gt;Zhao, Yuan&lt;/author&gt;&lt;author&gt;Yang, Ze-Ning&lt;/author&gt;&lt;/authors&gt;&lt;/contributors&gt;&lt;titles&gt;&lt;title&gt;Dysbiosis of gut microbiome affecting small intestine morphology and immune balance: a rhesus macaque model&lt;/title&gt;&lt;secondary-title&gt;Zoological research&lt;/secondary-title&gt;&lt;/titles&gt;&lt;periodical&gt;&lt;full-title&gt;Zoological research&lt;/full-title&gt;&lt;/periodical&gt;&lt;pages&gt;20&lt;/pages&gt;&lt;volume&gt;41&lt;/volume&gt;&lt;number&gt;1&lt;/number&gt;&lt;dates&gt;&lt;year&gt;2020&lt;/year&gt;&lt;/dates&gt;&lt;urls&gt;&lt;/urls&gt;&lt;/record&gt;&lt;/Cite&gt;&lt;/EndNote&gt;</w:instrText>
      </w:r>
      <w:r w:rsidR="00990267" w:rsidRPr="00B75A2A">
        <w:rPr>
          <w:lang w:val="en-US"/>
        </w:rPr>
        <w:fldChar w:fldCharType="separate"/>
      </w:r>
      <w:r w:rsidRPr="00B75A2A">
        <w:rPr>
          <w:noProof/>
          <w:lang w:val="en-US"/>
        </w:rPr>
        <w:t>[64]</w:t>
      </w:r>
      <w:r w:rsidR="00990267" w:rsidRPr="00B75A2A">
        <w:rPr>
          <w:lang w:val="en-US"/>
        </w:rPr>
        <w:fldChar w:fldCharType="end"/>
      </w:r>
      <w:r w:rsidR="00154D46" w:rsidRPr="00B75A2A">
        <w:rPr>
          <w:lang w:val="en-US"/>
        </w:rPr>
        <w:t>. TCIRG1 is a gene encoding a subunit of vacuolar V-ATPase that has been shown to be highly expressed in gut endothelial cells after</w:t>
      </w:r>
      <w:r w:rsidR="00154D46" w:rsidRPr="00B75A2A">
        <w:t xml:space="preserve"> </w:t>
      </w:r>
      <w:r w:rsidR="00154D46" w:rsidRPr="00B75A2A">
        <w:rPr>
          <w:i/>
          <w:iCs/>
          <w:lang w:val="en-US"/>
        </w:rPr>
        <w:t xml:space="preserve">Salmonella typhimurium </w:t>
      </w:r>
      <w:r w:rsidR="00154D46" w:rsidRPr="00B75A2A">
        <w:rPr>
          <w:lang w:val="en-US"/>
        </w:rPr>
        <w:t xml:space="preserve">infection </w:t>
      </w:r>
      <w:r w:rsidR="00990267" w:rsidRPr="00B75A2A">
        <w:rPr>
          <w:lang w:val="en-US"/>
        </w:rPr>
        <w:fldChar w:fldCharType="begin"/>
      </w:r>
      <w:r w:rsidRPr="00B75A2A">
        <w:rPr>
          <w:lang w:val="en-US"/>
        </w:rPr>
        <w:instrText xml:space="preserve"> ADDIN EN.CITE &lt;EndNote&gt;&lt;Cite&gt;&lt;Author&gt;Spadoni&lt;/Author&gt;&lt;Year&gt;2016&lt;/Year&gt;&lt;RecNum&gt;64&lt;/RecNum&gt;&lt;DisplayText&gt;[65]&lt;/DisplayText&gt;&lt;record&gt;&lt;rec-number&gt;64&lt;/rec-number&gt;&lt;foreign-keys&gt;&lt;key app="EN" db-id="awxxrz9fkt00vzea5p4pvvvzpt9fezd52xt5" timestamp="1668693133"&gt;64&lt;/key&gt;&lt;/foreign-keys&gt;&lt;ref-type name="Journal Article"&gt;17&lt;/ref-type&gt;&lt;contributors&gt;&lt;authors&gt;&lt;author&gt;Spadoni, Ilaria&lt;/author&gt;&lt;author&gt;Pietrelli, Alessandro&lt;/author&gt;&lt;author&gt;Pesole, Graziano&lt;/author&gt;&lt;author&gt;Rescigno, Maria&lt;/author&gt;&lt;/authors&gt;&lt;/contributors&gt;&lt;titles&gt;&lt;title&gt;Gene expression profile of endothelial cells during perturbation of the gut vascular barrier&lt;/title&gt;&lt;secondary-title&gt;Gut Microbes&lt;/secondary-title&gt;&lt;/titles&gt;&lt;periodical&gt;&lt;full-title&gt;Gut Microbes&lt;/full-title&gt;&lt;/periodical&gt;&lt;pages&gt;540-548&lt;/pages&gt;&lt;volume&gt;7&lt;/volume&gt;&lt;number&gt;6&lt;/number&gt;&lt;dates&gt;&lt;year&gt;2016&lt;/year&gt;&lt;/dates&gt;&lt;isbn&gt;1949-0976&lt;/isbn&gt;&lt;urls&gt;&lt;/urls&gt;&lt;/record&gt;&lt;/Cite&gt;&lt;/EndNote&gt;</w:instrText>
      </w:r>
      <w:r w:rsidR="00990267" w:rsidRPr="00B75A2A">
        <w:rPr>
          <w:lang w:val="en-US"/>
        </w:rPr>
        <w:fldChar w:fldCharType="separate"/>
      </w:r>
      <w:r w:rsidRPr="00B75A2A">
        <w:rPr>
          <w:noProof/>
          <w:lang w:val="en-US"/>
        </w:rPr>
        <w:t>[65]</w:t>
      </w:r>
      <w:r w:rsidR="00990267" w:rsidRPr="00B75A2A">
        <w:rPr>
          <w:lang w:val="en-US"/>
        </w:rPr>
        <w:fldChar w:fldCharType="end"/>
      </w:r>
      <w:r w:rsidR="00154D46" w:rsidRPr="00B75A2A">
        <w:rPr>
          <w:lang w:val="en-US"/>
        </w:rPr>
        <w:t xml:space="preserve">. The TIRC7 isoform is expressed on the membrane of T cells and is essential for normal T cell function. Although there are limited data on its direct link with the gut microbiota, weaned piglets fed with </w:t>
      </w:r>
      <w:r w:rsidR="00154D46" w:rsidRPr="00B75A2A">
        <w:rPr>
          <w:i/>
          <w:iCs/>
          <w:lang w:val="en-US"/>
        </w:rPr>
        <w:t xml:space="preserve">Lactobacillus </w:t>
      </w:r>
      <w:proofErr w:type="spellStart"/>
      <w:r w:rsidR="00154D46" w:rsidRPr="00B75A2A">
        <w:rPr>
          <w:i/>
          <w:iCs/>
          <w:lang w:val="en-US"/>
        </w:rPr>
        <w:t>gasseri</w:t>
      </w:r>
      <w:proofErr w:type="spellEnd"/>
      <w:r w:rsidR="00154D46" w:rsidRPr="00B75A2A">
        <w:rPr>
          <w:i/>
          <w:iCs/>
          <w:lang w:val="en-US"/>
        </w:rPr>
        <w:t xml:space="preserve"> LA39</w:t>
      </w:r>
      <w:r w:rsidR="00154D46" w:rsidRPr="00B75A2A">
        <w:rPr>
          <w:lang w:val="en-US"/>
        </w:rPr>
        <w:t xml:space="preserve"> exhibit significantly increased TCIRG1 expression and cellular ATP levels in intestinal </w:t>
      </w:r>
      <w:r w:rsidR="00154D46" w:rsidRPr="00B75A2A">
        <w:rPr>
          <w:lang w:val="en-US"/>
        </w:rPr>
        <w:lastRenderedPageBreak/>
        <w:t xml:space="preserve">epithelial cells </w:t>
      </w:r>
      <w:r w:rsidR="00990267" w:rsidRPr="00B75A2A">
        <w:rPr>
          <w:lang w:val="en-US"/>
        </w:rPr>
        <w:fldChar w:fldCharType="begin"/>
      </w:r>
      <w:r w:rsidRPr="00B75A2A">
        <w:rPr>
          <w:lang w:val="en-US"/>
        </w:rPr>
        <w:instrText xml:space="preserve"> ADDIN EN.CITE &lt;EndNote&gt;&lt;Cite&gt;&lt;Author&gt;Hu&lt;/Author&gt;&lt;Year&gt;2018&lt;/Year&gt;&lt;RecNum&gt;65&lt;/RecNum&gt;&lt;DisplayText&gt;[66]&lt;/DisplayText&gt;&lt;record&gt;&lt;rec-number&gt;65&lt;/rec-number&gt;&lt;foreign-keys&gt;&lt;key app="EN" db-id="awxxrz9fkt00vzea5p4pvvvzpt9fezd52xt5" timestamp="1668693133"&gt;65&lt;/key&gt;&lt;/foreign-keys&gt;&lt;ref-type name="Journal Article"&gt;17&lt;/ref-type&gt;&lt;contributors&gt;&lt;authors&gt;&lt;author&gt;Hu, Jun&lt;/author&gt;&lt;author&gt;Ma, Libao&lt;/author&gt;&lt;author&gt;Zheng, Wenyong&lt;/author&gt;&lt;author&gt;Nie, Yangfan&lt;/author&gt;&lt;author&gt;Yan, Xianghua&lt;/author&gt;&lt;/authors&gt;&lt;/contributors&gt;&lt;titles&gt;&lt;title&gt;Lactobacillus gasseri LA39 activates the oxidative phosphorylation pathway in porcine intestinal epithelial cells&lt;/title&gt;&lt;secondary-title&gt;Frontiers in Microbiology&lt;/secondary-title&gt;&lt;/titles&gt;&lt;periodical&gt;&lt;full-title&gt;Frontiers in Microbiology&lt;/full-title&gt;&lt;/periodical&gt;&lt;pages&gt;3025&lt;/pages&gt;&lt;dates&gt;&lt;year&gt;2018&lt;/year&gt;&lt;/dates&gt;&lt;isbn&gt;1664-302X&lt;/isbn&gt;&lt;urls&gt;&lt;/urls&gt;&lt;/record&gt;&lt;/Cite&gt;&lt;/EndNote&gt;</w:instrText>
      </w:r>
      <w:r w:rsidR="00990267" w:rsidRPr="00B75A2A">
        <w:rPr>
          <w:lang w:val="en-US"/>
        </w:rPr>
        <w:fldChar w:fldCharType="separate"/>
      </w:r>
      <w:r w:rsidRPr="00B75A2A">
        <w:rPr>
          <w:noProof/>
          <w:lang w:val="en-US"/>
        </w:rPr>
        <w:t>[66]</w:t>
      </w:r>
      <w:r w:rsidR="00990267" w:rsidRPr="00B75A2A">
        <w:rPr>
          <w:lang w:val="en-US"/>
        </w:rPr>
        <w:fldChar w:fldCharType="end"/>
      </w:r>
      <w:r w:rsidR="00990267" w:rsidRPr="00B75A2A">
        <w:rPr>
          <w:lang w:val="en-US"/>
        </w:rPr>
        <w:t>.</w:t>
      </w:r>
      <w:r w:rsidR="00154D46" w:rsidRPr="00B75A2A">
        <w:rPr>
          <w:lang w:val="en-US"/>
        </w:rPr>
        <w:t xml:space="preserve"> In addition, ATP7A</w:t>
      </w:r>
      <w:r w:rsidR="00154D46" w:rsidRPr="00B75A2A">
        <w:t xml:space="preserve"> is considered a gene promoting the regulation of copper concentrations throughout the body, which has been found to be </w:t>
      </w:r>
      <w:r w:rsidR="00154D46" w:rsidRPr="00B75A2A">
        <w:rPr>
          <w:lang w:val="en-US"/>
        </w:rPr>
        <w:t xml:space="preserve">significantly downregulated in the colon of antibiotic-treated mice compared to conventionally raised controls </w:t>
      </w:r>
      <w:r w:rsidR="00990267" w:rsidRPr="00B75A2A">
        <w:rPr>
          <w:lang w:val="en-US"/>
        </w:rPr>
        <w:fldChar w:fldCharType="begin"/>
      </w:r>
      <w:r w:rsidRPr="00B75A2A">
        <w:rPr>
          <w:lang w:val="en-US"/>
        </w:rPr>
        <w:instrText xml:space="preserve"> ADDIN EN.CITE &lt;EndNote&gt;&lt;Cite&gt;&lt;Author&gt;Miller&lt;/Author&gt;&lt;Year&gt;2019&lt;/Year&gt;&lt;RecNum&gt;66&lt;/RecNum&gt;&lt;DisplayText&gt;[67]&lt;/DisplayText&gt;&lt;record&gt;&lt;rec-number&gt;66&lt;/rec-number&gt;&lt;foreign-keys&gt;&lt;key app="EN" db-id="awxxrz9fkt00vzea5p4pvvvzpt9fezd52xt5" timestamp="1668693133"&gt;66&lt;/key&gt;&lt;/foreign-keys&gt;&lt;ref-type name="Journal Article"&gt;17&lt;/ref-type&gt;&lt;contributors&gt;&lt;authors&gt;&lt;author&gt;Miller, Kerri A&lt;/author&gt;&lt;author&gt;Vicentini, Fernando A&lt;/author&gt;&lt;author&gt;Hirota, Simon A&lt;/author&gt;&lt;author&gt;Sharkey, Keith A&lt;/author&gt;&lt;author&gt;Wieser, Michael E&lt;/author&gt;&lt;/authors&gt;&lt;/contributors&gt;&lt;titles&gt;&lt;title&gt;Antibiotic treatment affects the expression levels of copper transporters and the isotopic composition of copper in the colon of mice&lt;/title&gt;&lt;secondary-title&gt;Proceedings of the National Academy of Sciences&lt;/secondary-title&gt;&lt;/titles&gt;&lt;periodical&gt;&lt;full-title&gt;Proceedings of the National Academy of Sciences&lt;/full-title&gt;&lt;/periodical&gt;&lt;pages&gt;5955-5960&lt;/pages&gt;&lt;volume&gt;116&lt;/volume&gt;&lt;number&gt;13&lt;/number&gt;&lt;dates&gt;&lt;year&gt;2019&lt;/year&gt;&lt;/dates&gt;&lt;isbn&gt;0027-8424&lt;/isbn&gt;&lt;urls&gt;&lt;/urls&gt;&lt;/record&gt;&lt;/Cite&gt;&lt;/EndNote&gt;</w:instrText>
      </w:r>
      <w:r w:rsidR="00990267" w:rsidRPr="00B75A2A">
        <w:rPr>
          <w:lang w:val="en-US"/>
        </w:rPr>
        <w:fldChar w:fldCharType="separate"/>
      </w:r>
      <w:r w:rsidRPr="00B75A2A">
        <w:rPr>
          <w:noProof/>
          <w:lang w:val="en-US"/>
        </w:rPr>
        <w:t>[67]</w:t>
      </w:r>
      <w:r w:rsidR="00990267" w:rsidRPr="00B75A2A">
        <w:rPr>
          <w:lang w:val="en-US"/>
        </w:rPr>
        <w:fldChar w:fldCharType="end"/>
      </w:r>
      <w:r w:rsidR="00154D46" w:rsidRPr="00B75A2A">
        <w:rPr>
          <w:lang w:val="en-US"/>
        </w:rPr>
        <w:t>.</w:t>
      </w:r>
      <w:r w:rsidR="00154D46" w:rsidRPr="00B75A2A">
        <w:t xml:space="preserve"> </w:t>
      </w:r>
      <w:r w:rsidR="00154D46" w:rsidRPr="00B75A2A">
        <w:rPr>
          <w:lang w:val="en-US"/>
        </w:rPr>
        <w:t xml:space="preserve">ATP7A has been linked with attenuated bacterial elimination, that may be explained by reduced macrophage bactericidal activity </w:t>
      </w:r>
      <w:r w:rsidR="00990267" w:rsidRPr="00B75A2A">
        <w:rPr>
          <w:lang w:val="en-US"/>
        </w:rPr>
        <w:fldChar w:fldCharType="begin"/>
      </w:r>
      <w:r w:rsidRPr="00B75A2A">
        <w:rPr>
          <w:lang w:val="en-US"/>
        </w:rPr>
        <w:instrText xml:space="preserve"> ADDIN EN.CITE &lt;EndNote&gt;&lt;Cite&gt;&lt;Author&gt;Kim&lt;/Author&gt;&lt;Year&gt;2012&lt;/Year&gt;&lt;RecNum&gt;67&lt;/RecNum&gt;&lt;DisplayText&gt;[68, 69]&lt;/DisplayText&gt;&lt;record&gt;&lt;rec-number&gt;67&lt;/rec-number&gt;&lt;foreign-keys&gt;&lt;key app="EN" db-id="awxxrz9fkt00vzea5p4pvvvzpt9fezd52xt5" timestamp="1668693133"&gt;67&lt;/key&gt;&lt;/foreign-keys&gt;&lt;ref-type name="Journal Article"&gt;17&lt;/ref-type&gt;&lt;contributors&gt;&lt;authors&gt;&lt;author&gt;Kim, Ha Won&lt;/author&gt;&lt;author&gt;Chan, Qilin&lt;/author&gt;&lt;author&gt;Afton, Scott E&lt;/author&gt;&lt;author&gt;Caruso, Joseph A&lt;/author&gt;&lt;author&gt;Lai, Barry&lt;/author&gt;&lt;author&gt;Weintraub, Neal L&lt;/author&gt;&lt;author&gt;Qin, Zhenyu&lt;/author&gt;&lt;/authors&gt;&lt;/contributors&gt;&lt;titles&gt;&lt;title&gt;Human macrophage ATP7A is localized in the trans-Golgi apparatus, controls intracellular copper levels, and mediates macrophage responses to dermal wounds&lt;/title&gt;&lt;secondary-title&gt;Inflammation&lt;/secondary-title&gt;&lt;/titles&gt;&lt;periodical&gt;&lt;full-title&gt;Inflammation&lt;/full-title&gt;&lt;/periodical&gt;&lt;pages&gt;167-175&lt;/pages&gt;&lt;volume&gt;35&lt;/volume&gt;&lt;number&gt;1&lt;/number&gt;&lt;dates&gt;&lt;year&gt;2012&lt;/year&gt;&lt;/dates&gt;&lt;isbn&gt;1573-2576&lt;/isbn&gt;&lt;urls&gt;&lt;/urls&gt;&lt;/record&gt;&lt;/Cite&gt;&lt;Cite&gt;&lt;Author&gt;White&lt;/Author&gt;&lt;Year&gt;2009&lt;/Year&gt;&lt;RecNum&gt;68&lt;/RecNum&gt;&lt;record&gt;&lt;rec-number&gt;68&lt;/rec-number&gt;&lt;foreign-keys&gt;&lt;key app="EN" db-id="awxxrz9fkt00vzea5p4pvvvzpt9fezd52xt5" timestamp="1668693133"&gt;68&lt;/key&gt;&lt;/foreign-keys&gt;&lt;ref-type name="Journal Article"&gt;17&lt;/ref-type&gt;&lt;contributors&gt;&lt;authors&gt;&lt;author&gt;White, Carine&lt;/author&gt;&lt;author&gt;Lee, Jaekwon&lt;/author&gt;&lt;author&gt;Kambe, Taiho&lt;/author&gt;&lt;author&gt;Fritsche, Kevin&lt;/author&gt;&lt;author&gt;Petris, Michael J&lt;/author&gt;&lt;/authors&gt;&lt;/contributors&gt;&lt;titles&gt;&lt;title&gt;A role for the ATP7A copper-transporting ATPase in macrophage bactericidal activity&lt;/title&gt;&lt;secondary-title&gt;Journal of Biological Chemistry&lt;/secondary-title&gt;&lt;/titles&gt;&lt;periodical&gt;&lt;full-title&gt;Journal of Biological Chemistry&lt;/full-title&gt;&lt;/periodical&gt;&lt;pages&gt;33949-33956&lt;/pages&gt;&lt;volume&gt;284&lt;/volume&gt;&lt;number&gt;49&lt;/number&gt;&lt;dates&gt;&lt;year&gt;2009&lt;/year&gt;&lt;/dates&gt;&lt;isbn&gt;0021-9258&lt;/isbn&gt;&lt;urls&gt;&lt;/urls&gt;&lt;/record&gt;&lt;/Cite&gt;&lt;/EndNote&gt;</w:instrText>
      </w:r>
      <w:r w:rsidR="00990267" w:rsidRPr="00B75A2A">
        <w:rPr>
          <w:lang w:val="en-US"/>
        </w:rPr>
        <w:fldChar w:fldCharType="separate"/>
      </w:r>
      <w:r w:rsidRPr="00B75A2A">
        <w:rPr>
          <w:noProof/>
          <w:lang w:val="en-US"/>
        </w:rPr>
        <w:t>[68, 69]</w:t>
      </w:r>
      <w:r w:rsidR="00990267" w:rsidRPr="00B75A2A">
        <w:rPr>
          <w:lang w:val="en-US"/>
        </w:rPr>
        <w:fldChar w:fldCharType="end"/>
      </w:r>
      <w:r w:rsidR="00154D46" w:rsidRPr="00B75A2A">
        <w:rPr>
          <w:lang w:val="en-US"/>
        </w:rPr>
        <w:t>.</w:t>
      </w:r>
    </w:p>
    <w:p w14:paraId="02489D49" w14:textId="7950B999" w:rsidR="00154D46" w:rsidRPr="00B75A2A" w:rsidRDefault="00154D46" w:rsidP="00B75A2A">
      <w:pPr>
        <w:spacing w:line="480" w:lineRule="auto"/>
        <w:jc w:val="both"/>
        <w:rPr>
          <w:lang w:val="en-US"/>
        </w:rPr>
      </w:pPr>
    </w:p>
    <w:p w14:paraId="6068913A" w14:textId="5A8B811C" w:rsidR="00877326" w:rsidRPr="00B75A2A" w:rsidRDefault="00154D46" w:rsidP="00B75A2A">
      <w:pPr>
        <w:spacing w:line="480" w:lineRule="auto"/>
        <w:jc w:val="both"/>
        <w:rPr>
          <w:lang w:val="en-US"/>
        </w:rPr>
      </w:pPr>
      <w:r w:rsidRPr="00B75A2A">
        <w:rPr>
          <w:lang w:val="en-US"/>
        </w:rPr>
        <w:t xml:space="preserve">FER is a non-transmembrane receptor cytosolic tyrosine kinase that acts down-stream of membrane receptors to regulate the activation of inflammatory monocytes and macrophages </w:t>
      </w:r>
      <w:r w:rsidR="00E52137" w:rsidRPr="00B75A2A">
        <w:rPr>
          <w:lang w:val="en-US"/>
        </w:rPr>
        <w:fldChar w:fldCharType="begin"/>
      </w:r>
      <w:r w:rsidR="00CF202C" w:rsidRPr="00B75A2A">
        <w:rPr>
          <w:lang w:val="en-US"/>
        </w:rPr>
        <w:instrText xml:space="preserve"> ADDIN EN.CITE &lt;EndNote&gt;&lt;Cite&gt;&lt;Author&gt;Dolgachev&lt;/Author&gt;&lt;Year&gt;2012&lt;/Year&gt;&lt;RecNum&gt;69&lt;/RecNum&gt;&lt;DisplayText&gt;[70]&lt;/DisplayText&gt;&lt;record&gt;&lt;rec-number&gt;69&lt;/rec-number&gt;&lt;foreign-keys&gt;&lt;key app="EN" db-id="awxxrz9fkt00vzea5p4pvvvzpt9fezd52xt5" timestamp="1668693133"&gt;69&lt;/key&gt;&lt;/foreign-keys&gt;&lt;ref-type name="Journal Article"&gt;17&lt;/ref-type&gt;&lt;contributors&gt;&lt;authors&gt;&lt;author&gt;Dolgachev, Vladislav A&lt;/author&gt;&lt;author&gt;Yu, Bi&lt;/author&gt;&lt;author&gt;Reinke, Julia M&lt;/author&gt;&lt;author&gt;Raghavendran, Krishnan&lt;/author&gt;&lt;author&gt;Hemmila, Mark R&lt;/author&gt;&lt;/authors&gt;&lt;/contributors&gt;&lt;titles&gt;&lt;title&gt;Host susceptibility to gram-negative pneumonia after lung contusion&lt;/title&gt;&lt;secondary-title&gt;The journal of trauma and acute care surgery&lt;/secondary-title&gt;&lt;/titles&gt;&lt;periodical&gt;&lt;full-title&gt;The journal of trauma and acute care surgery&lt;/full-title&gt;&lt;/periodical&gt;&lt;pages&gt;614&lt;/pages&gt;&lt;volume&gt;72&lt;/volume&gt;&lt;number&gt;3&lt;/number&gt;&lt;dates&gt;&lt;year&gt;2012&lt;/year&gt;&lt;/dates&gt;&lt;urls&gt;&lt;/urls&gt;&lt;/record&gt;&lt;/Cite&gt;&lt;/EndNote&gt;</w:instrText>
      </w:r>
      <w:r w:rsidR="00E52137" w:rsidRPr="00B75A2A">
        <w:rPr>
          <w:lang w:val="en-US"/>
        </w:rPr>
        <w:fldChar w:fldCharType="separate"/>
      </w:r>
      <w:r w:rsidR="00CF202C" w:rsidRPr="00B75A2A">
        <w:rPr>
          <w:noProof/>
          <w:lang w:val="en-US"/>
        </w:rPr>
        <w:t>[70]</w:t>
      </w:r>
      <w:r w:rsidR="00E52137" w:rsidRPr="00B75A2A">
        <w:rPr>
          <w:lang w:val="en-US"/>
        </w:rPr>
        <w:fldChar w:fldCharType="end"/>
      </w:r>
      <w:r w:rsidRPr="00B75A2A">
        <w:rPr>
          <w:lang w:val="en-US"/>
        </w:rPr>
        <w:t xml:space="preserve">. Interestingly, absence of FER has demonstrated an exacerbated recruitment of leukocytes in response to lipopolysaccharide induction in FER-mutant relative to wild type mice, highlighting its critical role in innate immune response </w:t>
      </w:r>
      <w:r w:rsidR="00E52137" w:rsidRPr="00B75A2A">
        <w:rPr>
          <w:lang w:val="en-US"/>
        </w:rPr>
        <w:fldChar w:fldCharType="begin"/>
      </w:r>
      <w:r w:rsidR="00CF202C" w:rsidRPr="00B75A2A">
        <w:rPr>
          <w:lang w:val="en-US"/>
        </w:rPr>
        <w:instrText xml:space="preserve"> ADDIN EN.CITE &lt;EndNote&gt;&lt;Cite&gt;&lt;Author&gt;McCafferty&lt;/Author&gt;&lt;Year&gt;2002&lt;/Year&gt;&lt;RecNum&gt;70&lt;/RecNum&gt;&lt;DisplayText&gt;[71]&lt;/DisplayText&gt;&lt;record&gt;&lt;rec-number&gt;70&lt;/rec-number&gt;&lt;foreign-keys&gt;&lt;key app="EN" db-id="awxxrz9fkt00vzea5p4pvvvzpt9fezd52xt5" timestamp="1668693133"&gt;70&lt;/key&gt;&lt;/foreign-keys&gt;&lt;ref-type name="Journal Article"&gt;17&lt;/ref-type&gt;&lt;contributors&gt;&lt;authors&gt;&lt;author&gt;McCafferty, Donna-Marie&lt;/author&gt;&lt;author&gt;Craig, Andrew WB&lt;/author&gt;&lt;author&gt;Senis, Yotis A&lt;/author&gt;&lt;author&gt;Greer, Peter A&lt;/author&gt;&lt;/authors&gt;&lt;/contributors&gt;&lt;titles&gt;&lt;title&gt;Absence of Fer protein-tyrosine kinase exacerbates leukocyte recruitment in response to endotoxin&lt;/title&gt;&lt;secondary-title&gt;The Journal of Immunology&lt;/secondary-title&gt;&lt;/titles&gt;&lt;periodical&gt;&lt;full-title&gt;The Journal of Immunology&lt;/full-title&gt;&lt;/periodical&gt;&lt;pages&gt;4930-4935&lt;/pages&gt;&lt;volume&gt;168&lt;/volume&gt;&lt;number&gt;10&lt;/number&gt;&lt;dates&gt;&lt;year&gt;2002&lt;/year&gt;&lt;/dates&gt;&lt;isbn&gt;0022-1767&lt;/isbn&gt;&lt;urls&gt;&lt;/urls&gt;&lt;/record&gt;&lt;/Cite&gt;&lt;/EndNote&gt;</w:instrText>
      </w:r>
      <w:r w:rsidR="00E52137" w:rsidRPr="00B75A2A">
        <w:rPr>
          <w:lang w:val="en-US"/>
        </w:rPr>
        <w:fldChar w:fldCharType="separate"/>
      </w:r>
      <w:r w:rsidR="00CF202C" w:rsidRPr="00B75A2A">
        <w:rPr>
          <w:noProof/>
          <w:lang w:val="en-US"/>
        </w:rPr>
        <w:t>[71]</w:t>
      </w:r>
      <w:r w:rsidR="00E52137" w:rsidRPr="00B75A2A">
        <w:rPr>
          <w:lang w:val="en-US"/>
        </w:rPr>
        <w:fldChar w:fldCharType="end"/>
      </w:r>
      <w:r w:rsidRPr="00B75A2A">
        <w:rPr>
          <w:lang w:val="en-US"/>
        </w:rPr>
        <w:t xml:space="preserve">. In this context, FER-electroporated C57/BL6 mice have shown an increased phosphorylation of IL-1β, Nrf2, Nlrp3, Cxcl2, and HSP90, and a higher stimulation of TNF-α, CCL-2, KC, IFN-γ and IL-1RA </w:t>
      </w:r>
      <w:r w:rsidR="00E52137" w:rsidRPr="00B75A2A">
        <w:rPr>
          <w:lang w:val="en-US"/>
        </w:rPr>
        <w:fldChar w:fldCharType="begin"/>
      </w:r>
      <w:r w:rsidR="00CF202C" w:rsidRPr="00B75A2A">
        <w:rPr>
          <w:lang w:val="en-US"/>
        </w:rPr>
        <w:instrText xml:space="preserve"> ADDIN EN.CITE &lt;EndNote&gt;&lt;Cite&gt;&lt;Author&gt;Dolgachev&lt;/Author&gt;&lt;Year&gt;2018&lt;/Year&gt;&lt;RecNum&gt;71&lt;/RecNum&gt;&lt;DisplayText&gt;[72]&lt;/DisplayText&gt;&lt;record&gt;&lt;rec-number&gt;71&lt;/rec-number&gt;&lt;foreign-keys&gt;&lt;key app="EN" db-id="awxxrz9fkt00vzea5p4pvvvzpt9fezd52xt5" timestamp="1668693133"&gt;71&lt;/key&gt;&lt;/foreign-keys&gt;&lt;ref-type name="Journal Article"&gt;17&lt;/ref-type&gt;&lt;contributors&gt;&lt;authors&gt;&lt;author&gt;Dolgachev, Vladislav&lt;/author&gt;&lt;author&gt;Panicker, Sreehari&lt;/author&gt;&lt;author&gt;Balijepalli, Sanjay&lt;/author&gt;&lt;author&gt;McCandless, Lane Kelly&lt;/author&gt;&lt;author&gt;Yin, Yue&lt;/author&gt;&lt;author&gt;Swamy, Samantha&lt;/author&gt;&lt;author&gt;Suresh, MV&lt;/author&gt;&lt;author&gt;Delano, Matthew J&lt;/author&gt;&lt;author&gt;Hemmila, Mark R&lt;/author&gt;&lt;author&gt;Raghavendran, Krishnan&lt;/author&gt;&lt;/authors&gt;&lt;/contributors&gt;&lt;titles&gt;&lt;title&gt;Electroporation-mediated delivery of FER gene enhances innate immune response and improves survival in a murine model of pneumonia&lt;/title&gt;&lt;secondary-title&gt;Gene therapy&lt;/secondary-title&gt;&lt;/titles&gt;&lt;periodical&gt;&lt;full-title&gt;Gene therapy&lt;/full-title&gt;&lt;/periodical&gt;&lt;pages&gt;359-375&lt;/pages&gt;&lt;volume&gt;25&lt;/volume&gt;&lt;number&gt;5&lt;/number&gt;&lt;dates&gt;&lt;year&gt;2018&lt;/year&gt;&lt;/dates&gt;&lt;isbn&gt;1476-5462&lt;/isbn&gt;&lt;urls&gt;&lt;/urls&gt;&lt;/record&gt;&lt;/Cite&gt;&lt;/EndNote&gt;</w:instrText>
      </w:r>
      <w:r w:rsidR="00E52137" w:rsidRPr="00B75A2A">
        <w:rPr>
          <w:lang w:val="en-US"/>
        </w:rPr>
        <w:fldChar w:fldCharType="separate"/>
      </w:r>
      <w:r w:rsidR="00CF202C" w:rsidRPr="00B75A2A">
        <w:rPr>
          <w:noProof/>
          <w:lang w:val="en-US"/>
        </w:rPr>
        <w:t>[72]</w:t>
      </w:r>
      <w:r w:rsidR="00E52137" w:rsidRPr="00B75A2A">
        <w:rPr>
          <w:lang w:val="en-US"/>
        </w:rPr>
        <w:fldChar w:fldCharType="end"/>
      </w:r>
      <w:r w:rsidRPr="00B75A2A">
        <w:t>. In addition, F</w:t>
      </w:r>
      <w:r w:rsidRPr="00B75A2A">
        <w:rPr>
          <w:lang w:val="en-US"/>
        </w:rPr>
        <w:t xml:space="preserve">ER overexpression has demonstrated enhanced innate immunity and bacterial clearance amongst mice models </w:t>
      </w:r>
      <w:r w:rsidR="00E52137" w:rsidRPr="00B75A2A">
        <w:rPr>
          <w:lang w:val="en-US"/>
        </w:rPr>
        <w:fldChar w:fldCharType="begin">
          <w:fldData xml:space="preserve">PEVuZE5vdGU+PENpdGU+PEF1dGhvcj5Eb2xnYWNoZXY8L0F1dGhvcj48WWVhcj4yMDE4PC9ZZWFy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</w:fldData>
        </w:fldChar>
      </w:r>
      <w:r w:rsidR="00CF202C" w:rsidRPr="00B75A2A">
        <w:rPr>
          <w:lang w:val="en-US"/>
        </w:rPr>
        <w:instrText xml:space="preserve"> ADDIN EN.CITE </w:instrText>
      </w:r>
      <w:r w:rsidR="00CF202C" w:rsidRPr="00B75A2A">
        <w:rPr>
          <w:lang w:val="en-US"/>
        </w:rPr>
        <w:fldChar w:fldCharType="begin">
          <w:fldData xml:space="preserve">PEVuZE5vdGU+PENpdGU+PEF1dGhvcj5Eb2xnYWNoZXY8L0F1dGhvcj48WWVhcj4yMDE4PC9ZZWFy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</w:fldData>
        </w:fldChar>
      </w:r>
      <w:r w:rsidR="00CF202C" w:rsidRPr="00B75A2A">
        <w:rPr>
          <w:lang w:val="en-US"/>
        </w:rPr>
        <w:instrText xml:space="preserve"> ADDIN EN.CITE.DATA </w:instrText>
      </w:r>
      <w:r w:rsidR="00CF202C" w:rsidRPr="00B75A2A">
        <w:rPr>
          <w:lang w:val="en-US"/>
        </w:rPr>
      </w:r>
      <w:r w:rsidR="00CF202C" w:rsidRPr="00B75A2A">
        <w:rPr>
          <w:lang w:val="en-US"/>
        </w:rPr>
        <w:fldChar w:fldCharType="end"/>
      </w:r>
      <w:r w:rsidR="00E52137" w:rsidRPr="00B75A2A">
        <w:rPr>
          <w:lang w:val="en-US"/>
        </w:rPr>
      </w:r>
      <w:r w:rsidR="00E52137" w:rsidRPr="00B75A2A">
        <w:rPr>
          <w:lang w:val="en-US"/>
        </w:rPr>
        <w:fldChar w:fldCharType="separate"/>
      </w:r>
      <w:r w:rsidR="00CF202C" w:rsidRPr="00B75A2A">
        <w:rPr>
          <w:noProof/>
          <w:lang w:val="en-US"/>
        </w:rPr>
        <w:t>[72, 73]</w:t>
      </w:r>
      <w:r w:rsidR="00E52137" w:rsidRPr="00B75A2A">
        <w:rPr>
          <w:lang w:val="en-US"/>
        </w:rPr>
        <w:fldChar w:fldCharType="end"/>
      </w:r>
      <w:r w:rsidRPr="00B75A2A">
        <w:rPr>
          <w:lang w:val="en-US"/>
        </w:rPr>
        <w:t>.</w:t>
      </w:r>
    </w:p>
    <w:p w14:paraId="6E3755B2" w14:textId="5BDF76A3" w:rsidR="002802C3" w:rsidRPr="00B75A2A" w:rsidRDefault="002802C3" w:rsidP="00B75A2A">
      <w:pPr>
        <w:spacing w:line="480" w:lineRule="auto"/>
        <w:jc w:val="both"/>
      </w:pPr>
    </w:p>
    <w:p w14:paraId="29787BF2" w14:textId="6D284596" w:rsidR="002802C3" w:rsidRPr="00B75A2A" w:rsidRDefault="00154D46" w:rsidP="00B75A2A">
      <w:pPr>
        <w:spacing w:line="480" w:lineRule="auto"/>
        <w:jc w:val="both"/>
        <w:rPr>
          <w:b/>
          <w:bCs/>
          <w:i/>
          <w:iCs/>
          <w:lang w:val="en-US"/>
        </w:rPr>
      </w:pPr>
      <w:r w:rsidRPr="00B75A2A">
        <w:rPr>
          <w:b/>
          <w:bCs/>
          <w:i/>
          <w:iCs/>
          <w:lang w:val="en-US"/>
        </w:rPr>
        <w:t>Transcription factors</w:t>
      </w:r>
    </w:p>
    <w:p w14:paraId="62FD6325" w14:textId="27ECB842" w:rsidR="004A2877" w:rsidRPr="00B75A2A" w:rsidRDefault="00154D46" w:rsidP="00B75A2A">
      <w:pPr>
        <w:spacing w:line="480" w:lineRule="auto"/>
        <w:jc w:val="both"/>
        <w:rPr>
          <w:lang w:val="en-US"/>
        </w:rPr>
      </w:pPr>
      <w:r w:rsidRPr="00B75A2A">
        <w:rPr>
          <w:lang w:val="en-US"/>
        </w:rPr>
        <w:t xml:space="preserve">Several transcription factors were differentially expressed in </w:t>
      </w:r>
      <w:r w:rsidRPr="00B75A2A">
        <w:t xml:space="preserve">mice transplanted with old </w:t>
      </w:r>
      <w:r w:rsidR="00003F09" w:rsidRPr="00B75A2A">
        <w:t xml:space="preserve">gut </w:t>
      </w:r>
      <w:r w:rsidRPr="00B75A2A">
        <w:t xml:space="preserve">microbiota. </w:t>
      </w:r>
      <w:r w:rsidR="002802C3" w:rsidRPr="00B75A2A">
        <w:rPr>
          <w:lang w:val="en-US"/>
        </w:rPr>
        <w:t>Nuclear Receptor Subfamily 1 Group D Member 1 (NR1D1) is a transcription</w:t>
      </w:r>
      <w:r w:rsidR="00003F09" w:rsidRPr="00B75A2A">
        <w:rPr>
          <w:lang w:val="en-US"/>
        </w:rPr>
        <w:t xml:space="preserve"> </w:t>
      </w:r>
      <w:r w:rsidR="002802C3" w:rsidRPr="00B75A2A">
        <w:rPr>
          <w:lang w:val="en-US"/>
        </w:rPr>
        <w:t xml:space="preserve">factor with a pivotal role on core circadian regulation </w:t>
      </w:r>
      <w:r w:rsidR="00E52137" w:rsidRPr="00B75A2A">
        <w:rPr>
          <w:lang w:val="en-US"/>
        </w:rPr>
        <w:fldChar w:fldCharType="begin"/>
      </w:r>
      <w:r w:rsidR="00CF202C" w:rsidRPr="00B75A2A">
        <w:rPr>
          <w:lang w:val="en-US"/>
        </w:rPr>
        <w:instrText xml:space="preserve"> ADDIN EN.CITE &lt;EndNote&gt;&lt;Cite&gt;&lt;Author&gt;Pearson&lt;/Author&gt;&lt;Year&gt;2020&lt;/Year&gt;&lt;RecNum&gt;73&lt;/RecNum&gt;&lt;DisplayText&gt;[74]&lt;/DisplayText&gt;&lt;record&gt;&lt;rec-number&gt;73&lt;/rec-number&gt;&lt;foreign-keys&gt;&lt;key app="EN" db-id="awxxrz9fkt00vzea5p4pvvvzpt9fezd52xt5" timestamp="1668693133"&gt;73&lt;/key&gt;&lt;/foreign-keys&gt;&lt;ref-type name="Journal Article"&gt;17&lt;/ref-type&gt;&lt;contributors&gt;&lt;authors&gt;&lt;author&gt;Pearson, James Alexander&lt;/author&gt;&lt;author&gt;Wong, Florence Susan&lt;/author&gt;&lt;author&gt;Wen, Li&lt;/author&gt;&lt;/authors&gt;&lt;/contributors&gt;&lt;titles&gt;&lt;title&gt;Crosstalk between circadian rhythms and the microbiota&lt;/title&gt;&lt;secondary-title&gt;Immunology&lt;/secondary-title&gt;&lt;/titles&gt;&lt;periodical&gt;&lt;full-title&gt;Immunology&lt;/full-title&gt;&lt;/periodical&gt;&lt;pages&gt;278-290&lt;/pages&gt;&lt;volume&gt;161&lt;/volume&gt;&lt;number&gt;4&lt;/number&gt;&lt;dates&gt;&lt;year&gt;2020&lt;/year&gt;&lt;/dates&gt;&lt;isbn&gt;0019-2805&lt;/isbn&gt;&lt;urls&gt;&lt;/urls&gt;&lt;/record&gt;&lt;/Cite&gt;&lt;/EndNote&gt;</w:instrText>
      </w:r>
      <w:r w:rsidR="00E52137" w:rsidRPr="00B75A2A">
        <w:rPr>
          <w:lang w:val="en-US"/>
        </w:rPr>
        <w:fldChar w:fldCharType="separate"/>
      </w:r>
      <w:r w:rsidR="00CF202C" w:rsidRPr="00B75A2A">
        <w:rPr>
          <w:noProof/>
          <w:lang w:val="en-US"/>
        </w:rPr>
        <w:t>[74]</w:t>
      </w:r>
      <w:r w:rsidR="00E52137" w:rsidRPr="00B75A2A">
        <w:rPr>
          <w:lang w:val="en-US"/>
        </w:rPr>
        <w:fldChar w:fldCharType="end"/>
      </w:r>
      <w:r w:rsidR="002802C3" w:rsidRPr="00B75A2A">
        <w:rPr>
          <w:lang w:val="en-US"/>
        </w:rPr>
        <w:t xml:space="preserve"> and processes under circadian homeostasis, including pathways of the immune system </w:t>
      </w:r>
      <w:r w:rsidR="00E52137" w:rsidRPr="00B75A2A">
        <w:rPr>
          <w:lang w:val="en-US"/>
        </w:rPr>
        <w:fldChar w:fldCharType="begin"/>
      </w:r>
      <w:r w:rsidR="00CF202C" w:rsidRPr="00B75A2A">
        <w:rPr>
          <w:lang w:val="en-US"/>
        </w:rPr>
        <w:instrText xml:space="preserve"> ADDIN EN.CITE &lt;EndNote&gt;&lt;Cite&gt;&lt;Author&gt;Hussain&lt;/Author&gt;&lt;Year&gt;2013&lt;/Year&gt;&lt;RecNum&gt;74&lt;/RecNum&gt;&lt;DisplayText&gt;[75]&lt;/DisplayText&gt;&lt;record&gt;&lt;rec-number&gt;74&lt;/rec-number&gt;&lt;foreign-keys&gt;&lt;key app="EN" db-id="awxxrz9fkt00vzea5p4pvvvzpt9fezd52xt5" timestamp="1668693133"&gt;74&lt;/key&gt;&lt;/foreign-keys&gt;&lt;ref-type name="Journal Article"&gt;17&lt;/ref-type&gt;&lt;contributors&gt;&lt;authors&gt;&lt;author&gt;Hussain, M Mahmood&lt;/author&gt;&lt;/authors&gt;&lt;/contributors&gt;&lt;titles&gt;&lt;title&gt;Gut microbiota modulates diurnal secretion of glucocorticoids&lt;/title&gt;&lt;secondary-title&gt;Nature Reviews Endocrinology&lt;/secondary-title&gt;&lt;/titles&gt;&lt;periodical&gt;&lt;full-title&gt;Nature Reviews Endocrinology&lt;/full-title&gt;&lt;/periodical&gt;&lt;pages&gt;444-446&lt;/pages&gt;&lt;volume&gt;9&lt;/volume&gt;&lt;number&gt;8&lt;/number&gt;&lt;dates&gt;&lt;year&gt;2013&lt;/year&gt;&lt;/dates&gt;&lt;isbn&gt;1759-5037&lt;/isbn&gt;&lt;urls&gt;&lt;/urls&gt;&lt;/record&gt;&lt;/Cite&gt;&lt;/EndNote&gt;</w:instrText>
      </w:r>
      <w:r w:rsidR="00E52137" w:rsidRPr="00B75A2A">
        <w:rPr>
          <w:lang w:val="en-US"/>
        </w:rPr>
        <w:fldChar w:fldCharType="separate"/>
      </w:r>
      <w:r w:rsidR="00CF202C" w:rsidRPr="00B75A2A">
        <w:rPr>
          <w:noProof/>
          <w:lang w:val="en-US"/>
        </w:rPr>
        <w:t>[75]</w:t>
      </w:r>
      <w:r w:rsidR="00E52137" w:rsidRPr="00B75A2A">
        <w:rPr>
          <w:lang w:val="en-US"/>
        </w:rPr>
        <w:fldChar w:fldCharType="end"/>
      </w:r>
      <w:r w:rsidR="002802C3" w:rsidRPr="00B75A2A">
        <w:rPr>
          <w:lang w:val="en-US"/>
        </w:rPr>
        <w:t xml:space="preserve">. High NR1D1 levels are implicated in increased and sustained corticosterone secretion through reduced gene encoding nuclear factor interleukin-3-regulated protein (Nfil3) expression in germ-free mice compared to those with a normal gut microbiota. These changes may be established via </w:t>
      </w:r>
      <w:r w:rsidR="00003F09" w:rsidRPr="00B75A2A">
        <w:rPr>
          <w:lang w:val="en-US"/>
        </w:rPr>
        <w:t>toll-like receptors (</w:t>
      </w:r>
      <w:r w:rsidR="002802C3" w:rsidRPr="00B75A2A">
        <w:rPr>
          <w:lang w:val="en-US"/>
        </w:rPr>
        <w:t>TLRs</w:t>
      </w:r>
      <w:r w:rsidR="00003F09" w:rsidRPr="00B75A2A">
        <w:rPr>
          <w:lang w:val="en-US"/>
        </w:rPr>
        <w:t>)</w:t>
      </w:r>
      <w:r w:rsidR="002802C3" w:rsidRPr="00B75A2A">
        <w:rPr>
          <w:lang w:val="en-US"/>
        </w:rPr>
        <w:t xml:space="preserve"> affecting arrhythmic bacterial signaling and disrupting circadian rhythms </w:t>
      </w:r>
      <w:r w:rsidR="00D02573" w:rsidRPr="00B75A2A">
        <w:rPr>
          <w:lang w:val="en-US"/>
        </w:rPr>
        <w:fldChar w:fldCharType="begin"/>
      </w:r>
      <w:r w:rsidR="00CF202C" w:rsidRPr="00B75A2A">
        <w:rPr>
          <w:lang w:val="en-US"/>
        </w:rPr>
        <w:instrText xml:space="preserve"> ADDIN EN.CITE &lt;EndNote&gt;&lt;Cite&gt;&lt;Author&gt;Mukherji&lt;/Author&gt;&lt;Year&gt;2013&lt;/Year&gt;&lt;RecNum&gt;75&lt;/RecNum&gt;&lt;DisplayText&gt;[76, 77]&lt;/DisplayText&gt;&lt;record&gt;&lt;rec-number&gt;75&lt;/rec-number&gt;&lt;foreign-keys&gt;&lt;key app="EN" db-id="awxxrz9fkt00vzea5p4pvvvzpt9fezd52xt5" timestamp="1668693133"&gt;75&lt;/key&gt;&lt;/foreign-keys&gt;&lt;ref-type name="Journal Article"&gt;17&lt;/ref-type&gt;&lt;contributors&gt;&lt;authors&gt;&lt;author&gt;Mukherji, Atish&lt;/author&gt;&lt;author&gt;Kobiita, Ahmad&lt;/author&gt;&lt;author&gt;Ye, Tao&lt;/author&gt;&lt;author&gt;Chambon, Pierre&lt;/author&gt;&lt;/authors&gt;&lt;/contributors&gt;&lt;titles&gt;&lt;title&gt;Homeostasis in intestinal epithelium is orchestrated by the circadian clock and microbiota cues transduced by TLRs&lt;/title&gt;&lt;secondary-title&gt;Cell&lt;/secondary-title&gt;&lt;/titles&gt;&lt;periodical&gt;&lt;full-title&gt;Cell&lt;/full-title&gt;&lt;/periodical&gt;&lt;pages&gt;812-827&lt;/pages&gt;&lt;volume&gt;153&lt;/volume&gt;&lt;number&gt;4&lt;/number&gt;&lt;dates&gt;&lt;year&gt;2013&lt;/year&gt;&lt;/dates&gt;&lt;isbn&gt;0092-8674&lt;/isbn&gt;&lt;urls&gt;&lt;/urls&gt;&lt;/record&gt;&lt;/Cite&gt;&lt;Cite&gt;&lt;Author&gt;Wang&lt;/Author&gt;&lt;Year&gt;2017&lt;/Year&gt;&lt;RecNum&gt;76&lt;/RecNum&gt;&lt;record&gt;&lt;rec-number&gt;76&lt;/rec-number&gt;&lt;foreign-keys&gt;&lt;key app="EN" db-id="awxxrz9fkt00vzea5p4pvvvzpt9fezd52xt5" timestamp="1668693134"&gt;76&lt;/key&gt;&lt;/foreign-keys&gt;&lt;ref-type name="Journal Article"&gt;17&lt;/ref-type&gt;&lt;contributors&gt;&lt;authors&gt;&lt;author&gt;Wang, Yuhao&lt;/author&gt;&lt;author&gt;Kuang, Zheng&lt;/author&gt;&lt;author&gt;Yu, Xiaofei&lt;/author&gt;&lt;author&gt;Ruhn, Kelly A&lt;/author&gt;&lt;author&gt;Kubo, Masato&lt;/author&gt;&lt;author&gt;Hooper, Lora V&lt;/author&gt;&lt;/authors&gt;&lt;/contributors&gt;&lt;titles&gt;&lt;title&gt;The intestinal microbiota regulates body composition through NFIL3 and the circadian clock&lt;/title&gt;&lt;secondary-title&gt;Science&lt;/secondary-title&gt;&lt;/titles&gt;&lt;periodical&gt;&lt;full-title&gt;Science&lt;/full-title&gt;&lt;/periodical&gt;&lt;pages&gt;912-916&lt;/pages&gt;&lt;volume&gt;357&lt;/volume&gt;&lt;number&gt;6354&lt;/number&gt;&lt;dates&gt;&lt;year&gt;2017&lt;/year&gt;&lt;/dates&gt;&lt;isbn&gt;0036-8075&lt;/isbn&gt;&lt;urls&gt;&lt;/urls&gt;&lt;/record&gt;&lt;/Cite&gt;&lt;/EndNote&gt;</w:instrText>
      </w:r>
      <w:r w:rsidR="00D02573" w:rsidRPr="00B75A2A">
        <w:rPr>
          <w:lang w:val="en-US"/>
        </w:rPr>
        <w:fldChar w:fldCharType="separate"/>
      </w:r>
      <w:r w:rsidR="00CF202C" w:rsidRPr="00B75A2A">
        <w:rPr>
          <w:noProof/>
          <w:lang w:val="en-US"/>
        </w:rPr>
        <w:t>[76, 77]</w:t>
      </w:r>
      <w:r w:rsidR="00D02573" w:rsidRPr="00B75A2A">
        <w:rPr>
          <w:lang w:val="en-US"/>
        </w:rPr>
        <w:fldChar w:fldCharType="end"/>
      </w:r>
      <w:r w:rsidR="002802C3" w:rsidRPr="00B75A2A">
        <w:rPr>
          <w:lang w:val="en-US"/>
        </w:rPr>
        <w:t xml:space="preserve">. </w:t>
      </w:r>
      <w:r w:rsidR="002802C3" w:rsidRPr="00B75A2A">
        <w:rPr>
          <w:lang w:val="en-US"/>
        </w:rPr>
        <w:lastRenderedPageBreak/>
        <w:t>ROR</w:t>
      </w:r>
      <w:r w:rsidRPr="00B75A2A">
        <w:rPr>
          <w:lang w:val="en-US"/>
        </w:rPr>
        <w:t>C</w:t>
      </w:r>
      <w:r w:rsidR="002802C3" w:rsidRPr="00B75A2A">
        <w:rPr>
          <w:lang w:val="en-US"/>
        </w:rPr>
        <w:t xml:space="preserve"> is gene encoding of the transcription factor RAR-related orphan-like </w:t>
      </w:r>
      <w:proofErr w:type="spellStart"/>
      <w:r w:rsidR="002802C3" w:rsidRPr="00B75A2A">
        <w:rPr>
          <w:lang w:val="en-US"/>
        </w:rPr>
        <w:t>γt</w:t>
      </w:r>
      <w:proofErr w:type="spellEnd"/>
      <w:r w:rsidR="002802C3" w:rsidRPr="00B75A2A">
        <w:rPr>
          <w:lang w:val="en-US"/>
        </w:rPr>
        <w:t xml:space="preserve"> </w:t>
      </w:r>
      <w:r w:rsidRPr="00B75A2A">
        <w:rPr>
          <w:lang w:val="en-US"/>
        </w:rPr>
        <w:t>(</w:t>
      </w:r>
      <w:proofErr w:type="spellStart"/>
      <w:r w:rsidR="002802C3" w:rsidRPr="00B75A2A">
        <w:rPr>
          <w:lang w:val="en-US"/>
        </w:rPr>
        <w:t>RORγt</w:t>
      </w:r>
      <w:proofErr w:type="spellEnd"/>
      <w:r w:rsidR="002802C3" w:rsidRPr="00B75A2A">
        <w:rPr>
          <w:lang w:val="en-US"/>
        </w:rPr>
        <w:t xml:space="preserve">) that plays a critical role in regulation of innate ILC3 and Th17 cells </w:t>
      </w:r>
      <w:r w:rsidR="00D02573" w:rsidRPr="00B75A2A">
        <w:rPr>
          <w:lang w:val="en-US"/>
        </w:rPr>
        <w:fldChar w:fldCharType="begin"/>
      </w:r>
      <w:r w:rsidR="00CF202C" w:rsidRPr="00B75A2A">
        <w:rPr>
          <w:lang w:val="en-US"/>
        </w:rPr>
        <w:instrText xml:space="preserve"> ADDIN EN.CITE &lt;EndNote&gt;&lt;Cite&gt;&lt;Author&gt;Ohnmacht&lt;/Author&gt;&lt;Year&gt;2016&lt;/Year&gt;&lt;RecNum&gt;77&lt;/RecNum&gt;&lt;DisplayText&gt;[78]&lt;/DisplayText&gt;&lt;record&gt;&lt;rec-number&gt;77&lt;/rec-number&gt;&lt;foreign-keys&gt;&lt;key app="EN" db-id="awxxrz9fkt00vzea5p4pvvvzpt9fezd52xt5" timestamp="1668693134"&gt;77&lt;/key&gt;&lt;/foreign-keys&gt;&lt;ref-type name="Journal Article"&gt;17&lt;/ref-type&gt;&lt;contributors&gt;&lt;authors&gt;&lt;author&gt;Ohnmacht, C.&lt;/author&gt;&lt;/authors&gt;&lt;/contributors&gt;&lt;auth-address&gt;Center of Allergy and Environment (ZAUM), Technische Universität and Helmholtz Center Munich, Biedersteiner Strasse 29, 80802 Munich, Germany. Electronic address: caspar.ohnmacht@helmholtz-muenchen.de.&lt;/auth-address&gt;&lt;titles&gt;&lt;title&gt;Tolerance to the Intestinal Microbiota Mediated by ROR(γt)(+) Cells&lt;/title&gt;&lt;secondary-title&gt;Trends Immunol&lt;/secondary-title&gt;&lt;/titles&gt;&lt;periodical&gt;&lt;full-title&gt;Trends Immunol&lt;/full-title&gt;&lt;/periodical&gt;&lt;pages&gt;477-486&lt;/pages&gt;&lt;volume&gt;37&lt;/volume&gt;&lt;number&gt;7&lt;/number&gt;&lt;edition&gt;2016/06/04&lt;/edition&gt;&lt;keywords&gt;&lt;keyword&gt;*Adaptive Immunity&lt;/keyword&gt;&lt;keyword&gt;Animals&lt;/keyword&gt;&lt;keyword&gt;*Gastrointestinal Microbiome&lt;/keyword&gt;&lt;keyword&gt;Homeostasis&lt;/keyword&gt;&lt;keyword&gt;Humans&lt;/keyword&gt;&lt;keyword&gt;*Immune Tolerance&lt;/keyword&gt;&lt;keyword&gt;*Immunity, Mucosal&lt;/keyword&gt;&lt;keyword&gt;Intestinal Mucosa/*immunology/microbiology&lt;/keyword&gt;&lt;keyword&gt;Nuclear Receptor Subfamily 1, Group F, Member 3/*metabolism&lt;/keyword&gt;&lt;keyword&gt;Receptors, Pattern Recognition/metabolism&lt;/keyword&gt;&lt;keyword&gt;Symbiosis&lt;/keyword&gt;&lt;keyword&gt;Th17 Cells/*immunology&lt;/keyword&gt;&lt;keyword&gt;*Immunological tolerance&lt;/keyword&gt;&lt;keyword&gt;*RAR-related orphan receptor γt&lt;/keyword&gt;&lt;keyword&gt;*microbiota&lt;/keyword&gt;&lt;keyword&gt;*regulatory T cells&lt;/keyword&gt;&lt;/keywords&gt;&lt;dates&gt;&lt;year&gt;2016&lt;/year&gt;&lt;pub-dates&gt;&lt;date&gt;Jul&lt;/date&gt;&lt;/pub-dates&gt;&lt;/dates&gt;&lt;isbn&gt;1471-4906&lt;/isbn&gt;&lt;accession-num&gt;27255270&lt;/accession-num&gt;&lt;urls&gt;&lt;/urls&gt;&lt;electronic-resource-num&gt;10.1016/j.it.2016.05.002&lt;/electronic-resource-num&gt;&lt;remote-database-provider&gt;NLM&lt;/remote-database-provider&gt;&lt;language&gt;eng&lt;/language&gt;&lt;/record&gt;&lt;/Cite&gt;&lt;/EndNote&gt;</w:instrText>
      </w:r>
      <w:r w:rsidR="00D02573" w:rsidRPr="00B75A2A">
        <w:rPr>
          <w:lang w:val="en-US"/>
        </w:rPr>
        <w:fldChar w:fldCharType="separate"/>
      </w:r>
      <w:r w:rsidR="00CF202C" w:rsidRPr="00B75A2A">
        <w:rPr>
          <w:noProof/>
          <w:lang w:val="en-US"/>
        </w:rPr>
        <w:t>[78]</w:t>
      </w:r>
      <w:r w:rsidR="00D02573" w:rsidRPr="00B75A2A">
        <w:rPr>
          <w:lang w:val="en-US"/>
        </w:rPr>
        <w:fldChar w:fldCharType="end"/>
      </w:r>
      <w:r w:rsidR="002802C3" w:rsidRPr="00B75A2A">
        <w:rPr>
          <w:lang w:val="en-US"/>
        </w:rPr>
        <w:t>. For instance, ROR</w:t>
      </w:r>
      <w:r w:rsidR="002802C3" w:rsidRPr="00B75A2A">
        <w:rPr>
          <w:lang w:val="el-GR"/>
        </w:rPr>
        <w:t>γ</w:t>
      </w:r>
      <w:r w:rsidR="002802C3" w:rsidRPr="00B75A2A">
        <w:rPr>
          <w:lang w:val="en-US"/>
        </w:rPr>
        <w:t xml:space="preserve">t innate ILC3 cells may be used by the commensal microbes to upregulate T cell function and prevent aberrant inflammatory responses, linked with dysregulated Th17 cells and inflammatory bowel disease (IBD) in mice models </w:t>
      </w:r>
      <w:r w:rsidR="00D02573" w:rsidRPr="00B75A2A">
        <w:rPr>
          <w:lang w:val="en-US"/>
        </w:rPr>
        <w:fldChar w:fldCharType="begin"/>
      </w:r>
      <w:r w:rsidR="00CF202C" w:rsidRPr="00B75A2A">
        <w:rPr>
          <w:lang w:val="en-US"/>
        </w:rPr>
        <w:instrText xml:space="preserve"> ADDIN EN.CITE &lt;EndNote&gt;&lt;Cite&gt;&lt;Author&gt;Mortha&lt;/Author&gt;&lt;Year&gt;2014&lt;/Year&gt;&lt;RecNum&gt;78&lt;/RecNum&gt;&lt;DisplayText&gt;[79, 80]&lt;/DisplayText&gt;&lt;record&gt;&lt;rec-number&gt;78&lt;/rec-number&gt;&lt;foreign-keys&gt;&lt;key app="EN" db-id="awxxrz9fkt00vzea5p4pvvvzpt9fezd52xt5" timestamp="1668693134"&gt;78&lt;/key&gt;&lt;/foreign-keys&gt;&lt;ref-type name="Journal Article"&gt;17&lt;/ref-type&gt;&lt;contributors&gt;&lt;authors&gt;&lt;author&gt;Mortha, Arthur&lt;/author&gt;&lt;author&gt;Chudnovskiy, Aleksey&lt;/author&gt;&lt;author&gt;Hashimoto, Daigo&lt;/author&gt;&lt;author&gt;Bogunovic, Milena&lt;/author&gt;&lt;author&gt;Spencer, Sean P&lt;/author&gt;&lt;author&gt;Belkaid, Yasmine&lt;/author&gt;&lt;author&gt;Merad, Miriam&lt;/author&gt;&lt;/authors&gt;&lt;/contributors&gt;&lt;titles&gt;&lt;title&gt;Microbiota-dependent crosstalk between macrophages and ILC3 promotes intestinal homeostasis&lt;/title&gt;&lt;secondary-title&gt;Science&lt;/secondary-title&gt;&lt;/titles&gt;&lt;periodical&gt;&lt;full-title&gt;Science&lt;/full-title&gt;&lt;/periodical&gt;&lt;pages&gt;1249288&lt;/pages&gt;&lt;volume&gt;343&lt;/volume&gt;&lt;number&gt;6178&lt;/number&gt;&lt;dates&gt;&lt;year&gt;2014&lt;/year&gt;&lt;/dates&gt;&lt;isbn&gt;0036-8075&lt;/isbn&gt;&lt;urls&gt;&lt;/urls&gt;&lt;/record&gt;&lt;/Cite&gt;&lt;Cite&gt;&lt;Author&gt;Sefik&lt;/Author&gt;&lt;Year&gt;2015&lt;/Year&gt;&lt;RecNum&gt;79&lt;/RecNum&gt;&lt;record&gt;&lt;rec-number&gt;79&lt;/rec-number&gt;&lt;foreign-keys&gt;&lt;key app="EN" db-id="awxxrz9fkt00vzea5p4pvvvzpt9fezd52xt5" timestamp="1668693134"&gt;79&lt;/key&gt;&lt;/foreign-keys&gt;&lt;ref-type name="Journal Article"&gt;17&lt;/ref-type&gt;&lt;contributors&gt;&lt;authors&gt;&lt;author&gt;Sefik, Esen&lt;/author&gt;&lt;author&gt;Geva-Zatorsky, Naama&lt;/author&gt;&lt;author&gt;Oh, Sungwhan&lt;/author&gt;&lt;author&gt;Konnikova, Liza&lt;/author&gt;&lt;author&gt;Zemmour, David&lt;/author&gt;&lt;author&gt;McGuire, Abigail Manson&lt;/author&gt;&lt;author&gt;Burzyn, Dalia&lt;/author&gt;&lt;author&gt;Ortiz-Lopez, Adriana&lt;/author&gt;&lt;author&gt;Lobera, Mercedes&lt;/author&gt;&lt;author&gt;Yang, Jianfei&lt;/author&gt;&lt;/authors&gt;&lt;/contributors&gt;&lt;titles&gt;&lt;title&gt;Individual intestinal symbionts induce a distinct population of RORγ+ regulatory T cells&lt;/title&gt;&lt;secondary-title&gt;Science&lt;/secondary-title&gt;&lt;/titles&gt;&lt;periodical&gt;&lt;full-title&gt;Science&lt;/full-title&gt;&lt;/periodical&gt;&lt;pages&gt;993-997&lt;/pages&gt;&lt;volume&gt;349&lt;/volume&gt;&lt;number&gt;6251&lt;/number&gt;&lt;dates&gt;&lt;year&gt;2015&lt;/year&gt;&lt;/dates&gt;&lt;isbn&gt;0036-8075&lt;/isbn&gt;&lt;urls&gt;&lt;/urls&gt;&lt;/record&gt;&lt;/Cite&gt;&lt;/EndNote&gt;</w:instrText>
      </w:r>
      <w:r w:rsidR="00D02573" w:rsidRPr="00B75A2A">
        <w:rPr>
          <w:lang w:val="en-US"/>
        </w:rPr>
        <w:fldChar w:fldCharType="separate"/>
      </w:r>
      <w:r w:rsidR="00CF202C" w:rsidRPr="00B75A2A">
        <w:rPr>
          <w:noProof/>
          <w:lang w:val="en-US"/>
        </w:rPr>
        <w:t>[79, 80]</w:t>
      </w:r>
      <w:r w:rsidR="00D02573" w:rsidRPr="00B75A2A">
        <w:rPr>
          <w:lang w:val="en-US"/>
        </w:rPr>
        <w:fldChar w:fldCharType="end"/>
      </w:r>
      <w:r w:rsidR="002802C3" w:rsidRPr="00B75A2A">
        <w:rPr>
          <w:lang w:val="en-US"/>
        </w:rPr>
        <w:t>. Likewise, microbial species from humans with IBD may alter Th17 cell balance and ROR(</w:t>
      </w:r>
      <w:r w:rsidR="002802C3" w:rsidRPr="00B75A2A">
        <w:rPr>
          <w:lang w:val="el-GR"/>
        </w:rPr>
        <w:t>γ</w:t>
      </w:r>
      <w:r w:rsidR="002802C3" w:rsidRPr="00B75A2A">
        <w:rPr>
          <w:lang w:val="en-US"/>
        </w:rPr>
        <w:t xml:space="preserve">t) regulatory T cells </w:t>
      </w:r>
      <w:r w:rsidR="002802C3" w:rsidRPr="00B75A2A">
        <w:rPr>
          <w:i/>
          <w:iCs/>
          <w:lang w:val="en-US"/>
        </w:rPr>
        <w:t>in vivo</w:t>
      </w:r>
      <w:r w:rsidR="002802C3" w:rsidRPr="00B75A2A">
        <w:rPr>
          <w:lang w:val="en-US"/>
        </w:rPr>
        <w:t xml:space="preserve"> </w:t>
      </w:r>
      <w:r w:rsidR="00D02573" w:rsidRPr="00B75A2A">
        <w:rPr>
          <w:lang w:val="en-US"/>
        </w:rPr>
        <w:fldChar w:fldCharType="begin"/>
      </w:r>
      <w:r w:rsidR="00CF202C" w:rsidRPr="00B75A2A">
        <w:rPr>
          <w:lang w:val="en-US"/>
        </w:rPr>
        <w:instrText xml:space="preserve"> ADDIN EN.CITE &lt;EndNote&gt;&lt;Cite&gt;&lt;Author&gt;Britton&lt;/Author&gt;&lt;Year&gt;2019&lt;/Year&gt;&lt;RecNum&gt;80&lt;/RecNum&gt;&lt;DisplayText&gt;[81]&lt;/DisplayText&gt;&lt;record&gt;&lt;rec-number&gt;80&lt;/rec-number&gt;&lt;foreign-keys&gt;&lt;key app="EN" db-id="awxxrz9fkt00vzea5p4pvvvzpt9fezd52xt5" timestamp="1668693134"&gt;80&lt;/key&gt;&lt;/foreign-keys&gt;&lt;ref-type name="Journal Article"&gt;17&lt;/ref-type&gt;&lt;contributors&gt;&lt;authors&gt;&lt;author&gt;Britton, Graham J&lt;/author&gt;&lt;author&gt;Contijoch, Eduardo J&lt;/author&gt;&lt;author&gt;Mogno, Ilaria&lt;/author&gt;&lt;author&gt;Vennaro, Olivia H&lt;/author&gt;&lt;author&gt;Llewellyn, Sean R&lt;/author&gt;&lt;author&gt;Ng, Ruby&lt;/author&gt;&lt;author&gt;Li, Zhihua&lt;/author&gt;&lt;author&gt;Mortha, Arthur&lt;/author&gt;&lt;author&gt;Merad, Miriam&lt;/author&gt;&lt;author&gt;Das, Anuk&lt;/author&gt;&lt;/authors&gt;&lt;/contributors&gt;&lt;titles&gt;&lt;title&gt;Microbiotas from humans with inflammatory bowel disease alter the balance of gut Th17 and RORγt+ regulatory T cells and exacerbate colitis in mice&lt;/title&gt;&lt;secondary-title&gt;Immunity&lt;/secondary-title&gt;&lt;/titles&gt;&lt;periodical&gt;&lt;full-title&gt;Immunity&lt;/full-title&gt;&lt;/periodical&gt;&lt;pages&gt;212-224. e4&lt;/pages&gt;&lt;volume&gt;50&lt;/volume&gt;&lt;number&gt;1&lt;/number&gt;&lt;dates&gt;&lt;year&gt;2019&lt;/year&gt;&lt;/dates&gt;&lt;isbn&gt;1074-7613&lt;/isbn&gt;&lt;urls&gt;&lt;/urls&gt;&lt;/record&gt;&lt;/Cite&gt;&lt;/EndNote&gt;</w:instrText>
      </w:r>
      <w:r w:rsidR="00D02573" w:rsidRPr="00B75A2A">
        <w:rPr>
          <w:lang w:val="en-US"/>
        </w:rPr>
        <w:fldChar w:fldCharType="separate"/>
      </w:r>
      <w:r w:rsidR="00CF202C" w:rsidRPr="00B75A2A">
        <w:rPr>
          <w:noProof/>
          <w:lang w:val="en-US"/>
        </w:rPr>
        <w:t>[81]</w:t>
      </w:r>
      <w:r w:rsidR="00D02573" w:rsidRPr="00B75A2A">
        <w:rPr>
          <w:lang w:val="en-US"/>
        </w:rPr>
        <w:fldChar w:fldCharType="end"/>
      </w:r>
      <w:r w:rsidR="002802C3" w:rsidRPr="00B75A2A">
        <w:rPr>
          <w:lang w:val="en-US"/>
        </w:rPr>
        <w:t>, displaying further the relationship between dysregulated immune function and intestinal inflammation.</w:t>
      </w:r>
      <w:r w:rsidR="009B484E" w:rsidRPr="00B75A2A">
        <w:rPr>
          <w:lang w:val="en-US"/>
        </w:rPr>
        <w:t xml:space="preserve"> ROR</w:t>
      </w:r>
      <w:r w:rsidRPr="00B75A2A">
        <w:rPr>
          <w:lang w:val="en-US"/>
        </w:rPr>
        <w:t>C</w:t>
      </w:r>
      <w:r w:rsidR="009B484E" w:rsidRPr="00B75A2A">
        <w:rPr>
          <w:lang w:val="en-US"/>
        </w:rPr>
        <w:t xml:space="preserve"> was the only DEG that was upregulated in </w:t>
      </w:r>
      <w:r w:rsidR="009B484E" w:rsidRPr="00B75A2A">
        <w:t>recipient mice transplanted with old</w:t>
      </w:r>
      <w:r w:rsidR="00003F09" w:rsidRPr="00B75A2A">
        <w:t xml:space="preserve"> gut</w:t>
      </w:r>
      <w:r w:rsidR="009B484E" w:rsidRPr="00B75A2A">
        <w:t xml:space="preserve"> microbiota.</w:t>
      </w:r>
    </w:p>
    <w:p w14:paraId="6D3D2625" w14:textId="77777777" w:rsidR="004A2877" w:rsidRPr="00B75A2A" w:rsidRDefault="004A2877" w:rsidP="00B75A2A">
      <w:pPr>
        <w:spacing w:line="480" w:lineRule="auto"/>
        <w:jc w:val="both"/>
        <w:rPr>
          <w:lang w:val="en-US"/>
        </w:rPr>
      </w:pPr>
    </w:p>
    <w:p w14:paraId="5D62B33E" w14:textId="16C8E23F" w:rsidR="00877326" w:rsidRPr="00B75A2A" w:rsidRDefault="00154D46" w:rsidP="00B75A2A">
      <w:pPr>
        <w:spacing w:line="480" w:lineRule="auto"/>
        <w:jc w:val="both"/>
        <w:rPr>
          <w:b/>
          <w:bCs/>
          <w:i/>
          <w:iCs/>
          <w:lang w:val="en-US"/>
        </w:rPr>
      </w:pPr>
      <w:r w:rsidRPr="00B75A2A">
        <w:rPr>
          <w:b/>
          <w:bCs/>
          <w:i/>
          <w:iCs/>
          <w:lang w:val="en-US"/>
        </w:rPr>
        <w:t xml:space="preserve">Toll-like receptor pathway </w:t>
      </w:r>
    </w:p>
    <w:p w14:paraId="5DED4650" w14:textId="3E665DE9" w:rsidR="004A2877" w:rsidRPr="00B75A2A" w:rsidRDefault="004A2877" w:rsidP="00B75A2A">
      <w:pPr>
        <w:spacing w:line="480" w:lineRule="auto"/>
        <w:jc w:val="both"/>
        <w:rPr>
          <w:lang w:val="en-US"/>
        </w:rPr>
      </w:pPr>
      <w:r w:rsidRPr="00B75A2A">
        <w:rPr>
          <w:lang w:val="en-US"/>
        </w:rPr>
        <w:t xml:space="preserve">BIRC3 is a host gene involved in inhibiting pathways of apoptosis and autophagy processes </w:t>
      </w:r>
      <w:r w:rsidR="005117A1" w:rsidRPr="00B75A2A">
        <w:rPr>
          <w:lang w:val="en-US"/>
        </w:rPr>
        <w:fldChar w:fldCharType="begin"/>
      </w:r>
      <w:r w:rsidR="00CF202C" w:rsidRPr="00B75A2A">
        <w:rPr>
          <w:lang w:val="en-US"/>
        </w:rPr>
        <w:instrText xml:space="preserve"> ADDIN EN.CITE &lt;EndNote&gt;&lt;Cite&gt;&lt;Author&gt;MacPherson&lt;/Author&gt;&lt;Year&gt;2017&lt;/Year&gt;&lt;RecNum&gt;81&lt;/RecNum&gt;&lt;DisplayText&gt;[82, 83]&lt;/DisplayText&gt;&lt;record&gt;&lt;rec-number&gt;81&lt;/rec-number&gt;&lt;foreign-keys&gt;&lt;key app="EN" db-id="awxxrz9fkt00vzea5p4pvvvzpt9fezd52xt5" timestamp="1668693134"&gt;81&lt;/key&gt;&lt;/foreign-keys&gt;&lt;ref-type name="Journal Article"&gt;17&lt;/ref-type&gt;&lt;contributors&gt;&lt;authors&gt;&lt;author&gt;MacPherson, Chad W&lt;/author&gt;&lt;author&gt;Shastri, Padmaja&lt;/author&gt;&lt;author&gt;Mathieu, Olivier&lt;/author&gt;&lt;author&gt;Tompkins, Thomas A&lt;/author&gt;&lt;author&gt;Burguière, Pierre&lt;/author&gt;&lt;/authors&gt;&lt;/contributors&gt;&lt;titles&gt;&lt;title&gt;Genome-wide immune modulation of TLR3-mediated inflammation in intestinal epithelial cells differs between single and multi-strain probiotic combination&lt;/title&gt;&lt;secondary-title&gt;PLoS One&lt;/secondary-title&gt;&lt;/titles&gt;&lt;periodical&gt;&lt;full-title&gt;PloS one&lt;/full-title&gt;&lt;/periodical&gt;&lt;pages&gt;e0169847&lt;/pages&gt;&lt;volume&gt;12&lt;/volume&gt;&lt;number&gt;1&lt;/number&gt;&lt;dates&gt;&lt;year&gt;2017&lt;/year&gt;&lt;/dates&gt;&lt;isbn&gt;1932-6203&lt;/isbn&gt;&lt;urls&gt;&lt;/urls&gt;&lt;/record&gt;&lt;/Cite&gt;&lt;Cite&gt;&lt;Author&gt;O&amp;apos;Callaghan&lt;/Author&gt;&lt;Year&gt;2012&lt;/Year&gt;&lt;RecNum&gt;82&lt;/RecNum&gt;&lt;record&gt;&lt;rec-number&gt;82&lt;/rec-number&gt;&lt;foreign-keys&gt;&lt;key app="EN" db-id="awxxrz9fkt00vzea5p4pvvvzpt9fezd52xt5" timestamp="1668693134"&gt;82&lt;/key&gt;&lt;/foreign-keys&gt;&lt;ref-type name="Journal Article"&gt;17&lt;/ref-type&gt;&lt;contributors&gt;&lt;authors&gt;&lt;author&gt;O&amp;apos;Callaghan, John&lt;/author&gt;&lt;author&gt;Buttó, Ludovica F&lt;/author&gt;&lt;author&gt;MacSharry, John&lt;/author&gt;&lt;author&gt;Nally, Kenneth&lt;/author&gt;&lt;author&gt;O&amp;apos;Toole, Paul W&lt;/author&gt;&lt;/authors&gt;&lt;/contributors&gt;&lt;titles&gt;&lt;title&gt;Influence of adhesion and bacteriocin production by Lactobacillus salivarius on the intestinal epithelial cell transcriptional response&lt;/title&gt;&lt;secondary-title&gt;Applied and Environmental Microbiology&lt;/secondary-title&gt;&lt;/titles&gt;&lt;periodical&gt;&lt;full-title&gt;Applied and Environmental Microbiology&lt;/full-title&gt;&lt;/periodical&gt;&lt;pages&gt;5196-5203&lt;/pages&gt;&lt;volume&gt;78&lt;/volume&gt;&lt;number&gt;15&lt;/number&gt;&lt;dates&gt;&lt;year&gt;2012&lt;/year&gt;&lt;/dates&gt;&lt;isbn&gt;0099-2240&lt;/isbn&gt;&lt;urls&gt;&lt;/urls&gt;&lt;/record&gt;&lt;/Cite&gt;&lt;/EndNote&gt;</w:instrText>
      </w:r>
      <w:r w:rsidR="005117A1" w:rsidRPr="00B75A2A">
        <w:rPr>
          <w:lang w:val="en-US"/>
        </w:rPr>
        <w:fldChar w:fldCharType="separate"/>
      </w:r>
      <w:r w:rsidR="00CF202C" w:rsidRPr="00B75A2A">
        <w:rPr>
          <w:noProof/>
          <w:lang w:val="en-US"/>
        </w:rPr>
        <w:t>[82, 83]</w:t>
      </w:r>
      <w:r w:rsidR="005117A1" w:rsidRPr="00B75A2A">
        <w:rPr>
          <w:lang w:val="en-US"/>
        </w:rPr>
        <w:fldChar w:fldCharType="end"/>
      </w:r>
      <w:r w:rsidRPr="00B75A2A">
        <w:rPr>
          <w:lang w:val="en-US"/>
        </w:rPr>
        <w:t>. Its overexpression may be achieved via the TLR4/NF</w:t>
      </w:r>
      <w:r w:rsidRPr="00B75A2A">
        <w:rPr>
          <w:lang w:val="el-GR"/>
        </w:rPr>
        <w:t>κ</w:t>
      </w:r>
      <w:r w:rsidRPr="00B75A2A">
        <w:rPr>
          <w:lang w:val="en-US"/>
        </w:rPr>
        <w:t>B pathway activation that initiates NLRP3 agonists to stimulate inflammatory responses and IL-</w:t>
      </w:r>
      <w:r w:rsidRPr="00B75A2A">
        <w:t>1</w:t>
      </w:r>
      <w:r w:rsidRPr="00B75A2A">
        <w:rPr>
          <w:lang w:val="el-GR"/>
        </w:rPr>
        <w:t>β</w:t>
      </w:r>
      <w:r w:rsidRPr="00B75A2A">
        <w:rPr>
          <w:lang w:val="en-US"/>
        </w:rPr>
        <w:t xml:space="preserve"> and IL-18 secretion, leading to Th17 cell differentiation and mitophagy elimination </w:t>
      </w:r>
      <w:r w:rsidR="005117A1" w:rsidRPr="00B75A2A">
        <w:rPr>
          <w:lang w:val="en-US"/>
        </w:rPr>
        <w:fldChar w:fldCharType="begin"/>
      </w:r>
      <w:r w:rsidR="00CF202C" w:rsidRPr="00B75A2A">
        <w:rPr>
          <w:lang w:val="en-US"/>
        </w:rPr>
        <w:instrText xml:space="preserve"> ADDIN EN.CITE &lt;EndNote&gt;&lt;Cite&gt;&lt;Author&gt;Liu&lt;/Author&gt;&lt;Year&gt;2017&lt;/Year&gt;&lt;RecNum&gt;83&lt;/RecNum&gt;&lt;DisplayText&gt;[84, 85]&lt;/DisplayText&gt;&lt;record&gt;&lt;rec-number&gt;83&lt;/rec-number&gt;&lt;foreign-keys&gt;&lt;key app="EN" db-id="awxxrz9fkt00vzea5p4pvvvzpt9fezd52xt5" timestamp="1668693134"&gt;83&lt;/key&gt;&lt;/foreign-keys&gt;&lt;ref-type name="Journal Article"&gt;17&lt;/ref-type&gt;&lt;contributors&gt;&lt;authors&gt;&lt;author&gt;Liu, Ting&lt;/author&gt;&lt;author&gt;Zhang, Lingyun&lt;/author&gt;&lt;author&gt;Joo, Donghyun&lt;/author&gt;&lt;author&gt;Sun, Shao-Cong&lt;/author&gt;&lt;/authors&gt;&lt;/contributors&gt;&lt;titles&gt;&lt;title&gt;NF-κB signaling in inflammation&lt;/title&gt;&lt;secondary-title&gt;Signal transduction and targeted therapy&lt;/secondary-title&gt;&lt;/titles&gt;&lt;periodical&gt;&lt;full-title&gt;Signal transduction and targeted therapy&lt;/full-title&gt;&lt;/periodical&gt;&lt;pages&gt;1-9&lt;/pages&gt;&lt;volume&gt;2&lt;/volume&gt;&lt;number&gt;1&lt;/number&gt;&lt;dates&gt;&lt;year&gt;2017&lt;/year&gt;&lt;/dates&gt;&lt;isbn&gt;2059-3635&lt;/isbn&gt;&lt;urls&gt;&lt;/urls&gt;&lt;/record&gt;&lt;/Cite&gt;&lt;Cite&gt;&lt;Author&gt;Villéger&lt;/Author&gt;&lt;Year&gt;2019&lt;/Year&gt;&lt;RecNum&gt;84&lt;/RecNum&gt;&lt;record&gt;&lt;rec-number&gt;84&lt;/rec-number&gt;&lt;foreign-keys&gt;&lt;key app="EN" db-id="awxxrz9fkt00vzea5p4pvvvzpt9fezd52xt5" timestamp="1668693134"&gt;84&lt;/key&gt;&lt;/foreign-keys&gt;&lt;ref-type name="Journal Article"&gt;17&lt;/ref-type&gt;&lt;contributors&gt;&lt;authors&gt;&lt;author&gt;Villéger, Romain&lt;/author&gt;&lt;author&gt;Lopès, Amélie&lt;/author&gt;&lt;author&gt;Carrier, Guillaume&lt;/author&gt;&lt;author&gt;Veziant, Julie&lt;/author&gt;&lt;author&gt;Billard, Elisabeth&lt;/author&gt;&lt;author&gt;Barnich, Nicolas&lt;/author&gt;&lt;author&gt;Gagnière, Johan&lt;/author&gt;&lt;author&gt;Vazeille, Emilie&lt;/author&gt;&lt;author&gt;Bonnet, Mathilde&lt;/author&gt;&lt;/authors&gt;&lt;/contributors&gt;&lt;titles&gt;&lt;title&gt;Intestinal microbiota: a novel target to improve anti-tumor treatment?&lt;/title&gt;&lt;secondary-title&gt;International journal of molecular sciences&lt;/secondary-title&gt;&lt;/titles&gt;&lt;periodical&gt;&lt;full-title&gt;International Journal of Molecular Sciences&lt;/full-title&gt;&lt;/periodical&gt;&lt;pages&gt;4584&lt;/pages&gt;&lt;volume&gt;20&lt;/volume&gt;&lt;number&gt;18&lt;/number&gt;&lt;dates&gt;&lt;year&gt;2019&lt;/year&gt;&lt;/dates&gt;&lt;urls&gt;&lt;/urls&gt;&lt;/record&gt;&lt;/Cite&gt;&lt;/EndNote&gt;</w:instrText>
      </w:r>
      <w:r w:rsidR="005117A1" w:rsidRPr="00B75A2A">
        <w:rPr>
          <w:lang w:val="en-US"/>
        </w:rPr>
        <w:fldChar w:fldCharType="separate"/>
      </w:r>
      <w:r w:rsidR="00CF202C" w:rsidRPr="00B75A2A">
        <w:rPr>
          <w:noProof/>
          <w:lang w:val="en-US"/>
        </w:rPr>
        <w:t>[84, 85]</w:t>
      </w:r>
      <w:r w:rsidR="005117A1" w:rsidRPr="00B75A2A">
        <w:rPr>
          <w:lang w:val="en-US"/>
        </w:rPr>
        <w:fldChar w:fldCharType="end"/>
      </w:r>
      <w:r w:rsidRPr="00B75A2A">
        <w:rPr>
          <w:lang w:val="en-US"/>
        </w:rPr>
        <w:t>.</w:t>
      </w:r>
      <w:r w:rsidR="00154D46" w:rsidRPr="00B75A2A">
        <w:rPr>
          <w:lang w:val="en-US"/>
        </w:rPr>
        <w:t xml:space="preserve"> RNASET2 is a ribonuclease cleaving or degrading RNA molecules, imposing a vital role on the mediation of inflammatory states </w:t>
      </w:r>
      <w:r w:rsidR="005117A1" w:rsidRPr="00B75A2A">
        <w:rPr>
          <w:lang w:val="en-US"/>
        </w:rPr>
        <w:fldChar w:fldCharType="begin"/>
      </w:r>
      <w:r w:rsidR="00CF202C" w:rsidRPr="00B75A2A">
        <w:rPr>
          <w:lang w:val="en-US"/>
        </w:rPr>
        <w:instrText xml:space="preserve"> ADDIN EN.CITE &lt;EndNote&gt;&lt;Cite&gt;&lt;Author&gt;Wu&lt;/Author&gt;&lt;Year&gt;2020&lt;/Year&gt;&lt;RecNum&gt;85&lt;/RecNum&gt;&lt;DisplayText&gt;[86]&lt;/DisplayText&gt;&lt;record&gt;&lt;rec-number&gt;85&lt;/rec-number&gt;&lt;foreign-keys&gt;&lt;key app="EN" db-id="awxxrz9fkt00vzea5p4pvvvzpt9fezd52xt5" timestamp="1668693134"&gt;85&lt;/key&gt;&lt;/foreign-keys&gt;&lt;ref-type name="Journal Article"&gt;17&lt;/ref-type&gt;&lt;contributors&gt;&lt;authors&gt;&lt;author&gt;Wu, Lei&lt;/author&gt;&lt;author&gt;Xu, Yanquan&lt;/author&gt;&lt;author&gt;Zhao, Huakan&lt;/author&gt;&lt;author&gt;Li, Yongsheng&lt;/author&gt;&lt;/authors&gt;&lt;/contributors&gt;&lt;titles&gt;&lt;title&gt;RNase T2 in inflammation and cancer: Immunological and biological views&lt;/title&gt;&lt;secondary-title&gt;Frontiers in Immunology&lt;/secondary-title&gt;&lt;/titles&gt;&lt;periodical&gt;&lt;full-title&gt;Frontiers in immunology&lt;/full-title&gt;&lt;/periodical&gt;&lt;pages&gt;1554&lt;/pages&gt;&lt;volume&gt;11&lt;/volume&gt;&lt;dates&gt;&lt;year&gt;2020&lt;/year&gt;&lt;/dates&gt;&lt;isbn&gt;1664-3224&lt;/isbn&gt;&lt;urls&gt;&lt;/urls&gt;&lt;/record&gt;&lt;/Cite&gt;&lt;/EndNote&gt;</w:instrText>
      </w:r>
      <w:r w:rsidR="005117A1" w:rsidRPr="00B75A2A">
        <w:rPr>
          <w:lang w:val="en-US"/>
        </w:rPr>
        <w:fldChar w:fldCharType="separate"/>
      </w:r>
      <w:r w:rsidR="00CF202C" w:rsidRPr="00B75A2A">
        <w:rPr>
          <w:noProof/>
          <w:lang w:val="en-US"/>
        </w:rPr>
        <w:t>[86]</w:t>
      </w:r>
      <w:r w:rsidR="005117A1" w:rsidRPr="00B75A2A">
        <w:rPr>
          <w:lang w:val="en-US"/>
        </w:rPr>
        <w:fldChar w:fldCharType="end"/>
      </w:r>
      <w:r w:rsidR="00154D46" w:rsidRPr="00B75A2A">
        <w:rPr>
          <w:lang w:val="en-US"/>
        </w:rPr>
        <w:t xml:space="preserve">. The possessed regulatory role of RNASET2 may be accomplished through TLR8 activation that induces Th1 cell response to shield against intracellular pathogens </w:t>
      </w:r>
      <w:r w:rsidR="005117A1" w:rsidRPr="00B75A2A">
        <w:rPr>
          <w:lang w:val="en-US"/>
        </w:rPr>
        <w:fldChar w:fldCharType="begin"/>
      </w:r>
      <w:r w:rsidR="00CF202C" w:rsidRPr="00B75A2A">
        <w:rPr>
          <w:lang w:val="en-US"/>
        </w:rPr>
        <w:instrText xml:space="preserve"> ADDIN EN.CITE &lt;EndNote&gt;&lt;Cite&gt;&lt;Author&gt;Ostendorf&lt;/Author&gt;&lt;Year&gt;2020&lt;/Year&gt;&lt;RecNum&gt;86&lt;/RecNum&gt;&lt;DisplayText&gt;[87]&lt;/DisplayText&gt;&lt;record&gt;&lt;rec-number&gt;86&lt;/rec-number&gt;&lt;foreign-keys&gt;&lt;key app="EN" db-id="awxxrz9fkt00vzea5p4pvvvzpt9fezd52xt5" timestamp="1668693134"&gt;86&lt;/key&gt;&lt;/foreign-keys&gt;&lt;ref-type name="Journal Article"&gt;17&lt;/ref-type&gt;&lt;contributors&gt;&lt;authors&gt;&lt;author&gt;Ostendorf, Thomas&lt;/author&gt;&lt;author&gt;Zillinger, Thomas&lt;/author&gt;&lt;author&gt;Andryka, Katarzyna&lt;/author&gt;&lt;author&gt;Schlee-Guimaraes, Thais Marina&lt;/author&gt;&lt;author&gt;Schmitz, Saskia&lt;/author&gt;&lt;author&gt;Marx, Samira&lt;/author&gt;&lt;author&gt;Bayrak, Kübra&lt;/author&gt;&lt;author&gt;Linke, Rebecca&lt;/author&gt;&lt;author&gt;Salgert, Sarah&lt;/author&gt;&lt;author&gt;Wegner, Julia&lt;/author&gt;&lt;/authors&gt;&lt;/contributors&gt;&lt;titles&gt;&lt;title&gt;Immune sensing of synthetic, bacterial, and protozoan RNA by toll-like receptor 8 requires coordinated processing by RNase T2 and RNase 2&lt;/title&gt;&lt;secondary-title&gt;Immunity&lt;/secondary-title&gt;&lt;/titles&gt;&lt;periodical&gt;&lt;full-title&gt;Immunity&lt;/full-title&gt;&lt;/periodical&gt;&lt;pages&gt;591-605. e6&lt;/pages&gt;&lt;volume&gt;52&lt;/volume&gt;&lt;number&gt;4&lt;/number&gt;&lt;dates&gt;&lt;year&gt;2020&lt;/year&gt;&lt;/dates&gt;&lt;isbn&gt;1074-7613&lt;/isbn&gt;&lt;urls&gt;&lt;/urls&gt;&lt;/record&gt;&lt;/Cite&gt;&lt;/EndNote&gt;</w:instrText>
      </w:r>
      <w:r w:rsidR="005117A1" w:rsidRPr="00B75A2A">
        <w:rPr>
          <w:lang w:val="en-US"/>
        </w:rPr>
        <w:fldChar w:fldCharType="separate"/>
      </w:r>
      <w:r w:rsidR="00CF202C" w:rsidRPr="00B75A2A">
        <w:rPr>
          <w:noProof/>
          <w:lang w:val="en-US"/>
        </w:rPr>
        <w:t>[87]</w:t>
      </w:r>
      <w:r w:rsidR="005117A1" w:rsidRPr="00B75A2A">
        <w:rPr>
          <w:lang w:val="en-US"/>
        </w:rPr>
        <w:fldChar w:fldCharType="end"/>
      </w:r>
      <w:r w:rsidR="00154D46" w:rsidRPr="00B75A2A">
        <w:rPr>
          <w:lang w:val="en-US"/>
        </w:rPr>
        <w:t>. RNASET2 has been correlated with Graves’ disease, an autoimmune disorder featuring hyperthyroidism, as revealed in a previous</w:t>
      </w:r>
      <w:r w:rsidR="00154D46" w:rsidRPr="00B75A2A">
        <w:t xml:space="preserve"> g</w:t>
      </w:r>
      <w:proofErr w:type="spellStart"/>
      <w:r w:rsidR="00154D46" w:rsidRPr="00B75A2A">
        <w:rPr>
          <w:lang w:val="en-US"/>
        </w:rPr>
        <w:t>enome</w:t>
      </w:r>
      <w:proofErr w:type="spellEnd"/>
      <w:r w:rsidR="00154D46" w:rsidRPr="00B75A2A">
        <w:rPr>
          <w:lang w:val="en-US"/>
        </w:rPr>
        <w:t xml:space="preserve">-wide association study </w:t>
      </w:r>
      <w:r w:rsidR="005117A1" w:rsidRPr="00B75A2A">
        <w:rPr>
          <w:lang w:val="en-US"/>
        </w:rPr>
        <w:fldChar w:fldCharType="begin"/>
      </w:r>
      <w:r w:rsidR="00CF202C" w:rsidRPr="00B75A2A">
        <w:rPr>
          <w:lang w:val="en-US"/>
        </w:rPr>
        <w:instrText xml:space="preserve"> ADDIN EN.CITE &lt;EndNote&gt;&lt;Cite&gt;&lt;Author&gt;Chu&lt;/Author&gt;&lt;Year&gt;2011&lt;/Year&gt;&lt;RecNum&gt;87&lt;/RecNum&gt;&lt;DisplayText&gt;[88]&lt;/DisplayText&gt;&lt;record&gt;&lt;rec-number&gt;87&lt;/rec-number&gt;&lt;foreign-keys&gt;&lt;key app="EN" db-id="awxxrz9fkt00vzea5p4pvvvzpt9fezd52xt5" timestamp="1668693134"&gt;87&lt;/key&gt;&lt;/foreign-keys&gt;&lt;ref-type name="Journal Article"&gt;17&lt;/ref-type&gt;&lt;contributors&gt;&lt;authors&gt;&lt;author&gt;Chu, Xun&lt;/author&gt;&lt;author&gt;Pan, Chun-Ming&lt;/author&gt;&lt;author&gt;Zhao, Shuang-Xia&lt;/author&gt;&lt;author&gt;Liang, Jun&lt;/author&gt;&lt;author&gt;Gao, Guan-Qi&lt;/author&gt;&lt;author&gt;Zhang, Xiao-Mei&lt;/author&gt;&lt;author&gt;Yuan, Guo-Yue&lt;/author&gt;&lt;author&gt;Li, Chang-Gui&lt;/author&gt;&lt;author&gt;Xue, Li-Qiong&lt;/author&gt;&lt;author&gt;Shen, Min&lt;/author&gt;&lt;/authors&gt;&lt;/contributors&gt;&lt;titles&gt;&lt;title&gt;A genome-wide association study identifies two new risk loci for Graves&amp;apos; disease&lt;/title&gt;&lt;secondary-title&gt;Nature genetics&lt;/secondary-title&gt;&lt;/titles&gt;&lt;periodical&gt;&lt;full-title&gt;Nature genetics&lt;/full-title&gt;&lt;/periodical&gt;&lt;volume&gt;43&lt;/volume&gt;&lt;number&gt;9&lt;/number&gt;&lt;dates&gt;&lt;year&gt;2011&lt;/year&gt;&lt;/dates&gt;&lt;isbn&gt;1061-4036&lt;/isbn&gt;&lt;urls&gt;&lt;/urls&gt;&lt;/record&gt;&lt;/Cite&gt;&lt;/EndNote&gt;</w:instrText>
      </w:r>
      <w:r w:rsidR="005117A1" w:rsidRPr="00B75A2A">
        <w:rPr>
          <w:lang w:val="en-US"/>
        </w:rPr>
        <w:fldChar w:fldCharType="separate"/>
      </w:r>
      <w:r w:rsidR="00CF202C" w:rsidRPr="00B75A2A">
        <w:rPr>
          <w:noProof/>
          <w:lang w:val="en-US"/>
        </w:rPr>
        <w:t>[88]</w:t>
      </w:r>
      <w:r w:rsidR="005117A1" w:rsidRPr="00B75A2A">
        <w:rPr>
          <w:lang w:val="en-US"/>
        </w:rPr>
        <w:fldChar w:fldCharType="end"/>
      </w:r>
      <w:r w:rsidR="00154D46" w:rsidRPr="00B75A2A">
        <w:rPr>
          <w:lang w:val="en-US"/>
        </w:rPr>
        <w:t>.</w:t>
      </w:r>
    </w:p>
    <w:p w14:paraId="72AF420D" w14:textId="77777777" w:rsidR="004A2877" w:rsidRPr="00B75A2A" w:rsidRDefault="004A2877" w:rsidP="00B75A2A">
      <w:pPr>
        <w:spacing w:line="480" w:lineRule="auto"/>
        <w:jc w:val="both"/>
        <w:rPr>
          <w:lang w:val="en-US"/>
        </w:rPr>
      </w:pPr>
    </w:p>
    <w:p w14:paraId="25FFBA9D" w14:textId="0FD239F0" w:rsidR="00057830" w:rsidRPr="00B75A2A" w:rsidRDefault="00057830" w:rsidP="00B75A2A">
      <w:pPr>
        <w:spacing w:line="480" w:lineRule="auto"/>
        <w:jc w:val="both"/>
        <w:rPr>
          <w:b/>
          <w:bCs/>
          <w:i/>
          <w:iCs/>
          <w:lang w:val="en-US"/>
        </w:rPr>
      </w:pPr>
      <w:r w:rsidRPr="00B75A2A">
        <w:rPr>
          <w:b/>
          <w:bCs/>
          <w:i/>
          <w:iCs/>
          <w:lang w:val="en-US"/>
        </w:rPr>
        <w:t xml:space="preserve">Amino acid </w:t>
      </w:r>
      <w:r w:rsidR="00154D46" w:rsidRPr="00B75A2A">
        <w:rPr>
          <w:b/>
          <w:bCs/>
          <w:i/>
          <w:iCs/>
          <w:lang w:val="en-US"/>
        </w:rPr>
        <w:t>metabolism</w:t>
      </w:r>
    </w:p>
    <w:p w14:paraId="54357966" w14:textId="26FE435C" w:rsidR="004A2877" w:rsidRPr="00B75A2A" w:rsidRDefault="004A2877" w:rsidP="00B75A2A">
      <w:pPr>
        <w:spacing w:line="480" w:lineRule="auto"/>
        <w:jc w:val="both"/>
        <w:rPr>
          <w:lang w:val="en-US"/>
        </w:rPr>
      </w:pPr>
      <w:r w:rsidRPr="00B75A2A">
        <w:rPr>
          <w:lang w:val="en-US"/>
        </w:rPr>
        <w:t xml:space="preserve">IDO1 is an enzyme enabling the generation of tryptophan derivatives (i.e., kynurenines), which are identified as aryl hydrocarbon receptor (AhR) ligands </w:t>
      </w:r>
      <w:r w:rsidR="003F513C" w:rsidRPr="00B75A2A">
        <w:rPr>
          <w:lang w:val="en-US"/>
        </w:rPr>
        <w:fldChar w:fldCharType="begin"/>
      </w:r>
      <w:r w:rsidR="00CF202C" w:rsidRPr="00B75A2A">
        <w:rPr>
          <w:lang w:val="en-US"/>
        </w:rPr>
        <w:instrText xml:space="preserve"> ADDIN EN.CITE &lt;EndNote&gt;&lt;Cite&gt;&lt;Author&gt;Zelante&lt;/Author&gt;&lt;Year&gt;2014&lt;/Year&gt;&lt;RecNum&gt;88&lt;/RecNum&gt;&lt;DisplayText&gt;[89]&lt;/DisplayText&gt;&lt;record&gt;&lt;rec-number&gt;88&lt;/rec-number&gt;&lt;foreign-keys&gt;&lt;key app="EN" db-id="awxxrz9fkt00vzea5p4pvvvzpt9fezd52xt5" timestamp="1668693134"&gt;88&lt;/key&gt;&lt;/foreign-keys&gt;&lt;ref-type name="Journal Article"&gt;17&lt;/ref-type&gt;&lt;contributors&gt;&lt;authors&gt;&lt;author&gt;Zelante, Teresa&lt;/author&gt;&lt;author&gt;Iannitti, Rossana Giulietta&lt;/author&gt;&lt;author&gt;Fallarino, Francesca&lt;/author&gt;&lt;author&gt;Gargaro, Marco&lt;/author&gt;&lt;author&gt;De Luca, Antonella&lt;/author&gt;&lt;author&gt;Moretti, Silvia&lt;/author&gt;&lt;author&gt;Bartoli, Andrea&lt;/author&gt;&lt;author&gt;Romani, Luigina&lt;/author&gt;&lt;/authors&gt;&lt;/contributors&gt;&lt;titles&gt;&lt;title&gt;Tryptophan feeding of the IDO1-AhR axis in host–microbial symbiosis&lt;/title&gt;&lt;secondary-title&gt;Frontiers in immunology&lt;/secondary-title&gt;&lt;/titles&gt;&lt;periodical&gt;&lt;full-title&gt;Frontiers in immunology&lt;/full-title&gt;&lt;/periodical&gt;&lt;pages&gt;640&lt;/pages&gt;&lt;volume&gt;5&lt;/volume&gt;&lt;dates&gt;&lt;year&gt;2014&lt;/year&gt;&lt;/dates&gt;&lt;isbn&gt;1664-3224&lt;/isbn&gt;&lt;urls&gt;&lt;/urls&gt;&lt;/record&gt;&lt;/Cite&gt;&lt;/EndNote&gt;</w:instrText>
      </w:r>
      <w:r w:rsidR="003F513C" w:rsidRPr="00B75A2A">
        <w:rPr>
          <w:lang w:val="en-US"/>
        </w:rPr>
        <w:fldChar w:fldCharType="separate"/>
      </w:r>
      <w:r w:rsidR="00CF202C" w:rsidRPr="00B75A2A">
        <w:rPr>
          <w:noProof/>
          <w:lang w:val="en-US"/>
        </w:rPr>
        <w:t>[89]</w:t>
      </w:r>
      <w:r w:rsidR="003F513C" w:rsidRPr="00B75A2A">
        <w:rPr>
          <w:lang w:val="en-US"/>
        </w:rPr>
        <w:fldChar w:fldCharType="end"/>
      </w:r>
      <w:r w:rsidRPr="00B75A2A">
        <w:rPr>
          <w:lang w:val="en-US"/>
        </w:rPr>
        <w:t xml:space="preserve">. These tryptophan metabolites may be produced by various </w:t>
      </w:r>
      <w:r w:rsidRPr="00B75A2A">
        <w:rPr>
          <w:i/>
          <w:iCs/>
          <w:lang w:val="en-US"/>
        </w:rPr>
        <w:t>Lactobacilli</w:t>
      </w:r>
      <w:r w:rsidRPr="00B75A2A">
        <w:rPr>
          <w:lang w:val="en-US"/>
        </w:rPr>
        <w:t xml:space="preserve"> species in a </w:t>
      </w:r>
      <w:proofErr w:type="spellStart"/>
      <w:r w:rsidRPr="00B75A2A">
        <w:rPr>
          <w:lang w:val="en-US"/>
        </w:rPr>
        <w:t>synbiotic</w:t>
      </w:r>
      <w:proofErr w:type="spellEnd"/>
      <w:r w:rsidRPr="00B75A2A">
        <w:rPr>
          <w:lang w:val="en-US"/>
        </w:rPr>
        <w:t xml:space="preserve"> human microbiome, thereby inducing anti-inflammatory properties, protecting immune balance </w:t>
      </w:r>
      <w:r w:rsidR="003F513C" w:rsidRPr="00B75A2A">
        <w:rPr>
          <w:lang w:val="en-US"/>
        </w:rPr>
        <w:fldChar w:fldCharType="begin"/>
      </w:r>
      <w:r w:rsidR="00CF202C" w:rsidRPr="00B75A2A">
        <w:rPr>
          <w:lang w:val="en-US"/>
        </w:rPr>
        <w:instrText xml:space="preserve"> ADDIN EN.CITE &lt;EndNote&gt;&lt;Cite&gt;&lt;Author&gt;Zelante&lt;/Author&gt;&lt;Year&gt;2014&lt;/Year&gt;&lt;RecNum&gt;88&lt;/RecNum&gt;&lt;DisplayText&gt;[89]&lt;/DisplayText&gt;&lt;record&gt;&lt;rec-number&gt;88&lt;/rec-number&gt;&lt;foreign-keys&gt;&lt;key app="EN" db-id="awxxrz9fkt00vzea5p4pvvvzpt9fezd52xt5" timestamp="1668693134"&gt;88&lt;/key&gt;&lt;/foreign-keys&gt;&lt;ref-type name="Journal Article"&gt;17&lt;/ref-type&gt;&lt;contributors&gt;&lt;authors&gt;&lt;author&gt;Zelante, Teresa&lt;/author&gt;&lt;author&gt;Iannitti, Rossana Giulietta&lt;/author&gt;&lt;author&gt;Fallarino, Francesca&lt;/author&gt;&lt;author&gt;Gargaro, Marco&lt;/author&gt;&lt;author&gt;De Luca, Antonella&lt;/author&gt;&lt;author&gt;Moretti, Silvia&lt;/author&gt;&lt;author&gt;Bartoli, Andrea&lt;/author&gt;&lt;author&gt;Romani, Luigina&lt;/author&gt;&lt;/authors&gt;&lt;/contributors&gt;&lt;titles&gt;&lt;title&gt;Tryptophan feeding of the IDO1-AhR axis in host–microbial symbiosis&lt;/title&gt;&lt;secondary-title&gt;Frontiers in immunology&lt;/secondary-title&gt;&lt;/titles&gt;&lt;periodical&gt;&lt;full-title&gt;Frontiers in immunology&lt;/full-title&gt;&lt;/periodical&gt;&lt;pages&gt;640&lt;/pages&gt;&lt;volume&gt;5&lt;/volume&gt;&lt;dates&gt;&lt;year&gt;2014&lt;/year&gt;&lt;/dates&gt;&lt;isbn&gt;1664-3224&lt;/isbn&gt;&lt;urls&gt;&lt;/urls&gt;&lt;/record&gt;&lt;/Cite&gt;&lt;/EndNote&gt;</w:instrText>
      </w:r>
      <w:r w:rsidR="003F513C" w:rsidRPr="00B75A2A">
        <w:rPr>
          <w:lang w:val="en-US"/>
        </w:rPr>
        <w:fldChar w:fldCharType="separate"/>
      </w:r>
      <w:r w:rsidR="00CF202C" w:rsidRPr="00B75A2A">
        <w:rPr>
          <w:noProof/>
          <w:lang w:val="en-US"/>
        </w:rPr>
        <w:t>[89]</w:t>
      </w:r>
      <w:r w:rsidR="003F513C" w:rsidRPr="00B75A2A">
        <w:rPr>
          <w:lang w:val="en-US"/>
        </w:rPr>
        <w:fldChar w:fldCharType="end"/>
      </w:r>
      <w:r w:rsidRPr="00B75A2A">
        <w:rPr>
          <w:lang w:val="en-US"/>
        </w:rPr>
        <w:t xml:space="preserve">. Particularly, IDO1 is </w:t>
      </w:r>
      <w:r w:rsidRPr="00B75A2A">
        <w:rPr>
          <w:lang w:val="en-US"/>
        </w:rPr>
        <w:lastRenderedPageBreak/>
        <w:t xml:space="preserve">suggested to have immunomodulatory effects acting upon dendritic cells for the prevention of inflammatory states </w:t>
      </w:r>
      <w:r w:rsidR="003F513C" w:rsidRPr="00B75A2A">
        <w:rPr>
          <w:lang w:val="en-US"/>
        </w:rPr>
        <w:fldChar w:fldCharType="begin"/>
      </w:r>
      <w:r w:rsidR="00CF202C" w:rsidRPr="00B75A2A">
        <w:rPr>
          <w:lang w:val="en-US"/>
        </w:rPr>
        <w:instrText xml:space="preserve"> ADDIN EN.CITE &lt;EndNote&gt;&lt;Cite&gt;&lt;Author&gt;Pallotta&lt;/Author&gt;&lt;Year&gt;2011&lt;/Year&gt;&lt;RecNum&gt;89&lt;/RecNum&gt;&lt;DisplayText&gt;[90]&lt;/DisplayText&gt;&lt;record&gt;&lt;rec-number&gt;89&lt;/rec-number&gt;&lt;foreign-keys&gt;&lt;key app="EN" db-id="awxxrz9fkt00vzea5p4pvvvzpt9fezd52xt5" timestamp="1668693134"&gt;89&lt;/key&gt;&lt;/foreign-keys&gt;&lt;ref-type name="Journal Article"&gt;17&lt;/ref-type&gt;&lt;contributors&gt;&lt;authors&gt;&lt;author&gt;Pallotta, Maria T&lt;/author&gt;&lt;author&gt;Orabona, Ciriana&lt;/author&gt;&lt;author&gt;Volpi, Claudia&lt;/author&gt;&lt;author&gt;Vacca, Carmine&lt;/author&gt;&lt;author&gt;Belladonna, Maria L&lt;/author&gt;&lt;author&gt;Bianchi, Roberta&lt;/author&gt;&lt;author&gt;Servillo, Giuseppe&lt;/author&gt;&lt;author&gt;Brunacci, Cinzia&lt;/author&gt;&lt;author&gt;Calvitti, Mario&lt;/author&gt;&lt;author&gt;Bicciato, Silvio&lt;/author&gt;&lt;/authors&gt;&lt;/contributors&gt;&lt;titles&gt;&lt;title&gt;Indoleamine 2, 3-dioxygenase is a signaling protein in long-term tolerance by dendritic cells&lt;/title&gt;&lt;secondary-title&gt;Nature immunology&lt;/secondary-title&gt;&lt;/titles&gt;&lt;periodical&gt;&lt;full-title&gt;Nature immunology&lt;/full-title&gt;&lt;/periodical&gt;&lt;pages&gt;870-878&lt;/pages&gt;&lt;volume&gt;12&lt;/volume&gt;&lt;number&gt;9&lt;/number&gt;&lt;dates&gt;&lt;year&gt;2011&lt;/year&gt;&lt;/dates&gt;&lt;isbn&gt;1529-2916&lt;/isbn&gt;&lt;urls&gt;&lt;/urls&gt;&lt;/record&gt;&lt;/Cite&gt;&lt;/EndNote&gt;</w:instrText>
      </w:r>
      <w:r w:rsidR="003F513C" w:rsidRPr="00B75A2A">
        <w:rPr>
          <w:lang w:val="en-US"/>
        </w:rPr>
        <w:fldChar w:fldCharType="separate"/>
      </w:r>
      <w:r w:rsidR="00CF202C" w:rsidRPr="00B75A2A">
        <w:rPr>
          <w:noProof/>
          <w:lang w:val="en-US"/>
        </w:rPr>
        <w:t>[90]</w:t>
      </w:r>
      <w:r w:rsidR="003F513C" w:rsidRPr="00B75A2A">
        <w:rPr>
          <w:lang w:val="en-US"/>
        </w:rPr>
        <w:fldChar w:fldCharType="end"/>
      </w:r>
      <w:r w:rsidRPr="00B75A2A">
        <w:rPr>
          <w:lang w:val="en-US"/>
        </w:rPr>
        <w:t xml:space="preserve">, where its phosphorylation may promote an endotoxin-tolerant state, protecting against infections as seen previously </w:t>
      </w:r>
      <w:r w:rsidR="003F513C" w:rsidRPr="00B75A2A">
        <w:rPr>
          <w:lang w:val="en-US"/>
        </w:rPr>
        <w:fldChar w:fldCharType="begin"/>
      </w:r>
      <w:r w:rsidR="00CF202C" w:rsidRPr="00B75A2A">
        <w:rPr>
          <w:lang w:val="en-US"/>
        </w:rPr>
        <w:instrText xml:space="preserve"> ADDIN EN.CITE &lt;EndNote&gt;&lt;Cite&gt;&lt;Author&gt;Bessede&lt;/Author&gt;&lt;Year&gt;2014&lt;/Year&gt;&lt;RecNum&gt;90&lt;/RecNum&gt;&lt;DisplayText&gt;[91]&lt;/DisplayText&gt;&lt;record&gt;&lt;rec-number&gt;90&lt;/rec-number&gt;&lt;foreign-keys&gt;&lt;key app="EN" db-id="awxxrz9fkt00vzea5p4pvvvzpt9fezd52xt5" timestamp="1668693134"&gt;90&lt;/key&gt;&lt;/foreign-keys&gt;&lt;ref-type name="Journal Article"&gt;17&lt;/ref-type&gt;&lt;contributors&gt;&lt;authors&gt;&lt;author&gt;Bessede, Alban&lt;/author&gt;&lt;author&gt;Gargaro, Marco&lt;/author&gt;&lt;author&gt;Pallotta, Maria T&lt;/author&gt;&lt;author&gt;Matino, Davide&lt;/author&gt;&lt;author&gt;Servillo, Giuseppe&lt;/author&gt;&lt;author&gt;Brunacci, Cinzia&lt;/author&gt;&lt;author&gt;Bicciato, Silvio&lt;/author&gt;&lt;author&gt;Mazza, Emilia&lt;/author&gt;&lt;author&gt;Macchiarulo, Antonio&lt;/author&gt;&lt;author&gt;Vacca, Carmine&lt;/author&gt;&lt;/authors&gt;&lt;/contributors&gt;&lt;titles&gt;&lt;title&gt;Aryl hydrocarbon receptor control of a disease tolerance defence pathway&lt;/title&gt;&lt;secondary-title&gt;Nature&lt;/secondary-title&gt;&lt;/titles&gt;&lt;periodical&gt;&lt;full-title&gt;Nature&lt;/full-title&gt;&lt;/periodical&gt;&lt;pages&gt;184-190&lt;/pages&gt;&lt;volume&gt;511&lt;/volume&gt;&lt;number&gt;7508&lt;/number&gt;&lt;dates&gt;&lt;year&gt;2014&lt;/year&gt;&lt;/dates&gt;&lt;isbn&gt;1476-4687&lt;/isbn&gt;&lt;urls&gt;&lt;/urls&gt;&lt;/record&gt;&lt;/Cite&gt;&lt;/EndNote&gt;</w:instrText>
      </w:r>
      <w:r w:rsidR="003F513C" w:rsidRPr="00B75A2A">
        <w:rPr>
          <w:lang w:val="en-US"/>
        </w:rPr>
        <w:fldChar w:fldCharType="separate"/>
      </w:r>
      <w:r w:rsidR="00CF202C" w:rsidRPr="00B75A2A">
        <w:rPr>
          <w:noProof/>
          <w:lang w:val="en-US"/>
        </w:rPr>
        <w:t>[91]</w:t>
      </w:r>
      <w:r w:rsidR="003F513C" w:rsidRPr="00B75A2A">
        <w:rPr>
          <w:lang w:val="en-US"/>
        </w:rPr>
        <w:fldChar w:fldCharType="end"/>
      </w:r>
      <w:r w:rsidRPr="00B75A2A">
        <w:rPr>
          <w:lang w:val="en-US"/>
        </w:rPr>
        <w:t xml:space="preserve">. Additionally, supplementation of Lactobacillus-containing probiotic in HIV-infected macaques models revealed a reduced IDO1 activity, which may help maintaining Th17 cells. IDO1 expression in intestinal epithelial cells of IDO1-positive mice promotes mucus production, increased populations of </w:t>
      </w:r>
      <w:proofErr w:type="spellStart"/>
      <w:r w:rsidRPr="00B75A2A">
        <w:rPr>
          <w:i/>
          <w:iCs/>
          <w:lang w:val="en-US"/>
        </w:rPr>
        <w:t>Akkermansia</w:t>
      </w:r>
      <w:proofErr w:type="spellEnd"/>
      <w:r w:rsidRPr="00B75A2A">
        <w:rPr>
          <w:i/>
          <w:iCs/>
          <w:lang w:val="en-US"/>
        </w:rPr>
        <w:t xml:space="preserve"> </w:t>
      </w:r>
      <w:proofErr w:type="spellStart"/>
      <w:r w:rsidRPr="00B75A2A">
        <w:rPr>
          <w:i/>
          <w:iCs/>
          <w:lang w:val="en-US"/>
        </w:rPr>
        <w:t>muciniphila</w:t>
      </w:r>
      <w:proofErr w:type="spellEnd"/>
      <w:r w:rsidRPr="00B75A2A">
        <w:rPr>
          <w:i/>
          <w:iCs/>
          <w:lang w:val="en-US"/>
        </w:rPr>
        <w:t xml:space="preserve"> </w:t>
      </w:r>
      <w:r w:rsidRPr="00B75A2A">
        <w:rPr>
          <w:lang w:val="en-US"/>
        </w:rPr>
        <w:t xml:space="preserve">and </w:t>
      </w:r>
      <w:proofErr w:type="spellStart"/>
      <w:r w:rsidRPr="00B75A2A">
        <w:rPr>
          <w:i/>
          <w:iCs/>
          <w:lang w:val="en-US"/>
        </w:rPr>
        <w:t>Mucispirillum</w:t>
      </w:r>
      <w:proofErr w:type="spellEnd"/>
      <w:r w:rsidRPr="00B75A2A">
        <w:rPr>
          <w:i/>
          <w:iCs/>
          <w:lang w:val="en-US"/>
        </w:rPr>
        <w:t xml:space="preserve"> </w:t>
      </w:r>
      <w:proofErr w:type="spellStart"/>
      <w:r w:rsidRPr="00B75A2A">
        <w:rPr>
          <w:i/>
          <w:iCs/>
          <w:lang w:val="en-US"/>
        </w:rPr>
        <w:t>schaedleri</w:t>
      </w:r>
      <w:proofErr w:type="spellEnd"/>
      <w:r w:rsidRPr="00B75A2A">
        <w:rPr>
          <w:lang w:val="en-US"/>
        </w:rPr>
        <w:t xml:space="preserve"> that corresponds with higher secretory cell differentiation levels </w:t>
      </w:r>
      <w:r w:rsidR="003F513C" w:rsidRPr="00B75A2A">
        <w:rPr>
          <w:lang w:val="en-US"/>
        </w:rPr>
        <w:fldChar w:fldCharType="begin"/>
      </w:r>
      <w:r w:rsidR="00CF202C" w:rsidRPr="00B75A2A">
        <w:rPr>
          <w:lang w:val="en-US"/>
        </w:rPr>
        <w:instrText xml:space="preserve"> ADDIN EN.CITE &lt;EndNote&gt;&lt;Cite&gt;&lt;Author&gt;Alvarado&lt;/Author&gt;&lt;Year&gt;2019&lt;/Year&gt;&lt;RecNum&gt;91&lt;/RecNum&gt;&lt;DisplayText&gt;[92]&lt;/DisplayText&gt;&lt;record&gt;&lt;rec-number&gt;91&lt;/rec-number&gt;&lt;foreign-keys&gt;&lt;key app="EN" db-id="awxxrz9fkt00vzea5p4pvvvzpt9fezd52xt5" timestamp="1668693134"&gt;91&lt;/key&gt;&lt;/foreign-keys&gt;&lt;ref-type name="Journal Article"&gt;17&lt;/ref-type&gt;&lt;contributors&gt;&lt;authors&gt;&lt;author&gt;Alvarado, David M&lt;/author&gt;&lt;author&gt;Chen, Baosheng&lt;/author&gt;&lt;author&gt;Iticovici, Micah&lt;/author&gt;&lt;author&gt;Thaker, Ameet I&lt;/author&gt;&lt;author&gt;Dai, Nattalie&lt;/author&gt;&lt;author&gt;VanDussen, Kelli L&lt;/author&gt;&lt;author&gt;Shaikh, Nurmohammad&lt;/author&gt;&lt;author&gt;Lim, Chai K&lt;/author&gt;&lt;author&gt;Guillemin, Gilles J&lt;/author&gt;&lt;author&gt;Tarr, Phillip I&lt;/author&gt;&lt;/authors&gt;&lt;/contributors&gt;&lt;titles&gt;&lt;title&gt;Epithelial IDO1 Modulates AHR and Notch Signaling to Increase Differentiation of Secretory Cells and Alter Mucus-Associated Microbiota&lt;/title&gt;&lt;secondary-title&gt;Gastroenterology&lt;/secondary-title&gt;&lt;/titles&gt;&lt;periodical&gt;&lt;full-title&gt;Gastroenterology&lt;/full-title&gt;&lt;/periodical&gt;&lt;pages&gt;1093&lt;/pages&gt;&lt;volume&gt;157&lt;/volume&gt;&lt;number&gt;4&lt;/number&gt;&lt;dates&gt;&lt;year&gt;2019&lt;/year&gt;&lt;/dates&gt;&lt;urls&gt;&lt;/urls&gt;&lt;/record&gt;&lt;/Cite&gt;&lt;/EndNote&gt;</w:instrText>
      </w:r>
      <w:r w:rsidR="003F513C" w:rsidRPr="00B75A2A">
        <w:rPr>
          <w:lang w:val="en-US"/>
        </w:rPr>
        <w:fldChar w:fldCharType="separate"/>
      </w:r>
      <w:r w:rsidR="00CF202C" w:rsidRPr="00B75A2A">
        <w:rPr>
          <w:noProof/>
          <w:lang w:val="en-US"/>
        </w:rPr>
        <w:t>[92]</w:t>
      </w:r>
      <w:r w:rsidR="003F513C" w:rsidRPr="00B75A2A">
        <w:rPr>
          <w:lang w:val="en-US"/>
        </w:rPr>
        <w:fldChar w:fldCharType="end"/>
      </w:r>
      <w:r w:rsidRPr="00B75A2A">
        <w:rPr>
          <w:lang w:val="en-US"/>
        </w:rPr>
        <w:t xml:space="preserve">. The aforementioned outcomes further illustrate the importance of Lactobacillus-based bacteria as regulators of immune homeostasis in the intestinal mucosa </w:t>
      </w:r>
      <w:r w:rsidR="003F513C" w:rsidRPr="00B75A2A">
        <w:rPr>
          <w:lang w:val="en-US"/>
        </w:rPr>
        <w:fldChar w:fldCharType="begin"/>
      </w:r>
      <w:r w:rsidR="00CF202C" w:rsidRPr="00B75A2A">
        <w:rPr>
          <w:lang w:val="en-US"/>
        </w:rPr>
        <w:instrText xml:space="preserve"> ADDIN EN.CITE &lt;EndNote&gt;&lt;Cite&gt;&lt;Author&gt;Vujkovic-Cvijin&lt;/Author&gt;&lt;Year&gt;2015&lt;/Year&gt;&lt;RecNum&gt;92&lt;/RecNum&gt;&lt;DisplayText&gt;[93]&lt;/DisplayText&gt;&lt;record&gt;&lt;rec-number&gt;92&lt;/rec-number&gt;&lt;foreign-keys&gt;&lt;key app="EN" db-id="awxxrz9fkt00vzea5p4pvvvzpt9fezd52xt5" timestamp="1668693134"&gt;92&lt;/key&gt;&lt;/foreign-keys&gt;&lt;ref-type name="Journal Article"&gt;17&lt;/ref-type&gt;&lt;contributors&gt;&lt;authors&gt;&lt;author&gt;Vujkovic-Cvijin, Ivan&lt;/author&gt;&lt;author&gt;Swainson, Louise A&lt;/author&gt;&lt;author&gt;Chu, Simon N&lt;/author&gt;&lt;author&gt;Ortiz, Alexandra M&lt;/author&gt;&lt;author&gt;Santee, Clark A&lt;/author&gt;&lt;author&gt;Petriello, Annalise&lt;/author&gt;&lt;author&gt;Dunham, Richard M&lt;/author&gt;&lt;author&gt;Fadrosh, Douglas W&lt;/author&gt;&lt;author&gt;Lin, Din L&lt;/author&gt;&lt;author&gt;Faruqi, Ali A&lt;/author&gt;&lt;/authors&gt;&lt;/contributors&gt;&lt;titles&gt;&lt;title&gt;Gut-resident Lactobacillus abundance associates with IDO1 inhibition and Th17 dynamics in SIV-infected macaques&lt;/title&gt;&lt;secondary-title&gt;Cell reports&lt;/secondary-title&gt;&lt;/titles&gt;&lt;periodical&gt;&lt;full-title&gt;Cell reports&lt;/full-title&gt;&lt;/periodical&gt;&lt;pages&gt;1589-1597&lt;/pages&gt;&lt;volume&gt;13&lt;/volume&gt;&lt;number&gt;8&lt;/number&gt;&lt;dates&gt;&lt;year&gt;2015&lt;/year&gt;&lt;/dates&gt;&lt;isbn&gt;2211-1247&lt;/isbn&gt;&lt;urls&gt;&lt;/urls&gt;&lt;/record&gt;&lt;/Cite&gt;&lt;/EndNote&gt;</w:instrText>
      </w:r>
      <w:r w:rsidR="003F513C" w:rsidRPr="00B75A2A">
        <w:rPr>
          <w:lang w:val="en-US"/>
        </w:rPr>
        <w:fldChar w:fldCharType="separate"/>
      </w:r>
      <w:r w:rsidR="00CF202C" w:rsidRPr="00B75A2A">
        <w:rPr>
          <w:noProof/>
          <w:lang w:val="en-US"/>
        </w:rPr>
        <w:t>[93]</w:t>
      </w:r>
      <w:r w:rsidR="003F513C" w:rsidRPr="00B75A2A">
        <w:rPr>
          <w:lang w:val="en-US"/>
        </w:rPr>
        <w:fldChar w:fldCharType="end"/>
      </w:r>
      <w:r w:rsidRPr="00B75A2A">
        <w:rPr>
          <w:lang w:val="en-US"/>
        </w:rPr>
        <w:t xml:space="preserve">. </w:t>
      </w:r>
    </w:p>
    <w:p w14:paraId="02A48845" w14:textId="77777777" w:rsidR="004A2877" w:rsidRPr="00B75A2A" w:rsidRDefault="004A2877" w:rsidP="00B75A2A">
      <w:pPr>
        <w:spacing w:line="480" w:lineRule="auto"/>
        <w:jc w:val="both"/>
        <w:rPr>
          <w:lang w:val="en-US"/>
        </w:rPr>
      </w:pPr>
    </w:p>
    <w:p w14:paraId="114C2A50" w14:textId="77777777" w:rsidR="00156AB2" w:rsidRPr="00B75A2A" w:rsidRDefault="00156AB2" w:rsidP="00B75A2A">
      <w:pPr>
        <w:spacing w:line="480" w:lineRule="auto"/>
        <w:rPr>
          <w:b/>
          <w:bCs/>
          <w:lang w:val="en-US"/>
        </w:rPr>
      </w:pPr>
      <w:r w:rsidRPr="00B75A2A">
        <w:rPr>
          <w:b/>
          <w:bCs/>
          <w:lang w:val="en-US"/>
        </w:rPr>
        <w:br w:type="page"/>
      </w:r>
    </w:p>
    <w:p w14:paraId="35CED614" w14:textId="0D512C6A" w:rsidR="004A2877" w:rsidRPr="00B75A2A" w:rsidRDefault="004A2877" w:rsidP="00B75A2A">
      <w:pPr>
        <w:spacing w:line="480" w:lineRule="auto"/>
        <w:rPr>
          <w:b/>
          <w:bCs/>
          <w:lang w:val="en-US"/>
        </w:rPr>
      </w:pPr>
      <w:r w:rsidRPr="00B75A2A">
        <w:rPr>
          <w:b/>
          <w:bCs/>
          <w:lang w:val="en-US"/>
        </w:rPr>
        <w:lastRenderedPageBreak/>
        <w:t>CONCLUSIONS</w:t>
      </w:r>
      <w:r w:rsidR="006212AF" w:rsidRPr="00B75A2A">
        <w:rPr>
          <w:b/>
          <w:bCs/>
          <w:lang w:val="en-US"/>
        </w:rPr>
        <w:t xml:space="preserve"> AND FUTURE WORK</w:t>
      </w:r>
    </w:p>
    <w:p w14:paraId="5AF78BB7" w14:textId="540DEFA3" w:rsidR="004A2877" w:rsidRPr="00B75A2A" w:rsidRDefault="004A2877" w:rsidP="00B75A2A">
      <w:pPr>
        <w:spacing w:line="480" w:lineRule="auto"/>
        <w:jc w:val="both"/>
        <w:rPr>
          <w:lang w:val="en-US"/>
        </w:rPr>
      </w:pPr>
      <w:r w:rsidRPr="00B75A2A">
        <w:rPr>
          <w:lang w:val="en-US"/>
        </w:rPr>
        <w:t>Diversity and compositional changes in the gut microbiota are linked with perturbed immune homeostasis during ageing. Genetic insights into the interaction between age-related changes in gut microbiota and immune function, remain ill-defined. We identified a 25-gene signature of immune-associated DEGs in the small intestine of young germ-free mice transplanted with old donor gut microbiota. These genes may have a potential role as markers of immune dysregulation in the ageing of the gut microbiota.</w:t>
      </w:r>
      <w:r w:rsidR="00E7354C" w:rsidRPr="00B75A2A">
        <w:rPr>
          <w:lang w:val="en-US"/>
        </w:rPr>
        <w:t xml:space="preserve"> Moreover, the DEGs provide insight into the altered immune response to microbiota in the ageing gut, including reduced antigen presentation</w:t>
      </w:r>
      <w:r w:rsidR="00646DBC" w:rsidRPr="00B75A2A">
        <w:rPr>
          <w:lang w:val="en-US"/>
        </w:rPr>
        <w:t xml:space="preserve"> and</w:t>
      </w:r>
      <w:r w:rsidR="00E7354C" w:rsidRPr="00B75A2A">
        <w:rPr>
          <w:lang w:val="en-US"/>
        </w:rPr>
        <w:t xml:space="preserve"> alterations in cytokine and chemokine production</w:t>
      </w:r>
      <w:r w:rsidR="00646DBC" w:rsidRPr="00B75A2A">
        <w:rPr>
          <w:lang w:val="en-US"/>
        </w:rPr>
        <w:t>.</w:t>
      </w:r>
      <w:r w:rsidR="006212AF" w:rsidRPr="00B75A2A">
        <w:rPr>
          <w:lang w:val="en-US"/>
        </w:rPr>
        <w:t xml:space="preserve"> Future work should focus on validation of the </w:t>
      </w:r>
      <w:r w:rsidR="0040075C" w:rsidRPr="00B75A2A">
        <w:rPr>
          <w:lang w:val="en-US"/>
        </w:rPr>
        <w:t xml:space="preserve">data reported here, including validation of innate and adaptive immune cell populations and </w:t>
      </w:r>
      <w:r w:rsidR="004E7AC0">
        <w:rPr>
          <w:lang w:val="en-US"/>
        </w:rPr>
        <w:t>phenotypes</w:t>
      </w:r>
      <w:r w:rsidR="0040075C" w:rsidRPr="00B75A2A">
        <w:rPr>
          <w:lang w:val="en-US"/>
        </w:rPr>
        <w:t xml:space="preserve"> within the gut of younger and older mice</w:t>
      </w:r>
      <w:r w:rsidR="004E7AC0">
        <w:rPr>
          <w:lang w:val="en-US"/>
        </w:rPr>
        <w:t>,</w:t>
      </w:r>
      <w:r w:rsidR="0040075C" w:rsidRPr="00B75A2A">
        <w:rPr>
          <w:lang w:val="en-US"/>
        </w:rPr>
        <w:t xml:space="preserve"> and the changes in </w:t>
      </w:r>
      <w:r w:rsidR="004E7AC0">
        <w:rPr>
          <w:lang w:val="en-US"/>
        </w:rPr>
        <w:t xml:space="preserve">immune cell populations and cellular </w:t>
      </w:r>
      <w:r w:rsidR="0040075C" w:rsidRPr="00B75A2A">
        <w:rPr>
          <w:lang w:val="en-US"/>
        </w:rPr>
        <w:t>functions associated with microbial dysbiosis during ageing.</w:t>
      </w:r>
    </w:p>
    <w:p w14:paraId="65B7CC23" w14:textId="58E38906" w:rsidR="004A2877" w:rsidRPr="00B75A2A" w:rsidRDefault="004A2877" w:rsidP="00B75A2A">
      <w:pPr>
        <w:spacing w:line="480" w:lineRule="auto"/>
        <w:jc w:val="both"/>
      </w:pPr>
    </w:p>
    <w:p w14:paraId="4FAA3BF8" w14:textId="7AC5883F" w:rsidR="00003F09" w:rsidRPr="00B75A2A" w:rsidRDefault="00003F09" w:rsidP="00B75A2A">
      <w:pPr>
        <w:spacing w:line="480" w:lineRule="auto"/>
        <w:rPr>
          <w:b/>
          <w:bCs/>
        </w:rPr>
      </w:pPr>
      <w:r w:rsidRPr="00B75A2A">
        <w:rPr>
          <w:b/>
          <w:bCs/>
        </w:rPr>
        <w:t>ABBREVIATIONS</w:t>
      </w:r>
    </w:p>
    <w:tbl>
      <w:tblPr>
        <w:tblW w:w="5000" w:type="pct"/>
        <w:tblLook w:val="04A0" w:firstRow="1" w:lastRow="0" w:firstColumn="1" w:lastColumn="0" w:noHBand="0" w:noVBand="1"/>
      </w:tblPr>
      <w:tblGrid>
        <w:gridCol w:w="1596"/>
        <w:gridCol w:w="7430"/>
      </w:tblGrid>
      <w:tr w:rsidR="003D611A" w:rsidRPr="00B75A2A" w14:paraId="4161FC99" w14:textId="77777777" w:rsidTr="0079665C">
        <w:trPr>
          <w:trHeight w:val="20"/>
        </w:trPr>
        <w:tc>
          <w:tcPr>
            <w:tcW w:w="884" w:type="pct"/>
            <w:shd w:val="clear" w:color="auto" w:fill="auto"/>
            <w:noWrap/>
            <w:vAlign w:val="center"/>
            <w:hideMark/>
          </w:tcPr>
          <w:p w14:paraId="18775241" w14:textId="77777777" w:rsidR="003D611A" w:rsidRPr="00B75A2A" w:rsidRDefault="003D611A" w:rsidP="00B75A2A">
            <w:pPr>
              <w:spacing w:line="480" w:lineRule="auto"/>
              <w:rPr>
                <w:color w:val="000000"/>
              </w:rPr>
            </w:pPr>
            <w:r w:rsidRPr="00B75A2A">
              <w:rPr>
                <w:color w:val="000000"/>
              </w:rPr>
              <w:t>ATP7A</w:t>
            </w:r>
          </w:p>
        </w:tc>
        <w:tc>
          <w:tcPr>
            <w:tcW w:w="4116" w:type="pct"/>
            <w:shd w:val="clear" w:color="auto" w:fill="auto"/>
            <w:noWrap/>
            <w:vAlign w:val="center"/>
            <w:hideMark/>
          </w:tcPr>
          <w:p w14:paraId="349B358C" w14:textId="77777777" w:rsidR="003D611A" w:rsidRPr="00B75A2A" w:rsidRDefault="003D611A" w:rsidP="00B75A2A">
            <w:pPr>
              <w:spacing w:line="480" w:lineRule="auto"/>
              <w:rPr>
                <w:color w:val="000000"/>
              </w:rPr>
            </w:pPr>
            <w:r w:rsidRPr="00B75A2A">
              <w:rPr>
                <w:color w:val="000000"/>
              </w:rPr>
              <w:t>ATPase copper transporting alpha</w:t>
            </w:r>
          </w:p>
        </w:tc>
      </w:tr>
      <w:tr w:rsidR="003D611A" w:rsidRPr="00B75A2A" w14:paraId="33B78C2C" w14:textId="77777777" w:rsidTr="0079665C">
        <w:trPr>
          <w:trHeight w:val="20"/>
        </w:trPr>
        <w:tc>
          <w:tcPr>
            <w:tcW w:w="884" w:type="pct"/>
            <w:shd w:val="clear" w:color="auto" w:fill="auto"/>
            <w:noWrap/>
            <w:vAlign w:val="center"/>
            <w:hideMark/>
          </w:tcPr>
          <w:p w14:paraId="67245105" w14:textId="77777777" w:rsidR="003D611A" w:rsidRPr="00B75A2A" w:rsidRDefault="003D611A" w:rsidP="00B75A2A">
            <w:pPr>
              <w:spacing w:line="480" w:lineRule="auto"/>
              <w:rPr>
                <w:color w:val="000000"/>
              </w:rPr>
            </w:pPr>
            <w:r w:rsidRPr="00B75A2A">
              <w:rPr>
                <w:color w:val="000000"/>
              </w:rPr>
              <w:t>BIRC3</w:t>
            </w:r>
          </w:p>
        </w:tc>
        <w:tc>
          <w:tcPr>
            <w:tcW w:w="4116" w:type="pct"/>
            <w:shd w:val="clear" w:color="auto" w:fill="auto"/>
            <w:noWrap/>
            <w:vAlign w:val="center"/>
            <w:hideMark/>
          </w:tcPr>
          <w:p w14:paraId="77452C0B" w14:textId="77777777" w:rsidR="003D611A" w:rsidRPr="00B75A2A" w:rsidRDefault="003D611A" w:rsidP="00B75A2A">
            <w:pPr>
              <w:spacing w:line="480" w:lineRule="auto"/>
              <w:rPr>
                <w:color w:val="000000"/>
              </w:rPr>
            </w:pPr>
            <w:r w:rsidRPr="00B75A2A">
              <w:rPr>
                <w:color w:val="000000"/>
              </w:rPr>
              <w:t>baculoviral IAP repeat containing 3</w:t>
            </w:r>
          </w:p>
        </w:tc>
      </w:tr>
      <w:tr w:rsidR="003D611A" w:rsidRPr="00B75A2A" w14:paraId="08268CE1" w14:textId="77777777" w:rsidTr="0079665C">
        <w:trPr>
          <w:trHeight w:val="20"/>
        </w:trPr>
        <w:tc>
          <w:tcPr>
            <w:tcW w:w="884" w:type="pct"/>
            <w:shd w:val="clear" w:color="auto" w:fill="auto"/>
            <w:noWrap/>
            <w:vAlign w:val="center"/>
            <w:hideMark/>
          </w:tcPr>
          <w:p w14:paraId="2389364C" w14:textId="77777777" w:rsidR="003D611A" w:rsidRPr="00B75A2A" w:rsidRDefault="003D611A" w:rsidP="00B75A2A">
            <w:pPr>
              <w:spacing w:line="480" w:lineRule="auto"/>
              <w:rPr>
                <w:color w:val="000000"/>
              </w:rPr>
            </w:pPr>
            <w:r w:rsidRPr="00B75A2A">
              <w:rPr>
                <w:color w:val="000000"/>
              </w:rPr>
              <w:t>BP</w:t>
            </w:r>
          </w:p>
        </w:tc>
        <w:tc>
          <w:tcPr>
            <w:tcW w:w="4116" w:type="pct"/>
            <w:shd w:val="clear" w:color="auto" w:fill="auto"/>
            <w:noWrap/>
            <w:vAlign w:val="center"/>
            <w:hideMark/>
          </w:tcPr>
          <w:p w14:paraId="61F4D1EE" w14:textId="77777777" w:rsidR="003D611A" w:rsidRPr="00B75A2A" w:rsidRDefault="003D611A" w:rsidP="00B75A2A">
            <w:pPr>
              <w:spacing w:line="480" w:lineRule="auto"/>
              <w:rPr>
                <w:color w:val="000000"/>
              </w:rPr>
            </w:pPr>
            <w:r w:rsidRPr="00B75A2A">
              <w:rPr>
                <w:color w:val="000000"/>
              </w:rPr>
              <w:t>Biological process</w:t>
            </w:r>
          </w:p>
        </w:tc>
      </w:tr>
      <w:tr w:rsidR="003D611A" w:rsidRPr="00B75A2A" w14:paraId="439BE4B9" w14:textId="77777777" w:rsidTr="0079665C">
        <w:trPr>
          <w:trHeight w:val="20"/>
        </w:trPr>
        <w:tc>
          <w:tcPr>
            <w:tcW w:w="884" w:type="pct"/>
            <w:shd w:val="clear" w:color="auto" w:fill="auto"/>
            <w:noWrap/>
            <w:vAlign w:val="center"/>
            <w:hideMark/>
          </w:tcPr>
          <w:p w14:paraId="49F7390D" w14:textId="77777777" w:rsidR="003D611A" w:rsidRPr="00B75A2A" w:rsidRDefault="003D611A" w:rsidP="00B75A2A">
            <w:pPr>
              <w:spacing w:line="480" w:lineRule="auto"/>
              <w:rPr>
                <w:color w:val="000000"/>
              </w:rPr>
            </w:pPr>
            <w:r w:rsidRPr="00B75A2A">
              <w:rPr>
                <w:color w:val="000000"/>
              </w:rPr>
              <w:t>CASP1</w:t>
            </w:r>
          </w:p>
        </w:tc>
        <w:tc>
          <w:tcPr>
            <w:tcW w:w="4116" w:type="pct"/>
            <w:shd w:val="clear" w:color="auto" w:fill="auto"/>
            <w:noWrap/>
            <w:vAlign w:val="center"/>
            <w:hideMark/>
          </w:tcPr>
          <w:p w14:paraId="2C549319" w14:textId="77777777" w:rsidR="003D611A" w:rsidRPr="00B75A2A" w:rsidRDefault="003D611A" w:rsidP="00B75A2A">
            <w:pPr>
              <w:spacing w:line="480" w:lineRule="auto"/>
              <w:rPr>
                <w:color w:val="000000"/>
              </w:rPr>
            </w:pPr>
            <w:r w:rsidRPr="00B75A2A">
              <w:rPr>
                <w:color w:val="000000"/>
              </w:rPr>
              <w:t>caspase 1</w:t>
            </w:r>
          </w:p>
        </w:tc>
      </w:tr>
      <w:tr w:rsidR="003D611A" w:rsidRPr="00B75A2A" w14:paraId="5A77E19B" w14:textId="77777777" w:rsidTr="0079665C">
        <w:trPr>
          <w:trHeight w:val="20"/>
        </w:trPr>
        <w:tc>
          <w:tcPr>
            <w:tcW w:w="884" w:type="pct"/>
            <w:shd w:val="clear" w:color="auto" w:fill="auto"/>
            <w:noWrap/>
            <w:vAlign w:val="center"/>
            <w:hideMark/>
          </w:tcPr>
          <w:p w14:paraId="4EA2615A" w14:textId="77777777" w:rsidR="003D611A" w:rsidRPr="00B75A2A" w:rsidRDefault="003D611A" w:rsidP="00B75A2A">
            <w:pPr>
              <w:spacing w:line="480" w:lineRule="auto"/>
              <w:rPr>
                <w:color w:val="000000"/>
              </w:rPr>
            </w:pPr>
            <w:r w:rsidRPr="00B75A2A">
              <w:rPr>
                <w:color w:val="000000"/>
              </w:rPr>
              <w:t>CD74</w:t>
            </w:r>
          </w:p>
        </w:tc>
        <w:tc>
          <w:tcPr>
            <w:tcW w:w="4116" w:type="pct"/>
            <w:shd w:val="clear" w:color="auto" w:fill="auto"/>
            <w:noWrap/>
            <w:vAlign w:val="center"/>
            <w:hideMark/>
          </w:tcPr>
          <w:p w14:paraId="467D92DC" w14:textId="77777777" w:rsidR="003D611A" w:rsidRPr="00B75A2A" w:rsidRDefault="003D611A" w:rsidP="00B75A2A">
            <w:pPr>
              <w:spacing w:line="480" w:lineRule="auto"/>
              <w:rPr>
                <w:color w:val="000000"/>
              </w:rPr>
            </w:pPr>
            <w:r w:rsidRPr="00B75A2A">
              <w:rPr>
                <w:color w:val="000000"/>
              </w:rPr>
              <w:t>CD74 molecule</w:t>
            </w:r>
          </w:p>
        </w:tc>
      </w:tr>
      <w:tr w:rsidR="003D611A" w:rsidRPr="00B75A2A" w14:paraId="052E4E3A" w14:textId="77777777" w:rsidTr="0079665C">
        <w:trPr>
          <w:trHeight w:val="20"/>
        </w:trPr>
        <w:tc>
          <w:tcPr>
            <w:tcW w:w="884" w:type="pct"/>
            <w:shd w:val="clear" w:color="auto" w:fill="auto"/>
            <w:noWrap/>
            <w:vAlign w:val="center"/>
            <w:hideMark/>
          </w:tcPr>
          <w:p w14:paraId="4416CF6D" w14:textId="77777777" w:rsidR="003D611A" w:rsidRPr="00B75A2A" w:rsidRDefault="003D611A" w:rsidP="00B75A2A">
            <w:pPr>
              <w:spacing w:line="480" w:lineRule="auto"/>
              <w:rPr>
                <w:color w:val="000000"/>
              </w:rPr>
            </w:pPr>
            <w:r w:rsidRPr="00B75A2A">
              <w:rPr>
                <w:color w:val="000000"/>
              </w:rPr>
              <w:t>CXCL9</w:t>
            </w:r>
          </w:p>
        </w:tc>
        <w:tc>
          <w:tcPr>
            <w:tcW w:w="4116" w:type="pct"/>
            <w:shd w:val="clear" w:color="auto" w:fill="auto"/>
            <w:noWrap/>
            <w:vAlign w:val="center"/>
            <w:hideMark/>
          </w:tcPr>
          <w:p w14:paraId="3A205374" w14:textId="77777777" w:rsidR="003D611A" w:rsidRPr="00B75A2A" w:rsidRDefault="003D611A" w:rsidP="00B75A2A">
            <w:pPr>
              <w:spacing w:line="480" w:lineRule="auto"/>
              <w:rPr>
                <w:color w:val="000000"/>
              </w:rPr>
            </w:pPr>
            <w:r w:rsidRPr="00B75A2A">
              <w:rPr>
                <w:color w:val="000000"/>
              </w:rPr>
              <w:t>C-X-C motif chemokine ligand 9</w:t>
            </w:r>
          </w:p>
        </w:tc>
      </w:tr>
      <w:tr w:rsidR="003D611A" w:rsidRPr="00B75A2A" w14:paraId="74B77A55" w14:textId="77777777" w:rsidTr="0079665C">
        <w:trPr>
          <w:trHeight w:val="20"/>
        </w:trPr>
        <w:tc>
          <w:tcPr>
            <w:tcW w:w="884" w:type="pct"/>
            <w:shd w:val="clear" w:color="auto" w:fill="auto"/>
            <w:noWrap/>
            <w:vAlign w:val="center"/>
            <w:hideMark/>
          </w:tcPr>
          <w:p w14:paraId="5C7BCCAD" w14:textId="77777777" w:rsidR="003D611A" w:rsidRPr="00B75A2A" w:rsidRDefault="003D611A" w:rsidP="00B75A2A">
            <w:pPr>
              <w:spacing w:line="480" w:lineRule="auto"/>
              <w:rPr>
                <w:color w:val="000000"/>
              </w:rPr>
            </w:pPr>
            <w:r w:rsidRPr="00B75A2A">
              <w:rPr>
                <w:color w:val="000000"/>
              </w:rPr>
              <w:t>DEGs</w:t>
            </w:r>
          </w:p>
        </w:tc>
        <w:tc>
          <w:tcPr>
            <w:tcW w:w="4116" w:type="pct"/>
            <w:shd w:val="clear" w:color="auto" w:fill="auto"/>
            <w:noWrap/>
            <w:vAlign w:val="center"/>
            <w:hideMark/>
          </w:tcPr>
          <w:p w14:paraId="1467FF3D" w14:textId="77777777" w:rsidR="003D611A" w:rsidRPr="00B75A2A" w:rsidRDefault="003D611A" w:rsidP="00B75A2A">
            <w:pPr>
              <w:spacing w:line="480" w:lineRule="auto"/>
              <w:rPr>
                <w:color w:val="000000"/>
              </w:rPr>
            </w:pPr>
            <w:r w:rsidRPr="00B75A2A">
              <w:rPr>
                <w:color w:val="000000"/>
              </w:rPr>
              <w:t>Differentially expressed genes</w:t>
            </w:r>
          </w:p>
        </w:tc>
      </w:tr>
      <w:tr w:rsidR="003D611A" w:rsidRPr="00B75A2A" w14:paraId="20BF77B7" w14:textId="77777777" w:rsidTr="0079665C">
        <w:trPr>
          <w:trHeight w:val="20"/>
        </w:trPr>
        <w:tc>
          <w:tcPr>
            <w:tcW w:w="884" w:type="pct"/>
            <w:shd w:val="clear" w:color="auto" w:fill="auto"/>
            <w:noWrap/>
            <w:vAlign w:val="center"/>
            <w:hideMark/>
          </w:tcPr>
          <w:p w14:paraId="3DDD1168" w14:textId="77777777" w:rsidR="003D611A" w:rsidRPr="00B75A2A" w:rsidRDefault="003D611A" w:rsidP="00B75A2A">
            <w:pPr>
              <w:spacing w:line="480" w:lineRule="auto"/>
              <w:rPr>
                <w:color w:val="000000"/>
              </w:rPr>
            </w:pPr>
            <w:r w:rsidRPr="00B75A2A">
              <w:rPr>
                <w:color w:val="000000"/>
              </w:rPr>
              <w:t>DOCK11</w:t>
            </w:r>
          </w:p>
        </w:tc>
        <w:tc>
          <w:tcPr>
            <w:tcW w:w="4116" w:type="pct"/>
            <w:shd w:val="clear" w:color="auto" w:fill="auto"/>
            <w:noWrap/>
            <w:vAlign w:val="center"/>
            <w:hideMark/>
          </w:tcPr>
          <w:p w14:paraId="64F18671" w14:textId="77777777" w:rsidR="003D611A" w:rsidRPr="00B75A2A" w:rsidRDefault="003D611A" w:rsidP="00B75A2A">
            <w:pPr>
              <w:spacing w:line="480" w:lineRule="auto"/>
              <w:rPr>
                <w:color w:val="000000"/>
              </w:rPr>
            </w:pPr>
            <w:r w:rsidRPr="00B75A2A">
              <w:rPr>
                <w:color w:val="000000"/>
              </w:rPr>
              <w:t>dedicator of cytokinesis 11</w:t>
            </w:r>
          </w:p>
        </w:tc>
      </w:tr>
      <w:tr w:rsidR="003D611A" w:rsidRPr="00B75A2A" w14:paraId="61002048" w14:textId="77777777" w:rsidTr="0079665C">
        <w:trPr>
          <w:trHeight w:val="20"/>
        </w:trPr>
        <w:tc>
          <w:tcPr>
            <w:tcW w:w="884" w:type="pct"/>
            <w:shd w:val="clear" w:color="auto" w:fill="auto"/>
            <w:noWrap/>
            <w:vAlign w:val="center"/>
            <w:hideMark/>
          </w:tcPr>
          <w:p w14:paraId="6C607913" w14:textId="77777777" w:rsidR="003D611A" w:rsidRPr="00B75A2A" w:rsidRDefault="003D611A" w:rsidP="00B75A2A">
            <w:pPr>
              <w:spacing w:line="480" w:lineRule="auto"/>
              <w:rPr>
                <w:color w:val="000000"/>
              </w:rPr>
            </w:pPr>
            <w:r w:rsidRPr="00B75A2A">
              <w:rPr>
                <w:color w:val="000000"/>
              </w:rPr>
              <w:t>EMP2</w:t>
            </w:r>
          </w:p>
        </w:tc>
        <w:tc>
          <w:tcPr>
            <w:tcW w:w="4116" w:type="pct"/>
            <w:shd w:val="clear" w:color="auto" w:fill="auto"/>
            <w:noWrap/>
            <w:vAlign w:val="center"/>
            <w:hideMark/>
          </w:tcPr>
          <w:p w14:paraId="4C11C6B0" w14:textId="77777777" w:rsidR="003D611A" w:rsidRPr="00B75A2A" w:rsidRDefault="003D611A" w:rsidP="00B75A2A">
            <w:pPr>
              <w:spacing w:line="480" w:lineRule="auto"/>
              <w:rPr>
                <w:color w:val="000000"/>
              </w:rPr>
            </w:pPr>
            <w:r w:rsidRPr="00B75A2A">
              <w:rPr>
                <w:color w:val="000000"/>
              </w:rPr>
              <w:t>epithelial membrane protein 2</w:t>
            </w:r>
          </w:p>
        </w:tc>
      </w:tr>
      <w:tr w:rsidR="003D611A" w:rsidRPr="00B75A2A" w14:paraId="2D772636" w14:textId="77777777" w:rsidTr="0079665C">
        <w:trPr>
          <w:trHeight w:val="20"/>
        </w:trPr>
        <w:tc>
          <w:tcPr>
            <w:tcW w:w="884" w:type="pct"/>
            <w:shd w:val="clear" w:color="auto" w:fill="auto"/>
            <w:noWrap/>
            <w:vAlign w:val="center"/>
            <w:hideMark/>
          </w:tcPr>
          <w:p w14:paraId="5CE35BE5" w14:textId="77777777" w:rsidR="003D611A" w:rsidRPr="00B75A2A" w:rsidRDefault="003D611A" w:rsidP="00B75A2A">
            <w:pPr>
              <w:spacing w:line="480" w:lineRule="auto"/>
              <w:rPr>
                <w:color w:val="000000"/>
              </w:rPr>
            </w:pPr>
            <w:r w:rsidRPr="00B75A2A">
              <w:rPr>
                <w:color w:val="000000"/>
              </w:rPr>
              <w:t>ERAP1</w:t>
            </w:r>
          </w:p>
        </w:tc>
        <w:tc>
          <w:tcPr>
            <w:tcW w:w="4116" w:type="pct"/>
            <w:shd w:val="clear" w:color="auto" w:fill="auto"/>
            <w:noWrap/>
            <w:vAlign w:val="center"/>
            <w:hideMark/>
          </w:tcPr>
          <w:p w14:paraId="1949560E" w14:textId="77777777" w:rsidR="003D611A" w:rsidRPr="00B75A2A" w:rsidRDefault="003D611A" w:rsidP="00B75A2A">
            <w:pPr>
              <w:spacing w:line="480" w:lineRule="auto"/>
              <w:rPr>
                <w:color w:val="000000"/>
              </w:rPr>
            </w:pPr>
            <w:r w:rsidRPr="00B75A2A">
              <w:rPr>
                <w:color w:val="000000"/>
              </w:rPr>
              <w:t>endoplasmic reticulum aminopeptidase 1</w:t>
            </w:r>
          </w:p>
        </w:tc>
      </w:tr>
      <w:tr w:rsidR="003D611A" w:rsidRPr="00B75A2A" w14:paraId="6F708B3B" w14:textId="77777777" w:rsidTr="0079665C">
        <w:trPr>
          <w:trHeight w:val="20"/>
        </w:trPr>
        <w:tc>
          <w:tcPr>
            <w:tcW w:w="884" w:type="pct"/>
            <w:shd w:val="clear" w:color="auto" w:fill="auto"/>
            <w:noWrap/>
            <w:vAlign w:val="center"/>
            <w:hideMark/>
          </w:tcPr>
          <w:p w14:paraId="4F01B843" w14:textId="77777777" w:rsidR="003D611A" w:rsidRPr="00B75A2A" w:rsidRDefault="003D611A" w:rsidP="00B75A2A">
            <w:pPr>
              <w:spacing w:line="480" w:lineRule="auto"/>
              <w:rPr>
                <w:color w:val="000000"/>
              </w:rPr>
            </w:pPr>
            <w:r w:rsidRPr="00B75A2A">
              <w:rPr>
                <w:color w:val="000000"/>
              </w:rPr>
              <w:lastRenderedPageBreak/>
              <w:t>FAS</w:t>
            </w:r>
          </w:p>
        </w:tc>
        <w:tc>
          <w:tcPr>
            <w:tcW w:w="4116" w:type="pct"/>
            <w:shd w:val="clear" w:color="auto" w:fill="auto"/>
            <w:noWrap/>
            <w:vAlign w:val="center"/>
            <w:hideMark/>
          </w:tcPr>
          <w:p w14:paraId="1006C998" w14:textId="77777777" w:rsidR="003D611A" w:rsidRPr="00B75A2A" w:rsidRDefault="003D611A" w:rsidP="00B75A2A">
            <w:pPr>
              <w:spacing w:line="480" w:lineRule="auto"/>
              <w:rPr>
                <w:color w:val="000000"/>
              </w:rPr>
            </w:pPr>
            <w:proofErr w:type="spellStart"/>
            <w:r w:rsidRPr="00B75A2A">
              <w:rPr>
                <w:color w:val="000000"/>
              </w:rPr>
              <w:t>Fas</w:t>
            </w:r>
            <w:proofErr w:type="spellEnd"/>
            <w:r w:rsidRPr="00B75A2A">
              <w:rPr>
                <w:color w:val="000000"/>
              </w:rPr>
              <w:t xml:space="preserve"> cell surface death receptor</w:t>
            </w:r>
          </w:p>
        </w:tc>
      </w:tr>
      <w:tr w:rsidR="003D611A" w:rsidRPr="00B75A2A" w14:paraId="7AC1094D" w14:textId="77777777" w:rsidTr="0079665C">
        <w:trPr>
          <w:trHeight w:val="20"/>
        </w:trPr>
        <w:tc>
          <w:tcPr>
            <w:tcW w:w="884" w:type="pct"/>
            <w:shd w:val="clear" w:color="auto" w:fill="auto"/>
            <w:noWrap/>
            <w:vAlign w:val="center"/>
            <w:hideMark/>
          </w:tcPr>
          <w:p w14:paraId="4B9A4D6B" w14:textId="77777777" w:rsidR="003D611A" w:rsidRPr="00B75A2A" w:rsidRDefault="003D611A" w:rsidP="00B75A2A">
            <w:pPr>
              <w:spacing w:line="480" w:lineRule="auto"/>
              <w:rPr>
                <w:color w:val="000000"/>
              </w:rPr>
            </w:pPr>
            <w:r w:rsidRPr="00B75A2A">
              <w:rPr>
                <w:color w:val="000000"/>
              </w:rPr>
              <w:t>FER</w:t>
            </w:r>
          </w:p>
        </w:tc>
        <w:tc>
          <w:tcPr>
            <w:tcW w:w="4116" w:type="pct"/>
            <w:shd w:val="clear" w:color="auto" w:fill="auto"/>
            <w:noWrap/>
            <w:vAlign w:val="center"/>
            <w:hideMark/>
          </w:tcPr>
          <w:p w14:paraId="7998ECCA" w14:textId="77777777" w:rsidR="003D611A" w:rsidRPr="00B75A2A" w:rsidRDefault="003D611A" w:rsidP="00B75A2A">
            <w:pPr>
              <w:spacing w:line="480" w:lineRule="auto"/>
              <w:rPr>
                <w:color w:val="000000"/>
              </w:rPr>
            </w:pPr>
            <w:r w:rsidRPr="00B75A2A">
              <w:rPr>
                <w:color w:val="000000"/>
              </w:rPr>
              <w:t>FER tyrosine kinase</w:t>
            </w:r>
          </w:p>
        </w:tc>
      </w:tr>
      <w:tr w:rsidR="003D611A" w:rsidRPr="00B75A2A" w14:paraId="0C156C12" w14:textId="77777777" w:rsidTr="0079665C">
        <w:trPr>
          <w:trHeight w:val="20"/>
        </w:trPr>
        <w:tc>
          <w:tcPr>
            <w:tcW w:w="884" w:type="pct"/>
            <w:shd w:val="clear" w:color="auto" w:fill="auto"/>
            <w:noWrap/>
            <w:vAlign w:val="center"/>
            <w:hideMark/>
          </w:tcPr>
          <w:p w14:paraId="5A8EBBFE" w14:textId="77777777" w:rsidR="003D611A" w:rsidRPr="00B75A2A" w:rsidRDefault="003D611A" w:rsidP="00B75A2A">
            <w:pPr>
              <w:spacing w:line="480" w:lineRule="auto"/>
              <w:rPr>
                <w:color w:val="000000"/>
              </w:rPr>
            </w:pPr>
            <w:r w:rsidRPr="00B75A2A">
              <w:rPr>
                <w:color w:val="000000"/>
              </w:rPr>
              <w:t>GBP2</w:t>
            </w:r>
          </w:p>
        </w:tc>
        <w:tc>
          <w:tcPr>
            <w:tcW w:w="4116" w:type="pct"/>
            <w:shd w:val="clear" w:color="auto" w:fill="auto"/>
            <w:noWrap/>
            <w:vAlign w:val="center"/>
            <w:hideMark/>
          </w:tcPr>
          <w:p w14:paraId="30CEE434" w14:textId="77777777" w:rsidR="003D611A" w:rsidRPr="00B75A2A" w:rsidRDefault="003D611A" w:rsidP="00B75A2A">
            <w:pPr>
              <w:spacing w:line="480" w:lineRule="auto"/>
              <w:rPr>
                <w:color w:val="000000"/>
              </w:rPr>
            </w:pPr>
            <w:r w:rsidRPr="00B75A2A">
              <w:rPr>
                <w:color w:val="000000"/>
              </w:rPr>
              <w:t>guanylate binding protein 2</w:t>
            </w:r>
          </w:p>
        </w:tc>
      </w:tr>
      <w:tr w:rsidR="003D611A" w:rsidRPr="00B75A2A" w14:paraId="71AABCFB" w14:textId="77777777" w:rsidTr="0079665C">
        <w:trPr>
          <w:trHeight w:val="20"/>
        </w:trPr>
        <w:tc>
          <w:tcPr>
            <w:tcW w:w="884" w:type="pct"/>
            <w:shd w:val="clear" w:color="auto" w:fill="auto"/>
            <w:noWrap/>
            <w:vAlign w:val="center"/>
            <w:hideMark/>
          </w:tcPr>
          <w:p w14:paraId="2CDFA577" w14:textId="77777777" w:rsidR="003D611A" w:rsidRPr="00B75A2A" w:rsidRDefault="003D611A" w:rsidP="00B75A2A">
            <w:pPr>
              <w:spacing w:line="480" w:lineRule="auto"/>
              <w:rPr>
                <w:color w:val="000000"/>
              </w:rPr>
            </w:pPr>
            <w:r w:rsidRPr="00B75A2A">
              <w:rPr>
                <w:color w:val="000000"/>
              </w:rPr>
              <w:t>GBP6</w:t>
            </w:r>
          </w:p>
        </w:tc>
        <w:tc>
          <w:tcPr>
            <w:tcW w:w="4116" w:type="pct"/>
            <w:shd w:val="clear" w:color="auto" w:fill="auto"/>
            <w:noWrap/>
            <w:vAlign w:val="center"/>
            <w:hideMark/>
          </w:tcPr>
          <w:p w14:paraId="1ADB7F2E" w14:textId="77777777" w:rsidR="003D611A" w:rsidRPr="00B75A2A" w:rsidRDefault="003D611A" w:rsidP="00B75A2A">
            <w:pPr>
              <w:spacing w:line="480" w:lineRule="auto"/>
              <w:rPr>
                <w:color w:val="000000"/>
              </w:rPr>
            </w:pPr>
            <w:r w:rsidRPr="00B75A2A">
              <w:rPr>
                <w:color w:val="000000"/>
              </w:rPr>
              <w:t>guanylate binding protein 2</w:t>
            </w:r>
          </w:p>
        </w:tc>
      </w:tr>
      <w:tr w:rsidR="003D611A" w:rsidRPr="00B75A2A" w14:paraId="487DA825" w14:textId="77777777" w:rsidTr="0079665C">
        <w:trPr>
          <w:trHeight w:val="20"/>
        </w:trPr>
        <w:tc>
          <w:tcPr>
            <w:tcW w:w="884" w:type="pct"/>
            <w:shd w:val="clear" w:color="auto" w:fill="auto"/>
            <w:noWrap/>
            <w:vAlign w:val="center"/>
            <w:hideMark/>
          </w:tcPr>
          <w:p w14:paraId="3E20EF02" w14:textId="77777777" w:rsidR="003D611A" w:rsidRPr="00B75A2A" w:rsidRDefault="003D611A" w:rsidP="00B75A2A">
            <w:pPr>
              <w:spacing w:line="480" w:lineRule="auto"/>
              <w:rPr>
                <w:color w:val="000000"/>
              </w:rPr>
            </w:pPr>
            <w:r w:rsidRPr="00B75A2A">
              <w:rPr>
                <w:color w:val="000000"/>
              </w:rPr>
              <w:t>GEO</w:t>
            </w:r>
          </w:p>
        </w:tc>
        <w:tc>
          <w:tcPr>
            <w:tcW w:w="4116" w:type="pct"/>
            <w:shd w:val="clear" w:color="auto" w:fill="auto"/>
            <w:noWrap/>
            <w:vAlign w:val="center"/>
            <w:hideMark/>
          </w:tcPr>
          <w:p w14:paraId="107DE317" w14:textId="77777777" w:rsidR="003D611A" w:rsidRPr="00B75A2A" w:rsidRDefault="003D611A" w:rsidP="00B75A2A">
            <w:pPr>
              <w:spacing w:line="480" w:lineRule="auto"/>
              <w:rPr>
                <w:color w:val="000000"/>
              </w:rPr>
            </w:pPr>
            <w:r w:rsidRPr="00B75A2A">
              <w:rPr>
                <w:color w:val="000000"/>
              </w:rPr>
              <w:t>Gene Expression Omnibus</w:t>
            </w:r>
          </w:p>
        </w:tc>
      </w:tr>
      <w:tr w:rsidR="003D611A" w:rsidRPr="00B75A2A" w14:paraId="14BA0262" w14:textId="77777777" w:rsidTr="0079665C">
        <w:trPr>
          <w:trHeight w:val="20"/>
        </w:trPr>
        <w:tc>
          <w:tcPr>
            <w:tcW w:w="884" w:type="pct"/>
            <w:shd w:val="clear" w:color="auto" w:fill="auto"/>
            <w:noWrap/>
            <w:vAlign w:val="center"/>
            <w:hideMark/>
          </w:tcPr>
          <w:p w14:paraId="17A87586" w14:textId="77777777" w:rsidR="003D611A" w:rsidRPr="00B75A2A" w:rsidRDefault="003D611A" w:rsidP="00B75A2A">
            <w:pPr>
              <w:spacing w:line="480" w:lineRule="auto"/>
              <w:rPr>
                <w:color w:val="000000"/>
              </w:rPr>
            </w:pPr>
            <w:r w:rsidRPr="00B75A2A">
              <w:rPr>
                <w:color w:val="000000"/>
              </w:rPr>
              <w:t>GEPIA2</w:t>
            </w:r>
          </w:p>
        </w:tc>
        <w:tc>
          <w:tcPr>
            <w:tcW w:w="4116" w:type="pct"/>
            <w:shd w:val="clear" w:color="auto" w:fill="auto"/>
            <w:noWrap/>
            <w:vAlign w:val="center"/>
            <w:hideMark/>
          </w:tcPr>
          <w:p w14:paraId="34B1669A" w14:textId="77777777" w:rsidR="003D611A" w:rsidRPr="00B75A2A" w:rsidRDefault="003D611A" w:rsidP="00B75A2A">
            <w:pPr>
              <w:spacing w:line="480" w:lineRule="auto"/>
              <w:rPr>
                <w:color w:val="000000"/>
              </w:rPr>
            </w:pPr>
            <w:r w:rsidRPr="00B75A2A">
              <w:rPr>
                <w:color w:val="000000"/>
              </w:rPr>
              <w:t>Gene Expression Profiling Interactive Analysis 2</w:t>
            </w:r>
          </w:p>
        </w:tc>
      </w:tr>
      <w:tr w:rsidR="003D611A" w:rsidRPr="00B75A2A" w14:paraId="1F6AC05F" w14:textId="77777777" w:rsidTr="0079665C">
        <w:trPr>
          <w:trHeight w:val="20"/>
        </w:trPr>
        <w:tc>
          <w:tcPr>
            <w:tcW w:w="884" w:type="pct"/>
            <w:shd w:val="clear" w:color="auto" w:fill="auto"/>
            <w:noWrap/>
            <w:vAlign w:val="center"/>
            <w:hideMark/>
          </w:tcPr>
          <w:p w14:paraId="3EFA1450" w14:textId="77777777" w:rsidR="003D611A" w:rsidRPr="00B75A2A" w:rsidRDefault="003D611A" w:rsidP="00B75A2A">
            <w:pPr>
              <w:spacing w:line="480" w:lineRule="auto"/>
              <w:rPr>
                <w:color w:val="000000"/>
              </w:rPr>
            </w:pPr>
            <w:r w:rsidRPr="00B75A2A">
              <w:rPr>
                <w:color w:val="000000"/>
              </w:rPr>
              <w:t>GO</w:t>
            </w:r>
          </w:p>
        </w:tc>
        <w:tc>
          <w:tcPr>
            <w:tcW w:w="4116" w:type="pct"/>
            <w:shd w:val="clear" w:color="auto" w:fill="auto"/>
            <w:noWrap/>
            <w:vAlign w:val="center"/>
            <w:hideMark/>
          </w:tcPr>
          <w:p w14:paraId="1AEA0912" w14:textId="77777777" w:rsidR="003D611A" w:rsidRPr="00B75A2A" w:rsidRDefault="003D611A" w:rsidP="00B75A2A">
            <w:pPr>
              <w:spacing w:line="480" w:lineRule="auto"/>
              <w:rPr>
                <w:color w:val="000000"/>
              </w:rPr>
            </w:pPr>
            <w:r w:rsidRPr="00B75A2A">
              <w:rPr>
                <w:color w:val="000000"/>
              </w:rPr>
              <w:t>Gene ontology</w:t>
            </w:r>
          </w:p>
        </w:tc>
      </w:tr>
      <w:tr w:rsidR="003D611A" w:rsidRPr="00B75A2A" w14:paraId="191EFC78" w14:textId="77777777" w:rsidTr="0079665C">
        <w:trPr>
          <w:trHeight w:val="20"/>
        </w:trPr>
        <w:tc>
          <w:tcPr>
            <w:tcW w:w="884" w:type="pct"/>
            <w:shd w:val="clear" w:color="auto" w:fill="auto"/>
            <w:noWrap/>
            <w:vAlign w:val="center"/>
            <w:hideMark/>
          </w:tcPr>
          <w:p w14:paraId="5D62C544" w14:textId="77777777" w:rsidR="003D611A" w:rsidRPr="00B75A2A" w:rsidRDefault="003D611A" w:rsidP="00B75A2A">
            <w:pPr>
              <w:spacing w:line="480" w:lineRule="auto"/>
              <w:rPr>
                <w:color w:val="000000"/>
              </w:rPr>
            </w:pPr>
            <w:r w:rsidRPr="00B75A2A">
              <w:rPr>
                <w:color w:val="000000"/>
              </w:rPr>
              <w:t>GRN</w:t>
            </w:r>
          </w:p>
        </w:tc>
        <w:tc>
          <w:tcPr>
            <w:tcW w:w="4116" w:type="pct"/>
            <w:shd w:val="clear" w:color="auto" w:fill="auto"/>
            <w:noWrap/>
            <w:vAlign w:val="center"/>
            <w:hideMark/>
          </w:tcPr>
          <w:p w14:paraId="3136A9DB" w14:textId="77777777" w:rsidR="003D611A" w:rsidRPr="00B75A2A" w:rsidRDefault="003D611A" w:rsidP="00B75A2A">
            <w:pPr>
              <w:spacing w:line="480" w:lineRule="auto"/>
              <w:rPr>
                <w:color w:val="000000"/>
              </w:rPr>
            </w:pPr>
            <w:r w:rsidRPr="00B75A2A">
              <w:rPr>
                <w:color w:val="000000"/>
              </w:rPr>
              <w:t>granulin precursor</w:t>
            </w:r>
          </w:p>
        </w:tc>
      </w:tr>
      <w:tr w:rsidR="003D611A" w:rsidRPr="00B75A2A" w14:paraId="775EE7A7" w14:textId="77777777" w:rsidTr="0079665C">
        <w:trPr>
          <w:trHeight w:val="20"/>
        </w:trPr>
        <w:tc>
          <w:tcPr>
            <w:tcW w:w="884" w:type="pct"/>
            <w:shd w:val="clear" w:color="auto" w:fill="auto"/>
            <w:noWrap/>
            <w:vAlign w:val="center"/>
            <w:hideMark/>
          </w:tcPr>
          <w:p w14:paraId="54C84D20" w14:textId="77777777" w:rsidR="003D611A" w:rsidRPr="00B75A2A" w:rsidRDefault="003D611A" w:rsidP="00B75A2A">
            <w:pPr>
              <w:spacing w:line="480" w:lineRule="auto"/>
              <w:rPr>
                <w:color w:val="000000"/>
              </w:rPr>
            </w:pPr>
            <w:proofErr w:type="spellStart"/>
            <w:r w:rsidRPr="00B75A2A">
              <w:rPr>
                <w:color w:val="000000"/>
              </w:rPr>
              <w:t>GTEx</w:t>
            </w:r>
            <w:proofErr w:type="spellEnd"/>
          </w:p>
        </w:tc>
        <w:tc>
          <w:tcPr>
            <w:tcW w:w="4116" w:type="pct"/>
            <w:shd w:val="clear" w:color="auto" w:fill="auto"/>
            <w:noWrap/>
            <w:vAlign w:val="center"/>
            <w:hideMark/>
          </w:tcPr>
          <w:p w14:paraId="2343B40C" w14:textId="77777777" w:rsidR="003D611A" w:rsidRPr="00B75A2A" w:rsidRDefault="003D611A" w:rsidP="00B75A2A">
            <w:pPr>
              <w:spacing w:line="480" w:lineRule="auto"/>
              <w:rPr>
                <w:color w:val="000000"/>
              </w:rPr>
            </w:pPr>
            <w:r w:rsidRPr="00B75A2A">
              <w:rPr>
                <w:color w:val="000000"/>
              </w:rPr>
              <w:t>Genotype-Tissue Expression</w:t>
            </w:r>
          </w:p>
        </w:tc>
      </w:tr>
      <w:tr w:rsidR="003D611A" w:rsidRPr="00B75A2A" w14:paraId="469FB8FE" w14:textId="77777777" w:rsidTr="0079665C">
        <w:trPr>
          <w:trHeight w:val="20"/>
        </w:trPr>
        <w:tc>
          <w:tcPr>
            <w:tcW w:w="884" w:type="pct"/>
            <w:shd w:val="clear" w:color="auto" w:fill="auto"/>
            <w:noWrap/>
            <w:vAlign w:val="center"/>
            <w:hideMark/>
          </w:tcPr>
          <w:p w14:paraId="0EE9F3D2" w14:textId="77777777" w:rsidR="003D611A" w:rsidRPr="00B75A2A" w:rsidRDefault="003D611A" w:rsidP="00B75A2A">
            <w:pPr>
              <w:spacing w:line="480" w:lineRule="auto"/>
              <w:rPr>
                <w:color w:val="000000"/>
              </w:rPr>
            </w:pPr>
            <w:r w:rsidRPr="00B75A2A">
              <w:rPr>
                <w:color w:val="000000"/>
              </w:rPr>
              <w:t>HLA-DMA</w:t>
            </w:r>
          </w:p>
        </w:tc>
        <w:tc>
          <w:tcPr>
            <w:tcW w:w="4116" w:type="pct"/>
            <w:shd w:val="clear" w:color="auto" w:fill="auto"/>
            <w:noWrap/>
            <w:vAlign w:val="center"/>
            <w:hideMark/>
          </w:tcPr>
          <w:p w14:paraId="403B8665" w14:textId="77777777" w:rsidR="003D611A" w:rsidRPr="00B75A2A" w:rsidRDefault="003D611A" w:rsidP="00B75A2A">
            <w:pPr>
              <w:spacing w:line="480" w:lineRule="auto"/>
              <w:rPr>
                <w:color w:val="000000"/>
              </w:rPr>
            </w:pPr>
            <w:r w:rsidRPr="00B75A2A">
              <w:rPr>
                <w:color w:val="000000"/>
              </w:rPr>
              <w:t>major histocompatibility complex, class II, DM alpha</w:t>
            </w:r>
          </w:p>
        </w:tc>
      </w:tr>
      <w:tr w:rsidR="003D611A" w:rsidRPr="00B75A2A" w14:paraId="5F26478A" w14:textId="77777777" w:rsidTr="0079665C">
        <w:trPr>
          <w:trHeight w:val="20"/>
        </w:trPr>
        <w:tc>
          <w:tcPr>
            <w:tcW w:w="884" w:type="pct"/>
            <w:shd w:val="clear" w:color="auto" w:fill="auto"/>
            <w:noWrap/>
            <w:vAlign w:val="center"/>
            <w:hideMark/>
          </w:tcPr>
          <w:p w14:paraId="7888BC1D" w14:textId="77777777" w:rsidR="003D611A" w:rsidRPr="00B75A2A" w:rsidRDefault="003D611A" w:rsidP="00B75A2A">
            <w:pPr>
              <w:spacing w:line="480" w:lineRule="auto"/>
              <w:rPr>
                <w:color w:val="000000"/>
              </w:rPr>
            </w:pPr>
            <w:r w:rsidRPr="00B75A2A">
              <w:rPr>
                <w:color w:val="000000"/>
              </w:rPr>
              <w:t>HLA-DMB</w:t>
            </w:r>
          </w:p>
        </w:tc>
        <w:tc>
          <w:tcPr>
            <w:tcW w:w="4116" w:type="pct"/>
            <w:shd w:val="clear" w:color="auto" w:fill="auto"/>
            <w:noWrap/>
            <w:vAlign w:val="center"/>
            <w:hideMark/>
          </w:tcPr>
          <w:p w14:paraId="30A5AE8E" w14:textId="77777777" w:rsidR="003D611A" w:rsidRPr="00B75A2A" w:rsidRDefault="003D611A" w:rsidP="00B75A2A">
            <w:pPr>
              <w:spacing w:line="480" w:lineRule="auto"/>
              <w:rPr>
                <w:color w:val="000000"/>
              </w:rPr>
            </w:pPr>
            <w:r w:rsidRPr="00B75A2A">
              <w:rPr>
                <w:color w:val="000000"/>
              </w:rPr>
              <w:t>major histocompatibility complex, class II, DM beta</w:t>
            </w:r>
          </w:p>
        </w:tc>
      </w:tr>
      <w:tr w:rsidR="003D611A" w:rsidRPr="00B75A2A" w14:paraId="15DEADBF" w14:textId="77777777" w:rsidTr="0079665C">
        <w:trPr>
          <w:trHeight w:val="20"/>
        </w:trPr>
        <w:tc>
          <w:tcPr>
            <w:tcW w:w="884" w:type="pct"/>
            <w:shd w:val="clear" w:color="auto" w:fill="auto"/>
            <w:noWrap/>
            <w:vAlign w:val="center"/>
            <w:hideMark/>
          </w:tcPr>
          <w:p w14:paraId="5A935DAF" w14:textId="77777777" w:rsidR="003D611A" w:rsidRPr="00B75A2A" w:rsidRDefault="003D611A" w:rsidP="00B75A2A">
            <w:pPr>
              <w:spacing w:line="480" w:lineRule="auto"/>
              <w:rPr>
                <w:color w:val="000000"/>
              </w:rPr>
            </w:pPr>
            <w:r w:rsidRPr="00B75A2A">
              <w:rPr>
                <w:color w:val="000000"/>
              </w:rPr>
              <w:t>HLA-DQB2</w:t>
            </w:r>
          </w:p>
        </w:tc>
        <w:tc>
          <w:tcPr>
            <w:tcW w:w="4116" w:type="pct"/>
            <w:shd w:val="clear" w:color="auto" w:fill="auto"/>
            <w:noWrap/>
            <w:vAlign w:val="center"/>
            <w:hideMark/>
          </w:tcPr>
          <w:p w14:paraId="627DF9A2" w14:textId="77777777" w:rsidR="003D611A" w:rsidRPr="00B75A2A" w:rsidRDefault="003D611A" w:rsidP="00B75A2A">
            <w:pPr>
              <w:spacing w:line="480" w:lineRule="auto"/>
              <w:rPr>
                <w:color w:val="000000"/>
              </w:rPr>
            </w:pPr>
            <w:r w:rsidRPr="00B75A2A">
              <w:rPr>
                <w:color w:val="000000"/>
              </w:rPr>
              <w:t>major histocompatibility complex, class II, DQ beta 2</w:t>
            </w:r>
          </w:p>
        </w:tc>
      </w:tr>
      <w:tr w:rsidR="003D611A" w:rsidRPr="00B75A2A" w14:paraId="780C0124" w14:textId="77777777" w:rsidTr="0079665C">
        <w:trPr>
          <w:trHeight w:val="20"/>
        </w:trPr>
        <w:tc>
          <w:tcPr>
            <w:tcW w:w="884" w:type="pct"/>
            <w:shd w:val="clear" w:color="auto" w:fill="auto"/>
            <w:noWrap/>
            <w:vAlign w:val="center"/>
            <w:hideMark/>
          </w:tcPr>
          <w:p w14:paraId="1ABC2F76" w14:textId="77777777" w:rsidR="003D611A" w:rsidRPr="00B75A2A" w:rsidRDefault="003D611A" w:rsidP="00B75A2A">
            <w:pPr>
              <w:spacing w:line="480" w:lineRule="auto"/>
              <w:rPr>
                <w:color w:val="000000"/>
              </w:rPr>
            </w:pPr>
            <w:r w:rsidRPr="00B75A2A">
              <w:rPr>
                <w:color w:val="000000"/>
              </w:rPr>
              <w:t>IDO1</w:t>
            </w:r>
          </w:p>
        </w:tc>
        <w:tc>
          <w:tcPr>
            <w:tcW w:w="4116" w:type="pct"/>
            <w:shd w:val="clear" w:color="auto" w:fill="auto"/>
            <w:noWrap/>
            <w:vAlign w:val="center"/>
            <w:hideMark/>
          </w:tcPr>
          <w:p w14:paraId="407588C0" w14:textId="77777777" w:rsidR="003D611A" w:rsidRPr="00B75A2A" w:rsidRDefault="003D611A" w:rsidP="00B75A2A">
            <w:pPr>
              <w:spacing w:line="480" w:lineRule="auto"/>
              <w:rPr>
                <w:color w:val="000000"/>
              </w:rPr>
            </w:pPr>
            <w:r w:rsidRPr="00B75A2A">
              <w:rPr>
                <w:color w:val="000000"/>
              </w:rPr>
              <w:t>indoleamine 2,3-dioxygenase 1</w:t>
            </w:r>
          </w:p>
        </w:tc>
      </w:tr>
      <w:tr w:rsidR="003D611A" w:rsidRPr="00B75A2A" w14:paraId="4E296830" w14:textId="77777777" w:rsidTr="0079665C">
        <w:trPr>
          <w:trHeight w:val="20"/>
        </w:trPr>
        <w:tc>
          <w:tcPr>
            <w:tcW w:w="884" w:type="pct"/>
            <w:shd w:val="clear" w:color="auto" w:fill="auto"/>
            <w:noWrap/>
            <w:vAlign w:val="center"/>
            <w:hideMark/>
          </w:tcPr>
          <w:p w14:paraId="7F94C8A5" w14:textId="77777777" w:rsidR="003D611A" w:rsidRPr="00B75A2A" w:rsidRDefault="003D611A" w:rsidP="00B75A2A">
            <w:pPr>
              <w:spacing w:line="480" w:lineRule="auto"/>
              <w:rPr>
                <w:color w:val="000000"/>
              </w:rPr>
            </w:pPr>
            <w:r w:rsidRPr="00B75A2A">
              <w:rPr>
                <w:color w:val="000000"/>
              </w:rPr>
              <w:t>IPA</w:t>
            </w:r>
          </w:p>
        </w:tc>
        <w:tc>
          <w:tcPr>
            <w:tcW w:w="4116" w:type="pct"/>
            <w:shd w:val="clear" w:color="auto" w:fill="auto"/>
            <w:noWrap/>
            <w:vAlign w:val="center"/>
            <w:hideMark/>
          </w:tcPr>
          <w:p w14:paraId="09E26AD7" w14:textId="77777777" w:rsidR="003D611A" w:rsidRPr="00B75A2A" w:rsidRDefault="003D611A" w:rsidP="00B75A2A">
            <w:pPr>
              <w:spacing w:line="480" w:lineRule="auto"/>
              <w:rPr>
                <w:color w:val="000000"/>
              </w:rPr>
            </w:pPr>
            <w:r w:rsidRPr="00B75A2A">
              <w:rPr>
                <w:color w:val="000000"/>
              </w:rPr>
              <w:t>Ingenuity Pathway Analysis</w:t>
            </w:r>
          </w:p>
        </w:tc>
      </w:tr>
      <w:tr w:rsidR="003D611A" w:rsidRPr="00B75A2A" w14:paraId="1AF138EA" w14:textId="77777777" w:rsidTr="0079665C">
        <w:trPr>
          <w:trHeight w:val="20"/>
        </w:trPr>
        <w:tc>
          <w:tcPr>
            <w:tcW w:w="884" w:type="pct"/>
            <w:shd w:val="clear" w:color="auto" w:fill="auto"/>
            <w:noWrap/>
            <w:vAlign w:val="center"/>
            <w:hideMark/>
          </w:tcPr>
          <w:p w14:paraId="258EC81D" w14:textId="77777777" w:rsidR="003D611A" w:rsidRPr="00B75A2A" w:rsidRDefault="003D611A" w:rsidP="00B75A2A">
            <w:pPr>
              <w:spacing w:line="480" w:lineRule="auto"/>
              <w:rPr>
                <w:color w:val="000000"/>
              </w:rPr>
            </w:pPr>
            <w:r w:rsidRPr="00B75A2A">
              <w:rPr>
                <w:color w:val="000000"/>
              </w:rPr>
              <w:t>LGR4</w:t>
            </w:r>
          </w:p>
        </w:tc>
        <w:tc>
          <w:tcPr>
            <w:tcW w:w="4116" w:type="pct"/>
            <w:shd w:val="clear" w:color="auto" w:fill="auto"/>
            <w:noWrap/>
            <w:vAlign w:val="center"/>
            <w:hideMark/>
          </w:tcPr>
          <w:p w14:paraId="719FCFBB" w14:textId="77777777" w:rsidR="003D611A" w:rsidRPr="00B75A2A" w:rsidRDefault="003D611A" w:rsidP="00B75A2A">
            <w:pPr>
              <w:spacing w:line="480" w:lineRule="auto"/>
              <w:rPr>
                <w:color w:val="000000"/>
              </w:rPr>
            </w:pPr>
            <w:r w:rsidRPr="00B75A2A">
              <w:rPr>
                <w:color w:val="000000"/>
              </w:rPr>
              <w:t>leucine rich repeat containing G protein-coupled receptor 4</w:t>
            </w:r>
          </w:p>
        </w:tc>
      </w:tr>
      <w:tr w:rsidR="003D611A" w:rsidRPr="00B75A2A" w14:paraId="037AC0AE" w14:textId="77777777" w:rsidTr="0079665C">
        <w:trPr>
          <w:trHeight w:val="20"/>
        </w:trPr>
        <w:tc>
          <w:tcPr>
            <w:tcW w:w="884" w:type="pct"/>
            <w:shd w:val="clear" w:color="auto" w:fill="auto"/>
            <w:noWrap/>
            <w:vAlign w:val="center"/>
            <w:hideMark/>
          </w:tcPr>
          <w:p w14:paraId="332125C7" w14:textId="77777777" w:rsidR="003D611A" w:rsidRPr="00B75A2A" w:rsidRDefault="003D611A" w:rsidP="00B75A2A">
            <w:pPr>
              <w:spacing w:line="480" w:lineRule="auto"/>
              <w:rPr>
                <w:color w:val="000000"/>
              </w:rPr>
            </w:pPr>
            <w:proofErr w:type="spellStart"/>
            <w:r w:rsidRPr="00B75A2A">
              <w:rPr>
                <w:color w:val="000000"/>
              </w:rPr>
              <w:t>MSigDB</w:t>
            </w:r>
            <w:proofErr w:type="spellEnd"/>
          </w:p>
        </w:tc>
        <w:tc>
          <w:tcPr>
            <w:tcW w:w="4116" w:type="pct"/>
            <w:shd w:val="clear" w:color="auto" w:fill="auto"/>
            <w:noWrap/>
            <w:vAlign w:val="center"/>
            <w:hideMark/>
          </w:tcPr>
          <w:p w14:paraId="19B302AF" w14:textId="77777777" w:rsidR="003D611A" w:rsidRPr="00B75A2A" w:rsidRDefault="003D611A" w:rsidP="00B75A2A">
            <w:pPr>
              <w:spacing w:line="480" w:lineRule="auto"/>
              <w:rPr>
                <w:color w:val="000000"/>
              </w:rPr>
            </w:pPr>
            <w:r w:rsidRPr="00B75A2A">
              <w:rPr>
                <w:color w:val="000000"/>
              </w:rPr>
              <w:t>Molecular Signatures Database</w:t>
            </w:r>
          </w:p>
        </w:tc>
      </w:tr>
      <w:tr w:rsidR="003D611A" w:rsidRPr="00B75A2A" w14:paraId="6DBECC33" w14:textId="77777777" w:rsidTr="0079665C">
        <w:trPr>
          <w:trHeight w:val="20"/>
        </w:trPr>
        <w:tc>
          <w:tcPr>
            <w:tcW w:w="884" w:type="pct"/>
            <w:shd w:val="clear" w:color="auto" w:fill="auto"/>
            <w:noWrap/>
            <w:vAlign w:val="center"/>
            <w:hideMark/>
          </w:tcPr>
          <w:p w14:paraId="173E832B" w14:textId="77777777" w:rsidR="003D611A" w:rsidRPr="00B75A2A" w:rsidRDefault="003D611A" w:rsidP="00B75A2A">
            <w:pPr>
              <w:spacing w:line="480" w:lineRule="auto"/>
              <w:rPr>
                <w:color w:val="000000"/>
              </w:rPr>
            </w:pPr>
            <w:r w:rsidRPr="00B75A2A">
              <w:rPr>
                <w:color w:val="000000"/>
              </w:rPr>
              <w:t>NCBI</w:t>
            </w:r>
          </w:p>
        </w:tc>
        <w:tc>
          <w:tcPr>
            <w:tcW w:w="4116" w:type="pct"/>
            <w:shd w:val="clear" w:color="auto" w:fill="auto"/>
            <w:noWrap/>
            <w:vAlign w:val="center"/>
            <w:hideMark/>
          </w:tcPr>
          <w:p w14:paraId="543AC5B0" w14:textId="77777777" w:rsidR="003D611A" w:rsidRPr="00B75A2A" w:rsidRDefault="003D611A" w:rsidP="00B75A2A">
            <w:pPr>
              <w:spacing w:line="480" w:lineRule="auto"/>
              <w:rPr>
                <w:color w:val="000000"/>
              </w:rPr>
            </w:pPr>
            <w:r w:rsidRPr="00B75A2A">
              <w:rPr>
                <w:color w:val="000000"/>
              </w:rPr>
              <w:t xml:space="preserve">National </w:t>
            </w:r>
            <w:proofErr w:type="spellStart"/>
            <w:r w:rsidRPr="00B75A2A">
              <w:rPr>
                <w:color w:val="000000"/>
              </w:rPr>
              <w:t>Center</w:t>
            </w:r>
            <w:proofErr w:type="spellEnd"/>
            <w:r w:rsidRPr="00B75A2A">
              <w:rPr>
                <w:color w:val="000000"/>
              </w:rPr>
              <w:t xml:space="preserve"> for Biotechnology Information</w:t>
            </w:r>
          </w:p>
        </w:tc>
      </w:tr>
      <w:tr w:rsidR="003D611A" w:rsidRPr="00B75A2A" w14:paraId="3E047D36" w14:textId="77777777" w:rsidTr="0079665C">
        <w:trPr>
          <w:trHeight w:val="20"/>
        </w:trPr>
        <w:tc>
          <w:tcPr>
            <w:tcW w:w="884" w:type="pct"/>
            <w:shd w:val="clear" w:color="auto" w:fill="auto"/>
            <w:noWrap/>
            <w:vAlign w:val="center"/>
            <w:hideMark/>
          </w:tcPr>
          <w:p w14:paraId="4BACA382" w14:textId="77777777" w:rsidR="003D611A" w:rsidRPr="00B75A2A" w:rsidRDefault="003D611A" w:rsidP="00B75A2A">
            <w:pPr>
              <w:spacing w:line="480" w:lineRule="auto"/>
              <w:rPr>
                <w:color w:val="000000"/>
              </w:rPr>
            </w:pPr>
            <w:r w:rsidRPr="00B75A2A">
              <w:rPr>
                <w:color w:val="000000"/>
              </w:rPr>
              <w:t>NLM</w:t>
            </w:r>
          </w:p>
        </w:tc>
        <w:tc>
          <w:tcPr>
            <w:tcW w:w="4116" w:type="pct"/>
            <w:shd w:val="clear" w:color="auto" w:fill="auto"/>
            <w:noWrap/>
            <w:vAlign w:val="center"/>
            <w:hideMark/>
          </w:tcPr>
          <w:p w14:paraId="39098A1E" w14:textId="77777777" w:rsidR="003D611A" w:rsidRPr="00B75A2A" w:rsidRDefault="003D611A" w:rsidP="00B75A2A">
            <w:pPr>
              <w:spacing w:line="480" w:lineRule="auto"/>
              <w:rPr>
                <w:color w:val="000000"/>
              </w:rPr>
            </w:pPr>
            <w:r w:rsidRPr="00B75A2A">
              <w:rPr>
                <w:color w:val="000000"/>
              </w:rPr>
              <w:t>National Library of Medicine</w:t>
            </w:r>
          </w:p>
        </w:tc>
      </w:tr>
      <w:tr w:rsidR="003D611A" w:rsidRPr="00B75A2A" w14:paraId="7EC49FFB" w14:textId="77777777" w:rsidTr="0079665C">
        <w:trPr>
          <w:trHeight w:val="20"/>
        </w:trPr>
        <w:tc>
          <w:tcPr>
            <w:tcW w:w="884" w:type="pct"/>
            <w:shd w:val="clear" w:color="auto" w:fill="auto"/>
            <w:noWrap/>
            <w:vAlign w:val="center"/>
            <w:hideMark/>
          </w:tcPr>
          <w:p w14:paraId="4D445210" w14:textId="77777777" w:rsidR="003D611A" w:rsidRPr="00B75A2A" w:rsidRDefault="003D611A" w:rsidP="00B75A2A">
            <w:pPr>
              <w:spacing w:line="480" w:lineRule="auto"/>
              <w:rPr>
                <w:color w:val="000000"/>
              </w:rPr>
            </w:pPr>
            <w:r w:rsidRPr="00B75A2A">
              <w:rPr>
                <w:color w:val="000000"/>
              </w:rPr>
              <w:t>NR1D1</w:t>
            </w:r>
          </w:p>
        </w:tc>
        <w:tc>
          <w:tcPr>
            <w:tcW w:w="4116" w:type="pct"/>
            <w:shd w:val="clear" w:color="auto" w:fill="auto"/>
            <w:noWrap/>
            <w:vAlign w:val="center"/>
            <w:hideMark/>
          </w:tcPr>
          <w:p w14:paraId="510D1AA9" w14:textId="77777777" w:rsidR="003D611A" w:rsidRPr="00B75A2A" w:rsidRDefault="003D611A" w:rsidP="00B75A2A">
            <w:pPr>
              <w:spacing w:line="480" w:lineRule="auto"/>
              <w:rPr>
                <w:color w:val="000000"/>
              </w:rPr>
            </w:pPr>
            <w:r w:rsidRPr="00B75A2A">
              <w:rPr>
                <w:color w:val="000000"/>
              </w:rPr>
              <w:t>nuclear receptor subfamily 1 group D member 1</w:t>
            </w:r>
          </w:p>
        </w:tc>
      </w:tr>
      <w:tr w:rsidR="003D611A" w:rsidRPr="00B75A2A" w14:paraId="1BDA59CD" w14:textId="77777777" w:rsidTr="0079665C">
        <w:trPr>
          <w:trHeight w:val="20"/>
        </w:trPr>
        <w:tc>
          <w:tcPr>
            <w:tcW w:w="884" w:type="pct"/>
            <w:shd w:val="clear" w:color="auto" w:fill="auto"/>
            <w:noWrap/>
            <w:vAlign w:val="center"/>
            <w:hideMark/>
          </w:tcPr>
          <w:p w14:paraId="583A512D" w14:textId="77777777" w:rsidR="003D611A" w:rsidRPr="00B75A2A" w:rsidRDefault="003D611A" w:rsidP="00B75A2A">
            <w:pPr>
              <w:spacing w:line="480" w:lineRule="auto"/>
              <w:rPr>
                <w:color w:val="000000"/>
              </w:rPr>
            </w:pPr>
            <w:r w:rsidRPr="00B75A2A">
              <w:rPr>
                <w:color w:val="000000"/>
              </w:rPr>
              <w:t>PPI</w:t>
            </w:r>
          </w:p>
        </w:tc>
        <w:tc>
          <w:tcPr>
            <w:tcW w:w="4116" w:type="pct"/>
            <w:shd w:val="clear" w:color="auto" w:fill="auto"/>
            <w:noWrap/>
            <w:vAlign w:val="center"/>
            <w:hideMark/>
          </w:tcPr>
          <w:p w14:paraId="504901E4" w14:textId="77777777" w:rsidR="003D611A" w:rsidRPr="00B75A2A" w:rsidRDefault="003D611A" w:rsidP="00B75A2A">
            <w:pPr>
              <w:spacing w:line="480" w:lineRule="auto"/>
              <w:rPr>
                <w:color w:val="000000"/>
              </w:rPr>
            </w:pPr>
            <w:r w:rsidRPr="00B75A2A">
              <w:rPr>
                <w:color w:val="000000"/>
              </w:rPr>
              <w:t>Protein-protein interactions</w:t>
            </w:r>
          </w:p>
        </w:tc>
      </w:tr>
      <w:tr w:rsidR="003D611A" w:rsidRPr="00B75A2A" w14:paraId="2762D6A7" w14:textId="77777777" w:rsidTr="0079665C">
        <w:trPr>
          <w:trHeight w:val="20"/>
        </w:trPr>
        <w:tc>
          <w:tcPr>
            <w:tcW w:w="884" w:type="pct"/>
            <w:shd w:val="clear" w:color="auto" w:fill="auto"/>
            <w:noWrap/>
            <w:vAlign w:val="center"/>
            <w:hideMark/>
          </w:tcPr>
          <w:p w14:paraId="22B3DC60" w14:textId="77777777" w:rsidR="003D611A" w:rsidRPr="00B75A2A" w:rsidRDefault="003D611A" w:rsidP="00B75A2A">
            <w:pPr>
              <w:spacing w:line="480" w:lineRule="auto"/>
              <w:rPr>
                <w:color w:val="000000"/>
              </w:rPr>
            </w:pPr>
            <w:r w:rsidRPr="00B75A2A">
              <w:rPr>
                <w:color w:val="000000"/>
              </w:rPr>
              <w:t>PSMB10</w:t>
            </w:r>
          </w:p>
        </w:tc>
        <w:tc>
          <w:tcPr>
            <w:tcW w:w="4116" w:type="pct"/>
            <w:shd w:val="clear" w:color="auto" w:fill="auto"/>
            <w:noWrap/>
            <w:vAlign w:val="center"/>
            <w:hideMark/>
          </w:tcPr>
          <w:p w14:paraId="691A0C9D" w14:textId="77777777" w:rsidR="003D611A" w:rsidRPr="00B75A2A" w:rsidRDefault="003D611A" w:rsidP="00B75A2A">
            <w:pPr>
              <w:spacing w:line="480" w:lineRule="auto"/>
              <w:rPr>
                <w:color w:val="000000"/>
              </w:rPr>
            </w:pPr>
            <w:r w:rsidRPr="00B75A2A">
              <w:rPr>
                <w:color w:val="000000"/>
              </w:rPr>
              <w:t>proteasome 20S subunit beta 10</w:t>
            </w:r>
          </w:p>
        </w:tc>
      </w:tr>
      <w:tr w:rsidR="003D611A" w:rsidRPr="00B75A2A" w14:paraId="59D5B1BA" w14:textId="77777777" w:rsidTr="0079665C">
        <w:trPr>
          <w:trHeight w:val="20"/>
        </w:trPr>
        <w:tc>
          <w:tcPr>
            <w:tcW w:w="884" w:type="pct"/>
            <w:shd w:val="clear" w:color="auto" w:fill="auto"/>
            <w:noWrap/>
            <w:vAlign w:val="center"/>
            <w:hideMark/>
          </w:tcPr>
          <w:p w14:paraId="15D18290" w14:textId="77777777" w:rsidR="003D611A" w:rsidRPr="00B75A2A" w:rsidRDefault="003D611A" w:rsidP="00B75A2A">
            <w:pPr>
              <w:spacing w:line="480" w:lineRule="auto"/>
              <w:rPr>
                <w:color w:val="000000"/>
              </w:rPr>
            </w:pPr>
            <w:r w:rsidRPr="00B75A2A">
              <w:rPr>
                <w:color w:val="000000"/>
              </w:rPr>
              <w:t>RNASET2</w:t>
            </w:r>
          </w:p>
        </w:tc>
        <w:tc>
          <w:tcPr>
            <w:tcW w:w="4116" w:type="pct"/>
            <w:shd w:val="clear" w:color="auto" w:fill="auto"/>
            <w:noWrap/>
            <w:vAlign w:val="center"/>
            <w:hideMark/>
          </w:tcPr>
          <w:p w14:paraId="218A8324" w14:textId="77777777" w:rsidR="003D611A" w:rsidRPr="00B75A2A" w:rsidRDefault="003D611A" w:rsidP="00B75A2A">
            <w:pPr>
              <w:spacing w:line="480" w:lineRule="auto"/>
              <w:rPr>
                <w:color w:val="000000"/>
              </w:rPr>
            </w:pPr>
            <w:r w:rsidRPr="00B75A2A">
              <w:rPr>
                <w:color w:val="000000"/>
              </w:rPr>
              <w:t>ribonuclease T2</w:t>
            </w:r>
          </w:p>
        </w:tc>
      </w:tr>
      <w:tr w:rsidR="003D611A" w:rsidRPr="00B75A2A" w14:paraId="422FAF67" w14:textId="77777777" w:rsidTr="0079665C">
        <w:trPr>
          <w:trHeight w:val="20"/>
        </w:trPr>
        <w:tc>
          <w:tcPr>
            <w:tcW w:w="884" w:type="pct"/>
            <w:shd w:val="clear" w:color="auto" w:fill="auto"/>
            <w:noWrap/>
            <w:vAlign w:val="center"/>
            <w:hideMark/>
          </w:tcPr>
          <w:p w14:paraId="76100881" w14:textId="77777777" w:rsidR="003D611A" w:rsidRPr="00B75A2A" w:rsidRDefault="003D611A" w:rsidP="00B75A2A">
            <w:pPr>
              <w:spacing w:line="480" w:lineRule="auto"/>
              <w:rPr>
                <w:color w:val="000000"/>
              </w:rPr>
            </w:pPr>
            <w:r w:rsidRPr="00B75A2A">
              <w:rPr>
                <w:color w:val="000000"/>
              </w:rPr>
              <w:t>RORC</w:t>
            </w:r>
          </w:p>
        </w:tc>
        <w:tc>
          <w:tcPr>
            <w:tcW w:w="4116" w:type="pct"/>
            <w:shd w:val="clear" w:color="auto" w:fill="auto"/>
            <w:noWrap/>
            <w:vAlign w:val="center"/>
            <w:hideMark/>
          </w:tcPr>
          <w:p w14:paraId="60233832" w14:textId="77777777" w:rsidR="003D611A" w:rsidRPr="00B75A2A" w:rsidRDefault="003D611A" w:rsidP="00B75A2A">
            <w:pPr>
              <w:spacing w:line="480" w:lineRule="auto"/>
              <w:rPr>
                <w:color w:val="000000"/>
              </w:rPr>
            </w:pPr>
            <w:r w:rsidRPr="00B75A2A">
              <w:rPr>
                <w:color w:val="000000"/>
              </w:rPr>
              <w:t>RAR related orphan receptor C</w:t>
            </w:r>
          </w:p>
        </w:tc>
      </w:tr>
      <w:tr w:rsidR="003D611A" w:rsidRPr="00B75A2A" w14:paraId="650CF1FF" w14:textId="77777777" w:rsidTr="0079665C">
        <w:trPr>
          <w:trHeight w:val="20"/>
        </w:trPr>
        <w:tc>
          <w:tcPr>
            <w:tcW w:w="884" w:type="pct"/>
            <w:shd w:val="clear" w:color="auto" w:fill="auto"/>
            <w:noWrap/>
            <w:vAlign w:val="center"/>
            <w:hideMark/>
          </w:tcPr>
          <w:p w14:paraId="3A68E912" w14:textId="77777777" w:rsidR="003D611A" w:rsidRPr="00B75A2A" w:rsidRDefault="003D611A" w:rsidP="00B75A2A">
            <w:pPr>
              <w:spacing w:line="480" w:lineRule="auto"/>
              <w:rPr>
                <w:color w:val="000000"/>
              </w:rPr>
            </w:pPr>
            <w:r w:rsidRPr="00B75A2A">
              <w:rPr>
                <w:color w:val="000000"/>
              </w:rPr>
              <w:t>SLC26A6</w:t>
            </w:r>
          </w:p>
        </w:tc>
        <w:tc>
          <w:tcPr>
            <w:tcW w:w="4116" w:type="pct"/>
            <w:shd w:val="clear" w:color="auto" w:fill="auto"/>
            <w:noWrap/>
            <w:vAlign w:val="center"/>
            <w:hideMark/>
          </w:tcPr>
          <w:p w14:paraId="65C22B88" w14:textId="77777777" w:rsidR="003D611A" w:rsidRPr="00B75A2A" w:rsidRDefault="003D611A" w:rsidP="00B75A2A">
            <w:pPr>
              <w:spacing w:line="480" w:lineRule="auto"/>
              <w:rPr>
                <w:color w:val="000000"/>
              </w:rPr>
            </w:pPr>
            <w:r w:rsidRPr="00B75A2A">
              <w:rPr>
                <w:color w:val="000000"/>
              </w:rPr>
              <w:t xml:space="preserve">solute carrier family </w:t>
            </w:r>
            <w:proofErr w:type="gramStart"/>
            <w:r w:rsidRPr="00B75A2A">
              <w:rPr>
                <w:color w:val="000000"/>
              </w:rPr>
              <w:t>26 member</w:t>
            </w:r>
            <w:proofErr w:type="gramEnd"/>
            <w:r w:rsidRPr="00B75A2A">
              <w:rPr>
                <w:color w:val="000000"/>
              </w:rPr>
              <w:t xml:space="preserve"> 6</w:t>
            </w:r>
          </w:p>
        </w:tc>
      </w:tr>
      <w:tr w:rsidR="003D611A" w:rsidRPr="00B75A2A" w14:paraId="455B071C" w14:textId="77777777" w:rsidTr="0079665C">
        <w:trPr>
          <w:trHeight w:val="20"/>
        </w:trPr>
        <w:tc>
          <w:tcPr>
            <w:tcW w:w="884" w:type="pct"/>
            <w:shd w:val="clear" w:color="auto" w:fill="auto"/>
            <w:noWrap/>
            <w:vAlign w:val="center"/>
            <w:hideMark/>
          </w:tcPr>
          <w:p w14:paraId="3CACAB90" w14:textId="77777777" w:rsidR="003D611A" w:rsidRPr="00B75A2A" w:rsidRDefault="003D611A" w:rsidP="00B75A2A">
            <w:pPr>
              <w:spacing w:line="480" w:lineRule="auto"/>
              <w:rPr>
                <w:color w:val="000000"/>
              </w:rPr>
            </w:pPr>
            <w:r w:rsidRPr="00B75A2A">
              <w:rPr>
                <w:color w:val="000000"/>
              </w:rPr>
              <w:t>STRING</w:t>
            </w:r>
          </w:p>
        </w:tc>
        <w:tc>
          <w:tcPr>
            <w:tcW w:w="4116" w:type="pct"/>
            <w:shd w:val="clear" w:color="auto" w:fill="auto"/>
            <w:noWrap/>
            <w:vAlign w:val="center"/>
            <w:hideMark/>
          </w:tcPr>
          <w:p w14:paraId="473E8AAE" w14:textId="77777777" w:rsidR="003D611A" w:rsidRPr="00B75A2A" w:rsidRDefault="003D611A" w:rsidP="00B75A2A">
            <w:pPr>
              <w:spacing w:line="480" w:lineRule="auto"/>
              <w:rPr>
                <w:color w:val="000000"/>
              </w:rPr>
            </w:pPr>
            <w:r w:rsidRPr="00B75A2A">
              <w:rPr>
                <w:color w:val="000000"/>
              </w:rPr>
              <w:t>The Search Tool for the Retrieval of Interacting Genes</w:t>
            </w:r>
          </w:p>
        </w:tc>
      </w:tr>
      <w:tr w:rsidR="003D611A" w:rsidRPr="00B75A2A" w14:paraId="7AD4795C" w14:textId="77777777" w:rsidTr="0079665C">
        <w:trPr>
          <w:trHeight w:val="20"/>
        </w:trPr>
        <w:tc>
          <w:tcPr>
            <w:tcW w:w="884" w:type="pct"/>
            <w:shd w:val="clear" w:color="auto" w:fill="auto"/>
            <w:noWrap/>
            <w:vAlign w:val="center"/>
            <w:hideMark/>
          </w:tcPr>
          <w:p w14:paraId="502C851A" w14:textId="77777777" w:rsidR="003D611A" w:rsidRPr="00B75A2A" w:rsidRDefault="003D611A" w:rsidP="00B75A2A">
            <w:pPr>
              <w:spacing w:line="480" w:lineRule="auto"/>
              <w:rPr>
                <w:color w:val="000000"/>
              </w:rPr>
            </w:pPr>
            <w:r w:rsidRPr="00B75A2A">
              <w:rPr>
                <w:color w:val="000000"/>
              </w:rPr>
              <w:lastRenderedPageBreak/>
              <w:t>TCGA</w:t>
            </w:r>
          </w:p>
        </w:tc>
        <w:tc>
          <w:tcPr>
            <w:tcW w:w="4116" w:type="pct"/>
            <w:shd w:val="clear" w:color="auto" w:fill="auto"/>
            <w:noWrap/>
            <w:vAlign w:val="center"/>
            <w:hideMark/>
          </w:tcPr>
          <w:p w14:paraId="56FB1EAB" w14:textId="77777777" w:rsidR="003D611A" w:rsidRPr="00B75A2A" w:rsidRDefault="003D611A" w:rsidP="00B75A2A">
            <w:pPr>
              <w:spacing w:line="480" w:lineRule="auto"/>
              <w:rPr>
                <w:color w:val="000000"/>
              </w:rPr>
            </w:pPr>
            <w:r w:rsidRPr="00B75A2A">
              <w:rPr>
                <w:color w:val="000000"/>
              </w:rPr>
              <w:t>The Cancer Genome Atlas</w:t>
            </w:r>
          </w:p>
        </w:tc>
      </w:tr>
      <w:tr w:rsidR="003D611A" w:rsidRPr="00B75A2A" w14:paraId="251E6004" w14:textId="77777777" w:rsidTr="0079665C">
        <w:trPr>
          <w:trHeight w:val="20"/>
        </w:trPr>
        <w:tc>
          <w:tcPr>
            <w:tcW w:w="884" w:type="pct"/>
            <w:shd w:val="clear" w:color="auto" w:fill="auto"/>
            <w:noWrap/>
            <w:vAlign w:val="center"/>
            <w:hideMark/>
          </w:tcPr>
          <w:p w14:paraId="4440A633" w14:textId="77777777" w:rsidR="003D611A" w:rsidRPr="00B75A2A" w:rsidRDefault="003D611A" w:rsidP="00B75A2A">
            <w:pPr>
              <w:spacing w:line="480" w:lineRule="auto"/>
              <w:rPr>
                <w:color w:val="000000"/>
              </w:rPr>
            </w:pPr>
            <w:r w:rsidRPr="00B75A2A">
              <w:rPr>
                <w:color w:val="000000"/>
              </w:rPr>
              <w:t>TCIRG1</w:t>
            </w:r>
          </w:p>
        </w:tc>
        <w:tc>
          <w:tcPr>
            <w:tcW w:w="4116" w:type="pct"/>
            <w:shd w:val="clear" w:color="auto" w:fill="auto"/>
            <w:noWrap/>
            <w:vAlign w:val="center"/>
            <w:hideMark/>
          </w:tcPr>
          <w:p w14:paraId="7F34BC07" w14:textId="77777777" w:rsidR="003D611A" w:rsidRPr="00B75A2A" w:rsidRDefault="003D611A" w:rsidP="00B75A2A">
            <w:pPr>
              <w:spacing w:line="480" w:lineRule="auto"/>
              <w:rPr>
                <w:color w:val="000000"/>
              </w:rPr>
            </w:pPr>
            <w:r w:rsidRPr="00B75A2A">
              <w:rPr>
                <w:color w:val="000000"/>
              </w:rPr>
              <w:t>T cell immune regulator 1, ATPase H+ transporting V0 subunit a3</w:t>
            </w:r>
          </w:p>
        </w:tc>
      </w:tr>
      <w:tr w:rsidR="003D611A" w:rsidRPr="00B75A2A" w14:paraId="1E719300" w14:textId="77777777" w:rsidTr="0079665C">
        <w:trPr>
          <w:trHeight w:val="20"/>
        </w:trPr>
        <w:tc>
          <w:tcPr>
            <w:tcW w:w="884" w:type="pct"/>
            <w:shd w:val="clear" w:color="auto" w:fill="auto"/>
            <w:noWrap/>
            <w:vAlign w:val="center"/>
            <w:hideMark/>
          </w:tcPr>
          <w:p w14:paraId="19563C84" w14:textId="77777777" w:rsidR="003D611A" w:rsidRPr="00B75A2A" w:rsidRDefault="003D611A" w:rsidP="00B75A2A">
            <w:pPr>
              <w:spacing w:line="480" w:lineRule="auto"/>
              <w:rPr>
                <w:color w:val="000000"/>
              </w:rPr>
            </w:pPr>
            <w:r w:rsidRPr="00B75A2A">
              <w:rPr>
                <w:color w:val="000000"/>
              </w:rPr>
              <w:t>XCL1</w:t>
            </w:r>
          </w:p>
        </w:tc>
        <w:tc>
          <w:tcPr>
            <w:tcW w:w="4116" w:type="pct"/>
            <w:shd w:val="clear" w:color="auto" w:fill="auto"/>
            <w:noWrap/>
            <w:vAlign w:val="center"/>
            <w:hideMark/>
          </w:tcPr>
          <w:p w14:paraId="1C5C5D3C" w14:textId="77777777" w:rsidR="003D611A" w:rsidRPr="00B75A2A" w:rsidRDefault="003D611A" w:rsidP="00B75A2A">
            <w:pPr>
              <w:spacing w:line="480" w:lineRule="auto"/>
              <w:rPr>
                <w:color w:val="000000"/>
              </w:rPr>
            </w:pPr>
            <w:r w:rsidRPr="00B75A2A">
              <w:rPr>
                <w:color w:val="000000"/>
              </w:rPr>
              <w:t>X-C motif chemokine ligand</w:t>
            </w:r>
          </w:p>
        </w:tc>
      </w:tr>
    </w:tbl>
    <w:p w14:paraId="6F3EFF95" w14:textId="77777777" w:rsidR="007C2A3A" w:rsidRPr="00B75A2A" w:rsidRDefault="007C2A3A" w:rsidP="00B75A2A">
      <w:pPr>
        <w:spacing w:line="480" w:lineRule="auto"/>
        <w:rPr>
          <w:b/>
          <w:bCs/>
        </w:rPr>
      </w:pPr>
      <w:r w:rsidRPr="00B75A2A">
        <w:rPr>
          <w:b/>
          <w:bCs/>
        </w:rPr>
        <w:br w:type="page"/>
      </w:r>
    </w:p>
    <w:p w14:paraId="571F40B1" w14:textId="6A58E466" w:rsidR="004A2877" w:rsidRPr="00B75A2A" w:rsidRDefault="00003F09" w:rsidP="00B75A2A">
      <w:pPr>
        <w:spacing w:line="480" w:lineRule="auto"/>
        <w:jc w:val="both"/>
        <w:rPr>
          <w:b/>
          <w:bCs/>
        </w:rPr>
      </w:pPr>
      <w:r w:rsidRPr="00B75A2A">
        <w:rPr>
          <w:b/>
          <w:bCs/>
        </w:rPr>
        <w:lastRenderedPageBreak/>
        <w:t>DECLARATIONS</w:t>
      </w:r>
    </w:p>
    <w:p w14:paraId="059DF0D1" w14:textId="77777777" w:rsidR="008D051B" w:rsidRPr="00B75A2A" w:rsidRDefault="008D051B" w:rsidP="00B75A2A">
      <w:pPr>
        <w:spacing w:line="480" w:lineRule="auto"/>
        <w:jc w:val="both"/>
        <w:rPr>
          <w:b/>
          <w:bCs/>
        </w:rPr>
      </w:pPr>
    </w:p>
    <w:p w14:paraId="368EE2F3" w14:textId="77777777" w:rsidR="008D051B" w:rsidRPr="00B75A2A" w:rsidRDefault="00003F09" w:rsidP="00B75A2A">
      <w:pPr>
        <w:spacing w:line="480" w:lineRule="auto"/>
        <w:jc w:val="both"/>
        <w:rPr>
          <w:b/>
          <w:bCs/>
        </w:rPr>
      </w:pPr>
      <w:r w:rsidRPr="00B75A2A">
        <w:rPr>
          <w:b/>
          <w:bCs/>
        </w:rPr>
        <w:t>Funding</w:t>
      </w:r>
    </w:p>
    <w:p w14:paraId="2F214C0C" w14:textId="49B003C3" w:rsidR="009B484E" w:rsidRPr="00B75A2A" w:rsidRDefault="00EF2D5E" w:rsidP="00B75A2A">
      <w:pPr>
        <w:spacing w:line="480" w:lineRule="auto"/>
        <w:jc w:val="both"/>
        <w:rPr>
          <w:b/>
          <w:bCs/>
        </w:rPr>
      </w:pPr>
      <w:r w:rsidRPr="00B75A2A">
        <w:t xml:space="preserve">KP is funded by a Dunhill Medical Trust PhD scholarship. </w:t>
      </w:r>
      <w:r w:rsidR="009B484E" w:rsidRPr="00B75A2A">
        <w:t>HLW is funded by a Versus Arthritis Career Development Fellowship (Grant No 21430).</w:t>
      </w:r>
      <w:r w:rsidR="008D051B" w:rsidRPr="00B75A2A">
        <w:t xml:space="preserve"> The remaining authors received </w:t>
      </w:r>
      <w:r w:rsidR="005541C1" w:rsidRPr="00B75A2A">
        <w:t>no</w:t>
      </w:r>
      <w:r w:rsidR="008D051B" w:rsidRPr="00B75A2A">
        <w:t xml:space="preserve"> funding</w:t>
      </w:r>
      <w:r w:rsidR="009F5FE5" w:rsidRPr="00B75A2A">
        <w:t xml:space="preserve"> for the comp</w:t>
      </w:r>
      <w:r w:rsidRPr="00B75A2A">
        <w:t>letion</w:t>
      </w:r>
      <w:r w:rsidR="009F5FE5" w:rsidRPr="00B75A2A">
        <w:t xml:space="preserve"> of this work</w:t>
      </w:r>
      <w:r w:rsidR="00D2452F" w:rsidRPr="00B75A2A">
        <w:t>.</w:t>
      </w:r>
    </w:p>
    <w:p w14:paraId="0BA2A8A8" w14:textId="77777777" w:rsidR="004A2877" w:rsidRPr="00B75A2A" w:rsidRDefault="004A2877" w:rsidP="00B75A2A">
      <w:pPr>
        <w:spacing w:line="480" w:lineRule="auto"/>
        <w:jc w:val="both"/>
      </w:pPr>
    </w:p>
    <w:p w14:paraId="7A2CF338" w14:textId="77777777" w:rsidR="004A2877" w:rsidRPr="00B75A2A" w:rsidRDefault="004A2877" w:rsidP="00B75A2A">
      <w:pPr>
        <w:spacing w:line="480" w:lineRule="auto"/>
        <w:jc w:val="both"/>
        <w:rPr>
          <w:b/>
          <w:bCs/>
        </w:rPr>
      </w:pPr>
      <w:r w:rsidRPr="00B75A2A">
        <w:rPr>
          <w:b/>
          <w:bCs/>
        </w:rPr>
        <w:t>Conflict of Interest</w:t>
      </w:r>
    </w:p>
    <w:p w14:paraId="297BA268" w14:textId="77777777" w:rsidR="004A2877" w:rsidRPr="00B75A2A" w:rsidRDefault="004A2877" w:rsidP="00B75A2A">
      <w:pPr>
        <w:spacing w:line="480" w:lineRule="auto"/>
        <w:jc w:val="both"/>
      </w:pPr>
      <w:r w:rsidRPr="00B75A2A">
        <w:t>The authors declare no conflicts of interest.</w:t>
      </w:r>
    </w:p>
    <w:p w14:paraId="07123B63" w14:textId="4D601ECB" w:rsidR="004A2877" w:rsidRPr="00B75A2A" w:rsidRDefault="004A2877" w:rsidP="00B75A2A">
      <w:pPr>
        <w:spacing w:line="480" w:lineRule="auto"/>
        <w:jc w:val="both"/>
        <w:rPr>
          <w:b/>
          <w:bCs/>
        </w:rPr>
      </w:pPr>
    </w:p>
    <w:p w14:paraId="7B8A39F8" w14:textId="066AE55E" w:rsidR="00003F09" w:rsidRPr="00B75A2A" w:rsidRDefault="00003F09" w:rsidP="00B75A2A">
      <w:pPr>
        <w:spacing w:line="480" w:lineRule="auto"/>
        <w:jc w:val="both"/>
        <w:rPr>
          <w:b/>
          <w:bCs/>
        </w:rPr>
      </w:pPr>
      <w:r w:rsidRPr="00B75A2A">
        <w:rPr>
          <w:b/>
          <w:bCs/>
        </w:rPr>
        <w:t>Data availability</w:t>
      </w:r>
    </w:p>
    <w:p w14:paraId="61B5F914" w14:textId="4D792EF4" w:rsidR="00003F09" w:rsidRPr="00B75A2A" w:rsidRDefault="00003F09" w:rsidP="00B75A2A">
      <w:pPr>
        <w:spacing w:line="480" w:lineRule="auto"/>
        <w:jc w:val="both"/>
      </w:pPr>
      <w:r w:rsidRPr="00B75A2A">
        <w:t>The datasets analysed during the current study are available in the NCBI Gene Expression Omnibus repository (https://www.ncbi.nlm.nih.gov/geo/query/acc.cgi?acc=GSE130026).</w:t>
      </w:r>
    </w:p>
    <w:p w14:paraId="4DEDF275" w14:textId="3C7B4BE5" w:rsidR="00003F09" w:rsidRPr="00B75A2A" w:rsidRDefault="00003F09" w:rsidP="00B75A2A">
      <w:pPr>
        <w:spacing w:line="480" w:lineRule="auto"/>
        <w:jc w:val="both"/>
        <w:rPr>
          <w:b/>
          <w:bCs/>
        </w:rPr>
      </w:pPr>
    </w:p>
    <w:p w14:paraId="611B5E6A" w14:textId="704F48E8" w:rsidR="00003F09" w:rsidRPr="00B75A2A" w:rsidRDefault="00003F09" w:rsidP="00B75A2A">
      <w:pPr>
        <w:spacing w:line="480" w:lineRule="auto"/>
        <w:jc w:val="both"/>
        <w:rPr>
          <w:b/>
          <w:bCs/>
        </w:rPr>
      </w:pPr>
      <w:r w:rsidRPr="00B75A2A">
        <w:rPr>
          <w:b/>
          <w:bCs/>
        </w:rPr>
        <w:t>Author contributions</w:t>
      </w:r>
    </w:p>
    <w:p w14:paraId="2CACDA5A" w14:textId="4F5EA4E2" w:rsidR="00003F09" w:rsidRPr="00B75A2A" w:rsidRDefault="008E4103" w:rsidP="00B75A2A">
      <w:pPr>
        <w:spacing w:line="480" w:lineRule="auto"/>
        <w:jc w:val="both"/>
      </w:pPr>
      <w:r w:rsidRPr="00B75A2A">
        <w:t xml:space="preserve">PG </w:t>
      </w:r>
      <w:r w:rsidR="00003F09" w:rsidRPr="00B75A2A">
        <w:t xml:space="preserve">and </w:t>
      </w:r>
      <w:r w:rsidRPr="00B75A2A">
        <w:t xml:space="preserve">KP </w:t>
      </w:r>
      <w:r w:rsidR="00003F09" w:rsidRPr="00B75A2A">
        <w:t>conceptualised the project, analysed the data and wrote the manuscript, MI conceptualised the project and reviewed the manuscript, HW analysed the data and wrote the manuscript.</w:t>
      </w:r>
    </w:p>
    <w:p w14:paraId="03820D4D" w14:textId="2F450463" w:rsidR="00003F09" w:rsidRPr="00B75A2A" w:rsidRDefault="00003F09" w:rsidP="00B75A2A">
      <w:pPr>
        <w:spacing w:line="480" w:lineRule="auto"/>
        <w:jc w:val="both"/>
      </w:pPr>
    </w:p>
    <w:p w14:paraId="05C61366" w14:textId="46A7164D" w:rsidR="00003F09" w:rsidRPr="00B75A2A" w:rsidRDefault="00003F09" w:rsidP="00B75A2A">
      <w:pPr>
        <w:spacing w:line="480" w:lineRule="auto"/>
        <w:jc w:val="both"/>
      </w:pPr>
      <w:r w:rsidRPr="00B75A2A">
        <w:rPr>
          <w:b/>
          <w:bCs/>
        </w:rPr>
        <w:t>Acknowledgements</w:t>
      </w:r>
    </w:p>
    <w:p w14:paraId="130F7153" w14:textId="348E06CF" w:rsidR="00003F09" w:rsidRPr="00B75A2A" w:rsidRDefault="00003F09" w:rsidP="00B75A2A">
      <w:pPr>
        <w:spacing w:line="480" w:lineRule="auto"/>
        <w:jc w:val="both"/>
      </w:pPr>
      <w:r w:rsidRPr="00B75A2A">
        <w:t>Not applicable.</w:t>
      </w:r>
    </w:p>
    <w:p w14:paraId="72184576" w14:textId="4BBBCB75" w:rsidR="0079665C" w:rsidRPr="00B75A2A" w:rsidRDefault="0079665C" w:rsidP="00B75A2A">
      <w:pPr>
        <w:spacing w:line="480" w:lineRule="auto"/>
        <w:rPr>
          <w:b/>
          <w:bCs/>
        </w:rPr>
      </w:pPr>
    </w:p>
    <w:p w14:paraId="7B2EBD90" w14:textId="77777777" w:rsidR="00162BA6" w:rsidRPr="00B75A2A" w:rsidRDefault="00162BA6" w:rsidP="00B75A2A">
      <w:pPr>
        <w:spacing w:line="480" w:lineRule="auto"/>
        <w:jc w:val="both"/>
        <w:rPr>
          <w:rFonts w:eastAsiaTheme="minorHAnsi"/>
          <w:b/>
          <w:bCs/>
          <w:lang w:eastAsia="en-US"/>
        </w:rPr>
      </w:pPr>
      <w:r w:rsidRPr="00B75A2A">
        <w:rPr>
          <w:rFonts w:eastAsiaTheme="minorHAnsi"/>
          <w:b/>
          <w:bCs/>
          <w:lang w:eastAsia="en-US"/>
        </w:rPr>
        <w:t>Ethics approval and consent to participate</w:t>
      </w:r>
    </w:p>
    <w:p w14:paraId="76E99FA0" w14:textId="77777777" w:rsidR="00162BA6" w:rsidRPr="00B75A2A" w:rsidRDefault="00162BA6" w:rsidP="00B75A2A">
      <w:pPr>
        <w:spacing w:line="480" w:lineRule="auto"/>
        <w:jc w:val="both"/>
      </w:pPr>
      <w:r w:rsidRPr="00B75A2A">
        <w:t>Not applicable.</w:t>
      </w:r>
    </w:p>
    <w:p w14:paraId="7E792EAD" w14:textId="0AB18202" w:rsidR="00162BA6" w:rsidRPr="00B75A2A" w:rsidRDefault="00162BA6" w:rsidP="00B75A2A">
      <w:pPr>
        <w:spacing w:line="480" w:lineRule="auto"/>
        <w:rPr>
          <w:b/>
          <w:bCs/>
        </w:rPr>
      </w:pPr>
    </w:p>
    <w:p w14:paraId="5E53949B" w14:textId="77777777" w:rsidR="00162BA6" w:rsidRPr="00B75A2A" w:rsidRDefault="00162BA6" w:rsidP="00B75A2A">
      <w:pPr>
        <w:spacing w:line="480" w:lineRule="auto"/>
        <w:jc w:val="both"/>
        <w:rPr>
          <w:rFonts w:eastAsiaTheme="minorHAnsi"/>
          <w:b/>
          <w:bCs/>
          <w:lang w:eastAsia="en-US"/>
        </w:rPr>
      </w:pPr>
      <w:r w:rsidRPr="00B75A2A">
        <w:rPr>
          <w:rFonts w:eastAsiaTheme="minorHAnsi"/>
          <w:b/>
          <w:bCs/>
          <w:lang w:eastAsia="en-US"/>
        </w:rPr>
        <w:lastRenderedPageBreak/>
        <w:t>Consent for publication</w:t>
      </w:r>
    </w:p>
    <w:p w14:paraId="48DD3262" w14:textId="19D226FD" w:rsidR="0079665C" w:rsidRDefault="00162BA6" w:rsidP="00B75A2A">
      <w:pPr>
        <w:spacing w:line="480" w:lineRule="auto"/>
        <w:jc w:val="both"/>
      </w:pPr>
      <w:r w:rsidRPr="00B75A2A">
        <w:t>Not applicable.</w:t>
      </w:r>
    </w:p>
    <w:p w14:paraId="2E2E773A" w14:textId="77777777" w:rsidR="004E7AC0" w:rsidRPr="00B75A2A" w:rsidRDefault="004E7AC0" w:rsidP="00B75A2A">
      <w:pPr>
        <w:spacing w:line="480" w:lineRule="auto"/>
        <w:jc w:val="both"/>
      </w:pPr>
    </w:p>
    <w:p w14:paraId="7EFF9228" w14:textId="5A66CF37" w:rsidR="00192082" w:rsidRPr="00B75A2A" w:rsidRDefault="004A2877" w:rsidP="00B75A2A">
      <w:pPr>
        <w:spacing w:line="480" w:lineRule="auto"/>
        <w:rPr>
          <w:b/>
          <w:bCs/>
        </w:rPr>
      </w:pPr>
      <w:r w:rsidRPr="00B75A2A">
        <w:rPr>
          <w:b/>
          <w:bCs/>
        </w:rPr>
        <w:t>REFERENCES</w:t>
      </w:r>
      <w:bookmarkEnd w:id="4"/>
    </w:p>
    <w:p w14:paraId="3E47AAC7" w14:textId="77777777" w:rsidR="00A426D4" w:rsidRPr="00B75A2A" w:rsidRDefault="00A426D4" w:rsidP="00B75A2A">
      <w:pPr>
        <w:spacing w:line="480" w:lineRule="auto"/>
        <w:jc w:val="both"/>
        <w:rPr>
          <w:b/>
          <w:bCs/>
        </w:rPr>
      </w:pPr>
    </w:p>
    <w:p w14:paraId="4389B623" w14:textId="77777777" w:rsidR="00CF202C" w:rsidRPr="00B75A2A" w:rsidRDefault="00192082"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b/>
          <w:bCs/>
          <w:sz w:val="24"/>
          <w:szCs w:val="24"/>
        </w:rPr>
        <w:fldChar w:fldCharType="begin"/>
      </w:r>
      <w:r w:rsidRPr="00B75A2A">
        <w:rPr>
          <w:rFonts w:ascii="Times New Roman" w:hAnsi="Times New Roman" w:cs="Times New Roman"/>
          <w:b/>
          <w:bCs/>
          <w:sz w:val="24"/>
          <w:szCs w:val="24"/>
        </w:rPr>
        <w:instrText xml:space="preserve"> ADDIN EN.REFLIST </w:instrText>
      </w:r>
      <w:r w:rsidRPr="00B75A2A">
        <w:rPr>
          <w:rFonts w:ascii="Times New Roman" w:hAnsi="Times New Roman" w:cs="Times New Roman"/>
          <w:b/>
          <w:bCs/>
          <w:sz w:val="24"/>
          <w:szCs w:val="24"/>
        </w:rPr>
        <w:fldChar w:fldCharType="separate"/>
      </w:r>
      <w:r w:rsidR="00CF202C" w:rsidRPr="00B75A2A">
        <w:rPr>
          <w:rFonts w:ascii="Times New Roman" w:hAnsi="Times New Roman" w:cs="Times New Roman"/>
          <w:sz w:val="24"/>
          <w:szCs w:val="24"/>
        </w:rPr>
        <w:t>1.</w:t>
      </w:r>
      <w:r w:rsidR="00CF202C" w:rsidRPr="00B75A2A">
        <w:rPr>
          <w:rFonts w:ascii="Times New Roman" w:hAnsi="Times New Roman" w:cs="Times New Roman"/>
          <w:sz w:val="24"/>
          <w:szCs w:val="24"/>
        </w:rPr>
        <w:tab/>
        <w:t xml:space="preserve">Akha AAS: </w:t>
      </w:r>
      <w:r w:rsidR="00CF202C" w:rsidRPr="00B75A2A">
        <w:rPr>
          <w:rFonts w:ascii="Times New Roman" w:hAnsi="Times New Roman" w:cs="Times New Roman"/>
          <w:b/>
          <w:sz w:val="24"/>
          <w:szCs w:val="24"/>
        </w:rPr>
        <w:t>Aging and the immune system: An overview</w:t>
      </w:r>
      <w:r w:rsidR="00CF202C" w:rsidRPr="00B75A2A">
        <w:rPr>
          <w:rFonts w:ascii="Times New Roman" w:hAnsi="Times New Roman" w:cs="Times New Roman"/>
          <w:sz w:val="24"/>
          <w:szCs w:val="24"/>
        </w:rPr>
        <w:t xml:space="preserve">. </w:t>
      </w:r>
      <w:r w:rsidR="00CF202C" w:rsidRPr="00B75A2A">
        <w:rPr>
          <w:rFonts w:ascii="Times New Roman" w:hAnsi="Times New Roman" w:cs="Times New Roman"/>
          <w:i/>
          <w:sz w:val="24"/>
          <w:szCs w:val="24"/>
        </w:rPr>
        <w:t xml:space="preserve">Journal of immunological methods </w:t>
      </w:r>
      <w:r w:rsidR="00CF202C" w:rsidRPr="00B75A2A">
        <w:rPr>
          <w:rFonts w:ascii="Times New Roman" w:hAnsi="Times New Roman" w:cs="Times New Roman"/>
          <w:sz w:val="24"/>
          <w:szCs w:val="24"/>
        </w:rPr>
        <w:t xml:space="preserve">2018, </w:t>
      </w:r>
      <w:r w:rsidR="00CF202C" w:rsidRPr="00B75A2A">
        <w:rPr>
          <w:rFonts w:ascii="Times New Roman" w:hAnsi="Times New Roman" w:cs="Times New Roman"/>
          <w:b/>
          <w:sz w:val="24"/>
          <w:szCs w:val="24"/>
        </w:rPr>
        <w:t>463</w:t>
      </w:r>
      <w:r w:rsidR="00CF202C" w:rsidRPr="00B75A2A">
        <w:rPr>
          <w:rFonts w:ascii="Times New Roman" w:hAnsi="Times New Roman" w:cs="Times New Roman"/>
          <w:sz w:val="24"/>
          <w:szCs w:val="24"/>
        </w:rPr>
        <w:t>:21-26.</w:t>
      </w:r>
    </w:p>
    <w:p w14:paraId="1C38BD78"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2.</w:t>
      </w:r>
      <w:r w:rsidRPr="00B75A2A">
        <w:rPr>
          <w:rFonts w:ascii="Times New Roman" w:hAnsi="Times New Roman" w:cs="Times New Roman"/>
          <w:sz w:val="24"/>
          <w:szCs w:val="24"/>
        </w:rPr>
        <w:tab/>
        <w:t xml:space="preserve">Bosco N, Noti M: </w:t>
      </w:r>
      <w:r w:rsidRPr="00B75A2A">
        <w:rPr>
          <w:rFonts w:ascii="Times New Roman" w:hAnsi="Times New Roman" w:cs="Times New Roman"/>
          <w:b/>
          <w:sz w:val="24"/>
          <w:szCs w:val="24"/>
        </w:rPr>
        <w:t>The aging gut microbiome and its impact on host immunity</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Genes &amp; Immunity </w:t>
      </w:r>
      <w:r w:rsidRPr="00B75A2A">
        <w:rPr>
          <w:rFonts w:ascii="Times New Roman" w:hAnsi="Times New Roman" w:cs="Times New Roman"/>
          <w:sz w:val="24"/>
          <w:szCs w:val="24"/>
        </w:rPr>
        <w:t xml:space="preserve">2021, </w:t>
      </w:r>
      <w:r w:rsidRPr="00B75A2A">
        <w:rPr>
          <w:rFonts w:ascii="Times New Roman" w:hAnsi="Times New Roman" w:cs="Times New Roman"/>
          <w:b/>
          <w:sz w:val="24"/>
          <w:szCs w:val="24"/>
        </w:rPr>
        <w:t>22</w:t>
      </w:r>
      <w:r w:rsidRPr="00B75A2A">
        <w:rPr>
          <w:rFonts w:ascii="Times New Roman" w:hAnsi="Times New Roman" w:cs="Times New Roman"/>
          <w:sz w:val="24"/>
          <w:szCs w:val="24"/>
        </w:rPr>
        <w:t>(5):289-303.</w:t>
      </w:r>
    </w:p>
    <w:p w14:paraId="48B898EA"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3.</w:t>
      </w:r>
      <w:r w:rsidRPr="00B75A2A">
        <w:rPr>
          <w:rFonts w:ascii="Times New Roman" w:hAnsi="Times New Roman" w:cs="Times New Roman"/>
          <w:sz w:val="24"/>
          <w:szCs w:val="24"/>
        </w:rPr>
        <w:tab/>
        <w:t xml:space="preserve">Atarashi K, Tanoue T, Ando M, Kamada N, Nagano Y, Narushima S, Suda W, Imaoka A, Setoyama H, Nagamori T: </w:t>
      </w:r>
      <w:r w:rsidRPr="00B75A2A">
        <w:rPr>
          <w:rFonts w:ascii="Times New Roman" w:hAnsi="Times New Roman" w:cs="Times New Roman"/>
          <w:b/>
          <w:sz w:val="24"/>
          <w:szCs w:val="24"/>
        </w:rPr>
        <w:t>Th17 cell induction by adhesion of microbes to intestinal epithelial cells</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Cell </w:t>
      </w:r>
      <w:r w:rsidRPr="00B75A2A">
        <w:rPr>
          <w:rFonts w:ascii="Times New Roman" w:hAnsi="Times New Roman" w:cs="Times New Roman"/>
          <w:sz w:val="24"/>
          <w:szCs w:val="24"/>
        </w:rPr>
        <w:t xml:space="preserve">2015, </w:t>
      </w:r>
      <w:r w:rsidRPr="00B75A2A">
        <w:rPr>
          <w:rFonts w:ascii="Times New Roman" w:hAnsi="Times New Roman" w:cs="Times New Roman"/>
          <w:b/>
          <w:sz w:val="24"/>
          <w:szCs w:val="24"/>
        </w:rPr>
        <w:t>163</w:t>
      </w:r>
      <w:r w:rsidRPr="00B75A2A">
        <w:rPr>
          <w:rFonts w:ascii="Times New Roman" w:hAnsi="Times New Roman" w:cs="Times New Roman"/>
          <w:sz w:val="24"/>
          <w:szCs w:val="24"/>
        </w:rPr>
        <w:t>(2):367-380.</w:t>
      </w:r>
    </w:p>
    <w:p w14:paraId="0B3B0CD3"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4.</w:t>
      </w:r>
      <w:r w:rsidRPr="00B75A2A">
        <w:rPr>
          <w:rFonts w:ascii="Times New Roman" w:hAnsi="Times New Roman" w:cs="Times New Roman"/>
          <w:sz w:val="24"/>
          <w:szCs w:val="24"/>
        </w:rPr>
        <w:tab/>
        <w:t xml:space="preserve">Furusawa Y, Obata Y, Fukuda S, Endo TA, Nakato G, Takahashi D, Nakanishi Y, Uetake C, Kato K, Kato T: </w:t>
      </w:r>
      <w:r w:rsidRPr="00B75A2A">
        <w:rPr>
          <w:rFonts w:ascii="Times New Roman" w:hAnsi="Times New Roman" w:cs="Times New Roman"/>
          <w:b/>
          <w:sz w:val="24"/>
          <w:szCs w:val="24"/>
        </w:rPr>
        <w:t>Commensal microbe-derived butyrate induces the differentiation of colonic regulatory T cells</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Nature </w:t>
      </w:r>
      <w:r w:rsidRPr="00B75A2A">
        <w:rPr>
          <w:rFonts w:ascii="Times New Roman" w:hAnsi="Times New Roman" w:cs="Times New Roman"/>
          <w:sz w:val="24"/>
          <w:szCs w:val="24"/>
        </w:rPr>
        <w:t xml:space="preserve">2013, </w:t>
      </w:r>
      <w:r w:rsidRPr="00B75A2A">
        <w:rPr>
          <w:rFonts w:ascii="Times New Roman" w:hAnsi="Times New Roman" w:cs="Times New Roman"/>
          <w:b/>
          <w:sz w:val="24"/>
          <w:szCs w:val="24"/>
        </w:rPr>
        <w:t>504</w:t>
      </w:r>
      <w:r w:rsidRPr="00B75A2A">
        <w:rPr>
          <w:rFonts w:ascii="Times New Roman" w:hAnsi="Times New Roman" w:cs="Times New Roman"/>
          <w:sz w:val="24"/>
          <w:szCs w:val="24"/>
        </w:rPr>
        <w:t>(7480):446-450.</w:t>
      </w:r>
    </w:p>
    <w:p w14:paraId="50631510"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5.</w:t>
      </w:r>
      <w:r w:rsidRPr="00B75A2A">
        <w:rPr>
          <w:rFonts w:ascii="Times New Roman" w:hAnsi="Times New Roman" w:cs="Times New Roman"/>
          <w:sz w:val="24"/>
          <w:szCs w:val="24"/>
        </w:rPr>
        <w:tab/>
        <w:t xml:space="preserve">Hansson J, Bosco N, Favre L, Raymond F, Oliveira M, Metairon S, Mansourian R, Blum S, Kussmann M, Benyacoub J: </w:t>
      </w:r>
      <w:r w:rsidRPr="00B75A2A">
        <w:rPr>
          <w:rFonts w:ascii="Times New Roman" w:hAnsi="Times New Roman" w:cs="Times New Roman"/>
          <w:b/>
          <w:sz w:val="24"/>
          <w:szCs w:val="24"/>
        </w:rPr>
        <w:t>Influence of gut microbiota on mouse B2 B cell ontogeny and function</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Molecular immunology </w:t>
      </w:r>
      <w:r w:rsidRPr="00B75A2A">
        <w:rPr>
          <w:rFonts w:ascii="Times New Roman" w:hAnsi="Times New Roman" w:cs="Times New Roman"/>
          <w:sz w:val="24"/>
          <w:szCs w:val="24"/>
        </w:rPr>
        <w:t xml:space="preserve">2011, </w:t>
      </w:r>
      <w:r w:rsidRPr="00B75A2A">
        <w:rPr>
          <w:rFonts w:ascii="Times New Roman" w:hAnsi="Times New Roman" w:cs="Times New Roman"/>
          <w:b/>
          <w:sz w:val="24"/>
          <w:szCs w:val="24"/>
        </w:rPr>
        <w:t>48</w:t>
      </w:r>
      <w:r w:rsidRPr="00B75A2A">
        <w:rPr>
          <w:rFonts w:ascii="Times New Roman" w:hAnsi="Times New Roman" w:cs="Times New Roman"/>
          <w:sz w:val="24"/>
          <w:szCs w:val="24"/>
        </w:rPr>
        <w:t>(9-10):1091-1101.</w:t>
      </w:r>
    </w:p>
    <w:p w14:paraId="68D43FAD"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6.</w:t>
      </w:r>
      <w:r w:rsidRPr="00B75A2A">
        <w:rPr>
          <w:rFonts w:ascii="Times New Roman" w:hAnsi="Times New Roman" w:cs="Times New Roman"/>
          <w:sz w:val="24"/>
          <w:szCs w:val="24"/>
        </w:rPr>
        <w:tab/>
        <w:t xml:space="preserve">Satoh-Takayama N, Kato T, Motomura Y, Kageyama T, Taguchi-Atarashi N, Kinoshita-Daitoku R, Kuroda E, Di Santo JP, Mimuro H, Moro K: </w:t>
      </w:r>
      <w:r w:rsidRPr="00B75A2A">
        <w:rPr>
          <w:rFonts w:ascii="Times New Roman" w:hAnsi="Times New Roman" w:cs="Times New Roman"/>
          <w:b/>
          <w:sz w:val="24"/>
          <w:szCs w:val="24"/>
        </w:rPr>
        <w:t>Bacteria-induced group 2 innate lymphoid cells in the stomach provide immune protection through induction of IgA</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Immunity </w:t>
      </w:r>
      <w:r w:rsidRPr="00B75A2A">
        <w:rPr>
          <w:rFonts w:ascii="Times New Roman" w:hAnsi="Times New Roman" w:cs="Times New Roman"/>
          <w:sz w:val="24"/>
          <w:szCs w:val="24"/>
        </w:rPr>
        <w:t xml:space="preserve">2020, </w:t>
      </w:r>
      <w:r w:rsidRPr="00B75A2A">
        <w:rPr>
          <w:rFonts w:ascii="Times New Roman" w:hAnsi="Times New Roman" w:cs="Times New Roman"/>
          <w:b/>
          <w:sz w:val="24"/>
          <w:szCs w:val="24"/>
        </w:rPr>
        <w:t>52</w:t>
      </w:r>
      <w:r w:rsidRPr="00B75A2A">
        <w:rPr>
          <w:rFonts w:ascii="Times New Roman" w:hAnsi="Times New Roman" w:cs="Times New Roman"/>
          <w:sz w:val="24"/>
          <w:szCs w:val="24"/>
        </w:rPr>
        <w:t>(4):635-649. e634.</w:t>
      </w:r>
    </w:p>
    <w:p w14:paraId="3D214277"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7.</w:t>
      </w:r>
      <w:r w:rsidRPr="00B75A2A">
        <w:rPr>
          <w:rFonts w:ascii="Times New Roman" w:hAnsi="Times New Roman" w:cs="Times New Roman"/>
          <w:sz w:val="24"/>
          <w:szCs w:val="24"/>
        </w:rPr>
        <w:tab/>
        <w:t xml:space="preserve">Fransen F, Van Beek AA, Borghuis T, Aidy SE, Hugenholtz F, van der Gaast–de Jongh C, Savelkoul HF, De Jonge MI, Boekschoten MV, Smidt H: </w:t>
      </w:r>
      <w:r w:rsidRPr="00B75A2A">
        <w:rPr>
          <w:rFonts w:ascii="Times New Roman" w:hAnsi="Times New Roman" w:cs="Times New Roman"/>
          <w:b/>
          <w:sz w:val="24"/>
          <w:szCs w:val="24"/>
        </w:rPr>
        <w:t xml:space="preserve">Aged gut microbiota </w:t>
      </w:r>
      <w:r w:rsidRPr="00B75A2A">
        <w:rPr>
          <w:rFonts w:ascii="Times New Roman" w:hAnsi="Times New Roman" w:cs="Times New Roman"/>
          <w:b/>
          <w:sz w:val="24"/>
          <w:szCs w:val="24"/>
        </w:rPr>
        <w:lastRenderedPageBreak/>
        <w:t>contributes to systemical inflammaging after transfer to germ-free mice</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Frontiers in immunology </w:t>
      </w:r>
      <w:r w:rsidRPr="00B75A2A">
        <w:rPr>
          <w:rFonts w:ascii="Times New Roman" w:hAnsi="Times New Roman" w:cs="Times New Roman"/>
          <w:sz w:val="24"/>
          <w:szCs w:val="24"/>
        </w:rPr>
        <w:t xml:space="preserve">2017, </w:t>
      </w:r>
      <w:r w:rsidRPr="00B75A2A">
        <w:rPr>
          <w:rFonts w:ascii="Times New Roman" w:hAnsi="Times New Roman" w:cs="Times New Roman"/>
          <w:b/>
          <w:sz w:val="24"/>
          <w:szCs w:val="24"/>
        </w:rPr>
        <w:t>8</w:t>
      </w:r>
      <w:r w:rsidRPr="00B75A2A">
        <w:rPr>
          <w:rFonts w:ascii="Times New Roman" w:hAnsi="Times New Roman" w:cs="Times New Roman"/>
          <w:sz w:val="24"/>
          <w:szCs w:val="24"/>
        </w:rPr>
        <w:t>:1385.</w:t>
      </w:r>
    </w:p>
    <w:p w14:paraId="5C26D4E7"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8.</w:t>
      </w:r>
      <w:r w:rsidRPr="00B75A2A">
        <w:rPr>
          <w:rFonts w:ascii="Times New Roman" w:hAnsi="Times New Roman" w:cs="Times New Roman"/>
          <w:sz w:val="24"/>
          <w:szCs w:val="24"/>
        </w:rPr>
        <w:tab/>
        <w:t xml:space="preserve">Kundu P, Lee HU, Garcia-Perez I, Tay EXY, Kim H, Faylon LE, Martin KA, Purbojati R, Drautz-Moses DI, Ghosh S: </w:t>
      </w:r>
      <w:r w:rsidRPr="00B75A2A">
        <w:rPr>
          <w:rFonts w:ascii="Times New Roman" w:hAnsi="Times New Roman" w:cs="Times New Roman"/>
          <w:b/>
          <w:sz w:val="24"/>
          <w:szCs w:val="24"/>
        </w:rPr>
        <w:t>Neurogenesis and prolongevity signaling in young germ-free mice transplanted with the gut microbiota of old mice</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Science Translational Medicine </w:t>
      </w:r>
      <w:r w:rsidRPr="00B75A2A">
        <w:rPr>
          <w:rFonts w:ascii="Times New Roman" w:hAnsi="Times New Roman" w:cs="Times New Roman"/>
          <w:sz w:val="24"/>
          <w:szCs w:val="24"/>
        </w:rPr>
        <w:t xml:space="preserve">2019, </w:t>
      </w:r>
      <w:r w:rsidRPr="00B75A2A">
        <w:rPr>
          <w:rFonts w:ascii="Times New Roman" w:hAnsi="Times New Roman" w:cs="Times New Roman"/>
          <w:b/>
          <w:sz w:val="24"/>
          <w:szCs w:val="24"/>
        </w:rPr>
        <w:t>11</w:t>
      </w:r>
      <w:r w:rsidRPr="00B75A2A">
        <w:rPr>
          <w:rFonts w:ascii="Times New Roman" w:hAnsi="Times New Roman" w:cs="Times New Roman"/>
          <w:sz w:val="24"/>
          <w:szCs w:val="24"/>
        </w:rPr>
        <w:t>(518):eaau4760.</w:t>
      </w:r>
    </w:p>
    <w:p w14:paraId="472C67AF"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9.</w:t>
      </w:r>
      <w:r w:rsidRPr="00B75A2A">
        <w:rPr>
          <w:rFonts w:ascii="Times New Roman" w:hAnsi="Times New Roman" w:cs="Times New Roman"/>
          <w:sz w:val="24"/>
          <w:szCs w:val="24"/>
        </w:rPr>
        <w:tab/>
        <w:t xml:space="preserve">Szklarczyk D, Gable AL, Nastou KC, Lyon D, Kirsch R, Pyysalo S, Doncheva NT, Legeay M, Fang T, Bork P: </w:t>
      </w:r>
      <w:r w:rsidRPr="00B75A2A">
        <w:rPr>
          <w:rFonts w:ascii="Times New Roman" w:hAnsi="Times New Roman" w:cs="Times New Roman"/>
          <w:b/>
          <w:sz w:val="24"/>
          <w:szCs w:val="24"/>
        </w:rPr>
        <w:t>The STRING database in 2021: customizable protein–protein networks, and functional characterization of user-uploaded gene/measurement sets</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Nucleic acids research </w:t>
      </w:r>
      <w:r w:rsidRPr="00B75A2A">
        <w:rPr>
          <w:rFonts w:ascii="Times New Roman" w:hAnsi="Times New Roman" w:cs="Times New Roman"/>
          <w:sz w:val="24"/>
          <w:szCs w:val="24"/>
        </w:rPr>
        <w:t xml:space="preserve">2021, </w:t>
      </w:r>
      <w:r w:rsidRPr="00B75A2A">
        <w:rPr>
          <w:rFonts w:ascii="Times New Roman" w:hAnsi="Times New Roman" w:cs="Times New Roman"/>
          <w:b/>
          <w:sz w:val="24"/>
          <w:szCs w:val="24"/>
        </w:rPr>
        <w:t>49</w:t>
      </w:r>
      <w:r w:rsidRPr="00B75A2A">
        <w:rPr>
          <w:rFonts w:ascii="Times New Roman" w:hAnsi="Times New Roman" w:cs="Times New Roman"/>
          <w:sz w:val="24"/>
          <w:szCs w:val="24"/>
        </w:rPr>
        <w:t>(D1):D605-D612.</w:t>
      </w:r>
    </w:p>
    <w:p w14:paraId="58661583"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10.</w:t>
      </w:r>
      <w:r w:rsidRPr="00B75A2A">
        <w:rPr>
          <w:rFonts w:ascii="Times New Roman" w:hAnsi="Times New Roman" w:cs="Times New Roman"/>
          <w:sz w:val="24"/>
          <w:szCs w:val="24"/>
        </w:rPr>
        <w:tab/>
        <w:t xml:space="preserve">Subramanian A, Tamayo P, Mootha VK, Mukherjee S, Ebert BL, Gillette MA, Paulovich A, Pomeroy SL, Golub TR, Lander ES: </w:t>
      </w:r>
      <w:r w:rsidRPr="00B75A2A">
        <w:rPr>
          <w:rFonts w:ascii="Times New Roman" w:hAnsi="Times New Roman" w:cs="Times New Roman"/>
          <w:b/>
          <w:sz w:val="24"/>
          <w:szCs w:val="24"/>
        </w:rPr>
        <w:t>Gene set enrichment analysis: a knowledge-based approach for interpreting genome-wide expression profiles</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Proceedings of the National Academy of Sciences </w:t>
      </w:r>
      <w:r w:rsidRPr="00B75A2A">
        <w:rPr>
          <w:rFonts w:ascii="Times New Roman" w:hAnsi="Times New Roman" w:cs="Times New Roman"/>
          <w:sz w:val="24"/>
          <w:szCs w:val="24"/>
        </w:rPr>
        <w:t xml:space="preserve">2005, </w:t>
      </w:r>
      <w:r w:rsidRPr="00B75A2A">
        <w:rPr>
          <w:rFonts w:ascii="Times New Roman" w:hAnsi="Times New Roman" w:cs="Times New Roman"/>
          <w:b/>
          <w:sz w:val="24"/>
          <w:szCs w:val="24"/>
        </w:rPr>
        <w:t>102</w:t>
      </w:r>
      <w:r w:rsidRPr="00B75A2A">
        <w:rPr>
          <w:rFonts w:ascii="Times New Roman" w:hAnsi="Times New Roman" w:cs="Times New Roman"/>
          <w:sz w:val="24"/>
          <w:szCs w:val="24"/>
        </w:rPr>
        <w:t>(43):15545-15550.</w:t>
      </w:r>
    </w:p>
    <w:p w14:paraId="3C03D4E8"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11.</w:t>
      </w:r>
      <w:r w:rsidRPr="00B75A2A">
        <w:rPr>
          <w:rFonts w:ascii="Times New Roman" w:hAnsi="Times New Roman" w:cs="Times New Roman"/>
          <w:sz w:val="24"/>
          <w:szCs w:val="24"/>
        </w:rPr>
        <w:tab/>
        <w:t xml:space="preserve">Liberzon A, Subramanian A, Pinchback R, Thorvaldsdóttir H, Tamayo P, Mesirov JP: </w:t>
      </w:r>
      <w:r w:rsidRPr="00B75A2A">
        <w:rPr>
          <w:rFonts w:ascii="Times New Roman" w:hAnsi="Times New Roman" w:cs="Times New Roman"/>
          <w:b/>
          <w:sz w:val="24"/>
          <w:szCs w:val="24"/>
        </w:rPr>
        <w:t>Molecular signatures database (MSigDB) 3.0</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Bioinformatics </w:t>
      </w:r>
      <w:r w:rsidRPr="00B75A2A">
        <w:rPr>
          <w:rFonts w:ascii="Times New Roman" w:hAnsi="Times New Roman" w:cs="Times New Roman"/>
          <w:sz w:val="24"/>
          <w:szCs w:val="24"/>
        </w:rPr>
        <w:t xml:space="preserve">2011, </w:t>
      </w:r>
      <w:r w:rsidRPr="00B75A2A">
        <w:rPr>
          <w:rFonts w:ascii="Times New Roman" w:hAnsi="Times New Roman" w:cs="Times New Roman"/>
          <w:b/>
          <w:sz w:val="24"/>
          <w:szCs w:val="24"/>
        </w:rPr>
        <w:t>27</w:t>
      </w:r>
      <w:r w:rsidRPr="00B75A2A">
        <w:rPr>
          <w:rFonts w:ascii="Times New Roman" w:hAnsi="Times New Roman" w:cs="Times New Roman"/>
          <w:sz w:val="24"/>
          <w:szCs w:val="24"/>
        </w:rPr>
        <w:t>(12):1739-1740.</w:t>
      </w:r>
    </w:p>
    <w:p w14:paraId="3A9EB34C"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12.</w:t>
      </w:r>
      <w:r w:rsidRPr="00B75A2A">
        <w:rPr>
          <w:rFonts w:ascii="Times New Roman" w:hAnsi="Times New Roman" w:cs="Times New Roman"/>
          <w:sz w:val="24"/>
          <w:szCs w:val="24"/>
        </w:rPr>
        <w:tab/>
        <w:t xml:space="preserve">Krämer A, Green J, Pollard Jr J, Tugendreich S: </w:t>
      </w:r>
      <w:r w:rsidRPr="00B75A2A">
        <w:rPr>
          <w:rFonts w:ascii="Times New Roman" w:hAnsi="Times New Roman" w:cs="Times New Roman"/>
          <w:b/>
          <w:sz w:val="24"/>
          <w:szCs w:val="24"/>
        </w:rPr>
        <w:t>Causal analysis approaches in ingenuity pathway analysis</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Bioinformatics </w:t>
      </w:r>
      <w:r w:rsidRPr="00B75A2A">
        <w:rPr>
          <w:rFonts w:ascii="Times New Roman" w:hAnsi="Times New Roman" w:cs="Times New Roman"/>
          <w:sz w:val="24"/>
          <w:szCs w:val="24"/>
        </w:rPr>
        <w:t xml:space="preserve">2014, </w:t>
      </w:r>
      <w:r w:rsidRPr="00B75A2A">
        <w:rPr>
          <w:rFonts w:ascii="Times New Roman" w:hAnsi="Times New Roman" w:cs="Times New Roman"/>
          <w:b/>
          <w:sz w:val="24"/>
          <w:szCs w:val="24"/>
        </w:rPr>
        <w:t>30</w:t>
      </w:r>
      <w:r w:rsidRPr="00B75A2A">
        <w:rPr>
          <w:rFonts w:ascii="Times New Roman" w:hAnsi="Times New Roman" w:cs="Times New Roman"/>
          <w:sz w:val="24"/>
          <w:szCs w:val="24"/>
        </w:rPr>
        <w:t>(4):523-530.</w:t>
      </w:r>
    </w:p>
    <w:p w14:paraId="3B004AAB"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13.</w:t>
      </w:r>
      <w:r w:rsidRPr="00B75A2A">
        <w:rPr>
          <w:rFonts w:ascii="Times New Roman" w:hAnsi="Times New Roman" w:cs="Times New Roman"/>
          <w:sz w:val="24"/>
          <w:szCs w:val="24"/>
        </w:rPr>
        <w:tab/>
        <w:t xml:space="preserve">Tang Z, Kang B, Li C, Chen T, Zhang Z: </w:t>
      </w:r>
      <w:r w:rsidRPr="00B75A2A">
        <w:rPr>
          <w:rFonts w:ascii="Times New Roman" w:hAnsi="Times New Roman" w:cs="Times New Roman"/>
          <w:b/>
          <w:sz w:val="24"/>
          <w:szCs w:val="24"/>
        </w:rPr>
        <w:t>GEPIA2: an enhanced web server for large-scale expression profiling and interactive analysis</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Nucleic acids research </w:t>
      </w:r>
      <w:r w:rsidRPr="00B75A2A">
        <w:rPr>
          <w:rFonts w:ascii="Times New Roman" w:hAnsi="Times New Roman" w:cs="Times New Roman"/>
          <w:sz w:val="24"/>
          <w:szCs w:val="24"/>
        </w:rPr>
        <w:t xml:space="preserve">2019, </w:t>
      </w:r>
      <w:r w:rsidRPr="00B75A2A">
        <w:rPr>
          <w:rFonts w:ascii="Times New Roman" w:hAnsi="Times New Roman" w:cs="Times New Roman"/>
          <w:b/>
          <w:sz w:val="24"/>
          <w:szCs w:val="24"/>
        </w:rPr>
        <w:t>47</w:t>
      </w:r>
      <w:r w:rsidRPr="00B75A2A">
        <w:rPr>
          <w:rFonts w:ascii="Times New Roman" w:hAnsi="Times New Roman" w:cs="Times New Roman"/>
          <w:sz w:val="24"/>
          <w:szCs w:val="24"/>
        </w:rPr>
        <w:t>(W1):W556-W560.</w:t>
      </w:r>
    </w:p>
    <w:p w14:paraId="50B26BE6"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14.</w:t>
      </w:r>
      <w:r w:rsidRPr="00B75A2A">
        <w:rPr>
          <w:rFonts w:ascii="Times New Roman" w:hAnsi="Times New Roman" w:cs="Times New Roman"/>
          <w:sz w:val="24"/>
          <w:szCs w:val="24"/>
        </w:rPr>
        <w:tab/>
        <w:t xml:space="preserve">Thevaranjan N, Puchta A, Schulz C, Naidoo A, Szamosi J, Verschoor CP, Loukov D, Schenck LP, Jury J, Foley KP: </w:t>
      </w:r>
      <w:r w:rsidRPr="00B75A2A">
        <w:rPr>
          <w:rFonts w:ascii="Times New Roman" w:hAnsi="Times New Roman" w:cs="Times New Roman"/>
          <w:b/>
          <w:sz w:val="24"/>
          <w:szCs w:val="24"/>
        </w:rPr>
        <w:t xml:space="preserve">Age-associated microbial dysbiosis promotes </w:t>
      </w:r>
      <w:r w:rsidRPr="00B75A2A">
        <w:rPr>
          <w:rFonts w:ascii="Times New Roman" w:hAnsi="Times New Roman" w:cs="Times New Roman"/>
          <w:b/>
          <w:sz w:val="24"/>
          <w:szCs w:val="24"/>
        </w:rPr>
        <w:lastRenderedPageBreak/>
        <w:t>intestinal permeability, systemic inflammation, and macrophage dysfunction</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Cell host &amp; microbe </w:t>
      </w:r>
      <w:r w:rsidRPr="00B75A2A">
        <w:rPr>
          <w:rFonts w:ascii="Times New Roman" w:hAnsi="Times New Roman" w:cs="Times New Roman"/>
          <w:sz w:val="24"/>
          <w:szCs w:val="24"/>
        </w:rPr>
        <w:t xml:space="preserve">2017, </w:t>
      </w:r>
      <w:r w:rsidRPr="00B75A2A">
        <w:rPr>
          <w:rFonts w:ascii="Times New Roman" w:hAnsi="Times New Roman" w:cs="Times New Roman"/>
          <w:b/>
          <w:sz w:val="24"/>
          <w:szCs w:val="24"/>
        </w:rPr>
        <w:t>21</w:t>
      </w:r>
      <w:r w:rsidRPr="00B75A2A">
        <w:rPr>
          <w:rFonts w:ascii="Times New Roman" w:hAnsi="Times New Roman" w:cs="Times New Roman"/>
          <w:sz w:val="24"/>
          <w:szCs w:val="24"/>
        </w:rPr>
        <w:t>(4):455-466. e454.</w:t>
      </w:r>
    </w:p>
    <w:p w14:paraId="6EBFFDD2"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15.</w:t>
      </w:r>
      <w:r w:rsidRPr="00B75A2A">
        <w:rPr>
          <w:rFonts w:ascii="Times New Roman" w:hAnsi="Times New Roman" w:cs="Times New Roman"/>
          <w:sz w:val="24"/>
          <w:szCs w:val="24"/>
        </w:rPr>
        <w:tab/>
        <w:t xml:space="preserve">Fling SP, Arp B, Pious D: </w:t>
      </w:r>
      <w:r w:rsidRPr="00B75A2A">
        <w:rPr>
          <w:rFonts w:ascii="Times New Roman" w:hAnsi="Times New Roman" w:cs="Times New Roman"/>
          <w:b/>
          <w:sz w:val="24"/>
          <w:szCs w:val="24"/>
        </w:rPr>
        <w:t>HLA-DMA and-DMB genes are both required for MHC class II/peptide complex formation in antigen-presenting cells</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Nature </w:t>
      </w:r>
      <w:r w:rsidRPr="00B75A2A">
        <w:rPr>
          <w:rFonts w:ascii="Times New Roman" w:hAnsi="Times New Roman" w:cs="Times New Roman"/>
          <w:sz w:val="24"/>
          <w:szCs w:val="24"/>
        </w:rPr>
        <w:t xml:space="preserve">1994, </w:t>
      </w:r>
      <w:r w:rsidRPr="00B75A2A">
        <w:rPr>
          <w:rFonts w:ascii="Times New Roman" w:hAnsi="Times New Roman" w:cs="Times New Roman"/>
          <w:b/>
          <w:sz w:val="24"/>
          <w:szCs w:val="24"/>
        </w:rPr>
        <w:t>368</w:t>
      </w:r>
      <w:r w:rsidRPr="00B75A2A">
        <w:rPr>
          <w:rFonts w:ascii="Times New Roman" w:hAnsi="Times New Roman" w:cs="Times New Roman"/>
          <w:sz w:val="24"/>
          <w:szCs w:val="24"/>
        </w:rPr>
        <w:t>(6471):554-558.</w:t>
      </w:r>
    </w:p>
    <w:p w14:paraId="5FD407FC"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16.</w:t>
      </w:r>
      <w:r w:rsidRPr="00B75A2A">
        <w:rPr>
          <w:rFonts w:ascii="Times New Roman" w:hAnsi="Times New Roman" w:cs="Times New Roman"/>
          <w:sz w:val="24"/>
          <w:szCs w:val="24"/>
        </w:rPr>
        <w:tab/>
        <w:t xml:space="preserve">Marietta E, Rishi A, Taneja V: </w:t>
      </w:r>
      <w:r w:rsidRPr="00B75A2A">
        <w:rPr>
          <w:rFonts w:ascii="Times New Roman" w:hAnsi="Times New Roman" w:cs="Times New Roman"/>
          <w:b/>
          <w:sz w:val="24"/>
          <w:szCs w:val="24"/>
        </w:rPr>
        <w:t>Immunogenetic control of the intestinal microbiota</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Immunology </w:t>
      </w:r>
      <w:r w:rsidRPr="00B75A2A">
        <w:rPr>
          <w:rFonts w:ascii="Times New Roman" w:hAnsi="Times New Roman" w:cs="Times New Roman"/>
          <w:sz w:val="24"/>
          <w:szCs w:val="24"/>
        </w:rPr>
        <w:t xml:space="preserve">2015, </w:t>
      </w:r>
      <w:r w:rsidRPr="00B75A2A">
        <w:rPr>
          <w:rFonts w:ascii="Times New Roman" w:hAnsi="Times New Roman" w:cs="Times New Roman"/>
          <w:b/>
          <w:sz w:val="24"/>
          <w:szCs w:val="24"/>
        </w:rPr>
        <w:t>145</w:t>
      </w:r>
      <w:r w:rsidRPr="00B75A2A">
        <w:rPr>
          <w:rFonts w:ascii="Times New Roman" w:hAnsi="Times New Roman" w:cs="Times New Roman"/>
          <w:sz w:val="24"/>
          <w:szCs w:val="24"/>
        </w:rPr>
        <w:t>(3):313-322.</w:t>
      </w:r>
    </w:p>
    <w:p w14:paraId="72CD7324"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17.</w:t>
      </w:r>
      <w:r w:rsidRPr="00B75A2A">
        <w:rPr>
          <w:rFonts w:ascii="Times New Roman" w:hAnsi="Times New Roman" w:cs="Times New Roman"/>
          <w:sz w:val="24"/>
          <w:szCs w:val="24"/>
        </w:rPr>
        <w:tab/>
        <w:t xml:space="preserve">Gomez A, Luckey D, Yeoman CJ, Marietta EV, Berg Miller ME, Murray JA, White BA, Taneja V: </w:t>
      </w:r>
      <w:r w:rsidRPr="00B75A2A">
        <w:rPr>
          <w:rFonts w:ascii="Times New Roman" w:hAnsi="Times New Roman" w:cs="Times New Roman"/>
          <w:b/>
          <w:sz w:val="24"/>
          <w:szCs w:val="24"/>
        </w:rPr>
        <w:t>Loss of sex and age driven differences in the gut microbiome characterize arthritis-susceptible* 0401 mice but not arthritis-resistant* 0402 mice</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PloS one </w:t>
      </w:r>
      <w:r w:rsidRPr="00B75A2A">
        <w:rPr>
          <w:rFonts w:ascii="Times New Roman" w:hAnsi="Times New Roman" w:cs="Times New Roman"/>
          <w:sz w:val="24"/>
          <w:szCs w:val="24"/>
        </w:rPr>
        <w:t xml:space="preserve">2012, </w:t>
      </w:r>
      <w:r w:rsidRPr="00B75A2A">
        <w:rPr>
          <w:rFonts w:ascii="Times New Roman" w:hAnsi="Times New Roman" w:cs="Times New Roman"/>
          <w:b/>
          <w:sz w:val="24"/>
          <w:szCs w:val="24"/>
        </w:rPr>
        <w:t>7</w:t>
      </w:r>
      <w:r w:rsidRPr="00B75A2A">
        <w:rPr>
          <w:rFonts w:ascii="Times New Roman" w:hAnsi="Times New Roman" w:cs="Times New Roman"/>
          <w:sz w:val="24"/>
          <w:szCs w:val="24"/>
        </w:rPr>
        <w:t>(4):e36095.</w:t>
      </w:r>
    </w:p>
    <w:p w14:paraId="0B9BA430"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18.</w:t>
      </w:r>
      <w:r w:rsidRPr="00B75A2A">
        <w:rPr>
          <w:rFonts w:ascii="Times New Roman" w:hAnsi="Times New Roman" w:cs="Times New Roman"/>
          <w:sz w:val="24"/>
          <w:szCs w:val="24"/>
        </w:rPr>
        <w:tab/>
        <w:t xml:space="preserve">De Palma G, Capilla A, Nova E, Castillejo G, Varea V, Pozo T, Garrote JA, Polanco I, López A, Ribes-Koninckx C: </w:t>
      </w:r>
      <w:r w:rsidRPr="00B75A2A">
        <w:rPr>
          <w:rFonts w:ascii="Times New Roman" w:hAnsi="Times New Roman" w:cs="Times New Roman"/>
          <w:b/>
          <w:sz w:val="24"/>
          <w:szCs w:val="24"/>
        </w:rPr>
        <w:t>Influence of milk-feeding type and genetic risk of developing coeliac disease on intestinal microbiota of infants: the PROFICEL study</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PloS one </w:t>
      </w:r>
      <w:r w:rsidRPr="00B75A2A">
        <w:rPr>
          <w:rFonts w:ascii="Times New Roman" w:hAnsi="Times New Roman" w:cs="Times New Roman"/>
          <w:sz w:val="24"/>
          <w:szCs w:val="24"/>
        </w:rPr>
        <w:t xml:space="preserve">2012, </w:t>
      </w:r>
      <w:r w:rsidRPr="00B75A2A">
        <w:rPr>
          <w:rFonts w:ascii="Times New Roman" w:hAnsi="Times New Roman" w:cs="Times New Roman"/>
          <w:b/>
          <w:sz w:val="24"/>
          <w:szCs w:val="24"/>
        </w:rPr>
        <w:t>7</w:t>
      </w:r>
      <w:r w:rsidRPr="00B75A2A">
        <w:rPr>
          <w:rFonts w:ascii="Times New Roman" w:hAnsi="Times New Roman" w:cs="Times New Roman"/>
          <w:sz w:val="24"/>
          <w:szCs w:val="24"/>
        </w:rPr>
        <w:t>(2):e30791.</w:t>
      </w:r>
    </w:p>
    <w:p w14:paraId="2F1A0B90"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19.</w:t>
      </w:r>
      <w:r w:rsidRPr="00B75A2A">
        <w:rPr>
          <w:rFonts w:ascii="Times New Roman" w:hAnsi="Times New Roman" w:cs="Times New Roman"/>
          <w:sz w:val="24"/>
          <w:szCs w:val="24"/>
        </w:rPr>
        <w:tab/>
        <w:t xml:space="preserve">Xu H, Yin J: </w:t>
      </w:r>
      <w:r w:rsidRPr="00B75A2A">
        <w:rPr>
          <w:rFonts w:ascii="Times New Roman" w:hAnsi="Times New Roman" w:cs="Times New Roman"/>
          <w:b/>
          <w:sz w:val="24"/>
          <w:szCs w:val="24"/>
        </w:rPr>
        <w:t>HLA risk alleles and gut microbiome in ankylosing spondylitis and rheumatoid arthritis</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Best Practice &amp; Research Clinical Rheumatology </w:t>
      </w:r>
      <w:r w:rsidRPr="00B75A2A">
        <w:rPr>
          <w:rFonts w:ascii="Times New Roman" w:hAnsi="Times New Roman" w:cs="Times New Roman"/>
          <w:sz w:val="24"/>
          <w:szCs w:val="24"/>
        </w:rPr>
        <w:t xml:space="preserve">2019, </w:t>
      </w:r>
      <w:r w:rsidRPr="00B75A2A">
        <w:rPr>
          <w:rFonts w:ascii="Times New Roman" w:hAnsi="Times New Roman" w:cs="Times New Roman"/>
          <w:b/>
          <w:sz w:val="24"/>
          <w:szCs w:val="24"/>
        </w:rPr>
        <w:t>33</w:t>
      </w:r>
      <w:r w:rsidRPr="00B75A2A">
        <w:rPr>
          <w:rFonts w:ascii="Times New Roman" w:hAnsi="Times New Roman" w:cs="Times New Roman"/>
          <w:sz w:val="24"/>
          <w:szCs w:val="24"/>
        </w:rPr>
        <w:t>(6):101499.</w:t>
      </w:r>
    </w:p>
    <w:p w14:paraId="6C66DE28"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20.</w:t>
      </w:r>
      <w:r w:rsidRPr="00B75A2A">
        <w:rPr>
          <w:rFonts w:ascii="Times New Roman" w:hAnsi="Times New Roman" w:cs="Times New Roman"/>
          <w:sz w:val="24"/>
          <w:szCs w:val="24"/>
        </w:rPr>
        <w:tab/>
        <w:t xml:space="preserve">Zakharova MY, Belyanina T, Sokolov A, Kiselev I, Mamedov A: </w:t>
      </w:r>
      <w:r w:rsidRPr="00B75A2A">
        <w:rPr>
          <w:rFonts w:ascii="Times New Roman" w:hAnsi="Times New Roman" w:cs="Times New Roman"/>
          <w:b/>
          <w:sz w:val="24"/>
          <w:szCs w:val="24"/>
        </w:rPr>
        <w:t>The contribution of major histocompatibility complex class II genes to an association with autoimmune diseases</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Acta Naturae (англоязычная версия) </w:t>
      </w:r>
      <w:r w:rsidRPr="00B75A2A">
        <w:rPr>
          <w:rFonts w:ascii="Times New Roman" w:hAnsi="Times New Roman" w:cs="Times New Roman"/>
          <w:sz w:val="24"/>
          <w:szCs w:val="24"/>
        </w:rPr>
        <w:t xml:space="preserve">2019, </w:t>
      </w:r>
      <w:r w:rsidRPr="00B75A2A">
        <w:rPr>
          <w:rFonts w:ascii="Times New Roman" w:hAnsi="Times New Roman" w:cs="Times New Roman"/>
          <w:b/>
          <w:sz w:val="24"/>
          <w:szCs w:val="24"/>
        </w:rPr>
        <w:t>11</w:t>
      </w:r>
      <w:r w:rsidRPr="00B75A2A">
        <w:rPr>
          <w:rFonts w:ascii="Times New Roman" w:hAnsi="Times New Roman" w:cs="Times New Roman"/>
          <w:sz w:val="24"/>
          <w:szCs w:val="24"/>
        </w:rPr>
        <w:t>(4 (43)).</w:t>
      </w:r>
    </w:p>
    <w:p w14:paraId="72931BDF"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21.</w:t>
      </w:r>
      <w:r w:rsidRPr="00B75A2A">
        <w:rPr>
          <w:rFonts w:ascii="Times New Roman" w:hAnsi="Times New Roman" w:cs="Times New Roman"/>
          <w:sz w:val="24"/>
          <w:szCs w:val="24"/>
        </w:rPr>
        <w:tab/>
        <w:t xml:space="preserve">Beswick EJ, Reyes VE: </w:t>
      </w:r>
      <w:r w:rsidRPr="00B75A2A">
        <w:rPr>
          <w:rFonts w:ascii="Times New Roman" w:hAnsi="Times New Roman" w:cs="Times New Roman"/>
          <w:b/>
          <w:sz w:val="24"/>
          <w:szCs w:val="24"/>
        </w:rPr>
        <w:t>CD74 in antigen presentation, inflammation, and cancers of the gastrointestinal tract</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World journal of gastroenterology: WJG </w:t>
      </w:r>
      <w:r w:rsidRPr="00B75A2A">
        <w:rPr>
          <w:rFonts w:ascii="Times New Roman" w:hAnsi="Times New Roman" w:cs="Times New Roman"/>
          <w:sz w:val="24"/>
          <w:szCs w:val="24"/>
        </w:rPr>
        <w:t xml:space="preserve">2009, </w:t>
      </w:r>
      <w:r w:rsidRPr="00B75A2A">
        <w:rPr>
          <w:rFonts w:ascii="Times New Roman" w:hAnsi="Times New Roman" w:cs="Times New Roman"/>
          <w:b/>
          <w:sz w:val="24"/>
          <w:szCs w:val="24"/>
        </w:rPr>
        <w:t>15</w:t>
      </w:r>
      <w:r w:rsidRPr="00B75A2A">
        <w:rPr>
          <w:rFonts w:ascii="Times New Roman" w:hAnsi="Times New Roman" w:cs="Times New Roman"/>
          <w:sz w:val="24"/>
          <w:szCs w:val="24"/>
        </w:rPr>
        <w:t>(23):2855.</w:t>
      </w:r>
    </w:p>
    <w:p w14:paraId="0AA99016"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lastRenderedPageBreak/>
        <w:t>22.</w:t>
      </w:r>
      <w:r w:rsidRPr="00B75A2A">
        <w:rPr>
          <w:rFonts w:ascii="Times New Roman" w:hAnsi="Times New Roman" w:cs="Times New Roman"/>
          <w:sz w:val="24"/>
          <w:szCs w:val="24"/>
        </w:rPr>
        <w:tab/>
        <w:t xml:space="preserve">Li J, Richards EM, Handberg EM, Pepine CJ, Raizada MK: </w:t>
      </w:r>
      <w:r w:rsidRPr="00B75A2A">
        <w:rPr>
          <w:rFonts w:ascii="Times New Roman" w:hAnsi="Times New Roman" w:cs="Times New Roman"/>
          <w:b/>
          <w:sz w:val="24"/>
          <w:szCs w:val="24"/>
        </w:rPr>
        <w:t>Distinct Gene Expression Profiles in Colonic Organoids from Normotensive and the Spontaneously Hypertensive Rats</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Cells </w:t>
      </w:r>
      <w:r w:rsidRPr="00B75A2A">
        <w:rPr>
          <w:rFonts w:ascii="Times New Roman" w:hAnsi="Times New Roman" w:cs="Times New Roman"/>
          <w:sz w:val="24"/>
          <w:szCs w:val="24"/>
        </w:rPr>
        <w:t xml:space="preserve">2021, </w:t>
      </w:r>
      <w:r w:rsidRPr="00B75A2A">
        <w:rPr>
          <w:rFonts w:ascii="Times New Roman" w:hAnsi="Times New Roman" w:cs="Times New Roman"/>
          <w:b/>
          <w:sz w:val="24"/>
          <w:szCs w:val="24"/>
        </w:rPr>
        <w:t>10</w:t>
      </w:r>
      <w:r w:rsidRPr="00B75A2A">
        <w:rPr>
          <w:rFonts w:ascii="Times New Roman" w:hAnsi="Times New Roman" w:cs="Times New Roman"/>
          <w:sz w:val="24"/>
          <w:szCs w:val="24"/>
        </w:rPr>
        <w:t>(6):1523.</w:t>
      </w:r>
    </w:p>
    <w:p w14:paraId="4ECBCD90"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23.</w:t>
      </w:r>
      <w:r w:rsidRPr="00B75A2A">
        <w:rPr>
          <w:rFonts w:ascii="Times New Roman" w:hAnsi="Times New Roman" w:cs="Times New Roman"/>
          <w:sz w:val="24"/>
          <w:szCs w:val="24"/>
        </w:rPr>
        <w:tab/>
        <w:t xml:space="preserve">Melaiu O, D’amico S, Tempora P, Lucarini V, Fruci D: </w:t>
      </w:r>
      <w:r w:rsidRPr="00B75A2A">
        <w:rPr>
          <w:rFonts w:ascii="Times New Roman" w:hAnsi="Times New Roman" w:cs="Times New Roman"/>
          <w:b/>
          <w:sz w:val="24"/>
          <w:szCs w:val="24"/>
        </w:rPr>
        <w:t>Impact of Natural Occurring ERAP1 Single Nucleotide Polymorphisms within miRNA-Binding Sites on HCMV Infection</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International Journal of Molecular Sciences </w:t>
      </w:r>
      <w:r w:rsidRPr="00B75A2A">
        <w:rPr>
          <w:rFonts w:ascii="Times New Roman" w:hAnsi="Times New Roman" w:cs="Times New Roman"/>
          <w:sz w:val="24"/>
          <w:szCs w:val="24"/>
        </w:rPr>
        <w:t xml:space="preserve">2020, </w:t>
      </w:r>
      <w:r w:rsidRPr="00B75A2A">
        <w:rPr>
          <w:rFonts w:ascii="Times New Roman" w:hAnsi="Times New Roman" w:cs="Times New Roman"/>
          <w:b/>
          <w:sz w:val="24"/>
          <w:szCs w:val="24"/>
        </w:rPr>
        <w:t>21</w:t>
      </w:r>
      <w:r w:rsidRPr="00B75A2A">
        <w:rPr>
          <w:rFonts w:ascii="Times New Roman" w:hAnsi="Times New Roman" w:cs="Times New Roman"/>
          <w:sz w:val="24"/>
          <w:szCs w:val="24"/>
        </w:rPr>
        <w:t>(16):5861.</w:t>
      </w:r>
    </w:p>
    <w:p w14:paraId="750F09DF"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24.</w:t>
      </w:r>
      <w:r w:rsidRPr="00B75A2A">
        <w:rPr>
          <w:rFonts w:ascii="Times New Roman" w:hAnsi="Times New Roman" w:cs="Times New Roman"/>
          <w:sz w:val="24"/>
          <w:szCs w:val="24"/>
        </w:rPr>
        <w:tab/>
        <w:t xml:space="preserve">York IA, Chang S-C, Saric T, Keys JA, Favreau JM, Goldberg AL, Rock KL: </w:t>
      </w:r>
      <w:r w:rsidRPr="00B75A2A">
        <w:rPr>
          <w:rFonts w:ascii="Times New Roman" w:hAnsi="Times New Roman" w:cs="Times New Roman"/>
          <w:b/>
          <w:sz w:val="24"/>
          <w:szCs w:val="24"/>
        </w:rPr>
        <w:t>The ER aminopeptidase ERAP1 enhances or limits antigen presentation by trimming epitopes to 8–9 residues</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Nature immunology </w:t>
      </w:r>
      <w:r w:rsidRPr="00B75A2A">
        <w:rPr>
          <w:rFonts w:ascii="Times New Roman" w:hAnsi="Times New Roman" w:cs="Times New Roman"/>
          <w:sz w:val="24"/>
          <w:szCs w:val="24"/>
        </w:rPr>
        <w:t xml:space="preserve">2002, </w:t>
      </w:r>
      <w:r w:rsidRPr="00B75A2A">
        <w:rPr>
          <w:rFonts w:ascii="Times New Roman" w:hAnsi="Times New Roman" w:cs="Times New Roman"/>
          <w:b/>
          <w:sz w:val="24"/>
          <w:szCs w:val="24"/>
        </w:rPr>
        <w:t>3</w:t>
      </w:r>
      <w:r w:rsidRPr="00B75A2A">
        <w:rPr>
          <w:rFonts w:ascii="Times New Roman" w:hAnsi="Times New Roman" w:cs="Times New Roman"/>
          <w:sz w:val="24"/>
          <w:szCs w:val="24"/>
        </w:rPr>
        <w:t>(12):1177-1184.</w:t>
      </w:r>
    </w:p>
    <w:p w14:paraId="4D455353"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25.</w:t>
      </w:r>
      <w:r w:rsidRPr="00B75A2A">
        <w:rPr>
          <w:rFonts w:ascii="Times New Roman" w:hAnsi="Times New Roman" w:cs="Times New Roman"/>
          <w:sz w:val="24"/>
          <w:szCs w:val="24"/>
        </w:rPr>
        <w:tab/>
        <w:t xml:space="preserve">Aldhamen YA, Seregin SS, Rastall DP, Aylsworth CF, Pepelyayeva Y, Busuito CJ, Godbehere-Roosa S, Kim S, Amalfitano A: </w:t>
      </w:r>
      <w:r w:rsidRPr="00B75A2A">
        <w:rPr>
          <w:rFonts w:ascii="Times New Roman" w:hAnsi="Times New Roman" w:cs="Times New Roman"/>
          <w:b/>
          <w:sz w:val="24"/>
          <w:szCs w:val="24"/>
        </w:rPr>
        <w:t>Endoplasmic reticulum aminopeptidase-1 functions regulate key aspects of the innate immune response</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PLoS One </w:t>
      </w:r>
      <w:r w:rsidRPr="00B75A2A">
        <w:rPr>
          <w:rFonts w:ascii="Times New Roman" w:hAnsi="Times New Roman" w:cs="Times New Roman"/>
          <w:sz w:val="24"/>
          <w:szCs w:val="24"/>
        </w:rPr>
        <w:t xml:space="preserve">2013, </w:t>
      </w:r>
      <w:r w:rsidRPr="00B75A2A">
        <w:rPr>
          <w:rFonts w:ascii="Times New Roman" w:hAnsi="Times New Roman" w:cs="Times New Roman"/>
          <w:b/>
          <w:sz w:val="24"/>
          <w:szCs w:val="24"/>
        </w:rPr>
        <w:t>8</w:t>
      </w:r>
      <w:r w:rsidRPr="00B75A2A">
        <w:rPr>
          <w:rFonts w:ascii="Times New Roman" w:hAnsi="Times New Roman" w:cs="Times New Roman"/>
          <w:sz w:val="24"/>
          <w:szCs w:val="24"/>
        </w:rPr>
        <w:t>(7):e69539.</w:t>
      </w:r>
    </w:p>
    <w:p w14:paraId="72C8BE98"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26.</w:t>
      </w:r>
      <w:r w:rsidRPr="00B75A2A">
        <w:rPr>
          <w:rFonts w:ascii="Times New Roman" w:hAnsi="Times New Roman" w:cs="Times New Roman"/>
          <w:sz w:val="24"/>
          <w:szCs w:val="24"/>
        </w:rPr>
        <w:tab/>
        <w:t xml:space="preserve">Goto Y, Ogawa K, Nakamura TJ, Hattori A, Tsujimoto M: </w:t>
      </w:r>
      <w:r w:rsidRPr="00B75A2A">
        <w:rPr>
          <w:rFonts w:ascii="Times New Roman" w:hAnsi="Times New Roman" w:cs="Times New Roman"/>
          <w:b/>
          <w:sz w:val="24"/>
          <w:szCs w:val="24"/>
        </w:rPr>
        <w:t>Substrate-dependent nitric oxide synthesis by secreted endoplasmic reticulum aminopeptidase 1 in macrophages</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The Journal of Biochemistry </w:t>
      </w:r>
      <w:r w:rsidRPr="00B75A2A">
        <w:rPr>
          <w:rFonts w:ascii="Times New Roman" w:hAnsi="Times New Roman" w:cs="Times New Roman"/>
          <w:sz w:val="24"/>
          <w:szCs w:val="24"/>
        </w:rPr>
        <w:t xml:space="preserve">2015, </w:t>
      </w:r>
      <w:r w:rsidRPr="00B75A2A">
        <w:rPr>
          <w:rFonts w:ascii="Times New Roman" w:hAnsi="Times New Roman" w:cs="Times New Roman"/>
          <w:b/>
          <w:sz w:val="24"/>
          <w:szCs w:val="24"/>
        </w:rPr>
        <w:t>157</w:t>
      </w:r>
      <w:r w:rsidRPr="00B75A2A">
        <w:rPr>
          <w:rFonts w:ascii="Times New Roman" w:hAnsi="Times New Roman" w:cs="Times New Roman"/>
          <w:sz w:val="24"/>
          <w:szCs w:val="24"/>
        </w:rPr>
        <w:t>(6):439-449.</w:t>
      </w:r>
    </w:p>
    <w:p w14:paraId="59D79905"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27.</w:t>
      </w:r>
      <w:r w:rsidRPr="00B75A2A">
        <w:rPr>
          <w:rFonts w:ascii="Times New Roman" w:hAnsi="Times New Roman" w:cs="Times New Roman"/>
          <w:sz w:val="24"/>
          <w:szCs w:val="24"/>
        </w:rPr>
        <w:tab/>
        <w:t xml:space="preserve">Reeves E, James E: </w:t>
      </w:r>
      <w:r w:rsidRPr="00B75A2A">
        <w:rPr>
          <w:rFonts w:ascii="Times New Roman" w:hAnsi="Times New Roman" w:cs="Times New Roman"/>
          <w:b/>
          <w:sz w:val="24"/>
          <w:szCs w:val="24"/>
        </w:rPr>
        <w:t>The role of polymorphic ERAP1 in autoinflammatory disease</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Bioscience reports </w:t>
      </w:r>
      <w:r w:rsidRPr="00B75A2A">
        <w:rPr>
          <w:rFonts w:ascii="Times New Roman" w:hAnsi="Times New Roman" w:cs="Times New Roman"/>
          <w:sz w:val="24"/>
          <w:szCs w:val="24"/>
        </w:rPr>
        <w:t xml:space="preserve">2018, </w:t>
      </w:r>
      <w:r w:rsidRPr="00B75A2A">
        <w:rPr>
          <w:rFonts w:ascii="Times New Roman" w:hAnsi="Times New Roman" w:cs="Times New Roman"/>
          <w:b/>
          <w:sz w:val="24"/>
          <w:szCs w:val="24"/>
        </w:rPr>
        <w:t>38</w:t>
      </w:r>
      <w:r w:rsidRPr="00B75A2A">
        <w:rPr>
          <w:rFonts w:ascii="Times New Roman" w:hAnsi="Times New Roman" w:cs="Times New Roman"/>
          <w:sz w:val="24"/>
          <w:szCs w:val="24"/>
        </w:rPr>
        <w:t>(4).</w:t>
      </w:r>
    </w:p>
    <w:p w14:paraId="1128DF84"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28.</w:t>
      </w:r>
      <w:r w:rsidRPr="00B75A2A">
        <w:rPr>
          <w:rFonts w:ascii="Times New Roman" w:hAnsi="Times New Roman" w:cs="Times New Roman"/>
          <w:sz w:val="24"/>
          <w:szCs w:val="24"/>
        </w:rPr>
        <w:tab/>
        <w:t xml:space="preserve">Cortes A, Pulit SL, Leo PJ, Pointon JJ, Robinson PC, Weisman MH, Ward M, Gensler LS, Zhou X, Garchon H-J: </w:t>
      </w:r>
      <w:r w:rsidRPr="00B75A2A">
        <w:rPr>
          <w:rFonts w:ascii="Times New Roman" w:hAnsi="Times New Roman" w:cs="Times New Roman"/>
          <w:b/>
          <w:sz w:val="24"/>
          <w:szCs w:val="24"/>
        </w:rPr>
        <w:t>Major histocompatibility complex associations of ankylosing spondylitis are complex and involve further epistasis with ERAP1</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Nature communications </w:t>
      </w:r>
      <w:r w:rsidRPr="00B75A2A">
        <w:rPr>
          <w:rFonts w:ascii="Times New Roman" w:hAnsi="Times New Roman" w:cs="Times New Roman"/>
          <w:sz w:val="24"/>
          <w:szCs w:val="24"/>
        </w:rPr>
        <w:t xml:space="preserve">2015, </w:t>
      </w:r>
      <w:r w:rsidRPr="00B75A2A">
        <w:rPr>
          <w:rFonts w:ascii="Times New Roman" w:hAnsi="Times New Roman" w:cs="Times New Roman"/>
          <w:b/>
          <w:sz w:val="24"/>
          <w:szCs w:val="24"/>
        </w:rPr>
        <w:t>6</w:t>
      </w:r>
      <w:r w:rsidRPr="00B75A2A">
        <w:rPr>
          <w:rFonts w:ascii="Times New Roman" w:hAnsi="Times New Roman" w:cs="Times New Roman"/>
          <w:sz w:val="24"/>
          <w:szCs w:val="24"/>
        </w:rPr>
        <w:t>(1):1-8.</w:t>
      </w:r>
    </w:p>
    <w:p w14:paraId="5B5BFDE0"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29.</w:t>
      </w:r>
      <w:r w:rsidRPr="00B75A2A">
        <w:rPr>
          <w:rFonts w:ascii="Times New Roman" w:hAnsi="Times New Roman" w:cs="Times New Roman"/>
          <w:sz w:val="24"/>
          <w:szCs w:val="24"/>
        </w:rPr>
        <w:tab/>
        <w:t xml:space="preserve">Pepelyayeva Y, Rastall DP, Aldhamen YA, O’Connell P, Raehtz S, Alyaqoub FS, Blake MK, Raedy AM, Angarita AM, Abbas AM: </w:t>
      </w:r>
      <w:r w:rsidRPr="00B75A2A">
        <w:rPr>
          <w:rFonts w:ascii="Times New Roman" w:hAnsi="Times New Roman" w:cs="Times New Roman"/>
          <w:b/>
          <w:sz w:val="24"/>
          <w:szCs w:val="24"/>
        </w:rPr>
        <w:t xml:space="preserve">ERAP1 deficient mice have </w:t>
      </w:r>
      <w:r w:rsidRPr="00B75A2A">
        <w:rPr>
          <w:rFonts w:ascii="Times New Roman" w:hAnsi="Times New Roman" w:cs="Times New Roman"/>
          <w:b/>
          <w:sz w:val="24"/>
          <w:szCs w:val="24"/>
        </w:rPr>
        <w:lastRenderedPageBreak/>
        <w:t>reduced Type 1 regulatory T cells and develop skeletal and intestinal features of Ankylosing Spondylitis</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Scientific reports </w:t>
      </w:r>
      <w:r w:rsidRPr="00B75A2A">
        <w:rPr>
          <w:rFonts w:ascii="Times New Roman" w:hAnsi="Times New Roman" w:cs="Times New Roman"/>
          <w:sz w:val="24"/>
          <w:szCs w:val="24"/>
        </w:rPr>
        <w:t xml:space="preserve">2018, </w:t>
      </w:r>
      <w:r w:rsidRPr="00B75A2A">
        <w:rPr>
          <w:rFonts w:ascii="Times New Roman" w:hAnsi="Times New Roman" w:cs="Times New Roman"/>
          <w:b/>
          <w:sz w:val="24"/>
          <w:szCs w:val="24"/>
        </w:rPr>
        <w:t>8</w:t>
      </w:r>
      <w:r w:rsidRPr="00B75A2A">
        <w:rPr>
          <w:rFonts w:ascii="Times New Roman" w:hAnsi="Times New Roman" w:cs="Times New Roman"/>
          <w:sz w:val="24"/>
          <w:szCs w:val="24"/>
        </w:rPr>
        <w:t>(1):1-12.</w:t>
      </w:r>
    </w:p>
    <w:p w14:paraId="0E6AC4B2"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30.</w:t>
      </w:r>
      <w:r w:rsidRPr="00B75A2A">
        <w:rPr>
          <w:rFonts w:ascii="Times New Roman" w:hAnsi="Times New Roman" w:cs="Times New Roman"/>
          <w:sz w:val="24"/>
          <w:szCs w:val="24"/>
        </w:rPr>
        <w:tab/>
        <w:t xml:space="preserve">Yin J, Sternes PR, Wang M, Song J, Morrison M, Li T, Zhou L, Wu X, He F, Zhu J: </w:t>
      </w:r>
      <w:r w:rsidRPr="00B75A2A">
        <w:rPr>
          <w:rFonts w:ascii="Times New Roman" w:hAnsi="Times New Roman" w:cs="Times New Roman"/>
          <w:b/>
          <w:sz w:val="24"/>
          <w:szCs w:val="24"/>
        </w:rPr>
        <w:t>Shotgun metagenomics reveals an enrichment of potentially cross-reactive bacterial epitopes in ankylosing spondylitis patients, as well as the effects of TNFi therapy upon microbiome composition</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Annals of the Rheumatic Diseases </w:t>
      </w:r>
      <w:r w:rsidRPr="00B75A2A">
        <w:rPr>
          <w:rFonts w:ascii="Times New Roman" w:hAnsi="Times New Roman" w:cs="Times New Roman"/>
          <w:sz w:val="24"/>
          <w:szCs w:val="24"/>
        </w:rPr>
        <w:t xml:space="preserve">2020, </w:t>
      </w:r>
      <w:r w:rsidRPr="00B75A2A">
        <w:rPr>
          <w:rFonts w:ascii="Times New Roman" w:hAnsi="Times New Roman" w:cs="Times New Roman"/>
          <w:b/>
          <w:sz w:val="24"/>
          <w:szCs w:val="24"/>
        </w:rPr>
        <w:t>79</w:t>
      </w:r>
      <w:r w:rsidRPr="00B75A2A">
        <w:rPr>
          <w:rFonts w:ascii="Times New Roman" w:hAnsi="Times New Roman" w:cs="Times New Roman"/>
          <w:sz w:val="24"/>
          <w:szCs w:val="24"/>
        </w:rPr>
        <w:t>(1):132-140.</w:t>
      </w:r>
    </w:p>
    <w:p w14:paraId="5B32FE59"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31.</w:t>
      </w:r>
      <w:r w:rsidRPr="00B75A2A">
        <w:rPr>
          <w:rFonts w:ascii="Times New Roman" w:hAnsi="Times New Roman" w:cs="Times New Roman"/>
          <w:sz w:val="24"/>
          <w:szCs w:val="24"/>
        </w:rPr>
        <w:tab/>
        <w:t xml:space="preserve">Kim M, Galan C, Hill AA, Wu W-J, Fehlner-Peach H, Song HW, Schady D, Bettini ML, Simpson KW, Longman RS: </w:t>
      </w:r>
      <w:r w:rsidRPr="00B75A2A">
        <w:rPr>
          <w:rFonts w:ascii="Times New Roman" w:hAnsi="Times New Roman" w:cs="Times New Roman"/>
          <w:b/>
          <w:sz w:val="24"/>
          <w:szCs w:val="24"/>
        </w:rPr>
        <w:t>Critical role for the microbiota in CX3CR1+ intestinal mononuclear phagocyte regulation of intestinal T cell responses</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Immunity </w:t>
      </w:r>
      <w:r w:rsidRPr="00B75A2A">
        <w:rPr>
          <w:rFonts w:ascii="Times New Roman" w:hAnsi="Times New Roman" w:cs="Times New Roman"/>
          <w:sz w:val="24"/>
          <w:szCs w:val="24"/>
        </w:rPr>
        <w:t xml:space="preserve">2018, </w:t>
      </w:r>
      <w:r w:rsidRPr="00B75A2A">
        <w:rPr>
          <w:rFonts w:ascii="Times New Roman" w:hAnsi="Times New Roman" w:cs="Times New Roman"/>
          <w:b/>
          <w:sz w:val="24"/>
          <w:szCs w:val="24"/>
        </w:rPr>
        <w:t>49</w:t>
      </w:r>
      <w:r w:rsidRPr="00B75A2A">
        <w:rPr>
          <w:rFonts w:ascii="Times New Roman" w:hAnsi="Times New Roman" w:cs="Times New Roman"/>
          <w:sz w:val="24"/>
          <w:szCs w:val="24"/>
        </w:rPr>
        <w:t>(1):151-163. e155.</w:t>
      </w:r>
    </w:p>
    <w:p w14:paraId="5D91E1B4"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32.</w:t>
      </w:r>
      <w:r w:rsidRPr="00B75A2A">
        <w:rPr>
          <w:rFonts w:ascii="Times New Roman" w:hAnsi="Times New Roman" w:cs="Times New Roman"/>
          <w:sz w:val="24"/>
          <w:szCs w:val="24"/>
        </w:rPr>
        <w:tab/>
        <w:t xml:space="preserve">Moreira TG, Mangani D, Cox LM, Leibowitz J, Lobo E, Oliveira MA, Gauthier CD, Nakagaki BN, Willocq V, Song A: </w:t>
      </w:r>
      <w:r w:rsidRPr="00B75A2A">
        <w:rPr>
          <w:rFonts w:ascii="Times New Roman" w:hAnsi="Times New Roman" w:cs="Times New Roman"/>
          <w:b/>
          <w:sz w:val="24"/>
          <w:szCs w:val="24"/>
        </w:rPr>
        <w:t>PD-L1+ and XCR1+ dendritic cells are region-specific regulators of gut homeostasis</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Nature Communications </w:t>
      </w:r>
      <w:r w:rsidRPr="00B75A2A">
        <w:rPr>
          <w:rFonts w:ascii="Times New Roman" w:hAnsi="Times New Roman" w:cs="Times New Roman"/>
          <w:sz w:val="24"/>
          <w:szCs w:val="24"/>
        </w:rPr>
        <w:t xml:space="preserve">2021, </w:t>
      </w:r>
      <w:r w:rsidRPr="00B75A2A">
        <w:rPr>
          <w:rFonts w:ascii="Times New Roman" w:hAnsi="Times New Roman" w:cs="Times New Roman"/>
          <w:b/>
          <w:sz w:val="24"/>
          <w:szCs w:val="24"/>
        </w:rPr>
        <w:t>12</w:t>
      </w:r>
      <w:r w:rsidRPr="00B75A2A">
        <w:rPr>
          <w:rFonts w:ascii="Times New Roman" w:hAnsi="Times New Roman" w:cs="Times New Roman"/>
          <w:sz w:val="24"/>
          <w:szCs w:val="24"/>
        </w:rPr>
        <w:t>(1):1-13.</w:t>
      </w:r>
    </w:p>
    <w:p w14:paraId="03D28E90"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33.</w:t>
      </w:r>
      <w:r w:rsidRPr="00B75A2A">
        <w:rPr>
          <w:rFonts w:ascii="Times New Roman" w:hAnsi="Times New Roman" w:cs="Times New Roman"/>
          <w:sz w:val="24"/>
          <w:szCs w:val="24"/>
        </w:rPr>
        <w:tab/>
        <w:t xml:space="preserve">Ohta T, Sugiyama M, Hemmi H, Yamazaki C, Okura S, Sasaki I, Fukuda Y, Orimo T, Ishii KJ, Hoshino K: </w:t>
      </w:r>
      <w:r w:rsidRPr="00B75A2A">
        <w:rPr>
          <w:rFonts w:ascii="Times New Roman" w:hAnsi="Times New Roman" w:cs="Times New Roman"/>
          <w:b/>
          <w:sz w:val="24"/>
          <w:szCs w:val="24"/>
        </w:rPr>
        <w:t>Crucial roles of XCR1-expressing dendritic cells and the XCR1-XCL1 chemokine axis in intestinal immune homeostasis</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Scientific reports </w:t>
      </w:r>
      <w:r w:rsidRPr="00B75A2A">
        <w:rPr>
          <w:rFonts w:ascii="Times New Roman" w:hAnsi="Times New Roman" w:cs="Times New Roman"/>
          <w:sz w:val="24"/>
          <w:szCs w:val="24"/>
        </w:rPr>
        <w:t xml:space="preserve">2016, </w:t>
      </w:r>
      <w:r w:rsidRPr="00B75A2A">
        <w:rPr>
          <w:rFonts w:ascii="Times New Roman" w:hAnsi="Times New Roman" w:cs="Times New Roman"/>
          <w:b/>
          <w:sz w:val="24"/>
          <w:szCs w:val="24"/>
        </w:rPr>
        <w:t>6</w:t>
      </w:r>
      <w:r w:rsidRPr="00B75A2A">
        <w:rPr>
          <w:rFonts w:ascii="Times New Roman" w:hAnsi="Times New Roman" w:cs="Times New Roman"/>
          <w:sz w:val="24"/>
          <w:szCs w:val="24"/>
        </w:rPr>
        <w:t>(1):1-11.</w:t>
      </w:r>
    </w:p>
    <w:p w14:paraId="1A80BB3A"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34.</w:t>
      </w:r>
      <w:r w:rsidRPr="00B75A2A">
        <w:rPr>
          <w:rFonts w:ascii="Times New Roman" w:hAnsi="Times New Roman" w:cs="Times New Roman"/>
          <w:sz w:val="24"/>
          <w:szCs w:val="24"/>
        </w:rPr>
        <w:tab/>
        <w:t xml:space="preserve">Ochiai E, Sa Q, Brogli M, Kudo T, Wang X, Dubey JP, Suzuki Y: </w:t>
      </w:r>
      <w:r w:rsidRPr="00B75A2A">
        <w:rPr>
          <w:rFonts w:ascii="Times New Roman" w:hAnsi="Times New Roman" w:cs="Times New Roman"/>
          <w:b/>
          <w:sz w:val="24"/>
          <w:szCs w:val="24"/>
        </w:rPr>
        <w:t>CXCL9 is important for recruiting immune T cells into the brain and inducing an accumulation of the T cells to the areas of tachyzoite proliferation to prevent reactivation of chronic cerebral infection with Toxoplasma gondii</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The American journal of pathology </w:t>
      </w:r>
      <w:r w:rsidRPr="00B75A2A">
        <w:rPr>
          <w:rFonts w:ascii="Times New Roman" w:hAnsi="Times New Roman" w:cs="Times New Roman"/>
          <w:sz w:val="24"/>
          <w:szCs w:val="24"/>
        </w:rPr>
        <w:t xml:space="preserve">2015, </w:t>
      </w:r>
      <w:r w:rsidRPr="00B75A2A">
        <w:rPr>
          <w:rFonts w:ascii="Times New Roman" w:hAnsi="Times New Roman" w:cs="Times New Roman"/>
          <w:b/>
          <w:sz w:val="24"/>
          <w:szCs w:val="24"/>
        </w:rPr>
        <w:t>185</w:t>
      </w:r>
      <w:r w:rsidRPr="00B75A2A">
        <w:rPr>
          <w:rFonts w:ascii="Times New Roman" w:hAnsi="Times New Roman" w:cs="Times New Roman"/>
          <w:sz w:val="24"/>
          <w:szCs w:val="24"/>
        </w:rPr>
        <w:t>(2):314-324.</w:t>
      </w:r>
    </w:p>
    <w:p w14:paraId="455E2263"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lastRenderedPageBreak/>
        <w:t>35.</w:t>
      </w:r>
      <w:r w:rsidRPr="00B75A2A">
        <w:rPr>
          <w:rFonts w:ascii="Times New Roman" w:hAnsi="Times New Roman" w:cs="Times New Roman"/>
          <w:sz w:val="24"/>
          <w:szCs w:val="24"/>
        </w:rPr>
        <w:tab/>
        <w:t xml:space="preserve">Han X, Wu Z, Di J, Pan Y, Zhang H, Du Y, Cheng Z, Jin Z, Wang Z, Zheng Q: </w:t>
      </w:r>
      <w:r w:rsidRPr="00B75A2A">
        <w:rPr>
          <w:rFonts w:ascii="Times New Roman" w:hAnsi="Times New Roman" w:cs="Times New Roman"/>
          <w:b/>
          <w:sz w:val="24"/>
          <w:szCs w:val="24"/>
        </w:rPr>
        <w:t>CXCL9 attenuated chemotherapy-induced intestinal mucositis by inhibiting proliferation and reducing apoptosis</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Biomedicine &amp; Pharmacotherapy </w:t>
      </w:r>
      <w:r w:rsidRPr="00B75A2A">
        <w:rPr>
          <w:rFonts w:ascii="Times New Roman" w:hAnsi="Times New Roman" w:cs="Times New Roman"/>
          <w:sz w:val="24"/>
          <w:szCs w:val="24"/>
        </w:rPr>
        <w:t xml:space="preserve">2011, </w:t>
      </w:r>
      <w:r w:rsidRPr="00B75A2A">
        <w:rPr>
          <w:rFonts w:ascii="Times New Roman" w:hAnsi="Times New Roman" w:cs="Times New Roman"/>
          <w:b/>
          <w:sz w:val="24"/>
          <w:szCs w:val="24"/>
        </w:rPr>
        <w:t>65</w:t>
      </w:r>
      <w:r w:rsidRPr="00B75A2A">
        <w:rPr>
          <w:rFonts w:ascii="Times New Roman" w:hAnsi="Times New Roman" w:cs="Times New Roman"/>
          <w:sz w:val="24"/>
          <w:szCs w:val="24"/>
        </w:rPr>
        <w:t>(8):547-554.</w:t>
      </w:r>
    </w:p>
    <w:p w14:paraId="6C2A8D6F"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36.</w:t>
      </w:r>
      <w:r w:rsidRPr="00B75A2A">
        <w:rPr>
          <w:rFonts w:ascii="Times New Roman" w:hAnsi="Times New Roman" w:cs="Times New Roman"/>
          <w:sz w:val="24"/>
          <w:szCs w:val="24"/>
        </w:rPr>
        <w:tab/>
        <w:t xml:space="preserve">Reid-Yu SA, Tuinema BR, Small CN, Xing L, Coombes BK: </w:t>
      </w:r>
      <w:r w:rsidRPr="00B75A2A">
        <w:rPr>
          <w:rFonts w:ascii="Times New Roman" w:hAnsi="Times New Roman" w:cs="Times New Roman"/>
          <w:b/>
          <w:sz w:val="24"/>
          <w:szCs w:val="24"/>
        </w:rPr>
        <w:t>CXCL9 contributes to antimicrobial protection of the gut during citrobacter rodentium infection independent of chemokine-receptor signaling</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PLoS Pathogens </w:t>
      </w:r>
      <w:r w:rsidRPr="00B75A2A">
        <w:rPr>
          <w:rFonts w:ascii="Times New Roman" w:hAnsi="Times New Roman" w:cs="Times New Roman"/>
          <w:sz w:val="24"/>
          <w:szCs w:val="24"/>
        </w:rPr>
        <w:t xml:space="preserve">2015, </w:t>
      </w:r>
      <w:r w:rsidRPr="00B75A2A">
        <w:rPr>
          <w:rFonts w:ascii="Times New Roman" w:hAnsi="Times New Roman" w:cs="Times New Roman"/>
          <w:b/>
          <w:sz w:val="24"/>
          <w:szCs w:val="24"/>
        </w:rPr>
        <w:t>11</w:t>
      </w:r>
      <w:r w:rsidRPr="00B75A2A">
        <w:rPr>
          <w:rFonts w:ascii="Times New Roman" w:hAnsi="Times New Roman" w:cs="Times New Roman"/>
          <w:sz w:val="24"/>
          <w:szCs w:val="24"/>
        </w:rPr>
        <w:t>(2):e1004648.</w:t>
      </w:r>
    </w:p>
    <w:p w14:paraId="5E0CFEDE"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37.</w:t>
      </w:r>
      <w:r w:rsidRPr="00B75A2A">
        <w:rPr>
          <w:rFonts w:ascii="Times New Roman" w:hAnsi="Times New Roman" w:cs="Times New Roman"/>
          <w:sz w:val="24"/>
          <w:szCs w:val="24"/>
        </w:rPr>
        <w:tab/>
        <w:t xml:space="preserve">Cao S, Su X, Zeng B, Yan H, Huang Y, Wang E, Yun H, Zhang Y, Liu F, Li W: </w:t>
      </w:r>
      <w:r w:rsidRPr="00B75A2A">
        <w:rPr>
          <w:rFonts w:ascii="Times New Roman" w:hAnsi="Times New Roman" w:cs="Times New Roman"/>
          <w:b/>
          <w:sz w:val="24"/>
          <w:szCs w:val="24"/>
        </w:rPr>
        <w:t>The gut epithelial receptor LRRC19 promotes the recruitment of immune cells and gut inflammation</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Cell reports </w:t>
      </w:r>
      <w:r w:rsidRPr="00B75A2A">
        <w:rPr>
          <w:rFonts w:ascii="Times New Roman" w:hAnsi="Times New Roman" w:cs="Times New Roman"/>
          <w:sz w:val="24"/>
          <w:szCs w:val="24"/>
        </w:rPr>
        <w:t xml:space="preserve">2016, </w:t>
      </w:r>
      <w:r w:rsidRPr="00B75A2A">
        <w:rPr>
          <w:rFonts w:ascii="Times New Roman" w:hAnsi="Times New Roman" w:cs="Times New Roman"/>
          <w:b/>
          <w:sz w:val="24"/>
          <w:szCs w:val="24"/>
        </w:rPr>
        <w:t>14</w:t>
      </w:r>
      <w:r w:rsidRPr="00B75A2A">
        <w:rPr>
          <w:rFonts w:ascii="Times New Roman" w:hAnsi="Times New Roman" w:cs="Times New Roman"/>
          <w:sz w:val="24"/>
          <w:szCs w:val="24"/>
        </w:rPr>
        <w:t>(4):695-707.</w:t>
      </w:r>
    </w:p>
    <w:p w14:paraId="476985EC"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38.</w:t>
      </w:r>
      <w:r w:rsidRPr="00B75A2A">
        <w:rPr>
          <w:rFonts w:ascii="Times New Roman" w:hAnsi="Times New Roman" w:cs="Times New Roman"/>
          <w:sz w:val="24"/>
          <w:szCs w:val="24"/>
        </w:rPr>
        <w:tab/>
        <w:t xml:space="preserve">Sugiyama Y, Fujiwara M, Sakamoto A, Tsushima H, Nishikimi A, Maruyama M: </w:t>
      </w:r>
      <w:r w:rsidRPr="00B75A2A">
        <w:rPr>
          <w:rFonts w:ascii="Times New Roman" w:hAnsi="Times New Roman" w:cs="Times New Roman"/>
          <w:b/>
          <w:sz w:val="24"/>
          <w:szCs w:val="24"/>
        </w:rPr>
        <w:t>The immunosenescence-related factor DOCK11 is involved in secondary immune responses of B cells</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Immunity &amp; Ageing </w:t>
      </w:r>
      <w:r w:rsidRPr="00B75A2A">
        <w:rPr>
          <w:rFonts w:ascii="Times New Roman" w:hAnsi="Times New Roman" w:cs="Times New Roman"/>
          <w:sz w:val="24"/>
          <w:szCs w:val="24"/>
        </w:rPr>
        <w:t xml:space="preserve">2022, </w:t>
      </w:r>
      <w:r w:rsidRPr="00B75A2A">
        <w:rPr>
          <w:rFonts w:ascii="Times New Roman" w:hAnsi="Times New Roman" w:cs="Times New Roman"/>
          <w:b/>
          <w:sz w:val="24"/>
          <w:szCs w:val="24"/>
        </w:rPr>
        <w:t>19</w:t>
      </w:r>
      <w:r w:rsidRPr="00B75A2A">
        <w:rPr>
          <w:rFonts w:ascii="Times New Roman" w:hAnsi="Times New Roman" w:cs="Times New Roman"/>
          <w:sz w:val="24"/>
          <w:szCs w:val="24"/>
        </w:rPr>
        <w:t>(1):1-10.</w:t>
      </w:r>
    </w:p>
    <w:p w14:paraId="55DF4F3D"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39.</w:t>
      </w:r>
      <w:r w:rsidRPr="00B75A2A">
        <w:rPr>
          <w:rFonts w:ascii="Times New Roman" w:hAnsi="Times New Roman" w:cs="Times New Roman"/>
          <w:sz w:val="24"/>
          <w:szCs w:val="24"/>
        </w:rPr>
        <w:tab/>
        <w:t xml:space="preserve">Sakamoto A, Maruyama M: </w:t>
      </w:r>
      <w:r w:rsidRPr="00B75A2A">
        <w:rPr>
          <w:rFonts w:ascii="Times New Roman" w:hAnsi="Times New Roman" w:cs="Times New Roman"/>
          <w:b/>
          <w:sz w:val="24"/>
          <w:szCs w:val="24"/>
        </w:rPr>
        <w:t>Contribution of DOCK11 to the expansion of antigen-specific populations among germinal center B cells</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Immunohorizons </w:t>
      </w:r>
      <w:r w:rsidRPr="00B75A2A">
        <w:rPr>
          <w:rFonts w:ascii="Times New Roman" w:hAnsi="Times New Roman" w:cs="Times New Roman"/>
          <w:sz w:val="24"/>
          <w:szCs w:val="24"/>
        </w:rPr>
        <w:t xml:space="preserve">2020, </w:t>
      </w:r>
      <w:r w:rsidRPr="00B75A2A">
        <w:rPr>
          <w:rFonts w:ascii="Times New Roman" w:hAnsi="Times New Roman" w:cs="Times New Roman"/>
          <w:b/>
          <w:sz w:val="24"/>
          <w:szCs w:val="24"/>
        </w:rPr>
        <w:t>4</w:t>
      </w:r>
      <w:r w:rsidRPr="00B75A2A">
        <w:rPr>
          <w:rFonts w:ascii="Times New Roman" w:hAnsi="Times New Roman" w:cs="Times New Roman"/>
          <w:sz w:val="24"/>
          <w:szCs w:val="24"/>
        </w:rPr>
        <w:t>(9):520-529.</w:t>
      </w:r>
    </w:p>
    <w:p w14:paraId="10F8D897"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40.</w:t>
      </w:r>
      <w:r w:rsidRPr="00B75A2A">
        <w:rPr>
          <w:rFonts w:ascii="Times New Roman" w:hAnsi="Times New Roman" w:cs="Times New Roman"/>
          <w:sz w:val="24"/>
          <w:szCs w:val="24"/>
        </w:rPr>
        <w:tab/>
        <w:t xml:space="preserve">Franchi L, Eigenbrod T, Muñoz-Planillo R, Nuñez G: </w:t>
      </w:r>
      <w:r w:rsidRPr="00B75A2A">
        <w:rPr>
          <w:rFonts w:ascii="Times New Roman" w:hAnsi="Times New Roman" w:cs="Times New Roman"/>
          <w:b/>
          <w:sz w:val="24"/>
          <w:szCs w:val="24"/>
        </w:rPr>
        <w:t>The inflammasome: a caspase-1-activation platform that regulates immune responses and disease pathogenesis</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Nature immunology </w:t>
      </w:r>
      <w:r w:rsidRPr="00B75A2A">
        <w:rPr>
          <w:rFonts w:ascii="Times New Roman" w:hAnsi="Times New Roman" w:cs="Times New Roman"/>
          <w:sz w:val="24"/>
          <w:szCs w:val="24"/>
        </w:rPr>
        <w:t xml:space="preserve">2009, </w:t>
      </w:r>
      <w:r w:rsidRPr="00B75A2A">
        <w:rPr>
          <w:rFonts w:ascii="Times New Roman" w:hAnsi="Times New Roman" w:cs="Times New Roman"/>
          <w:b/>
          <w:sz w:val="24"/>
          <w:szCs w:val="24"/>
        </w:rPr>
        <w:t>10</w:t>
      </w:r>
      <w:r w:rsidRPr="00B75A2A">
        <w:rPr>
          <w:rFonts w:ascii="Times New Roman" w:hAnsi="Times New Roman" w:cs="Times New Roman"/>
          <w:sz w:val="24"/>
          <w:szCs w:val="24"/>
        </w:rPr>
        <w:t>(3):241-247.</w:t>
      </w:r>
    </w:p>
    <w:p w14:paraId="3342E67E"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41.</w:t>
      </w:r>
      <w:r w:rsidRPr="00B75A2A">
        <w:rPr>
          <w:rFonts w:ascii="Times New Roman" w:hAnsi="Times New Roman" w:cs="Times New Roman"/>
          <w:sz w:val="24"/>
          <w:szCs w:val="24"/>
        </w:rPr>
        <w:tab/>
        <w:t xml:space="preserve">Błażejewski AJ, Thiemann S, Schenk A, Pils MC, Gálvez EJ, Roy U, Heise U, de Zoete MR, Flavell RA, Strowig T: </w:t>
      </w:r>
      <w:r w:rsidRPr="00B75A2A">
        <w:rPr>
          <w:rFonts w:ascii="Times New Roman" w:hAnsi="Times New Roman" w:cs="Times New Roman"/>
          <w:b/>
          <w:sz w:val="24"/>
          <w:szCs w:val="24"/>
        </w:rPr>
        <w:t>Microbiota normalization reveals that canonical caspase-1 activation exacerbates chemically induced intestinal inflammation</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Cell reports </w:t>
      </w:r>
      <w:r w:rsidRPr="00B75A2A">
        <w:rPr>
          <w:rFonts w:ascii="Times New Roman" w:hAnsi="Times New Roman" w:cs="Times New Roman"/>
          <w:sz w:val="24"/>
          <w:szCs w:val="24"/>
        </w:rPr>
        <w:t xml:space="preserve">2017, </w:t>
      </w:r>
      <w:r w:rsidRPr="00B75A2A">
        <w:rPr>
          <w:rFonts w:ascii="Times New Roman" w:hAnsi="Times New Roman" w:cs="Times New Roman"/>
          <w:b/>
          <w:sz w:val="24"/>
          <w:szCs w:val="24"/>
        </w:rPr>
        <w:t>19</w:t>
      </w:r>
      <w:r w:rsidRPr="00B75A2A">
        <w:rPr>
          <w:rFonts w:ascii="Times New Roman" w:hAnsi="Times New Roman" w:cs="Times New Roman"/>
          <w:sz w:val="24"/>
          <w:szCs w:val="24"/>
        </w:rPr>
        <w:t>(11):2319-2330.</w:t>
      </w:r>
    </w:p>
    <w:p w14:paraId="3BF12E75"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lastRenderedPageBreak/>
        <w:t>42.</w:t>
      </w:r>
      <w:r w:rsidRPr="00B75A2A">
        <w:rPr>
          <w:rFonts w:ascii="Times New Roman" w:hAnsi="Times New Roman" w:cs="Times New Roman"/>
          <w:sz w:val="24"/>
          <w:szCs w:val="24"/>
        </w:rPr>
        <w:tab/>
        <w:t xml:space="preserve">Yeh C-F, Chen Y-H, Liu S-F, Kao H-L, Wu M-S, Yang K-C, Wu W-K: </w:t>
      </w:r>
      <w:r w:rsidRPr="00B75A2A">
        <w:rPr>
          <w:rFonts w:ascii="Times New Roman" w:hAnsi="Times New Roman" w:cs="Times New Roman"/>
          <w:b/>
          <w:sz w:val="24"/>
          <w:szCs w:val="24"/>
        </w:rPr>
        <w:t>Mutual interplay of host immune system and gut microbiota in the immunopathology of atherosclerosis</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International Journal of Molecular Sciences </w:t>
      </w:r>
      <w:r w:rsidRPr="00B75A2A">
        <w:rPr>
          <w:rFonts w:ascii="Times New Roman" w:hAnsi="Times New Roman" w:cs="Times New Roman"/>
          <w:sz w:val="24"/>
          <w:szCs w:val="24"/>
        </w:rPr>
        <w:t xml:space="preserve">2020, </w:t>
      </w:r>
      <w:r w:rsidRPr="00B75A2A">
        <w:rPr>
          <w:rFonts w:ascii="Times New Roman" w:hAnsi="Times New Roman" w:cs="Times New Roman"/>
          <w:b/>
          <w:sz w:val="24"/>
          <w:szCs w:val="24"/>
        </w:rPr>
        <w:t>21</w:t>
      </w:r>
      <w:r w:rsidRPr="00B75A2A">
        <w:rPr>
          <w:rFonts w:ascii="Times New Roman" w:hAnsi="Times New Roman" w:cs="Times New Roman"/>
          <w:sz w:val="24"/>
          <w:szCs w:val="24"/>
        </w:rPr>
        <w:t>(22):8729.</w:t>
      </w:r>
    </w:p>
    <w:p w14:paraId="110B4290"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43.</w:t>
      </w:r>
      <w:r w:rsidRPr="00B75A2A">
        <w:rPr>
          <w:rFonts w:ascii="Times New Roman" w:hAnsi="Times New Roman" w:cs="Times New Roman"/>
          <w:sz w:val="24"/>
          <w:szCs w:val="24"/>
        </w:rPr>
        <w:tab/>
        <w:t xml:space="preserve">Tretina K, Park E-S, Maminska A, MacMicking JD: </w:t>
      </w:r>
      <w:r w:rsidRPr="00B75A2A">
        <w:rPr>
          <w:rFonts w:ascii="Times New Roman" w:hAnsi="Times New Roman" w:cs="Times New Roman"/>
          <w:b/>
          <w:sz w:val="24"/>
          <w:szCs w:val="24"/>
        </w:rPr>
        <w:t>Interferon-induced guanylate-binding proteins: Guardians of host defense in health and disease</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Journal of Experimental Medicine </w:t>
      </w:r>
      <w:r w:rsidRPr="00B75A2A">
        <w:rPr>
          <w:rFonts w:ascii="Times New Roman" w:hAnsi="Times New Roman" w:cs="Times New Roman"/>
          <w:sz w:val="24"/>
          <w:szCs w:val="24"/>
        </w:rPr>
        <w:t xml:space="preserve">2019, </w:t>
      </w:r>
      <w:r w:rsidRPr="00B75A2A">
        <w:rPr>
          <w:rFonts w:ascii="Times New Roman" w:hAnsi="Times New Roman" w:cs="Times New Roman"/>
          <w:b/>
          <w:sz w:val="24"/>
          <w:szCs w:val="24"/>
        </w:rPr>
        <w:t>216</w:t>
      </w:r>
      <w:r w:rsidRPr="00B75A2A">
        <w:rPr>
          <w:rFonts w:ascii="Times New Roman" w:hAnsi="Times New Roman" w:cs="Times New Roman"/>
          <w:sz w:val="24"/>
          <w:szCs w:val="24"/>
        </w:rPr>
        <w:t>(3):482-500.</w:t>
      </w:r>
    </w:p>
    <w:p w14:paraId="4DAC247A"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44.</w:t>
      </w:r>
      <w:r w:rsidRPr="00B75A2A">
        <w:rPr>
          <w:rFonts w:ascii="Times New Roman" w:hAnsi="Times New Roman" w:cs="Times New Roman"/>
          <w:sz w:val="24"/>
          <w:szCs w:val="24"/>
        </w:rPr>
        <w:tab/>
        <w:t xml:space="preserve">Finethy R, Luoma S, Orench-Rivera N, Feeley EM, Haldar AK, Yamamoto M, Kanneganti T-D, Kuehn MJ, Coers J: </w:t>
      </w:r>
      <w:r w:rsidRPr="00B75A2A">
        <w:rPr>
          <w:rFonts w:ascii="Times New Roman" w:hAnsi="Times New Roman" w:cs="Times New Roman"/>
          <w:b/>
          <w:sz w:val="24"/>
          <w:szCs w:val="24"/>
        </w:rPr>
        <w:t>Inflammasome activation by bacterial outer membrane vesicles requires guanylate binding proteins</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MBio </w:t>
      </w:r>
      <w:r w:rsidRPr="00B75A2A">
        <w:rPr>
          <w:rFonts w:ascii="Times New Roman" w:hAnsi="Times New Roman" w:cs="Times New Roman"/>
          <w:sz w:val="24"/>
          <w:szCs w:val="24"/>
        </w:rPr>
        <w:t xml:space="preserve">2017, </w:t>
      </w:r>
      <w:r w:rsidRPr="00B75A2A">
        <w:rPr>
          <w:rFonts w:ascii="Times New Roman" w:hAnsi="Times New Roman" w:cs="Times New Roman"/>
          <w:b/>
          <w:sz w:val="24"/>
          <w:szCs w:val="24"/>
        </w:rPr>
        <w:t>8</w:t>
      </w:r>
      <w:r w:rsidRPr="00B75A2A">
        <w:rPr>
          <w:rFonts w:ascii="Times New Roman" w:hAnsi="Times New Roman" w:cs="Times New Roman"/>
          <w:sz w:val="24"/>
          <w:szCs w:val="24"/>
        </w:rPr>
        <w:t>(5):e01188-01117.</w:t>
      </w:r>
    </w:p>
    <w:p w14:paraId="5C215A5A"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45.</w:t>
      </w:r>
      <w:r w:rsidRPr="00B75A2A">
        <w:rPr>
          <w:rFonts w:ascii="Times New Roman" w:hAnsi="Times New Roman" w:cs="Times New Roman"/>
          <w:sz w:val="24"/>
          <w:szCs w:val="24"/>
        </w:rPr>
        <w:tab/>
        <w:t xml:space="preserve">Degrandi D, Kravets E, Konermann C, Beuter-Gunia C, Klümpers V, Lahme S, Rasch E, Mausberg AK, Beer-Hammer S, Pfeffer K: </w:t>
      </w:r>
      <w:r w:rsidRPr="00B75A2A">
        <w:rPr>
          <w:rFonts w:ascii="Times New Roman" w:hAnsi="Times New Roman" w:cs="Times New Roman"/>
          <w:b/>
          <w:sz w:val="24"/>
          <w:szCs w:val="24"/>
        </w:rPr>
        <w:t>Murine guanylate binding protein 2 (mGBP2) controls Toxoplasma gondii replication</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Proceedings of the National Academy of Sciences </w:t>
      </w:r>
      <w:r w:rsidRPr="00B75A2A">
        <w:rPr>
          <w:rFonts w:ascii="Times New Roman" w:hAnsi="Times New Roman" w:cs="Times New Roman"/>
          <w:sz w:val="24"/>
          <w:szCs w:val="24"/>
        </w:rPr>
        <w:t xml:space="preserve">2013, </w:t>
      </w:r>
      <w:r w:rsidRPr="00B75A2A">
        <w:rPr>
          <w:rFonts w:ascii="Times New Roman" w:hAnsi="Times New Roman" w:cs="Times New Roman"/>
          <w:b/>
          <w:sz w:val="24"/>
          <w:szCs w:val="24"/>
        </w:rPr>
        <w:t>110</w:t>
      </w:r>
      <w:r w:rsidRPr="00B75A2A">
        <w:rPr>
          <w:rFonts w:ascii="Times New Roman" w:hAnsi="Times New Roman" w:cs="Times New Roman"/>
          <w:sz w:val="24"/>
          <w:szCs w:val="24"/>
        </w:rPr>
        <w:t>(1):294-299.</w:t>
      </w:r>
    </w:p>
    <w:p w14:paraId="79B34EF2"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46.</w:t>
      </w:r>
      <w:r w:rsidRPr="00B75A2A">
        <w:rPr>
          <w:rFonts w:ascii="Times New Roman" w:hAnsi="Times New Roman" w:cs="Times New Roman"/>
          <w:sz w:val="24"/>
          <w:szCs w:val="24"/>
        </w:rPr>
        <w:tab/>
        <w:t xml:space="preserve">Kim B-H, Shenoy AR, Kumar P, Das R, Tiwari S, MacMicking JD: </w:t>
      </w:r>
      <w:r w:rsidRPr="00B75A2A">
        <w:rPr>
          <w:rFonts w:ascii="Times New Roman" w:hAnsi="Times New Roman" w:cs="Times New Roman"/>
          <w:b/>
          <w:sz w:val="24"/>
          <w:szCs w:val="24"/>
        </w:rPr>
        <w:t>A family of IFN-γ–inducible 65-kD GTPases protects against bacterial infection</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Science </w:t>
      </w:r>
      <w:r w:rsidRPr="00B75A2A">
        <w:rPr>
          <w:rFonts w:ascii="Times New Roman" w:hAnsi="Times New Roman" w:cs="Times New Roman"/>
          <w:sz w:val="24"/>
          <w:szCs w:val="24"/>
        </w:rPr>
        <w:t xml:space="preserve">2011, </w:t>
      </w:r>
      <w:r w:rsidRPr="00B75A2A">
        <w:rPr>
          <w:rFonts w:ascii="Times New Roman" w:hAnsi="Times New Roman" w:cs="Times New Roman"/>
          <w:b/>
          <w:sz w:val="24"/>
          <w:szCs w:val="24"/>
        </w:rPr>
        <w:t>332</w:t>
      </w:r>
      <w:r w:rsidRPr="00B75A2A">
        <w:rPr>
          <w:rFonts w:ascii="Times New Roman" w:hAnsi="Times New Roman" w:cs="Times New Roman"/>
          <w:sz w:val="24"/>
          <w:szCs w:val="24"/>
        </w:rPr>
        <w:t>(6030):717-721.</w:t>
      </w:r>
    </w:p>
    <w:p w14:paraId="31ECB754"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47.</w:t>
      </w:r>
      <w:r w:rsidRPr="00B75A2A">
        <w:rPr>
          <w:rFonts w:ascii="Times New Roman" w:hAnsi="Times New Roman" w:cs="Times New Roman"/>
          <w:sz w:val="24"/>
          <w:szCs w:val="24"/>
        </w:rPr>
        <w:tab/>
        <w:t xml:space="preserve">Meunier E, Wallet P, Dreier RF, Costanzo S, Anton L, Rühl S, Dussurgey S, Dick MS, Kistner A, Rigard M: </w:t>
      </w:r>
      <w:r w:rsidRPr="00B75A2A">
        <w:rPr>
          <w:rFonts w:ascii="Times New Roman" w:hAnsi="Times New Roman" w:cs="Times New Roman"/>
          <w:b/>
          <w:sz w:val="24"/>
          <w:szCs w:val="24"/>
        </w:rPr>
        <w:t>Guanylate-binding proteins promote AIM2 inflammasome activation during Francisella novicida infection by inducing cytosolic bacteriolysis and DNA release</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Nature immunology </w:t>
      </w:r>
      <w:r w:rsidRPr="00B75A2A">
        <w:rPr>
          <w:rFonts w:ascii="Times New Roman" w:hAnsi="Times New Roman" w:cs="Times New Roman"/>
          <w:sz w:val="24"/>
          <w:szCs w:val="24"/>
        </w:rPr>
        <w:t xml:space="preserve">2015, </w:t>
      </w:r>
      <w:r w:rsidRPr="00B75A2A">
        <w:rPr>
          <w:rFonts w:ascii="Times New Roman" w:hAnsi="Times New Roman" w:cs="Times New Roman"/>
          <w:b/>
          <w:sz w:val="24"/>
          <w:szCs w:val="24"/>
        </w:rPr>
        <w:t>16</w:t>
      </w:r>
      <w:r w:rsidRPr="00B75A2A">
        <w:rPr>
          <w:rFonts w:ascii="Times New Roman" w:hAnsi="Times New Roman" w:cs="Times New Roman"/>
          <w:sz w:val="24"/>
          <w:szCs w:val="24"/>
        </w:rPr>
        <w:t>(5):476.</w:t>
      </w:r>
    </w:p>
    <w:p w14:paraId="394ACF98"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48.</w:t>
      </w:r>
      <w:r w:rsidRPr="00B75A2A">
        <w:rPr>
          <w:rFonts w:ascii="Times New Roman" w:hAnsi="Times New Roman" w:cs="Times New Roman"/>
          <w:sz w:val="24"/>
          <w:szCs w:val="24"/>
        </w:rPr>
        <w:tab/>
        <w:t xml:space="preserve">Mohapatra G, Eisenberg-Lerner A, Merbl Y: </w:t>
      </w:r>
      <w:r w:rsidRPr="00B75A2A">
        <w:rPr>
          <w:rFonts w:ascii="Times New Roman" w:hAnsi="Times New Roman" w:cs="Times New Roman"/>
          <w:b/>
          <w:sz w:val="24"/>
          <w:szCs w:val="24"/>
        </w:rPr>
        <w:t>Gatekeepers of the Gut: The Roles of Proteasomes at the Gastrointestinal Barrier</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Biomolecules </w:t>
      </w:r>
      <w:r w:rsidRPr="00B75A2A">
        <w:rPr>
          <w:rFonts w:ascii="Times New Roman" w:hAnsi="Times New Roman" w:cs="Times New Roman"/>
          <w:sz w:val="24"/>
          <w:szCs w:val="24"/>
        </w:rPr>
        <w:t xml:space="preserve">2021, </w:t>
      </w:r>
      <w:r w:rsidRPr="00B75A2A">
        <w:rPr>
          <w:rFonts w:ascii="Times New Roman" w:hAnsi="Times New Roman" w:cs="Times New Roman"/>
          <w:b/>
          <w:sz w:val="24"/>
          <w:szCs w:val="24"/>
        </w:rPr>
        <w:t>11</w:t>
      </w:r>
      <w:r w:rsidRPr="00B75A2A">
        <w:rPr>
          <w:rFonts w:ascii="Times New Roman" w:hAnsi="Times New Roman" w:cs="Times New Roman"/>
          <w:sz w:val="24"/>
          <w:szCs w:val="24"/>
        </w:rPr>
        <w:t>(7):989.</w:t>
      </w:r>
    </w:p>
    <w:p w14:paraId="01D1FCCE"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lastRenderedPageBreak/>
        <w:t>49.</w:t>
      </w:r>
      <w:r w:rsidRPr="00B75A2A">
        <w:rPr>
          <w:rFonts w:ascii="Times New Roman" w:hAnsi="Times New Roman" w:cs="Times New Roman"/>
          <w:sz w:val="24"/>
          <w:szCs w:val="24"/>
        </w:rPr>
        <w:tab/>
        <w:t xml:space="preserve">Dunay IR, Fuchs A, Sibley LD: </w:t>
      </w:r>
      <w:r w:rsidRPr="00B75A2A">
        <w:rPr>
          <w:rFonts w:ascii="Times New Roman" w:hAnsi="Times New Roman" w:cs="Times New Roman"/>
          <w:b/>
          <w:sz w:val="24"/>
          <w:szCs w:val="24"/>
        </w:rPr>
        <w:t>Inflammatory monocytes but not neutrophils are necessary to control infection with Toxoplasma gondii in mice</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Infection and immunity </w:t>
      </w:r>
      <w:r w:rsidRPr="00B75A2A">
        <w:rPr>
          <w:rFonts w:ascii="Times New Roman" w:hAnsi="Times New Roman" w:cs="Times New Roman"/>
          <w:sz w:val="24"/>
          <w:szCs w:val="24"/>
        </w:rPr>
        <w:t xml:space="preserve">2010, </w:t>
      </w:r>
      <w:r w:rsidRPr="00B75A2A">
        <w:rPr>
          <w:rFonts w:ascii="Times New Roman" w:hAnsi="Times New Roman" w:cs="Times New Roman"/>
          <w:b/>
          <w:sz w:val="24"/>
          <w:szCs w:val="24"/>
        </w:rPr>
        <w:t>78</w:t>
      </w:r>
      <w:r w:rsidRPr="00B75A2A">
        <w:rPr>
          <w:rFonts w:ascii="Times New Roman" w:hAnsi="Times New Roman" w:cs="Times New Roman"/>
          <w:sz w:val="24"/>
          <w:szCs w:val="24"/>
        </w:rPr>
        <w:t>(4):1564-1570.</w:t>
      </w:r>
    </w:p>
    <w:p w14:paraId="4E6F456A"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50.</w:t>
      </w:r>
      <w:r w:rsidRPr="00B75A2A">
        <w:rPr>
          <w:rFonts w:ascii="Times New Roman" w:hAnsi="Times New Roman" w:cs="Times New Roman"/>
          <w:sz w:val="24"/>
          <w:szCs w:val="24"/>
        </w:rPr>
        <w:tab/>
        <w:t xml:space="preserve">Shimazaki K, Chan AM, Moniz RJ, Wadehra M, Nagy A, Coulam CP, Mareninov S, Lepin EM, Wu AM, Kelly KA: </w:t>
      </w:r>
      <w:r w:rsidRPr="00B75A2A">
        <w:rPr>
          <w:rFonts w:ascii="Times New Roman" w:hAnsi="Times New Roman" w:cs="Times New Roman"/>
          <w:b/>
          <w:sz w:val="24"/>
          <w:szCs w:val="24"/>
        </w:rPr>
        <w:t>Blockade of epithelial membrane protein 2 (EMP2) abrogates infection of Chlamydia muridarum murine genital infection model</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FEMS Immunology &amp; Medical Microbiology </w:t>
      </w:r>
      <w:r w:rsidRPr="00B75A2A">
        <w:rPr>
          <w:rFonts w:ascii="Times New Roman" w:hAnsi="Times New Roman" w:cs="Times New Roman"/>
          <w:sz w:val="24"/>
          <w:szCs w:val="24"/>
        </w:rPr>
        <w:t xml:space="preserve">2009, </w:t>
      </w:r>
      <w:r w:rsidRPr="00B75A2A">
        <w:rPr>
          <w:rFonts w:ascii="Times New Roman" w:hAnsi="Times New Roman" w:cs="Times New Roman"/>
          <w:b/>
          <w:sz w:val="24"/>
          <w:szCs w:val="24"/>
        </w:rPr>
        <w:t>55</w:t>
      </w:r>
      <w:r w:rsidRPr="00B75A2A">
        <w:rPr>
          <w:rFonts w:ascii="Times New Roman" w:hAnsi="Times New Roman" w:cs="Times New Roman"/>
          <w:sz w:val="24"/>
          <w:szCs w:val="24"/>
        </w:rPr>
        <w:t>(2):240-249.</w:t>
      </w:r>
    </w:p>
    <w:p w14:paraId="790B829A"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51.</w:t>
      </w:r>
      <w:r w:rsidRPr="00B75A2A">
        <w:rPr>
          <w:rFonts w:ascii="Times New Roman" w:hAnsi="Times New Roman" w:cs="Times New Roman"/>
          <w:sz w:val="24"/>
          <w:szCs w:val="24"/>
        </w:rPr>
        <w:tab/>
        <w:t xml:space="preserve">Wadehra M, Iyer R, Goodglick L, Braun J: </w:t>
      </w:r>
      <w:r w:rsidRPr="00B75A2A">
        <w:rPr>
          <w:rFonts w:ascii="Times New Roman" w:hAnsi="Times New Roman" w:cs="Times New Roman"/>
          <w:b/>
          <w:sz w:val="24"/>
          <w:szCs w:val="24"/>
        </w:rPr>
        <w:t>The tetraspan protein epithelial membrane protein-2 interacts with β1 integrins and regulates adhesion</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Journal of Biological Chemistry </w:t>
      </w:r>
      <w:r w:rsidRPr="00B75A2A">
        <w:rPr>
          <w:rFonts w:ascii="Times New Roman" w:hAnsi="Times New Roman" w:cs="Times New Roman"/>
          <w:sz w:val="24"/>
          <w:szCs w:val="24"/>
        </w:rPr>
        <w:t xml:space="preserve">2002, </w:t>
      </w:r>
      <w:r w:rsidRPr="00B75A2A">
        <w:rPr>
          <w:rFonts w:ascii="Times New Roman" w:hAnsi="Times New Roman" w:cs="Times New Roman"/>
          <w:b/>
          <w:sz w:val="24"/>
          <w:szCs w:val="24"/>
        </w:rPr>
        <w:t>277</w:t>
      </w:r>
      <w:r w:rsidRPr="00B75A2A">
        <w:rPr>
          <w:rFonts w:ascii="Times New Roman" w:hAnsi="Times New Roman" w:cs="Times New Roman"/>
          <w:sz w:val="24"/>
          <w:szCs w:val="24"/>
        </w:rPr>
        <w:t>(43):41094-41100.</w:t>
      </w:r>
    </w:p>
    <w:p w14:paraId="16CA66D7"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52.</w:t>
      </w:r>
      <w:r w:rsidRPr="00B75A2A">
        <w:rPr>
          <w:rFonts w:ascii="Times New Roman" w:hAnsi="Times New Roman" w:cs="Times New Roman"/>
          <w:sz w:val="24"/>
          <w:szCs w:val="24"/>
        </w:rPr>
        <w:tab/>
        <w:t xml:space="preserve">Lin W-C, Gowdy KM, Madenspacher JH, Zemans RL, Yamamoto K, Lyons-Cohen M, Nakano H, Janardhan K, Williams CJ, Cook DN: </w:t>
      </w:r>
      <w:r w:rsidRPr="00B75A2A">
        <w:rPr>
          <w:rFonts w:ascii="Times New Roman" w:hAnsi="Times New Roman" w:cs="Times New Roman"/>
          <w:b/>
          <w:sz w:val="24"/>
          <w:szCs w:val="24"/>
        </w:rPr>
        <w:t>Epithelial membrane protein 2 governs transepithelial migration of neutrophils into the airspace</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The Journal of clinical investigation </w:t>
      </w:r>
      <w:r w:rsidRPr="00B75A2A">
        <w:rPr>
          <w:rFonts w:ascii="Times New Roman" w:hAnsi="Times New Roman" w:cs="Times New Roman"/>
          <w:sz w:val="24"/>
          <w:szCs w:val="24"/>
        </w:rPr>
        <w:t xml:space="preserve">2020, </w:t>
      </w:r>
      <w:r w:rsidRPr="00B75A2A">
        <w:rPr>
          <w:rFonts w:ascii="Times New Roman" w:hAnsi="Times New Roman" w:cs="Times New Roman"/>
          <w:b/>
          <w:sz w:val="24"/>
          <w:szCs w:val="24"/>
        </w:rPr>
        <w:t>130</w:t>
      </w:r>
      <w:r w:rsidRPr="00B75A2A">
        <w:rPr>
          <w:rFonts w:ascii="Times New Roman" w:hAnsi="Times New Roman" w:cs="Times New Roman"/>
          <w:sz w:val="24"/>
          <w:szCs w:val="24"/>
        </w:rPr>
        <w:t>(1):157-170.</w:t>
      </w:r>
    </w:p>
    <w:p w14:paraId="4A48B015"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53.</w:t>
      </w:r>
      <w:r w:rsidRPr="00B75A2A">
        <w:rPr>
          <w:rFonts w:ascii="Times New Roman" w:hAnsi="Times New Roman" w:cs="Times New Roman"/>
          <w:sz w:val="24"/>
          <w:szCs w:val="24"/>
        </w:rPr>
        <w:tab/>
        <w:t xml:space="preserve">Paci P, Fiscon G, Conte F, Licursi V, Morrow J, Hersh C, Cho M, Castaldi P, Glass K, Silverman EK: </w:t>
      </w:r>
      <w:r w:rsidRPr="00B75A2A">
        <w:rPr>
          <w:rFonts w:ascii="Times New Roman" w:hAnsi="Times New Roman" w:cs="Times New Roman"/>
          <w:b/>
          <w:sz w:val="24"/>
          <w:szCs w:val="24"/>
        </w:rPr>
        <w:t>Integrated transcriptomic correlation network analysis identifies COPD molecular determinants</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Scientific reports </w:t>
      </w:r>
      <w:r w:rsidRPr="00B75A2A">
        <w:rPr>
          <w:rFonts w:ascii="Times New Roman" w:hAnsi="Times New Roman" w:cs="Times New Roman"/>
          <w:sz w:val="24"/>
          <w:szCs w:val="24"/>
        </w:rPr>
        <w:t xml:space="preserve">2020, </w:t>
      </w:r>
      <w:r w:rsidRPr="00B75A2A">
        <w:rPr>
          <w:rFonts w:ascii="Times New Roman" w:hAnsi="Times New Roman" w:cs="Times New Roman"/>
          <w:b/>
          <w:sz w:val="24"/>
          <w:szCs w:val="24"/>
        </w:rPr>
        <w:t>10</w:t>
      </w:r>
      <w:r w:rsidRPr="00B75A2A">
        <w:rPr>
          <w:rFonts w:ascii="Times New Roman" w:hAnsi="Times New Roman" w:cs="Times New Roman"/>
          <w:sz w:val="24"/>
          <w:szCs w:val="24"/>
        </w:rPr>
        <w:t>(1):1-18.</w:t>
      </w:r>
    </w:p>
    <w:p w14:paraId="1110EA23"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54.</w:t>
      </w:r>
      <w:r w:rsidRPr="00B75A2A">
        <w:rPr>
          <w:rFonts w:ascii="Times New Roman" w:hAnsi="Times New Roman" w:cs="Times New Roman"/>
          <w:sz w:val="24"/>
          <w:szCs w:val="24"/>
        </w:rPr>
        <w:tab/>
        <w:t xml:space="preserve">Zhu J, Nathan C, Jin W, Sim D, Ashcroft GS, Wahl SM, Lacomis L, Erdjument-Bromage H, Tempst P, Wright CD: </w:t>
      </w:r>
      <w:r w:rsidRPr="00B75A2A">
        <w:rPr>
          <w:rFonts w:ascii="Times New Roman" w:hAnsi="Times New Roman" w:cs="Times New Roman"/>
          <w:b/>
          <w:sz w:val="24"/>
          <w:szCs w:val="24"/>
        </w:rPr>
        <w:t>Conversion of proepithelin to epithelins: roles of SLPI and elastase in host defense and wound repair</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Cell </w:t>
      </w:r>
      <w:r w:rsidRPr="00B75A2A">
        <w:rPr>
          <w:rFonts w:ascii="Times New Roman" w:hAnsi="Times New Roman" w:cs="Times New Roman"/>
          <w:sz w:val="24"/>
          <w:szCs w:val="24"/>
        </w:rPr>
        <w:t xml:space="preserve">2002, </w:t>
      </w:r>
      <w:r w:rsidRPr="00B75A2A">
        <w:rPr>
          <w:rFonts w:ascii="Times New Roman" w:hAnsi="Times New Roman" w:cs="Times New Roman"/>
          <w:b/>
          <w:sz w:val="24"/>
          <w:szCs w:val="24"/>
        </w:rPr>
        <w:t>111</w:t>
      </w:r>
      <w:r w:rsidRPr="00B75A2A">
        <w:rPr>
          <w:rFonts w:ascii="Times New Roman" w:hAnsi="Times New Roman" w:cs="Times New Roman"/>
          <w:sz w:val="24"/>
          <w:szCs w:val="24"/>
        </w:rPr>
        <w:t>(6):867-878.</w:t>
      </w:r>
    </w:p>
    <w:p w14:paraId="5C87A789"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55.</w:t>
      </w:r>
      <w:r w:rsidRPr="00B75A2A">
        <w:rPr>
          <w:rFonts w:ascii="Times New Roman" w:hAnsi="Times New Roman" w:cs="Times New Roman"/>
          <w:sz w:val="24"/>
          <w:szCs w:val="24"/>
        </w:rPr>
        <w:tab/>
        <w:t xml:space="preserve">Wang H, Sun Y, Liu S, Yu H, Li W, Zeng J, Chen C, Jia J: </w:t>
      </w:r>
      <w:r w:rsidRPr="00B75A2A">
        <w:rPr>
          <w:rFonts w:ascii="Times New Roman" w:hAnsi="Times New Roman" w:cs="Times New Roman"/>
          <w:b/>
          <w:sz w:val="24"/>
          <w:szCs w:val="24"/>
        </w:rPr>
        <w:t>Upregulation of progranulin by Helicobacter pylori in human gastric epithelial cells via p38MAPK and MEK1/2 signaling pathway: role in epithelial cell proliferation and migration</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FEMS Immunology &amp; Medical Microbiology </w:t>
      </w:r>
      <w:r w:rsidRPr="00B75A2A">
        <w:rPr>
          <w:rFonts w:ascii="Times New Roman" w:hAnsi="Times New Roman" w:cs="Times New Roman"/>
          <w:sz w:val="24"/>
          <w:szCs w:val="24"/>
        </w:rPr>
        <w:t xml:space="preserve">2011, </w:t>
      </w:r>
      <w:r w:rsidRPr="00B75A2A">
        <w:rPr>
          <w:rFonts w:ascii="Times New Roman" w:hAnsi="Times New Roman" w:cs="Times New Roman"/>
          <w:b/>
          <w:sz w:val="24"/>
          <w:szCs w:val="24"/>
        </w:rPr>
        <w:t>63</w:t>
      </w:r>
      <w:r w:rsidRPr="00B75A2A">
        <w:rPr>
          <w:rFonts w:ascii="Times New Roman" w:hAnsi="Times New Roman" w:cs="Times New Roman"/>
          <w:sz w:val="24"/>
          <w:szCs w:val="24"/>
        </w:rPr>
        <w:t>(1):82-92.</w:t>
      </w:r>
    </w:p>
    <w:p w14:paraId="157D8241"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lastRenderedPageBreak/>
        <w:t>56.</w:t>
      </w:r>
      <w:r w:rsidRPr="00B75A2A">
        <w:rPr>
          <w:rFonts w:ascii="Times New Roman" w:hAnsi="Times New Roman" w:cs="Times New Roman"/>
          <w:sz w:val="24"/>
          <w:szCs w:val="24"/>
        </w:rPr>
        <w:tab/>
        <w:t xml:space="preserve">Wex T, Kuester D, Schönberg C, Schindele D, Treiber G, Malfertheiner P: </w:t>
      </w:r>
      <w:r w:rsidRPr="00B75A2A">
        <w:rPr>
          <w:rFonts w:ascii="Times New Roman" w:hAnsi="Times New Roman" w:cs="Times New Roman"/>
          <w:b/>
          <w:sz w:val="24"/>
          <w:szCs w:val="24"/>
        </w:rPr>
        <w:t>Mucosal Progranulin expression is induced by H. pylori, but independent of Secretory Leukocyte Protease Inhibitor (SLPI) expression</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BMC gastroenterology </w:t>
      </w:r>
      <w:r w:rsidRPr="00B75A2A">
        <w:rPr>
          <w:rFonts w:ascii="Times New Roman" w:hAnsi="Times New Roman" w:cs="Times New Roman"/>
          <w:sz w:val="24"/>
          <w:szCs w:val="24"/>
        </w:rPr>
        <w:t xml:space="preserve">2011, </w:t>
      </w:r>
      <w:r w:rsidRPr="00B75A2A">
        <w:rPr>
          <w:rFonts w:ascii="Times New Roman" w:hAnsi="Times New Roman" w:cs="Times New Roman"/>
          <w:b/>
          <w:sz w:val="24"/>
          <w:szCs w:val="24"/>
        </w:rPr>
        <w:t>11</w:t>
      </w:r>
      <w:r w:rsidRPr="00B75A2A">
        <w:rPr>
          <w:rFonts w:ascii="Times New Roman" w:hAnsi="Times New Roman" w:cs="Times New Roman"/>
          <w:sz w:val="24"/>
          <w:szCs w:val="24"/>
        </w:rPr>
        <w:t>(1):1-9.</w:t>
      </w:r>
    </w:p>
    <w:p w14:paraId="58E02E58"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57.</w:t>
      </w:r>
      <w:r w:rsidRPr="00B75A2A">
        <w:rPr>
          <w:rFonts w:ascii="Times New Roman" w:hAnsi="Times New Roman" w:cs="Times New Roman"/>
          <w:sz w:val="24"/>
          <w:szCs w:val="24"/>
        </w:rPr>
        <w:tab/>
        <w:t xml:space="preserve">Yin F, Banerjee R, Thomas B, Zhou P, Qian L, Jia T, Ma X, Ma Y, Iadecola C, Beal MF: </w:t>
      </w:r>
      <w:r w:rsidRPr="00B75A2A">
        <w:rPr>
          <w:rFonts w:ascii="Times New Roman" w:hAnsi="Times New Roman" w:cs="Times New Roman"/>
          <w:b/>
          <w:sz w:val="24"/>
          <w:szCs w:val="24"/>
        </w:rPr>
        <w:t>Exaggerated inflammation, impaired host defense, and neuropathology in progranulin-deficient mice</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Journal of Experimental Medicine </w:t>
      </w:r>
      <w:r w:rsidRPr="00B75A2A">
        <w:rPr>
          <w:rFonts w:ascii="Times New Roman" w:hAnsi="Times New Roman" w:cs="Times New Roman"/>
          <w:sz w:val="24"/>
          <w:szCs w:val="24"/>
        </w:rPr>
        <w:t xml:space="preserve">2010, </w:t>
      </w:r>
      <w:r w:rsidRPr="00B75A2A">
        <w:rPr>
          <w:rFonts w:ascii="Times New Roman" w:hAnsi="Times New Roman" w:cs="Times New Roman"/>
          <w:b/>
          <w:sz w:val="24"/>
          <w:szCs w:val="24"/>
        </w:rPr>
        <w:t>207</w:t>
      </w:r>
      <w:r w:rsidRPr="00B75A2A">
        <w:rPr>
          <w:rFonts w:ascii="Times New Roman" w:hAnsi="Times New Roman" w:cs="Times New Roman"/>
          <w:sz w:val="24"/>
          <w:szCs w:val="24"/>
        </w:rPr>
        <w:t>(1):117-128.</w:t>
      </w:r>
    </w:p>
    <w:p w14:paraId="519BAB64"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58.</w:t>
      </w:r>
      <w:r w:rsidRPr="00B75A2A">
        <w:rPr>
          <w:rFonts w:ascii="Times New Roman" w:hAnsi="Times New Roman" w:cs="Times New Roman"/>
          <w:sz w:val="24"/>
          <w:szCs w:val="24"/>
        </w:rPr>
        <w:tab/>
        <w:t xml:space="preserve">Jian J, Konopka J, Liu C: </w:t>
      </w:r>
      <w:r w:rsidRPr="00B75A2A">
        <w:rPr>
          <w:rFonts w:ascii="Times New Roman" w:hAnsi="Times New Roman" w:cs="Times New Roman"/>
          <w:b/>
          <w:sz w:val="24"/>
          <w:szCs w:val="24"/>
        </w:rPr>
        <w:t>Insights into the role of progranulin in immunity, infection, and inflammation</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Journal of leukocyte biology </w:t>
      </w:r>
      <w:r w:rsidRPr="00B75A2A">
        <w:rPr>
          <w:rFonts w:ascii="Times New Roman" w:hAnsi="Times New Roman" w:cs="Times New Roman"/>
          <w:sz w:val="24"/>
          <w:szCs w:val="24"/>
        </w:rPr>
        <w:t xml:space="preserve">2013, </w:t>
      </w:r>
      <w:r w:rsidRPr="00B75A2A">
        <w:rPr>
          <w:rFonts w:ascii="Times New Roman" w:hAnsi="Times New Roman" w:cs="Times New Roman"/>
          <w:b/>
          <w:sz w:val="24"/>
          <w:szCs w:val="24"/>
        </w:rPr>
        <w:t>93</w:t>
      </w:r>
      <w:r w:rsidRPr="00B75A2A">
        <w:rPr>
          <w:rFonts w:ascii="Times New Roman" w:hAnsi="Times New Roman" w:cs="Times New Roman"/>
          <w:sz w:val="24"/>
          <w:szCs w:val="24"/>
        </w:rPr>
        <w:t>(2):199-208.</w:t>
      </w:r>
    </w:p>
    <w:p w14:paraId="2E352439"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59.</w:t>
      </w:r>
      <w:r w:rsidRPr="00B75A2A">
        <w:rPr>
          <w:rFonts w:ascii="Times New Roman" w:hAnsi="Times New Roman" w:cs="Times New Roman"/>
          <w:sz w:val="24"/>
          <w:szCs w:val="24"/>
        </w:rPr>
        <w:tab/>
        <w:t xml:space="preserve">Knauf F, Brewer JR, Flavell RA: </w:t>
      </w:r>
      <w:r w:rsidRPr="00B75A2A">
        <w:rPr>
          <w:rFonts w:ascii="Times New Roman" w:hAnsi="Times New Roman" w:cs="Times New Roman"/>
          <w:b/>
          <w:sz w:val="24"/>
          <w:szCs w:val="24"/>
        </w:rPr>
        <w:t>Immunity, microbiota and kidney disease</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Nature Reviews Nephrology </w:t>
      </w:r>
      <w:r w:rsidRPr="00B75A2A">
        <w:rPr>
          <w:rFonts w:ascii="Times New Roman" w:hAnsi="Times New Roman" w:cs="Times New Roman"/>
          <w:sz w:val="24"/>
          <w:szCs w:val="24"/>
        </w:rPr>
        <w:t xml:space="preserve">2019, </w:t>
      </w:r>
      <w:r w:rsidRPr="00B75A2A">
        <w:rPr>
          <w:rFonts w:ascii="Times New Roman" w:hAnsi="Times New Roman" w:cs="Times New Roman"/>
          <w:b/>
          <w:sz w:val="24"/>
          <w:szCs w:val="24"/>
        </w:rPr>
        <w:t>15</w:t>
      </w:r>
      <w:r w:rsidRPr="00B75A2A">
        <w:rPr>
          <w:rFonts w:ascii="Times New Roman" w:hAnsi="Times New Roman" w:cs="Times New Roman"/>
          <w:sz w:val="24"/>
          <w:szCs w:val="24"/>
        </w:rPr>
        <w:t>(5):263-274.</w:t>
      </w:r>
    </w:p>
    <w:p w14:paraId="5C9B6750"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60.</w:t>
      </w:r>
      <w:r w:rsidRPr="00B75A2A">
        <w:rPr>
          <w:rFonts w:ascii="Times New Roman" w:hAnsi="Times New Roman" w:cs="Times New Roman"/>
          <w:sz w:val="24"/>
          <w:szCs w:val="24"/>
        </w:rPr>
        <w:tab/>
        <w:t xml:space="preserve">Freel RW, Hatch M, Green M, Soleimani M: </w:t>
      </w:r>
      <w:r w:rsidRPr="00B75A2A">
        <w:rPr>
          <w:rFonts w:ascii="Times New Roman" w:hAnsi="Times New Roman" w:cs="Times New Roman"/>
          <w:b/>
          <w:sz w:val="24"/>
          <w:szCs w:val="24"/>
        </w:rPr>
        <w:t>Ileal oxalate absorption and urinary oxalate excretion are enhanced in Slc26a6 null mice</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American Journal of Physiology-Gastrointestinal and Liver Physiology </w:t>
      </w:r>
      <w:r w:rsidRPr="00B75A2A">
        <w:rPr>
          <w:rFonts w:ascii="Times New Roman" w:hAnsi="Times New Roman" w:cs="Times New Roman"/>
          <w:sz w:val="24"/>
          <w:szCs w:val="24"/>
        </w:rPr>
        <w:t xml:space="preserve">2006, </w:t>
      </w:r>
      <w:r w:rsidRPr="00B75A2A">
        <w:rPr>
          <w:rFonts w:ascii="Times New Roman" w:hAnsi="Times New Roman" w:cs="Times New Roman"/>
          <w:b/>
          <w:sz w:val="24"/>
          <w:szCs w:val="24"/>
        </w:rPr>
        <w:t>290</w:t>
      </w:r>
      <w:r w:rsidRPr="00B75A2A">
        <w:rPr>
          <w:rFonts w:ascii="Times New Roman" w:hAnsi="Times New Roman" w:cs="Times New Roman"/>
          <w:sz w:val="24"/>
          <w:szCs w:val="24"/>
        </w:rPr>
        <w:t>(4):G719-G728.</w:t>
      </w:r>
    </w:p>
    <w:p w14:paraId="66747DC0"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61.</w:t>
      </w:r>
      <w:r w:rsidRPr="00B75A2A">
        <w:rPr>
          <w:rFonts w:ascii="Times New Roman" w:hAnsi="Times New Roman" w:cs="Times New Roman"/>
          <w:sz w:val="24"/>
          <w:szCs w:val="24"/>
        </w:rPr>
        <w:tab/>
        <w:t xml:space="preserve">Jiang Z, Asplin JR, Evan AP, Rajendran VM, Velazquez H, Nottoli TP, Binder HJ, Aronson PS: </w:t>
      </w:r>
      <w:r w:rsidRPr="00B75A2A">
        <w:rPr>
          <w:rFonts w:ascii="Times New Roman" w:hAnsi="Times New Roman" w:cs="Times New Roman"/>
          <w:b/>
          <w:sz w:val="24"/>
          <w:szCs w:val="24"/>
        </w:rPr>
        <w:t>Calcium oxalate urolithiasis in mice lacking anion transporter Slc26a6</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Nature genetics </w:t>
      </w:r>
      <w:r w:rsidRPr="00B75A2A">
        <w:rPr>
          <w:rFonts w:ascii="Times New Roman" w:hAnsi="Times New Roman" w:cs="Times New Roman"/>
          <w:sz w:val="24"/>
          <w:szCs w:val="24"/>
        </w:rPr>
        <w:t xml:space="preserve">2006, </w:t>
      </w:r>
      <w:r w:rsidRPr="00B75A2A">
        <w:rPr>
          <w:rFonts w:ascii="Times New Roman" w:hAnsi="Times New Roman" w:cs="Times New Roman"/>
          <w:b/>
          <w:sz w:val="24"/>
          <w:szCs w:val="24"/>
        </w:rPr>
        <w:t>38</w:t>
      </w:r>
      <w:r w:rsidRPr="00B75A2A">
        <w:rPr>
          <w:rFonts w:ascii="Times New Roman" w:hAnsi="Times New Roman" w:cs="Times New Roman"/>
          <w:sz w:val="24"/>
          <w:szCs w:val="24"/>
        </w:rPr>
        <w:t>(4):474-478.</w:t>
      </w:r>
    </w:p>
    <w:p w14:paraId="60B45FD0"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62.</w:t>
      </w:r>
      <w:r w:rsidRPr="00B75A2A">
        <w:rPr>
          <w:rFonts w:ascii="Times New Roman" w:hAnsi="Times New Roman" w:cs="Times New Roman"/>
          <w:sz w:val="24"/>
          <w:szCs w:val="24"/>
        </w:rPr>
        <w:tab/>
        <w:t xml:space="preserve">Zahid A, Li B, Kombe AJK, Jin T, Tao J: </w:t>
      </w:r>
      <w:r w:rsidRPr="00B75A2A">
        <w:rPr>
          <w:rFonts w:ascii="Times New Roman" w:hAnsi="Times New Roman" w:cs="Times New Roman"/>
          <w:b/>
          <w:sz w:val="24"/>
          <w:szCs w:val="24"/>
        </w:rPr>
        <w:t>Pharmacological inhibitors of the NLRP3 inflammasome</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Frontiers in immunology </w:t>
      </w:r>
      <w:r w:rsidRPr="00B75A2A">
        <w:rPr>
          <w:rFonts w:ascii="Times New Roman" w:hAnsi="Times New Roman" w:cs="Times New Roman"/>
          <w:sz w:val="24"/>
          <w:szCs w:val="24"/>
        </w:rPr>
        <w:t>2019:2538.</w:t>
      </w:r>
    </w:p>
    <w:p w14:paraId="0FC70481"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63.</w:t>
      </w:r>
      <w:r w:rsidRPr="00B75A2A">
        <w:rPr>
          <w:rFonts w:ascii="Times New Roman" w:hAnsi="Times New Roman" w:cs="Times New Roman"/>
          <w:sz w:val="24"/>
          <w:szCs w:val="24"/>
        </w:rPr>
        <w:tab/>
        <w:t xml:space="preserve">Huang C-K, Dai D, Xie H, Zhu Z, Hu J, Su M, Liu M, Lu L, Shen W, Ning G: </w:t>
      </w:r>
      <w:r w:rsidRPr="00B75A2A">
        <w:rPr>
          <w:rFonts w:ascii="Times New Roman" w:hAnsi="Times New Roman" w:cs="Times New Roman"/>
          <w:b/>
          <w:sz w:val="24"/>
          <w:szCs w:val="24"/>
        </w:rPr>
        <w:t>Lgr4 governs a pro-inflammatory program in macrophages to antagonize post-infarction cardiac repair</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Circulation Research </w:t>
      </w:r>
      <w:r w:rsidRPr="00B75A2A">
        <w:rPr>
          <w:rFonts w:ascii="Times New Roman" w:hAnsi="Times New Roman" w:cs="Times New Roman"/>
          <w:sz w:val="24"/>
          <w:szCs w:val="24"/>
        </w:rPr>
        <w:t xml:space="preserve">2020, </w:t>
      </w:r>
      <w:r w:rsidRPr="00B75A2A">
        <w:rPr>
          <w:rFonts w:ascii="Times New Roman" w:hAnsi="Times New Roman" w:cs="Times New Roman"/>
          <w:b/>
          <w:sz w:val="24"/>
          <w:szCs w:val="24"/>
        </w:rPr>
        <w:t>127</w:t>
      </w:r>
      <w:r w:rsidRPr="00B75A2A">
        <w:rPr>
          <w:rFonts w:ascii="Times New Roman" w:hAnsi="Times New Roman" w:cs="Times New Roman"/>
          <w:sz w:val="24"/>
          <w:szCs w:val="24"/>
        </w:rPr>
        <w:t>(8):953-973.</w:t>
      </w:r>
    </w:p>
    <w:p w14:paraId="71122250"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64.</w:t>
      </w:r>
      <w:r w:rsidRPr="00B75A2A">
        <w:rPr>
          <w:rFonts w:ascii="Times New Roman" w:hAnsi="Times New Roman" w:cs="Times New Roman"/>
          <w:sz w:val="24"/>
          <w:szCs w:val="24"/>
        </w:rPr>
        <w:tab/>
        <w:t xml:space="preserve">Li H-Z, Li N, Wang J-J, Li H, Huang X, Guo L, Zheng H-W, He Z-L, Zhao Y, Yang Z-N: </w:t>
      </w:r>
      <w:r w:rsidRPr="00B75A2A">
        <w:rPr>
          <w:rFonts w:ascii="Times New Roman" w:hAnsi="Times New Roman" w:cs="Times New Roman"/>
          <w:b/>
          <w:sz w:val="24"/>
          <w:szCs w:val="24"/>
        </w:rPr>
        <w:t>Dysbiosis of gut microbiome affecting small intestine morphology and immune balance: a rhesus macaque model</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Zoological research </w:t>
      </w:r>
      <w:r w:rsidRPr="00B75A2A">
        <w:rPr>
          <w:rFonts w:ascii="Times New Roman" w:hAnsi="Times New Roman" w:cs="Times New Roman"/>
          <w:sz w:val="24"/>
          <w:szCs w:val="24"/>
        </w:rPr>
        <w:t xml:space="preserve">2020, </w:t>
      </w:r>
      <w:r w:rsidRPr="00B75A2A">
        <w:rPr>
          <w:rFonts w:ascii="Times New Roman" w:hAnsi="Times New Roman" w:cs="Times New Roman"/>
          <w:b/>
          <w:sz w:val="24"/>
          <w:szCs w:val="24"/>
        </w:rPr>
        <w:t>41</w:t>
      </w:r>
      <w:r w:rsidRPr="00B75A2A">
        <w:rPr>
          <w:rFonts w:ascii="Times New Roman" w:hAnsi="Times New Roman" w:cs="Times New Roman"/>
          <w:sz w:val="24"/>
          <w:szCs w:val="24"/>
        </w:rPr>
        <w:t>(1):20.</w:t>
      </w:r>
    </w:p>
    <w:p w14:paraId="23D93AD6"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lastRenderedPageBreak/>
        <w:t>65.</w:t>
      </w:r>
      <w:r w:rsidRPr="00B75A2A">
        <w:rPr>
          <w:rFonts w:ascii="Times New Roman" w:hAnsi="Times New Roman" w:cs="Times New Roman"/>
          <w:sz w:val="24"/>
          <w:szCs w:val="24"/>
        </w:rPr>
        <w:tab/>
        <w:t xml:space="preserve">Spadoni I, Pietrelli A, Pesole G, Rescigno M: </w:t>
      </w:r>
      <w:r w:rsidRPr="00B75A2A">
        <w:rPr>
          <w:rFonts w:ascii="Times New Roman" w:hAnsi="Times New Roman" w:cs="Times New Roman"/>
          <w:b/>
          <w:sz w:val="24"/>
          <w:szCs w:val="24"/>
        </w:rPr>
        <w:t>Gene expression profile of endothelial cells during perturbation of the gut vascular barrier</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Gut Microbes </w:t>
      </w:r>
      <w:r w:rsidRPr="00B75A2A">
        <w:rPr>
          <w:rFonts w:ascii="Times New Roman" w:hAnsi="Times New Roman" w:cs="Times New Roman"/>
          <w:sz w:val="24"/>
          <w:szCs w:val="24"/>
        </w:rPr>
        <w:t xml:space="preserve">2016, </w:t>
      </w:r>
      <w:r w:rsidRPr="00B75A2A">
        <w:rPr>
          <w:rFonts w:ascii="Times New Roman" w:hAnsi="Times New Roman" w:cs="Times New Roman"/>
          <w:b/>
          <w:sz w:val="24"/>
          <w:szCs w:val="24"/>
        </w:rPr>
        <w:t>7</w:t>
      </w:r>
      <w:r w:rsidRPr="00B75A2A">
        <w:rPr>
          <w:rFonts w:ascii="Times New Roman" w:hAnsi="Times New Roman" w:cs="Times New Roman"/>
          <w:sz w:val="24"/>
          <w:szCs w:val="24"/>
        </w:rPr>
        <w:t>(6):540-548.</w:t>
      </w:r>
    </w:p>
    <w:p w14:paraId="0698E6B5"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66.</w:t>
      </w:r>
      <w:r w:rsidRPr="00B75A2A">
        <w:rPr>
          <w:rFonts w:ascii="Times New Roman" w:hAnsi="Times New Roman" w:cs="Times New Roman"/>
          <w:sz w:val="24"/>
          <w:szCs w:val="24"/>
        </w:rPr>
        <w:tab/>
        <w:t xml:space="preserve">Hu J, Ma L, Zheng W, Nie Y, Yan X: </w:t>
      </w:r>
      <w:r w:rsidRPr="00B75A2A">
        <w:rPr>
          <w:rFonts w:ascii="Times New Roman" w:hAnsi="Times New Roman" w:cs="Times New Roman"/>
          <w:b/>
          <w:sz w:val="24"/>
          <w:szCs w:val="24"/>
        </w:rPr>
        <w:t>Lactobacillus gasseri LA39 activates the oxidative phosphorylation pathway in porcine intestinal epithelial cells</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Frontiers in Microbiology </w:t>
      </w:r>
      <w:r w:rsidRPr="00B75A2A">
        <w:rPr>
          <w:rFonts w:ascii="Times New Roman" w:hAnsi="Times New Roman" w:cs="Times New Roman"/>
          <w:sz w:val="24"/>
          <w:szCs w:val="24"/>
        </w:rPr>
        <w:t>2018:3025.</w:t>
      </w:r>
    </w:p>
    <w:p w14:paraId="2C73C245"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67.</w:t>
      </w:r>
      <w:r w:rsidRPr="00B75A2A">
        <w:rPr>
          <w:rFonts w:ascii="Times New Roman" w:hAnsi="Times New Roman" w:cs="Times New Roman"/>
          <w:sz w:val="24"/>
          <w:szCs w:val="24"/>
        </w:rPr>
        <w:tab/>
        <w:t xml:space="preserve">Miller KA, Vicentini FA, Hirota SA, Sharkey KA, Wieser ME: </w:t>
      </w:r>
      <w:r w:rsidRPr="00B75A2A">
        <w:rPr>
          <w:rFonts w:ascii="Times New Roman" w:hAnsi="Times New Roman" w:cs="Times New Roman"/>
          <w:b/>
          <w:sz w:val="24"/>
          <w:szCs w:val="24"/>
        </w:rPr>
        <w:t>Antibiotic treatment affects the expression levels of copper transporters and the isotopic composition of copper in the colon of mice</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Proceedings of the National Academy of Sciences </w:t>
      </w:r>
      <w:r w:rsidRPr="00B75A2A">
        <w:rPr>
          <w:rFonts w:ascii="Times New Roman" w:hAnsi="Times New Roman" w:cs="Times New Roman"/>
          <w:sz w:val="24"/>
          <w:szCs w:val="24"/>
        </w:rPr>
        <w:t xml:space="preserve">2019, </w:t>
      </w:r>
      <w:r w:rsidRPr="00B75A2A">
        <w:rPr>
          <w:rFonts w:ascii="Times New Roman" w:hAnsi="Times New Roman" w:cs="Times New Roman"/>
          <w:b/>
          <w:sz w:val="24"/>
          <w:szCs w:val="24"/>
        </w:rPr>
        <w:t>116</w:t>
      </w:r>
      <w:r w:rsidRPr="00B75A2A">
        <w:rPr>
          <w:rFonts w:ascii="Times New Roman" w:hAnsi="Times New Roman" w:cs="Times New Roman"/>
          <w:sz w:val="24"/>
          <w:szCs w:val="24"/>
        </w:rPr>
        <w:t>(13):5955-5960.</w:t>
      </w:r>
    </w:p>
    <w:p w14:paraId="2655E35F"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68.</w:t>
      </w:r>
      <w:r w:rsidRPr="00B75A2A">
        <w:rPr>
          <w:rFonts w:ascii="Times New Roman" w:hAnsi="Times New Roman" w:cs="Times New Roman"/>
          <w:sz w:val="24"/>
          <w:szCs w:val="24"/>
        </w:rPr>
        <w:tab/>
        <w:t xml:space="preserve">Kim HW, Chan Q, Afton SE, Caruso JA, Lai B, Weintraub NL, Qin Z: </w:t>
      </w:r>
      <w:r w:rsidRPr="00B75A2A">
        <w:rPr>
          <w:rFonts w:ascii="Times New Roman" w:hAnsi="Times New Roman" w:cs="Times New Roman"/>
          <w:b/>
          <w:sz w:val="24"/>
          <w:szCs w:val="24"/>
        </w:rPr>
        <w:t>Human macrophage ATP7A is localized in the trans-Golgi apparatus, controls intracellular copper levels, and mediates macrophage responses to dermal wounds</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Inflammation </w:t>
      </w:r>
      <w:r w:rsidRPr="00B75A2A">
        <w:rPr>
          <w:rFonts w:ascii="Times New Roman" w:hAnsi="Times New Roman" w:cs="Times New Roman"/>
          <w:sz w:val="24"/>
          <w:szCs w:val="24"/>
        </w:rPr>
        <w:t xml:space="preserve">2012, </w:t>
      </w:r>
      <w:r w:rsidRPr="00B75A2A">
        <w:rPr>
          <w:rFonts w:ascii="Times New Roman" w:hAnsi="Times New Roman" w:cs="Times New Roman"/>
          <w:b/>
          <w:sz w:val="24"/>
          <w:szCs w:val="24"/>
        </w:rPr>
        <w:t>35</w:t>
      </w:r>
      <w:r w:rsidRPr="00B75A2A">
        <w:rPr>
          <w:rFonts w:ascii="Times New Roman" w:hAnsi="Times New Roman" w:cs="Times New Roman"/>
          <w:sz w:val="24"/>
          <w:szCs w:val="24"/>
        </w:rPr>
        <w:t>(1):167-175.</w:t>
      </w:r>
    </w:p>
    <w:p w14:paraId="555BA879"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69.</w:t>
      </w:r>
      <w:r w:rsidRPr="00B75A2A">
        <w:rPr>
          <w:rFonts w:ascii="Times New Roman" w:hAnsi="Times New Roman" w:cs="Times New Roman"/>
          <w:sz w:val="24"/>
          <w:szCs w:val="24"/>
        </w:rPr>
        <w:tab/>
        <w:t xml:space="preserve">White C, Lee J, Kambe T, Fritsche K, Petris MJ: </w:t>
      </w:r>
      <w:r w:rsidRPr="00B75A2A">
        <w:rPr>
          <w:rFonts w:ascii="Times New Roman" w:hAnsi="Times New Roman" w:cs="Times New Roman"/>
          <w:b/>
          <w:sz w:val="24"/>
          <w:szCs w:val="24"/>
        </w:rPr>
        <w:t>A role for the ATP7A copper-transporting ATPase in macrophage bactericidal activity</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Journal of Biological Chemistry </w:t>
      </w:r>
      <w:r w:rsidRPr="00B75A2A">
        <w:rPr>
          <w:rFonts w:ascii="Times New Roman" w:hAnsi="Times New Roman" w:cs="Times New Roman"/>
          <w:sz w:val="24"/>
          <w:szCs w:val="24"/>
        </w:rPr>
        <w:t xml:space="preserve">2009, </w:t>
      </w:r>
      <w:r w:rsidRPr="00B75A2A">
        <w:rPr>
          <w:rFonts w:ascii="Times New Roman" w:hAnsi="Times New Roman" w:cs="Times New Roman"/>
          <w:b/>
          <w:sz w:val="24"/>
          <w:szCs w:val="24"/>
        </w:rPr>
        <w:t>284</w:t>
      </w:r>
      <w:r w:rsidRPr="00B75A2A">
        <w:rPr>
          <w:rFonts w:ascii="Times New Roman" w:hAnsi="Times New Roman" w:cs="Times New Roman"/>
          <w:sz w:val="24"/>
          <w:szCs w:val="24"/>
        </w:rPr>
        <w:t>(49):33949-33956.</w:t>
      </w:r>
    </w:p>
    <w:p w14:paraId="490F8CB6"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70.</w:t>
      </w:r>
      <w:r w:rsidRPr="00B75A2A">
        <w:rPr>
          <w:rFonts w:ascii="Times New Roman" w:hAnsi="Times New Roman" w:cs="Times New Roman"/>
          <w:sz w:val="24"/>
          <w:szCs w:val="24"/>
        </w:rPr>
        <w:tab/>
        <w:t xml:space="preserve">Dolgachev VA, Yu B, Reinke JM, Raghavendran K, Hemmila MR: </w:t>
      </w:r>
      <w:r w:rsidRPr="00B75A2A">
        <w:rPr>
          <w:rFonts w:ascii="Times New Roman" w:hAnsi="Times New Roman" w:cs="Times New Roman"/>
          <w:b/>
          <w:sz w:val="24"/>
          <w:szCs w:val="24"/>
        </w:rPr>
        <w:t>Host susceptibility to gram-negative pneumonia after lung contusion</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The journal of trauma and acute care surgery </w:t>
      </w:r>
      <w:r w:rsidRPr="00B75A2A">
        <w:rPr>
          <w:rFonts w:ascii="Times New Roman" w:hAnsi="Times New Roman" w:cs="Times New Roman"/>
          <w:sz w:val="24"/>
          <w:szCs w:val="24"/>
        </w:rPr>
        <w:t xml:space="preserve">2012, </w:t>
      </w:r>
      <w:r w:rsidRPr="00B75A2A">
        <w:rPr>
          <w:rFonts w:ascii="Times New Roman" w:hAnsi="Times New Roman" w:cs="Times New Roman"/>
          <w:b/>
          <w:sz w:val="24"/>
          <w:szCs w:val="24"/>
        </w:rPr>
        <w:t>72</w:t>
      </w:r>
      <w:r w:rsidRPr="00B75A2A">
        <w:rPr>
          <w:rFonts w:ascii="Times New Roman" w:hAnsi="Times New Roman" w:cs="Times New Roman"/>
          <w:sz w:val="24"/>
          <w:szCs w:val="24"/>
        </w:rPr>
        <w:t>(3):614.</w:t>
      </w:r>
    </w:p>
    <w:p w14:paraId="74ED9F8C"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71.</w:t>
      </w:r>
      <w:r w:rsidRPr="00B75A2A">
        <w:rPr>
          <w:rFonts w:ascii="Times New Roman" w:hAnsi="Times New Roman" w:cs="Times New Roman"/>
          <w:sz w:val="24"/>
          <w:szCs w:val="24"/>
        </w:rPr>
        <w:tab/>
        <w:t xml:space="preserve">McCafferty D-M, Craig AW, Senis YA, Greer PA: </w:t>
      </w:r>
      <w:r w:rsidRPr="00B75A2A">
        <w:rPr>
          <w:rFonts w:ascii="Times New Roman" w:hAnsi="Times New Roman" w:cs="Times New Roman"/>
          <w:b/>
          <w:sz w:val="24"/>
          <w:szCs w:val="24"/>
        </w:rPr>
        <w:t>Absence of Fer protein-tyrosine kinase exacerbates leukocyte recruitment in response to endotoxin</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The Journal of Immunology </w:t>
      </w:r>
      <w:r w:rsidRPr="00B75A2A">
        <w:rPr>
          <w:rFonts w:ascii="Times New Roman" w:hAnsi="Times New Roman" w:cs="Times New Roman"/>
          <w:sz w:val="24"/>
          <w:szCs w:val="24"/>
        </w:rPr>
        <w:t xml:space="preserve">2002, </w:t>
      </w:r>
      <w:r w:rsidRPr="00B75A2A">
        <w:rPr>
          <w:rFonts w:ascii="Times New Roman" w:hAnsi="Times New Roman" w:cs="Times New Roman"/>
          <w:b/>
          <w:sz w:val="24"/>
          <w:szCs w:val="24"/>
        </w:rPr>
        <w:t>168</w:t>
      </w:r>
      <w:r w:rsidRPr="00B75A2A">
        <w:rPr>
          <w:rFonts w:ascii="Times New Roman" w:hAnsi="Times New Roman" w:cs="Times New Roman"/>
          <w:sz w:val="24"/>
          <w:szCs w:val="24"/>
        </w:rPr>
        <w:t>(10):4930-4935.</w:t>
      </w:r>
    </w:p>
    <w:p w14:paraId="7E6D0161"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72.</w:t>
      </w:r>
      <w:r w:rsidRPr="00B75A2A">
        <w:rPr>
          <w:rFonts w:ascii="Times New Roman" w:hAnsi="Times New Roman" w:cs="Times New Roman"/>
          <w:sz w:val="24"/>
          <w:szCs w:val="24"/>
        </w:rPr>
        <w:tab/>
        <w:t xml:space="preserve">Dolgachev V, Panicker S, Balijepalli S, McCandless LK, Yin Y, Swamy S, Suresh M, Delano MJ, Hemmila MR, Raghavendran K: </w:t>
      </w:r>
      <w:r w:rsidRPr="00B75A2A">
        <w:rPr>
          <w:rFonts w:ascii="Times New Roman" w:hAnsi="Times New Roman" w:cs="Times New Roman"/>
          <w:b/>
          <w:sz w:val="24"/>
          <w:szCs w:val="24"/>
        </w:rPr>
        <w:t xml:space="preserve">Electroporation-mediated delivery of </w:t>
      </w:r>
      <w:r w:rsidRPr="00B75A2A">
        <w:rPr>
          <w:rFonts w:ascii="Times New Roman" w:hAnsi="Times New Roman" w:cs="Times New Roman"/>
          <w:b/>
          <w:sz w:val="24"/>
          <w:szCs w:val="24"/>
        </w:rPr>
        <w:lastRenderedPageBreak/>
        <w:t>FER gene enhances innate immune response and improves survival in a murine model of pneumonia</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Gene therapy </w:t>
      </w:r>
      <w:r w:rsidRPr="00B75A2A">
        <w:rPr>
          <w:rFonts w:ascii="Times New Roman" w:hAnsi="Times New Roman" w:cs="Times New Roman"/>
          <w:sz w:val="24"/>
          <w:szCs w:val="24"/>
        </w:rPr>
        <w:t xml:space="preserve">2018, </w:t>
      </w:r>
      <w:r w:rsidRPr="00B75A2A">
        <w:rPr>
          <w:rFonts w:ascii="Times New Roman" w:hAnsi="Times New Roman" w:cs="Times New Roman"/>
          <w:b/>
          <w:sz w:val="24"/>
          <w:szCs w:val="24"/>
        </w:rPr>
        <w:t>25</w:t>
      </w:r>
      <w:r w:rsidRPr="00B75A2A">
        <w:rPr>
          <w:rFonts w:ascii="Times New Roman" w:hAnsi="Times New Roman" w:cs="Times New Roman"/>
          <w:sz w:val="24"/>
          <w:szCs w:val="24"/>
        </w:rPr>
        <w:t>(5):359-375.</w:t>
      </w:r>
    </w:p>
    <w:p w14:paraId="4CFD4D2D"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73.</w:t>
      </w:r>
      <w:r w:rsidRPr="00B75A2A">
        <w:rPr>
          <w:rFonts w:ascii="Times New Roman" w:hAnsi="Times New Roman" w:cs="Times New Roman"/>
          <w:sz w:val="24"/>
          <w:szCs w:val="24"/>
        </w:rPr>
        <w:tab/>
        <w:t xml:space="preserve">Dolgachev VA, Goldberg R, Suresh MV, Thomas B, Talarico N, Hemmila MR, Raghavendran K, Machado-Aranda D: </w:t>
      </w:r>
      <w:r w:rsidRPr="00B75A2A">
        <w:rPr>
          <w:rFonts w:ascii="Times New Roman" w:hAnsi="Times New Roman" w:cs="Times New Roman"/>
          <w:b/>
          <w:sz w:val="24"/>
          <w:szCs w:val="24"/>
        </w:rPr>
        <w:t>Electroporation-mediated delivery of the FER gene in the resolution of trauma-related fatal pneumonia</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Gene therapy </w:t>
      </w:r>
      <w:r w:rsidRPr="00B75A2A">
        <w:rPr>
          <w:rFonts w:ascii="Times New Roman" w:hAnsi="Times New Roman" w:cs="Times New Roman"/>
          <w:sz w:val="24"/>
          <w:szCs w:val="24"/>
        </w:rPr>
        <w:t xml:space="preserve">2016, </w:t>
      </w:r>
      <w:r w:rsidRPr="00B75A2A">
        <w:rPr>
          <w:rFonts w:ascii="Times New Roman" w:hAnsi="Times New Roman" w:cs="Times New Roman"/>
          <w:b/>
          <w:sz w:val="24"/>
          <w:szCs w:val="24"/>
        </w:rPr>
        <w:t>23</w:t>
      </w:r>
      <w:r w:rsidRPr="00B75A2A">
        <w:rPr>
          <w:rFonts w:ascii="Times New Roman" w:hAnsi="Times New Roman" w:cs="Times New Roman"/>
          <w:sz w:val="24"/>
          <w:szCs w:val="24"/>
        </w:rPr>
        <w:t>(11):785-796.</w:t>
      </w:r>
    </w:p>
    <w:p w14:paraId="43B016C3"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74.</w:t>
      </w:r>
      <w:r w:rsidRPr="00B75A2A">
        <w:rPr>
          <w:rFonts w:ascii="Times New Roman" w:hAnsi="Times New Roman" w:cs="Times New Roman"/>
          <w:sz w:val="24"/>
          <w:szCs w:val="24"/>
        </w:rPr>
        <w:tab/>
        <w:t xml:space="preserve">Pearson JA, Wong FS, Wen L: </w:t>
      </w:r>
      <w:r w:rsidRPr="00B75A2A">
        <w:rPr>
          <w:rFonts w:ascii="Times New Roman" w:hAnsi="Times New Roman" w:cs="Times New Roman"/>
          <w:b/>
          <w:sz w:val="24"/>
          <w:szCs w:val="24"/>
        </w:rPr>
        <w:t>Crosstalk between circadian rhythms and the microbiota</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Immunology </w:t>
      </w:r>
      <w:r w:rsidRPr="00B75A2A">
        <w:rPr>
          <w:rFonts w:ascii="Times New Roman" w:hAnsi="Times New Roman" w:cs="Times New Roman"/>
          <w:sz w:val="24"/>
          <w:szCs w:val="24"/>
        </w:rPr>
        <w:t xml:space="preserve">2020, </w:t>
      </w:r>
      <w:r w:rsidRPr="00B75A2A">
        <w:rPr>
          <w:rFonts w:ascii="Times New Roman" w:hAnsi="Times New Roman" w:cs="Times New Roman"/>
          <w:b/>
          <w:sz w:val="24"/>
          <w:szCs w:val="24"/>
        </w:rPr>
        <w:t>161</w:t>
      </w:r>
      <w:r w:rsidRPr="00B75A2A">
        <w:rPr>
          <w:rFonts w:ascii="Times New Roman" w:hAnsi="Times New Roman" w:cs="Times New Roman"/>
          <w:sz w:val="24"/>
          <w:szCs w:val="24"/>
        </w:rPr>
        <w:t>(4):278-290.</w:t>
      </w:r>
    </w:p>
    <w:p w14:paraId="6FC00B35"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75.</w:t>
      </w:r>
      <w:r w:rsidRPr="00B75A2A">
        <w:rPr>
          <w:rFonts w:ascii="Times New Roman" w:hAnsi="Times New Roman" w:cs="Times New Roman"/>
          <w:sz w:val="24"/>
          <w:szCs w:val="24"/>
        </w:rPr>
        <w:tab/>
        <w:t xml:space="preserve">Hussain MM: </w:t>
      </w:r>
      <w:r w:rsidRPr="00B75A2A">
        <w:rPr>
          <w:rFonts w:ascii="Times New Roman" w:hAnsi="Times New Roman" w:cs="Times New Roman"/>
          <w:b/>
          <w:sz w:val="24"/>
          <w:szCs w:val="24"/>
        </w:rPr>
        <w:t>Gut microbiota modulates diurnal secretion of glucocorticoids</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Nature Reviews Endocrinology </w:t>
      </w:r>
      <w:r w:rsidRPr="00B75A2A">
        <w:rPr>
          <w:rFonts w:ascii="Times New Roman" w:hAnsi="Times New Roman" w:cs="Times New Roman"/>
          <w:sz w:val="24"/>
          <w:szCs w:val="24"/>
        </w:rPr>
        <w:t xml:space="preserve">2013, </w:t>
      </w:r>
      <w:r w:rsidRPr="00B75A2A">
        <w:rPr>
          <w:rFonts w:ascii="Times New Roman" w:hAnsi="Times New Roman" w:cs="Times New Roman"/>
          <w:b/>
          <w:sz w:val="24"/>
          <w:szCs w:val="24"/>
        </w:rPr>
        <w:t>9</w:t>
      </w:r>
      <w:r w:rsidRPr="00B75A2A">
        <w:rPr>
          <w:rFonts w:ascii="Times New Roman" w:hAnsi="Times New Roman" w:cs="Times New Roman"/>
          <w:sz w:val="24"/>
          <w:szCs w:val="24"/>
        </w:rPr>
        <w:t>(8):444-446.</w:t>
      </w:r>
    </w:p>
    <w:p w14:paraId="47CE0B03"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76.</w:t>
      </w:r>
      <w:r w:rsidRPr="00B75A2A">
        <w:rPr>
          <w:rFonts w:ascii="Times New Roman" w:hAnsi="Times New Roman" w:cs="Times New Roman"/>
          <w:sz w:val="24"/>
          <w:szCs w:val="24"/>
        </w:rPr>
        <w:tab/>
        <w:t xml:space="preserve">Mukherji A, Kobiita A, Ye T, Chambon P: </w:t>
      </w:r>
      <w:r w:rsidRPr="00B75A2A">
        <w:rPr>
          <w:rFonts w:ascii="Times New Roman" w:hAnsi="Times New Roman" w:cs="Times New Roman"/>
          <w:b/>
          <w:sz w:val="24"/>
          <w:szCs w:val="24"/>
        </w:rPr>
        <w:t>Homeostasis in intestinal epithelium is orchestrated by the circadian clock and microbiota cues transduced by TLRs</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Cell </w:t>
      </w:r>
      <w:r w:rsidRPr="00B75A2A">
        <w:rPr>
          <w:rFonts w:ascii="Times New Roman" w:hAnsi="Times New Roman" w:cs="Times New Roman"/>
          <w:sz w:val="24"/>
          <w:szCs w:val="24"/>
        </w:rPr>
        <w:t xml:space="preserve">2013, </w:t>
      </w:r>
      <w:r w:rsidRPr="00B75A2A">
        <w:rPr>
          <w:rFonts w:ascii="Times New Roman" w:hAnsi="Times New Roman" w:cs="Times New Roman"/>
          <w:b/>
          <w:sz w:val="24"/>
          <w:szCs w:val="24"/>
        </w:rPr>
        <w:t>153</w:t>
      </w:r>
      <w:r w:rsidRPr="00B75A2A">
        <w:rPr>
          <w:rFonts w:ascii="Times New Roman" w:hAnsi="Times New Roman" w:cs="Times New Roman"/>
          <w:sz w:val="24"/>
          <w:szCs w:val="24"/>
        </w:rPr>
        <w:t>(4):812-827.</w:t>
      </w:r>
    </w:p>
    <w:p w14:paraId="1DF8E6B4"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77.</w:t>
      </w:r>
      <w:r w:rsidRPr="00B75A2A">
        <w:rPr>
          <w:rFonts w:ascii="Times New Roman" w:hAnsi="Times New Roman" w:cs="Times New Roman"/>
          <w:sz w:val="24"/>
          <w:szCs w:val="24"/>
        </w:rPr>
        <w:tab/>
        <w:t xml:space="preserve">Wang Y, Kuang Z, Yu X, Ruhn KA, Kubo M, Hooper LV: </w:t>
      </w:r>
      <w:r w:rsidRPr="00B75A2A">
        <w:rPr>
          <w:rFonts w:ascii="Times New Roman" w:hAnsi="Times New Roman" w:cs="Times New Roman"/>
          <w:b/>
          <w:sz w:val="24"/>
          <w:szCs w:val="24"/>
        </w:rPr>
        <w:t>The intestinal microbiota regulates body composition through NFIL3 and the circadian clock</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Science </w:t>
      </w:r>
      <w:r w:rsidRPr="00B75A2A">
        <w:rPr>
          <w:rFonts w:ascii="Times New Roman" w:hAnsi="Times New Roman" w:cs="Times New Roman"/>
          <w:sz w:val="24"/>
          <w:szCs w:val="24"/>
        </w:rPr>
        <w:t xml:space="preserve">2017, </w:t>
      </w:r>
      <w:r w:rsidRPr="00B75A2A">
        <w:rPr>
          <w:rFonts w:ascii="Times New Roman" w:hAnsi="Times New Roman" w:cs="Times New Roman"/>
          <w:b/>
          <w:sz w:val="24"/>
          <w:szCs w:val="24"/>
        </w:rPr>
        <w:t>357</w:t>
      </w:r>
      <w:r w:rsidRPr="00B75A2A">
        <w:rPr>
          <w:rFonts w:ascii="Times New Roman" w:hAnsi="Times New Roman" w:cs="Times New Roman"/>
          <w:sz w:val="24"/>
          <w:szCs w:val="24"/>
        </w:rPr>
        <w:t>(6354):912-916.</w:t>
      </w:r>
    </w:p>
    <w:p w14:paraId="4FFCFA74"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78.</w:t>
      </w:r>
      <w:r w:rsidRPr="00B75A2A">
        <w:rPr>
          <w:rFonts w:ascii="Times New Roman" w:hAnsi="Times New Roman" w:cs="Times New Roman"/>
          <w:sz w:val="24"/>
          <w:szCs w:val="24"/>
        </w:rPr>
        <w:tab/>
        <w:t xml:space="preserve">Ohnmacht C: </w:t>
      </w:r>
      <w:r w:rsidRPr="00B75A2A">
        <w:rPr>
          <w:rFonts w:ascii="Times New Roman" w:hAnsi="Times New Roman" w:cs="Times New Roman"/>
          <w:b/>
          <w:sz w:val="24"/>
          <w:szCs w:val="24"/>
        </w:rPr>
        <w:t>Tolerance to the Intestinal Microbiota Mediated by ROR(γt)(+) Cells</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Trends Immunol </w:t>
      </w:r>
      <w:r w:rsidRPr="00B75A2A">
        <w:rPr>
          <w:rFonts w:ascii="Times New Roman" w:hAnsi="Times New Roman" w:cs="Times New Roman"/>
          <w:sz w:val="24"/>
          <w:szCs w:val="24"/>
        </w:rPr>
        <w:t xml:space="preserve">2016, </w:t>
      </w:r>
      <w:r w:rsidRPr="00B75A2A">
        <w:rPr>
          <w:rFonts w:ascii="Times New Roman" w:hAnsi="Times New Roman" w:cs="Times New Roman"/>
          <w:b/>
          <w:sz w:val="24"/>
          <w:szCs w:val="24"/>
        </w:rPr>
        <w:t>37</w:t>
      </w:r>
      <w:r w:rsidRPr="00B75A2A">
        <w:rPr>
          <w:rFonts w:ascii="Times New Roman" w:hAnsi="Times New Roman" w:cs="Times New Roman"/>
          <w:sz w:val="24"/>
          <w:szCs w:val="24"/>
        </w:rPr>
        <w:t>(7):477-486.</w:t>
      </w:r>
    </w:p>
    <w:p w14:paraId="70E7342F"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79.</w:t>
      </w:r>
      <w:r w:rsidRPr="00B75A2A">
        <w:rPr>
          <w:rFonts w:ascii="Times New Roman" w:hAnsi="Times New Roman" w:cs="Times New Roman"/>
          <w:sz w:val="24"/>
          <w:szCs w:val="24"/>
        </w:rPr>
        <w:tab/>
        <w:t xml:space="preserve">Mortha A, Chudnovskiy A, Hashimoto D, Bogunovic M, Spencer SP, Belkaid Y, Merad M: </w:t>
      </w:r>
      <w:r w:rsidRPr="00B75A2A">
        <w:rPr>
          <w:rFonts w:ascii="Times New Roman" w:hAnsi="Times New Roman" w:cs="Times New Roman"/>
          <w:b/>
          <w:sz w:val="24"/>
          <w:szCs w:val="24"/>
        </w:rPr>
        <w:t>Microbiota-dependent crosstalk between macrophages and ILC3 promotes intestinal homeostasis</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Science </w:t>
      </w:r>
      <w:r w:rsidRPr="00B75A2A">
        <w:rPr>
          <w:rFonts w:ascii="Times New Roman" w:hAnsi="Times New Roman" w:cs="Times New Roman"/>
          <w:sz w:val="24"/>
          <w:szCs w:val="24"/>
        </w:rPr>
        <w:t xml:space="preserve">2014, </w:t>
      </w:r>
      <w:r w:rsidRPr="00B75A2A">
        <w:rPr>
          <w:rFonts w:ascii="Times New Roman" w:hAnsi="Times New Roman" w:cs="Times New Roman"/>
          <w:b/>
          <w:sz w:val="24"/>
          <w:szCs w:val="24"/>
        </w:rPr>
        <w:t>343</w:t>
      </w:r>
      <w:r w:rsidRPr="00B75A2A">
        <w:rPr>
          <w:rFonts w:ascii="Times New Roman" w:hAnsi="Times New Roman" w:cs="Times New Roman"/>
          <w:sz w:val="24"/>
          <w:szCs w:val="24"/>
        </w:rPr>
        <w:t>(6178):1249288.</w:t>
      </w:r>
    </w:p>
    <w:p w14:paraId="7D33A8AD"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80.</w:t>
      </w:r>
      <w:r w:rsidRPr="00B75A2A">
        <w:rPr>
          <w:rFonts w:ascii="Times New Roman" w:hAnsi="Times New Roman" w:cs="Times New Roman"/>
          <w:sz w:val="24"/>
          <w:szCs w:val="24"/>
        </w:rPr>
        <w:tab/>
        <w:t xml:space="preserve">Sefik E, Geva-Zatorsky N, Oh S, Konnikova L, Zemmour D, McGuire AM, Burzyn D, Ortiz-Lopez A, Lobera M, Yang J: </w:t>
      </w:r>
      <w:r w:rsidRPr="00B75A2A">
        <w:rPr>
          <w:rFonts w:ascii="Times New Roman" w:hAnsi="Times New Roman" w:cs="Times New Roman"/>
          <w:b/>
          <w:sz w:val="24"/>
          <w:szCs w:val="24"/>
        </w:rPr>
        <w:t>Individual intestinal symbionts induce a distinct population of RORγ+ regulatory T cells</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Science </w:t>
      </w:r>
      <w:r w:rsidRPr="00B75A2A">
        <w:rPr>
          <w:rFonts w:ascii="Times New Roman" w:hAnsi="Times New Roman" w:cs="Times New Roman"/>
          <w:sz w:val="24"/>
          <w:szCs w:val="24"/>
        </w:rPr>
        <w:t xml:space="preserve">2015, </w:t>
      </w:r>
      <w:r w:rsidRPr="00B75A2A">
        <w:rPr>
          <w:rFonts w:ascii="Times New Roman" w:hAnsi="Times New Roman" w:cs="Times New Roman"/>
          <w:b/>
          <w:sz w:val="24"/>
          <w:szCs w:val="24"/>
        </w:rPr>
        <w:t>349</w:t>
      </w:r>
      <w:r w:rsidRPr="00B75A2A">
        <w:rPr>
          <w:rFonts w:ascii="Times New Roman" w:hAnsi="Times New Roman" w:cs="Times New Roman"/>
          <w:sz w:val="24"/>
          <w:szCs w:val="24"/>
        </w:rPr>
        <w:t>(6251):993-997.</w:t>
      </w:r>
    </w:p>
    <w:p w14:paraId="0A99FA3E"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lastRenderedPageBreak/>
        <w:t>81.</w:t>
      </w:r>
      <w:r w:rsidRPr="00B75A2A">
        <w:rPr>
          <w:rFonts w:ascii="Times New Roman" w:hAnsi="Times New Roman" w:cs="Times New Roman"/>
          <w:sz w:val="24"/>
          <w:szCs w:val="24"/>
        </w:rPr>
        <w:tab/>
        <w:t xml:space="preserve">Britton GJ, Contijoch EJ, Mogno I, Vennaro OH, Llewellyn SR, Ng R, Li Z, Mortha A, Merad M, Das A: </w:t>
      </w:r>
      <w:r w:rsidRPr="00B75A2A">
        <w:rPr>
          <w:rFonts w:ascii="Times New Roman" w:hAnsi="Times New Roman" w:cs="Times New Roman"/>
          <w:b/>
          <w:sz w:val="24"/>
          <w:szCs w:val="24"/>
        </w:rPr>
        <w:t>Microbiotas from humans with inflammatory bowel disease alter the balance of gut Th17 and RORγt+ regulatory T cells and exacerbate colitis in mice</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Immunity </w:t>
      </w:r>
      <w:r w:rsidRPr="00B75A2A">
        <w:rPr>
          <w:rFonts w:ascii="Times New Roman" w:hAnsi="Times New Roman" w:cs="Times New Roman"/>
          <w:sz w:val="24"/>
          <w:szCs w:val="24"/>
        </w:rPr>
        <w:t xml:space="preserve">2019, </w:t>
      </w:r>
      <w:r w:rsidRPr="00B75A2A">
        <w:rPr>
          <w:rFonts w:ascii="Times New Roman" w:hAnsi="Times New Roman" w:cs="Times New Roman"/>
          <w:b/>
          <w:sz w:val="24"/>
          <w:szCs w:val="24"/>
        </w:rPr>
        <w:t>50</w:t>
      </w:r>
      <w:r w:rsidRPr="00B75A2A">
        <w:rPr>
          <w:rFonts w:ascii="Times New Roman" w:hAnsi="Times New Roman" w:cs="Times New Roman"/>
          <w:sz w:val="24"/>
          <w:szCs w:val="24"/>
        </w:rPr>
        <w:t>(1):212-224. e214.</w:t>
      </w:r>
    </w:p>
    <w:p w14:paraId="29CB32F9"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82.</w:t>
      </w:r>
      <w:r w:rsidRPr="00B75A2A">
        <w:rPr>
          <w:rFonts w:ascii="Times New Roman" w:hAnsi="Times New Roman" w:cs="Times New Roman"/>
          <w:sz w:val="24"/>
          <w:szCs w:val="24"/>
        </w:rPr>
        <w:tab/>
        <w:t xml:space="preserve">MacPherson CW, Shastri P, Mathieu O, Tompkins TA, Burguière P: </w:t>
      </w:r>
      <w:r w:rsidRPr="00B75A2A">
        <w:rPr>
          <w:rFonts w:ascii="Times New Roman" w:hAnsi="Times New Roman" w:cs="Times New Roman"/>
          <w:b/>
          <w:sz w:val="24"/>
          <w:szCs w:val="24"/>
        </w:rPr>
        <w:t>Genome-wide immune modulation of TLR3-mediated inflammation in intestinal epithelial cells differs between single and multi-strain probiotic combination</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PLoS One </w:t>
      </w:r>
      <w:r w:rsidRPr="00B75A2A">
        <w:rPr>
          <w:rFonts w:ascii="Times New Roman" w:hAnsi="Times New Roman" w:cs="Times New Roman"/>
          <w:sz w:val="24"/>
          <w:szCs w:val="24"/>
        </w:rPr>
        <w:t xml:space="preserve">2017, </w:t>
      </w:r>
      <w:r w:rsidRPr="00B75A2A">
        <w:rPr>
          <w:rFonts w:ascii="Times New Roman" w:hAnsi="Times New Roman" w:cs="Times New Roman"/>
          <w:b/>
          <w:sz w:val="24"/>
          <w:szCs w:val="24"/>
        </w:rPr>
        <w:t>12</w:t>
      </w:r>
      <w:r w:rsidRPr="00B75A2A">
        <w:rPr>
          <w:rFonts w:ascii="Times New Roman" w:hAnsi="Times New Roman" w:cs="Times New Roman"/>
          <w:sz w:val="24"/>
          <w:szCs w:val="24"/>
        </w:rPr>
        <w:t>(1):e0169847.</w:t>
      </w:r>
    </w:p>
    <w:p w14:paraId="06FBA208"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83.</w:t>
      </w:r>
      <w:r w:rsidRPr="00B75A2A">
        <w:rPr>
          <w:rFonts w:ascii="Times New Roman" w:hAnsi="Times New Roman" w:cs="Times New Roman"/>
          <w:sz w:val="24"/>
          <w:szCs w:val="24"/>
        </w:rPr>
        <w:tab/>
        <w:t xml:space="preserve">O'Callaghan J, Buttó LF, MacSharry J, Nally K, O'Toole PW: </w:t>
      </w:r>
      <w:r w:rsidRPr="00B75A2A">
        <w:rPr>
          <w:rFonts w:ascii="Times New Roman" w:hAnsi="Times New Roman" w:cs="Times New Roman"/>
          <w:b/>
          <w:sz w:val="24"/>
          <w:szCs w:val="24"/>
        </w:rPr>
        <w:t>Influence of adhesion and bacteriocin production by Lactobacillus salivarius on the intestinal epithelial cell transcriptional response</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Applied and Environmental Microbiology </w:t>
      </w:r>
      <w:r w:rsidRPr="00B75A2A">
        <w:rPr>
          <w:rFonts w:ascii="Times New Roman" w:hAnsi="Times New Roman" w:cs="Times New Roman"/>
          <w:sz w:val="24"/>
          <w:szCs w:val="24"/>
        </w:rPr>
        <w:t xml:space="preserve">2012, </w:t>
      </w:r>
      <w:r w:rsidRPr="00B75A2A">
        <w:rPr>
          <w:rFonts w:ascii="Times New Roman" w:hAnsi="Times New Roman" w:cs="Times New Roman"/>
          <w:b/>
          <w:sz w:val="24"/>
          <w:szCs w:val="24"/>
        </w:rPr>
        <w:t>78</w:t>
      </w:r>
      <w:r w:rsidRPr="00B75A2A">
        <w:rPr>
          <w:rFonts w:ascii="Times New Roman" w:hAnsi="Times New Roman" w:cs="Times New Roman"/>
          <w:sz w:val="24"/>
          <w:szCs w:val="24"/>
        </w:rPr>
        <w:t>(15):5196-5203.</w:t>
      </w:r>
    </w:p>
    <w:p w14:paraId="1F7B2125"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84.</w:t>
      </w:r>
      <w:r w:rsidRPr="00B75A2A">
        <w:rPr>
          <w:rFonts w:ascii="Times New Roman" w:hAnsi="Times New Roman" w:cs="Times New Roman"/>
          <w:sz w:val="24"/>
          <w:szCs w:val="24"/>
        </w:rPr>
        <w:tab/>
        <w:t xml:space="preserve">Liu T, Zhang L, Joo D, Sun S-C: </w:t>
      </w:r>
      <w:r w:rsidRPr="00B75A2A">
        <w:rPr>
          <w:rFonts w:ascii="Times New Roman" w:hAnsi="Times New Roman" w:cs="Times New Roman"/>
          <w:b/>
          <w:sz w:val="24"/>
          <w:szCs w:val="24"/>
        </w:rPr>
        <w:t>NF-κB signaling in inflammation</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Signal transduction and targeted therapy </w:t>
      </w:r>
      <w:r w:rsidRPr="00B75A2A">
        <w:rPr>
          <w:rFonts w:ascii="Times New Roman" w:hAnsi="Times New Roman" w:cs="Times New Roman"/>
          <w:sz w:val="24"/>
          <w:szCs w:val="24"/>
        </w:rPr>
        <w:t xml:space="preserve">2017, </w:t>
      </w:r>
      <w:r w:rsidRPr="00B75A2A">
        <w:rPr>
          <w:rFonts w:ascii="Times New Roman" w:hAnsi="Times New Roman" w:cs="Times New Roman"/>
          <w:b/>
          <w:sz w:val="24"/>
          <w:szCs w:val="24"/>
        </w:rPr>
        <w:t>2</w:t>
      </w:r>
      <w:r w:rsidRPr="00B75A2A">
        <w:rPr>
          <w:rFonts w:ascii="Times New Roman" w:hAnsi="Times New Roman" w:cs="Times New Roman"/>
          <w:sz w:val="24"/>
          <w:szCs w:val="24"/>
        </w:rPr>
        <w:t>(1):1-9.</w:t>
      </w:r>
    </w:p>
    <w:p w14:paraId="4E730DF7"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85.</w:t>
      </w:r>
      <w:r w:rsidRPr="00B75A2A">
        <w:rPr>
          <w:rFonts w:ascii="Times New Roman" w:hAnsi="Times New Roman" w:cs="Times New Roman"/>
          <w:sz w:val="24"/>
          <w:szCs w:val="24"/>
        </w:rPr>
        <w:tab/>
        <w:t xml:space="preserve">Villéger R, Lopès A, Carrier G, Veziant J, Billard E, Barnich N, Gagnière J, Vazeille E, Bonnet M: </w:t>
      </w:r>
      <w:r w:rsidRPr="00B75A2A">
        <w:rPr>
          <w:rFonts w:ascii="Times New Roman" w:hAnsi="Times New Roman" w:cs="Times New Roman"/>
          <w:b/>
          <w:sz w:val="24"/>
          <w:szCs w:val="24"/>
        </w:rPr>
        <w:t>Intestinal microbiota: a novel target to improve anti-tumor treatment?</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International journal of molecular sciences </w:t>
      </w:r>
      <w:r w:rsidRPr="00B75A2A">
        <w:rPr>
          <w:rFonts w:ascii="Times New Roman" w:hAnsi="Times New Roman" w:cs="Times New Roman"/>
          <w:sz w:val="24"/>
          <w:szCs w:val="24"/>
        </w:rPr>
        <w:t xml:space="preserve">2019, </w:t>
      </w:r>
      <w:r w:rsidRPr="00B75A2A">
        <w:rPr>
          <w:rFonts w:ascii="Times New Roman" w:hAnsi="Times New Roman" w:cs="Times New Roman"/>
          <w:b/>
          <w:sz w:val="24"/>
          <w:szCs w:val="24"/>
        </w:rPr>
        <w:t>20</w:t>
      </w:r>
      <w:r w:rsidRPr="00B75A2A">
        <w:rPr>
          <w:rFonts w:ascii="Times New Roman" w:hAnsi="Times New Roman" w:cs="Times New Roman"/>
          <w:sz w:val="24"/>
          <w:szCs w:val="24"/>
        </w:rPr>
        <w:t>(18):4584.</w:t>
      </w:r>
    </w:p>
    <w:p w14:paraId="59932346"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86.</w:t>
      </w:r>
      <w:r w:rsidRPr="00B75A2A">
        <w:rPr>
          <w:rFonts w:ascii="Times New Roman" w:hAnsi="Times New Roman" w:cs="Times New Roman"/>
          <w:sz w:val="24"/>
          <w:szCs w:val="24"/>
        </w:rPr>
        <w:tab/>
        <w:t xml:space="preserve">Wu L, Xu Y, Zhao H, Li Y: </w:t>
      </w:r>
      <w:r w:rsidRPr="00B75A2A">
        <w:rPr>
          <w:rFonts w:ascii="Times New Roman" w:hAnsi="Times New Roman" w:cs="Times New Roman"/>
          <w:b/>
          <w:sz w:val="24"/>
          <w:szCs w:val="24"/>
        </w:rPr>
        <w:t>RNase T2 in inflammation and cancer: Immunological and biological views</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Frontiers in Immunology </w:t>
      </w:r>
      <w:r w:rsidRPr="00B75A2A">
        <w:rPr>
          <w:rFonts w:ascii="Times New Roman" w:hAnsi="Times New Roman" w:cs="Times New Roman"/>
          <w:sz w:val="24"/>
          <w:szCs w:val="24"/>
        </w:rPr>
        <w:t xml:space="preserve">2020, </w:t>
      </w:r>
      <w:r w:rsidRPr="00B75A2A">
        <w:rPr>
          <w:rFonts w:ascii="Times New Roman" w:hAnsi="Times New Roman" w:cs="Times New Roman"/>
          <w:b/>
          <w:sz w:val="24"/>
          <w:szCs w:val="24"/>
        </w:rPr>
        <w:t>11</w:t>
      </w:r>
      <w:r w:rsidRPr="00B75A2A">
        <w:rPr>
          <w:rFonts w:ascii="Times New Roman" w:hAnsi="Times New Roman" w:cs="Times New Roman"/>
          <w:sz w:val="24"/>
          <w:szCs w:val="24"/>
        </w:rPr>
        <w:t>:1554.</w:t>
      </w:r>
    </w:p>
    <w:p w14:paraId="580A77D6"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87.</w:t>
      </w:r>
      <w:r w:rsidRPr="00B75A2A">
        <w:rPr>
          <w:rFonts w:ascii="Times New Roman" w:hAnsi="Times New Roman" w:cs="Times New Roman"/>
          <w:sz w:val="24"/>
          <w:szCs w:val="24"/>
        </w:rPr>
        <w:tab/>
        <w:t xml:space="preserve">Ostendorf T, Zillinger T, Andryka K, Schlee-Guimaraes TM, Schmitz S, Marx S, Bayrak K, Linke R, Salgert S, Wegner J: </w:t>
      </w:r>
      <w:r w:rsidRPr="00B75A2A">
        <w:rPr>
          <w:rFonts w:ascii="Times New Roman" w:hAnsi="Times New Roman" w:cs="Times New Roman"/>
          <w:b/>
          <w:sz w:val="24"/>
          <w:szCs w:val="24"/>
        </w:rPr>
        <w:t>Immune sensing of synthetic, bacterial, and protozoan RNA by toll-like receptor 8 requires coordinated processing by RNase T2 and RNase 2</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Immunity </w:t>
      </w:r>
      <w:r w:rsidRPr="00B75A2A">
        <w:rPr>
          <w:rFonts w:ascii="Times New Roman" w:hAnsi="Times New Roman" w:cs="Times New Roman"/>
          <w:sz w:val="24"/>
          <w:szCs w:val="24"/>
        </w:rPr>
        <w:t xml:space="preserve">2020, </w:t>
      </w:r>
      <w:r w:rsidRPr="00B75A2A">
        <w:rPr>
          <w:rFonts w:ascii="Times New Roman" w:hAnsi="Times New Roman" w:cs="Times New Roman"/>
          <w:b/>
          <w:sz w:val="24"/>
          <w:szCs w:val="24"/>
        </w:rPr>
        <w:t>52</w:t>
      </w:r>
      <w:r w:rsidRPr="00B75A2A">
        <w:rPr>
          <w:rFonts w:ascii="Times New Roman" w:hAnsi="Times New Roman" w:cs="Times New Roman"/>
          <w:sz w:val="24"/>
          <w:szCs w:val="24"/>
        </w:rPr>
        <w:t>(4):591-605. e596.</w:t>
      </w:r>
    </w:p>
    <w:p w14:paraId="18F73A9D"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lastRenderedPageBreak/>
        <w:t>88.</w:t>
      </w:r>
      <w:r w:rsidRPr="00B75A2A">
        <w:rPr>
          <w:rFonts w:ascii="Times New Roman" w:hAnsi="Times New Roman" w:cs="Times New Roman"/>
          <w:sz w:val="24"/>
          <w:szCs w:val="24"/>
        </w:rPr>
        <w:tab/>
        <w:t xml:space="preserve">Chu X, Pan C-M, Zhao S-X, Liang J, Gao G-Q, Zhang X-M, Yuan G-Y, Li C-G, Xue L-Q, Shen M: </w:t>
      </w:r>
      <w:r w:rsidRPr="00B75A2A">
        <w:rPr>
          <w:rFonts w:ascii="Times New Roman" w:hAnsi="Times New Roman" w:cs="Times New Roman"/>
          <w:b/>
          <w:sz w:val="24"/>
          <w:szCs w:val="24"/>
        </w:rPr>
        <w:t>A genome-wide association study identifies two new risk loci for Graves' disease</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Nature genetics </w:t>
      </w:r>
      <w:r w:rsidRPr="00B75A2A">
        <w:rPr>
          <w:rFonts w:ascii="Times New Roman" w:hAnsi="Times New Roman" w:cs="Times New Roman"/>
          <w:sz w:val="24"/>
          <w:szCs w:val="24"/>
        </w:rPr>
        <w:t xml:space="preserve">2011, </w:t>
      </w:r>
      <w:r w:rsidRPr="00B75A2A">
        <w:rPr>
          <w:rFonts w:ascii="Times New Roman" w:hAnsi="Times New Roman" w:cs="Times New Roman"/>
          <w:b/>
          <w:sz w:val="24"/>
          <w:szCs w:val="24"/>
        </w:rPr>
        <w:t>43</w:t>
      </w:r>
      <w:r w:rsidRPr="00B75A2A">
        <w:rPr>
          <w:rFonts w:ascii="Times New Roman" w:hAnsi="Times New Roman" w:cs="Times New Roman"/>
          <w:sz w:val="24"/>
          <w:szCs w:val="24"/>
        </w:rPr>
        <w:t>(9).</w:t>
      </w:r>
    </w:p>
    <w:p w14:paraId="5D8AEA71"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89.</w:t>
      </w:r>
      <w:r w:rsidRPr="00B75A2A">
        <w:rPr>
          <w:rFonts w:ascii="Times New Roman" w:hAnsi="Times New Roman" w:cs="Times New Roman"/>
          <w:sz w:val="24"/>
          <w:szCs w:val="24"/>
        </w:rPr>
        <w:tab/>
        <w:t xml:space="preserve">Zelante T, Iannitti RG, Fallarino F, Gargaro M, De Luca A, Moretti S, Bartoli A, Romani L: </w:t>
      </w:r>
      <w:r w:rsidRPr="00B75A2A">
        <w:rPr>
          <w:rFonts w:ascii="Times New Roman" w:hAnsi="Times New Roman" w:cs="Times New Roman"/>
          <w:b/>
          <w:sz w:val="24"/>
          <w:szCs w:val="24"/>
        </w:rPr>
        <w:t>Tryptophan feeding of the IDO1-AhR axis in host–microbial symbiosis</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Frontiers in immunology </w:t>
      </w:r>
      <w:r w:rsidRPr="00B75A2A">
        <w:rPr>
          <w:rFonts w:ascii="Times New Roman" w:hAnsi="Times New Roman" w:cs="Times New Roman"/>
          <w:sz w:val="24"/>
          <w:szCs w:val="24"/>
        </w:rPr>
        <w:t xml:space="preserve">2014, </w:t>
      </w:r>
      <w:r w:rsidRPr="00B75A2A">
        <w:rPr>
          <w:rFonts w:ascii="Times New Roman" w:hAnsi="Times New Roman" w:cs="Times New Roman"/>
          <w:b/>
          <w:sz w:val="24"/>
          <w:szCs w:val="24"/>
        </w:rPr>
        <w:t>5</w:t>
      </w:r>
      <w:r w:rsidRPr="00B75A2A">
        <w:rPr>
          <w:rFonts w:ascii="Times New Roman" w:hAnsi="Times New Roman" w:cs="Times New Roman"/>
          <w:sz w:val="24"/>
          <w:szCs w:val="24"/>
        </w:rPr>
        <w:t>:640.</w:t>
      </w:r>
    </w:p>
    <w:p w14:paraId="68D3635D"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90.</w:t>
      </w:r>
      <w:r w:rsidRPr="00B75A2A">
        <w:rPr>
          <w:rFonts w:ascii="Times New Roman" w:hAnsi="Times New Roman" w:cs="Times New Roman"/>
          <w:sz w:val="24"/>
          <w:szCs w:val="24"/>
        </w:rPr>
        <w:tab/>
        <w:t xml:space="preserve">Pallotta MT, Orabona C, Volpi C, Vacca C, Belladonna ML, Bianchi R, Servillo G, Brunacci C, Calvitti M, Bicciato S: </w:t>
      </w:r>
      <w:r w:rsidRPr="00B75A2A">
        <w:rPr>
          <w:rFonts w:ascii="Times New Roman" w:hAnsi="Times New Roman" w:cs="Times New Roman"/>
          <w:b/>
          <w:sz w:val="24"/>
          <w:szCs w:val="24"/>
        </w:rPr>
        <w:t>Indoleamine 2, 3-dioxygenase is a signaling protein in long-term tolerance by dendritic cells</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Nature immunology </w:t>
      </w:r>
      <w:r w:rsidRPr="00B75A2A">
        <w:rPr>
          <w:rFonts w:ascii="Times New Roman" w:hAnsi="Times New Roman" w:cs="Times New Roman"/>
          <w:sz w:val="24"/>
          <w:szCs w:val="24"/>
        </w:rPr>
        <w:t xml:space="preserve">2011, </w:t>
      </w:r>
      <w:r w:rsidRPr="00B75A2A">
        <w:rPr>
          <w:rFonts w:ascii="Times New Roman" w:hAnsi="Times New Roman" w:cs="Times New Roman"/>
          <w:b/>
          <w:sz w:val="24"/>
          <w:szCs w:val="24"/>
        </w:rPr>
        <w:t>12</w:t>
      </w:r>
      <w:r w:rsidRPr="00B75A2A">
        <w:rPr>
          <w:rFonts w:ascii="Times New Roman" w:hAnsi="Times New Roman" w:cs="Times New Roman"/>
          <w:sz w:val="24"/>
          <w:szCs w:val="24"/>
        </w:rPr>
        <w:t>(9):870-878.</w:t>
      </w:r>
    </w:p>
    <w:p w14:paraId="2CDBDCB9"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91.</w:t>
      </w:r>
      <w:r w:rsidRPr="00B75A2A">
        <w:rPr>
          <w:rFonts w:ascii="Times New Roman" w:hAnsi="Times New Roman" w:cs="Times New Roman"/>
          <w:sz w:val="24"/>
          <w:szCs w:val="24"/>
        </w:rPr>
        <w:tab/>
        <w:t xml:space="preserve">Bessede A, Gargaro M, Pallotta MT, Matino D, Servillo G, Brunacci C, Bicciato S, Mazza E, Macchiarulo A, Vacca C: </w:t>
      </w:r>
      <w:r w:rsidRPr="00B75A2A">
        <w:rPr>
          <w:rFonts w:ascii="Times New Roman" w:hAnsi="Times New Roman" w:cs="Times New Roman"/>
          <w:b/>
          <w:sz w:val="24"/>
          <w:szCs w:val="24"/>
        </w:rPr>
        <w:t>Aryl hydrocarbon receptor control of a disease tolerance defence pathway</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Nature </w:t>
      </w:r>
      <w:r w:rsidRPr="00B75A2A">
        <w:rPr>
          <w:rFonts w:ascii="Times New Roman" w:hAnsi="Times New Roman" w:cs="Times New Roman"/>
          <w:sz w:val="24"/>
          <w:szCs w:val="24"/>
        </w:rPr>
        <w:t xml:space="preserve">2014, </w:t>
      </w:r>
      <w:r w:rsidRPr="00B75A2A">
        <w:rPr>
          <w:rFonts w:ascii="Times New Roman" w:hAnsi="Times New Roman" w:cs="Times New Roman"/>
          <w:b/>
          <w:sz w:val="24"/>
          <w:szCs w:val="24"/>
        </w:rPr>
        <w:t>511</w:t>
      </w:r>
      <w:r w:rsidRPr="00B75A2A">
        <w:rPr>
          <w:rFonts w:ascii="Times New Roman" w:hAnsi="Times New Roman" w:cs="Times New Roman"/>
          <w:sz w:val="24"/>
          <w:szCs w:val="24"/>
        </w:rPr>
        <w:t>(7508):184-190.</w:t>
      </w:r>
    </w:p>
    <w:p w14:paraId="2975EB13" w14:textId="77777777" w:rsidR="00CF202C" w:rsidRPr="00B75A2A" w:rsidRDefault="00CF202C" w:rsidP="00B75A2A">
      <w:pPr>
        <w:pStyle w:val="EndNoteBibliography"/>
        <w:spacing w:after="0"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92.</w:t>
      </w:r>
      <w:r w:rsidRPr="00B75A2A">
        <w:rPr>
          <w:rFonts w:ascii="Times New Roman" w:hAnsi="Times New Roman" w:cs="Times New Roman"/>
          <w:sz w:val="24"/>
          <w:szCs w:val="24"/>
        </w:rPr>
        <w:tab/>
        <w:t xml:space="preserve">Alvarado DM, Chen B, Iticovici M, Thaker AI, Dai N, VanDussen KL, Shaikh N, Lim CK, Guillemin GJ, Tarr PI: </w:t>
      </w:r>
      <w:r w:rsidRPr="00B75A2A">
        <w:rPr>
          <w:rFonts w:ascii="Times New Roman" w:hAnsi="Times New Roman" w:cs="Times New Roman"/>
          <w:b/>
          <w:sz w:val="24"/>
          <w:szCs w:val="24"/>
        </w:rPr>
        <w:t>Epithelial IDO1 Modulates AHR and Notch Signaling to Increase Differentiation of Secretory Cells and Alter Mucus-Associated Microbiota</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Gastroenterology </w:t>
      </w:r>
      <w:r w:rsidRPr="00B75A2A">
        <w:rPr>
          <w:rFonts w:ascii="Times New Roman" w:hAnsi="Times New Roman" w:cs="Times New Roman"/>
          <w:sz w:val="24"/>
          <w:szCs w:val="24"/>
        </w:rPr>
        <w:t xml:space="preserve">2019, </w:t>
      </w:r>
      <w:r w:rsidRPr="00B75A2A">
        <w:rPr>
          <w:rFonts w:ascii="Times New Roman" w:hAnsi="Times New Roman" w:cs="Times New Roman"/>
          <w:b/>
          <w:sz w:val="24"/>
          <w:szCs w:val="24"/>
        </w:rPr>
        <w:t>157</w:t>
      </w:r>
      <w:r w:rsidRPr="00B75A2A">
        <w:rPr>
          <w:rFonts w:ascii="Times New Roman" w:hAnsi="Times New Roman" w:cs="Times New Roman"/>
          <w:sz w:val="24"/>
          <w:szCs w:val="24"/>
        </w:rPr>
        <w:t>(4):1093.</w:t>
      </w:r>
    </w:p>
    <w:p w14:paraId="63B8A775" w14:textId="77777777" w:rsidR="00CF202C" w:rsidRPr="00B75A2A" w:rsidRDefault="00CF202C" w:rsidP="00B75A2A">
      <w:pPr>
        <w:pStyle w:val="EndNoteBibliography"/>
        <w:spacing w:line="480" w:lineRule="auto"/>
        <w:ind w:left="720" w:hanging="720"/>
        <w:rPr>
          <w:rFonts w:ascii="Times New Roman" w:hAnsi="Times New Roman" w:cs="Times New Roman"/>
          <w:sz w:val="24"/>
          <w:szCs w:val="24"/>
        </w:rPr>
      </w:pPr>
      <w:r w:rsidRPr="00B75A2A">
        <w:rPr>
          <w:rFonts w:ascii="Times New Roman" w:hAnsi="Times New Roman" w:cs="Times New Roman"/>
          <w:sz w:val="24"/>
          <w:szCs w:val="24"/>
        </w:rPr>
        <w:t>93.</w:t>
      </w:r>
      <w:r w:rsidRPr="00B75A2A">
        <w:rPr>
          <w:rFonts w:ascii="Times New Roman" w:hAnsi="Times New Roman" w:cs="Times New Roman"/>
          <w:sz w:val="24"/>
          <w:szCs w:val="24"/>
        </w:rPr>
        <w:tab/>
        <w:t xml:space="preserve">Vujkovic-Cvijin I, Swainson LA, Chu SN, Ortiz AM, Santee CA, Petriello A, Dunham RM, Fadrosh DW, Lin DL, Faruqi AA: </w:t>
      </w:r>
      <w:r w:rsidRPr="00B75A2A">
        <w:rPr>
          <w:rFonts w:ascii="Times New Roman" w:hAnsi="Times New Roman" w:cs="Times New Roman"/>
          <w:b/>
          <w:sz w:val="24"/>
          <w:szCs w:val="24"/>
        </w:rPr>
        <w:t>Gut-resident Lactobacillus abundance associates with IDO1 inhibition and Th17 dynamics in SIV-infected macaques</w:t>
      </w:r>
      <w:r w:rsidRPr="00B75A2A">
        <w:rPr>
          <w:rFonts w:ascii="Times New Roman" w:hAnsi="Times New Roman" w:cs="Times New Roman"/>
          <w:sz w:val="24"/>
          <w:szCs w:val="24"/>
        </w:rPr>
        <w:t xml:space="preserve">. </w:t>
      </w:r>
      <w:r w:rsidRPr="00B75A2A">
        <w:rPr>
          <w:rFonts w:ascii="Times New Roman" w:hAnsi="Times New Roman" w:cs="Times New Roman"/>
          <w:i/>
          <w:sz w:val="24"/>
          <w:szCs w:val="24"/>
        </w:rPr>
        <w:t xml:space="preserve">Cell reports </w:t>
      </w:r>
      <w:r w:rsidRPr="00B75A2A">
        <w:rPr>
          <w:rFonts w:ascii="Times New Roman" w:hAnsi="Times New Roman" w:cs="Times New Roman"/>
          <w:sz w:val="24"/>
          <w:szCs w:val="24"/>
        </w:rPr>
        <w:t xml:space="preserve">2015, </w:t>
      </w:r>
      <w:r w:rsidRPr="00B75A2A">
        <w:rPr>
          <w:rFonts w:ascii="Times New Roman" w:hAnsi="Times New Roman" w:cs="Times New Roman"/>
          <w:b/>
          <w:sz w:val="24"/>
          <w:szCs w:val="24"/>
        </w:rPr>
        <w:t>13</w:t>
      </w:r>
      <w:r w:rsidRPr="00B75A2A">
        <w:rPr>
          <w:rFonts w:ascii="Times New Roman" w:hAnsi="Times New Roman" w:cs="Times New Roman"/>
          <w:sz w:val="24"/>
          <w:szCs w:val="24"/>
        </w:rPr>
        <w:t>(8):1589-1597.</w:t>
      </w:r>
    </w:p>
    <w:p w14:paraId="59865C4D" w14:textId="351E3A8B" w:rsidR="00112BA3" w:rsidRPr="00B75A2A" w:rsidRDefault="00192082" w:rsidP="00B75A2A">
      <w:pPr>
        <w:spacing w:line="480" w:lineRule="auto"/>
        <w:rPr>
          <w:b/>
          <w:bCs/>
        </w:rPr>
      </w:pPr>
      <w:r w:rsidRPr="00B75A2A">
        <w:rPr>
          <w:b/>
          <w:bCs/>
        </w:rPr>
        <w:fldChar w:fldCharType="end"/>
      </w:r>
    </w:p>
    <w:p w14:paraId="5D651156" w14:textId="2F77C225" w:rsidR="002535DF" w:rsidRPr="00B75A2A" w:rsidRDefault="002535DF" w:rsidP="00B75A2A">
      <w:pPr>
        <w:spacing w:line="480" w:lineRule="auto"/>
        <w:rPr>
          <w:b/>
          <w:bCs/>
        </w:rPr>
      </w:pPr>
      <w:r w:rsidRPr="00B75A2A">
        <w:rPr>
          <w:b/>
          <w:bCs/>
        </w:rPr>
        <w:t>TABLES</w:t>
      </w:r>
    </w:p>
    <w:p w14:paraId="488883B7" w14:textId="77777777" w:rsidR="002535DF" w:rsidRPr="00B75A2A" w:rsidRDefault="002535DF" w:rsidP="00B75A2A">
      <w:pPr>
        <w:spacing w:line="480" w:lineRule="auto"/>
        <w:jc w:val="both"/>
      </w:pPr>
      <w:r w:rsidRPr="00B75A2A">
        <w:rPr>
          <w:b/>
          <w:bCs/>
        </w:rPr>
        <w:t>Table 1.</w:t>
      </w:r>
      <w:r w:rsidRPr="00B75A2A">
        <w:t xml:space="preserve"> Immune gene signatures in the protein-protein interaction network of differentially expressed genes of the small intestine from young (5-6 weeks old) germ-free mouse hosts </w:t>
      </w:r>
      <w:r w:rsidRPr="00B75A2A">
        <w:lastRenderedPageBreak/>
        <w:t>following 8 weeks after transplantation with either old (~</w:t>
      </w:r>
      <w:proofErr w:type="gramStart"/>
      <w:r w:rsidRPr="00B75A2A">
        <w:t>24-month old</w:t>
      </w:r>
      <w:proofErr w:type="gramEnd"/>
      <w:r w:rsidRPr="00B75A2A">
        <w:t>) or young (5-6 weeks old) mouse donor gut microbiota.</w:t>
      </w:r>
    </w:p>
    <w:tbl>
      <w:tblPr>
        <w:tblStyle w:val="TableGrid"/>
        <w:tblpPr w:leftFromText="180" w:rightFromText="180" w:vertAnchor="text" w:tblpY="1"/>
        <w:tblOverlap w:val="never"/>
        <w:tblW w:w="5000" w:type="pct"/>
        <w:tblLook w:val="04A0" w:firstRow="1" w:lastRow="0" w:firstColumn="1" w:lastColumn="0" w:noHBand="0" w:noVBand="1"/>
      </w:tblPr>
      <w:tblGrid>
        <w:gridCol w:w="1438"/>
        <w:gridCol w:w="5172"/>
        <w:gridCol w:w="1190"/>
        <w:gridCol w:w="1216"/>
      </w:tblGrid>
      <w:tr w:rsidR="002535DF" w:rsidRPr="00B75A2A" w14:paraId="28AF0DE5" w14:textId="77777777" w:rsidTr="00061B4F">
        <w:trPr>
          <w:trHeight w:val="20"/>
        </w:trPr>
        <w:tc>
          <w:tcPr>
            <w:tcW w:w="899" w:type="pct"/>
            <w:shd w:val="clear" w:color="auto" w:fill="auto"/>
            <w:vAlign w:val="center"/>
          </w:tcPr>
          <w:p w14:paraId="3831E1E4" w14:textId="77777777" w:rsidR="002535DF" w:rsidRPr="00B75A2A" w:rsidRDefault="002535DF" w:rsidP="00B75A2A">
            <w:pPr>
              <w:snapToGrid w:val="0"/>
              <w:spacing w:line="480" w:lineRule="auto"/>
              <w:rPr>
                <w:b/>
                <w:bCs/>
                <w:color w:val="000000" w:themeColor="text1"/>
              </w:rPr>
            </w:pPr>
            <w:r w:rsidRPr="00B75A2A">
              <w:rPr>
                <w:b/>
                <w:bCs/>
              </w:rPr>
              <w:t>Gene ID</w:t>
            </w:r>
          </w:p>
        </w:tc>
        <w:tc>
          <w:tcPr>
            <w:tcW w:w="2969" w:type="pct"/>
            <w:shd w:val="clear" w:color="auto" w:fill="auto"/>
            <w:vAlign w:val="center"/>
          </w:tcPr>
          <w:p w14:paraId="6CB3BC92" w14:textId="77777777" w:rsidR="002535DF" w:rsidRPr="00B75A2A" w:rsidRDefault="002535DF" w:rsidP="00B75A2A">
            <w:pPr>
              <w:snapToGrid w:val="0"/>
              <w:spacing w:line="480" w:lineRule="auto"/>
              <w:rPr>
                <w:b/>
                <w:bCs/>
                <w:color w:val="000000" w:themeColor="text1"/>
              </w:rPr>
            </w:pPr>
            <w:r w:rsidRPr="00B75A2A">
              <w:rPr>
                <w:b/>
                <w:bCs/>
                <w:color w:val="000000" w:themeColor="text1"/>
              </w:rPr>
              <w:t>Name</w:t>
            </w:r>
          </w:p>
        </w:tc>
        <w:tc>
          <w:tcPr>
            <w:tcW w:w="578" w:type="pct"/>
            <w:shd w:val="clear" w:color="auto" w:fill="auto"/>
            <w:vAlign w:val="center"/>
          </w:tcPr>
          <w:p w14:paraId="46561796" w14:textId="77777777" w:rsidR="002535DF" w:rsidRPr="00B75A2A" w:rsidRDefault="002535DF" w:rsidP="00B75A2A">
            <w:pPr>
              <w:snapToGrid w:val="0"/>
              <w:spacing w:line="480" w:lineRule="auto"/>
              <w:rPr>
                <w:b/>
                <w:bCs/>
                <w:color w:val="000000" w:themeColor="text1"/>
              </w:rPr>
            </w:pPr>
            <w:r w:rsidRPr="00B75A2A">
              <w:rPr>
                <w:b/>
                <w:bCs/>
              </w:rPr>
              <w:t>-log10(P)*</w:t>
            </w:r>
          </w:p>
        </w:tc>
        <w:tc>
          <w:tcPr>
            <w:tcW w:w="554" w:type="pct"/>
            <w:shd w:val="clear" w:color="auto" w:fill="auto"/>
            <w:vAlign w:val="center"/>
          </w:tcPr>
          <w:p w14:paraId="6FD3BAB8" w14:textId="77777777" w:rsidR="002535DF" w:rsidRPr="00B75A2A" w:rsidRDefault="002535DF" w:rsidP="00B75A2A">
            <w:pPr>
              <w:snapToGrid w:val="0"/>
              <w:spacing w:line="480" w:lineRule="auto"/>
              <w:rPr>
                <w:b/>
                <w:bCs/>
                <w:color w:val="000000" w:themeColor="text1"/>
              </w:rPr>
            </w:pPr>
            <w:r w:rsidRPr="00B75A2A">
              <w:rPr>
                <w:b/>
                <w:bCs/>
              </w:rPr>
              <w:t>Log2(FC)</w:t>
            </w:r>
          </w:p>
        </w:tc>
      </w:tr>
      <w:tr w:rsidR="002535DF" w:rsidRPr="00B75A2A" w14:paraId="0AB0FDC4" w14:textId="77777777" w:rsidTr="00061B4F">
        <w:trPr>
          <w:cnfStyle w:val="000000010000" w:firstRow="0" w:lastRow="0" w:firstColumn="0" w:lastColumn="0" w:oddVBand="0" w:evenVBand="0" w:oddHBand="0" w:evenHBand="1" w:firstRowFirstColumn="0" w:firstRowLastColumn="0" w:lastRowFirstColumn="0" w:lastRowLastColumn="0"/>
          <w:trHeight w:val="20"/>
        </w:trPr>
        <w:tc>
          <w:tcPr>
            <w:tcW w:w="899" w:type="pct"/>
            <w:shd w:val="clear" w:color="auto" w:fill="auto"/>
            <w:vAlign w:val="center"/>
          </w:tcPr>
          <w:p w14:paraId="5EB4D724" w14:textId="77777777" w:rsidR="002535DF" w:rsidRPr="00B75A2A" w:rsidRDefault="002535DF" w:rsidP="00B75A2A">
            <w:pPr>
              <w:snapToGrid w:val="0"/>
              <w:spacing w:line="480" w:lineRule="auto"/>
              <w:rPr>
                <w:i/>
                <w:iCs/>
              </w:rPr>
            </w:pPr>
            <w:r w:rsidRPr="00B75A2A">
              <w:rPr>
                <w:i/>
                <w:iCs/>
              </w:rPr>
              <w:t>Highly interacting</w:t>
            </w:r>
          </w:p>
        </w:tc>
        <w:tc>
          <w:tcPr>
            <w:tcW w:w="2969" w:type="pct"/>
            <w:shd w:val="clear" w:color="auto" w:fill="auto"/>
            <w:vAlign w:val="center"/>
          </w:tcPr>
          <w:p w14:paraId="5AAE6ED2" w14:textId="77777777" w:rsidR="002535DF" w:rsidRPr="00B75A2A" w:rsidRDefault="002535DF" w:rsidP="00B75A2A">
            <w:pPr>
              <w:snapToGrid w:val="0"/>
              <w:spacing w:line="480" w:lineRule="auto"/>
              <w:rPr>
                <w:b/>
                <w:bCs/>
                <w:color w:val="000000" w:themeColor="text1"/>
              </w:rPr>
            </w:pPr>
          </w:p>
        </w:tc>
        <w:tc>
          <w:tcPr>
            <w:tcW w:w="578" w:type="pct"/>
            <w:shd w:val="clear" w:color="auto" w:fill="auto"/>
            <w:vAlign w:val="center"/>
          </w:tcPr>
          <w:p w14:paraId="70DE59F5" w14:textId="77777777" w:rsidR="002535DF" w:rsidRPr="00B75A2A" w:rsidRDefault="002535DF" w:rsidP="00B75A2A">
            <w:pPr>
              <w:snapToGrid w:val="0"/>
              <w:spacing w:line="480" w:lineRule="auto"/>
              <w:rPr>
                <w:b/>
                <w:bCs/>
              </w:rPr>
            </w:pPr>
          </w:p>
        </w:tc>
        <w:tc>
          <w:tcPr>
            <w:tcW w:w="554" w:type="pct"/>
            <w:shd w:val="clear" w:color="auto" w:fill="auto"/>
            <w:vAlign w:val="center"/>
          </w:tcPr>
          <w:p w14:paraId="1D2E0CE2" w14:textId="77777777" w:rsidR="002535DF" w:rsidRPr="00B75A2A" w:rsidRDefault="002535DF" w:rsidP="00B75A2A">
            <w:pPr>
              <w:snapToGrid w:val="0"/>
              <w:spacing w:line="480" w:lineRule="auto"/>
              <w:rPr>
                <w:b/>
                <w:bCs/>
              </w:rPr>
            </w:pPr>
          </w:p>
        </w:tc>
      </w:tr>
      <w:tr w:rsidR="002535DF" w:rsidRPr="00B75A2A" w14:paraId="56810ACF" w14:textId="77777777" w:rsidTr="00061B4F">
        <w:trPr>
          <w:trHeight w:val="20"/>
        </w:trPr>
        <w:tc>
          <w:tcPr>
            <w:tcW w:w="899" w:type="pct"/>
            <w:shd w:val="clear" w:color="auto" w:fill="auto"/>
            <w:vAlign w:val="center"/>
          </w:tcPr>
          <w:p w14:paraId="4303FC81" w14:textId="77777777" w:rsidR="002535DF" w:rsidRPr="00B75A2A" w:rsidRDefault="002535DF" w:rsidP="00B75A2A">
            <w:pPr>
              <w:tabs>
                <w:tab w:val="left" w:pos="1220"/>
                <w:tab w:val="left" w:pos="1752"/>
              </w:tabs>
              <w:snapToGrid w:val="0"/>
              <w:spacing w:line="480" w:lineRule="auto"/>
            </w:pPr>
            <w:r w:rsidRPr="00B75A2A">
              <w:t>ATP7A</w:t>
            </w:r>
          </w:p>
        </w:tc>
        <w:tc>
          <w:tcPr>
            <w:tcW w:w="2969" w:type="pct"/>
            <w:shd w:val="clear" w:color="auto" w:fill="auto"/>
            <w:vAlign w:val="center"/>
          </w:tcPr>
          <w:p w14:paraId="0AFAB277" w14:textId="77777777" w:rsidR="002535DF" w:rsidRPr="00B75A2A" w:rsidRDefault="002535DF" w:rsidP="00B75A2A">
            <w:pPr>
              <w:tabs>
                <w:tab w:val="left" w:pos="1220"/>
                <w:tab w:val="left" w:pos="1752"/>
              </w:tabs>
              <w:snapToGrid w:val="0"/>
              <w:spacing w:line="480" w:lineRule="auto"/>
              <w:rPr>
                <w:color w:val="000000"/>
              </w:rPr>
            </w:pPr>
            <w:r w:rsidRPr="00B75A2A">
              <w:t>ATPase copper transporting alpha</w:t>
            </w:r>
          </w:p>
        </w:tc>
        <w:tc>
          <w:tcPr>
            <w:tcW w:w="578" w:type="pct"/>
            <w:shd w:val="clear" w:color="auto" w:fill="auto"/>
            <w:vAlign w:val="center"/>
          </w:tcPr>
          <w:p w14:paraId="4E9D2B4A" w14:textId="77777777" w:rsidR="002535DF" w:rsidRPr="00B75A2A" w:rsidRDefault="002535DF" w:rsidP="00B75A2A">
            <w:pPr>
              <w:tabs>
                <w:tab w:val="left" w:pos="1220"/>
                <w:tab w:val="left" w:pos="1752"/>
              </w:tabs>
              <w:snapToGrid w:val="0"/>
              <w:spacing w:line="480" w:lineRule="auto"/>
            </w:pPr>
            <w:r w:rsidRPr="00B75A2A">
              <w:t>3.87</w:t>
            </w:r>
          </w:p>
        </w:tc>
        <w:tc>
          <w:tcPr>
            <w:tcW w:w="554" w:type="pct"/>
            <w:shd w:val="clear" w:color="auto" w:fill="auto"/>
            <w:vAlign w:val="center"/>
          </w:tcPr>
          <w:p w14:paraId="7E92883A" w14:textId="77777777" w:rsidR="002535DF" w:rsidRPr="00B75A2A" w:rsidRDefault="002535DF" w:rsidP="00B75A2A">
            <w:pPr>
              <w:tabs>
                <w:tab w:val="left" w:pos="1220"/>
                <w:tab w:val="left" w:pos="1752"/>
              </w:tabs>
              <w:snapToGrid w:val="0"/>
              <w:spacing w:line="480" w:lineRule="auto"/>
              <w:rPr>
                <w:color w:val="000000"/>
              </w:rPr>
            </w:pPr>
            <w:r w:rsidRPr="00B75A2A">
              <w:t>-0.46</w:t>
            </w:r>
          </w:p>
        </w:tc>
      </w:tr>
      <w:tr w:rsidR="002535DF" w:rsidRPr="00B75A2A" w14:paraId="2D2D009B" w14:textId="77777777" w:rsidTr="00061B4F">
        <w:trPr>
          <w:cnfStyle w:val="000000010000" w:firstRow="0" w:lastRow="0" w:firstColumn="0" w:lastColumn="0" w:oddVBand="0" w:evenVBand="0" w:oddHBand="0" w:evenHBand="1" w:firstRowFirstColumn="0" w:firstRowLastColumn="0" w:lastRowFirstColumn="0" w:lastRowLastColumn="0"/>
          <w:trHeight w:val="20"/>
        </w:trPr>
        <w:tc>
          <w:tcPr>
            <w:tcW w:w="899" w:type="pct"/>
            <w:shd w:val="clear" w:color="auto" w:fill="auto"/>
            <w:vAlign w:val="center"/>
          </w:tcPr>
          <w:p w14:paraId="2F889D36" w14:textId="77777777" w:rsidR="002535DF" w:rsidRPr="00B75A2A" w:rsidRDefault="002535DF" w:rsidP="00B75A2A">
            <w:pPr>
              <w:tabs>
                <w:tab w:val="left" w:pos="1220"/>
                <w:tab w:val="left" w:pos="1752"/>
              </w:tabs>
              <w:snapToGrid w:val="0"/>
              <w:spacing w:line="480" w:lineRule="auto"/>
            </w:pPr>
            <w:r w:rsidRPr="00B75A2A">
              <w:t>BIRC3</w:t>
            </w:r>
          </w:p>
        </w:tc>
        <w:tc>
          <w:tcPr>
            <w:tcW w:w="2969" w:type="pct"/>
            <w:shd w:val="clear" w:color="auto" w:fill="auto"/>
            <w:vAlign w:val="center"/>
          </w:tcPr>
          <w:p w14:paraId="2703FDAE" w14:textId="77777777" w:rsidR="002535DF" w:rsidRPr="00B75A2A" w:rsidRDefault="002535DF" w:rsidP="00B75A2A">
            <w:pPr>
              <w:tabs>
                <w:tab w:val="left" w:pos="1220"/>
                <w:tab w:val="left" w:pos="1752"/>
              </w:tabs>
              <w:snapToGrid w:val="0"/>
              <w:spacing w:line="480" w:lineRule="auto"/>
            </w:pPr>
            <w:r w:rsidRPr="00B75A2A">
              <w:t>baculoviral IAP repeat containing 3</w:t>
            </w:r>
          </w:p>
        </w:tc>
        <w:tc>
          <w:tcPr>
            <w:tcW w:w="578" w:type="pct"/>
            <w:shd w:val="clear" w:color="auto" w:fill="auto"/>
            <w:vAlign w:val="center"/>
          </w:tcPr>
          <w:p w14:paraId="5F27C69D" w14:textId="77777777" w:rsidR="002535DF" w:rsidRPr="00B75A2A" w:rsidRDefault="002535DF" w:rsidP="00B75A2A">
            <w:pPr>
              <w:tabs>
                <w:tab w:val="left" w:pos="1220"/>
                <w:tab w:val="left" w:pos="1752"/>
              </w:tabs>
              <w:snapToGrid w:val="0"/>
              <w:spacing w:line="480" w:lineRule="auto"/>
            </w:pPr>
            <w:r w:rsidRPr="00B75A2A">
              <w:t>3.90</w:t>
            </w:r>
          </w:p>
        </w:tc>
        <w:tc>
          <w:tcPr>
            <w:tcW w:w="554" w:type="pct"/>
            <w:shd w:val="clear" w:color="auto" w:fill="auto"/>
            <w:vAlign w:val="center"/>
          </w:tcPr>
          <w:p w14:paraId="13FB5D0A" w14:textId="77777777" w:rsidR="002535DF" w:rsidRPr="00B75A2A" w:rsidRDefault="002535DF" w:rsidP="00B75A2A">
            <w:pPr>
              <w:tabs>
                <w:tab w:val="left" w:pos="1220"/>
                <w:tab w:val="left" w:pos="1752"/>
              </w:tabs>
              <w:snapToGrid w:val="0"/>
              <w:spacing w:line="480" w:lineRule="auto"/>
              <w:rPr>
                <w:color w:val="000000"/>
              </w:rPr>
            </w:pPr>
            <w:r w:rsidRPr="00B75A2A">
              <w:t>-0.79</w:t>
            </w:r>
          </w:p>
        </w:tc>
      </w:tr>
      <w:tr w:rsidR="002535DF" w:rsidRPr="00B75A2A" w14:paraId="2825B051" w14:textId="77777777" w:rsidTr="00061B4F">
        <w:trPr>
          <w:trHeight w:val="20"/>
        </w:trPr>
        <w:tc>
          <w:tcPr>
            <w:tcW w:w="899" w:type="pct"/>
            <w:shd w:val="clear" w:color="auto" w:fill="auto"/>
            <w:vAlign w:val="center"/>
          </w:tcPr>
          <w:p w14:paraId="327D0816" w14:textId="77777777" w:rsidR="002535DF" w:rsidRPr="00B75A2A" w:rsidRDefault="002535DF" w:rsidP="00B75A2A">
            <w:pPr>
              <w:tabs>
                <w:tab w:val="left" w:pos="1220"/>
                <w:tab w:val="left" w:pos="1752"/>
              </w:tabs>
              <w:snapToGrid w:val="0"/>
              <w:spacing w:line="480" w:lineRule="auto"/>
            </w:pPr>
            <w:r w:rsidRPr="00B75A2A">
              <w:t>CASP1</w:t>
            </w:r>
          </w:p>
        </w:tc>
        <w:tc>
          <w:tcPr>
            <w:tcW w:w="2969" w:type="pct"/>
            <w:shd w:val="clear" w:color="auto" w:fill="auto"/>
            <w:vAlign w:val="center"/>
          </w:tcPr>
          <w:p w14:paraId="01ABFC4D" w14:textId="77777777" w:rsidR="002535DF" w:rsidRPr="00B75A2A" w:rsidRDefault="002535DF" w:rsidP="00B75A2A">
            <w:pPr>
              <w:tabs>
                <w:tab w:val="left" w:pos="1220"/>
                <w:tab w:val="left" w:pos="1752"/>
              </w:tabs>
              <w:snapToGrid w:val="0"/>
              <w:spacing w:line="480" w:lineRule="auto"/>
            </w:pPr>
            <w:r w:rsidRPr="00B75A2A">
              <w:t>caspase 1</w:t>
            </w:r>
          </w:p>
        </w:tc>
        <w:tc>
          <w:tcPr>
            <w:tcW w:w="578" w:type="pct"/>
            <w:shd w:val="clear" w:color="auto" w:fill="auto"/>
            <w:vAlign w:val="center"/>
          </w:tcPr>
          <w:p w14:paraId="3DFAD450" w14:textId="77777777" w:rsidR="002535DF" w:rsidRPr="00B75A2A" w:rsidRDefault="002535DF" w:rsidP="00B75A2A">
            <w:pPr>
              <w:tabs>
                <w:tab w:val="left" w:pos="1220"/>
                <w:tab w:val="left" w:pos="1752"/>
              </w:tabs>
              <w:snapToGrid w:val="0"/>
              <w:spacing w:line="480" w:lineRule="auto"/>
            </w:pPr>
            <w:r w:rsidRPr="00B75A2A">
              <w:t>4.34</w:t>
            </w:r>
          </w:p>
        </w:tc>
        <w:tc>
          <w:tcPr>
            <w:tcW w:w="554" w:type="pct"/>
            <w:shd w:val="clear" w:color="auto" w:fill="auto"/>
            <w:vAlign w:val="center"/>
          </w:tcPr>
          <w:p w14:paraId="5AAFDFB3" w14:textId="77777777" w:rsidR="002535DF" w:rsidRPr="00B75A2A" w:rsidRDefault="002535DF" w:rsidP="00B75A2A">
            <w:pPr>
              <w:tabs>
                <w:tab w:val="left" w:pos="1220"/>
                <w:tab w:val="left" w:pos="1752"/>
              </w:tabs>
              <w:snapToGrid w:val="0"/>
              <w:spacing w:line="480" w:lineRule="auto"/>
              <w:rPr>
                <w:color w:val="000000"/>
              </w:rPr>
            </w:pPr>
            <w:r w:rsidRPr="00B75A2A">
              <w:t>-0.69</w:t>
            </w:r>
          </w:p>
        </w:tc>
      </w:tr>
      <w:tr w:rsidR="002535DF" w:rsidRPr="00B75A2A" w14:paraId="4EB05EF8" w14:textId="77777777" w:rsidTr="00061B4F">
        <w:trPr>
          <w:cnfStyle w:val="000000010000" w:firstRow="0" w:lastRow="0" w:firstColumn="0" w:lastColumn="0" w:oddVBand="0" w:evenVBand="0" w:oddHBand="0" w:evenHBand="1" w:firstRowFirstColumn="0" w:firstRowLastColumn="0" w:lastRowFirstColumn="0" w:lastRowLastColumn="0"/>
          <w:trHeight w:val="20"/>
        </w:trPr>
        <w:tc>
          <w:tcPr>
            <w:tcW w:w="899" w:type="pct"/>
            <w:shd w:val="clear" w:color="auto" w:fill="auto"/>
            <w:vAlign w:val="center"/>
          </w:tcPr>
          <w:p w14:paraId="48E9E88B" w14:textId="77777777" w:rsidR="002535DF" w:rsidRPr="00B75A2A" w:rsidRDefault="002535DF" w:rsidP="00B75A2A">
            <w:pPr>
              <w:tabs>
                <w:tab w:val="left" w:pos="1220"/>
                <w:tab w:val="left" w:pos="1752"/>
              </w:tabs>
              <w:snapToGrid w:val="0"/>
              <w:spacing w:line="480" w:lineRule="auto"/>
            </w:pPr>
            <w:r w:rsidRPr="00B75A2A">
              <w:t>CD74</w:t>
            </w:r>
          </w:p>
        </w:tc>
        <w:tc>
          <w:tcPr>
            <w:tcW w:w="2969" w:type="pct"/>
            <w:shd w:val="clear" w:color="auto" w:fill="auto"/>
            <w:vAlign w:val="center"/>
          </w:tcPr>
          <w:p w14:paraId="508B0386" w14:textId="77777777" w:rsidR="002535DF" w:rsidRPr="00B75A2A" w:rsidRDefault="002535DF" w:rsidP="00B75A2A">
            <w:pPr>
              <w:tabs>
                <w:tab w:val="left" w:pos="1220"/>
                <w:tab w:val="left" w:pos="1752"/>
              </w:tabs>
              <w:snapToGrid w:val="0"/>
              <w:spacing w:line="480" w:lineRule="auto"/>
            </w:pPr>
            <w:r w:rsidRPr="00B75A2A">
              <w:t>CD74 molecule</w:t>
            </w:r>
          </w:p>
        </w:tc>
        <w:tc>
          <w:tcPr>
            <w:tcW w:w="578" w:type="pct"/>
            <w:shd w:val="clear" w:color="auto" w:fill="auto"/>
            <w:vAlign w:val="center"/>
          </w:tcPr>
          <w:p w14:paraId="0012FC28" w14:textId="77777777" w:rsidR="002535DF" w:rsidRPr="00B75A2A" w:rsidRDefault="002535DF" w:rsidP="00B75A2A">
            <w:pPr>
              <w:tabs>
                <w:tab w:val="left" w:pos="1220"/>
                <w:tab w:val="left" w:pos="1752"/>
              </w:tabs>
              <w:snapToGrid w:val="0"/>
              <w:spacing w:line="480" w:lineRule="auto"/>
            </w:pPr>
            <w:r w:rsidRPr="00B75A2A">
              <w:t>4.25</w:t>
            </w:r>
          </w:p>
        </w:tc>
        <w:tc>
          <w:tcPr>
            <w:tcW w:w="554" w:type="pct"/>
            <w:shd w:val="clear" w:color="auto" w:fill="auto"/>
            <w:vAlign w:val="center"/>
          </w:tcPr>
          <w:p w14:paraId="73604127" w14:textId="77777777" w:rsidR="002535DF" w:rsidRPr="00B75A2A" w:rsidRDefault="002535DF" w:rsidP="00B75A2A">
            <w:pPr>
              <w:tabs>
                <w:tab w:val="left" w:pos="1220"/>
                <w:tab w:val="left" w:pos="1752"/>
              </w:tabs>
              <w:snapToGrid w:val="0"/>
              <w:spacing w:line="480" w:lineRule="auto"/>
              <w:rPr>
                <w:color w:val="000000"/>
              </w:rPr>
            </w:pPr>
            <w:r w:rsidRPr="00B75A2A">
              <w:t>-0.57</w:t>
            </w:r>
          </w:p>
        </w:tc>
      </w:tr>
      <w:tr w:rsidR="002535DF" w:rsidRPr="00B75A2A" w14:paraId="66A708D2" w14:textId="77777777" w:rsidTr="00061B4F">
        <w:trPr>
          <w:trHeight w:val="20"/>
        </w:trPr>
        <w:tc>
          <w:tcPr>
            <w:tcW w:w="899" w:type="pct"/>
            <w:shd w:val="clear" w:color="auto" w:fill="auto"/>
            <w:vAlign w:val="center"/>
          </w:tcPr>
          <w:p w14:paraId="5F3823A3" w14:textId="77777777" w:rsidR="002535DF" w:rsidRPr="00B75A2A" w:rsidRDefault="002535DF" w:rsidP="00B75A2A">
            <w:pPr>
              <w:tabs>
                <w:tab w:val="left" w:pos="1220"/>
                <w:tab w:val="left" w:pos="1752"/>
              </w:tabs>
              <w:snapToGrid w:val="0"/>
              <w:spacing w:line="480" w:lineRule="auto"/>
            </w:pPr>
            <w:r w:rsidRPr="00B75A2A">
              <w:t>CXCL9</w:t>
            </w:r>
          </w:p>
        </w:tc>
        <w:tc>
          <w:tcPr>
            <w:tcW w:w="2969" w:type="pct"/>
            <w:shd w:val="clear" w:color="auto" w:fill="auto"/>
            <w:vAlign w:val="center"/>
          </w:tcPr>
          <w:p w14:paraId="07BC125D" w14:textId="77777777" w:rsidR="002535DF" w:rsidRPr="00B75A2A" w:rsidRDefault="002535DF" w:rsidP="00B75A2A">
            <w:pPr>
              <w:tabs>
                <w:tab w:val="left" w:pos="1220"/>
                <w:tab w:val="left" w:pos="1752"/>
              </w:tabs>
              <w:snapToGrid w:val="0"/>
              <w:spacing w:line="480" w:lineRule="auto"/>
            </w:pPr>
            <w:r w:rsidRPr="00B75A2A">
              <w:t>C-X-C motif chemokine ligand 9</w:t>
            </w:r>
          </w:p>
        </w:tc>
        <w:tc>
          <w:tcPr>
            <w:tcW w:w="578" w:type="pct"/>
            <w:shd w:val="clear" w:color="auto" w:fill="auto"/>
            <w:vAlign w:val="center"/>
          </w:tcPr>
          <w:p w14:paraId="55192DB6" w14:textId="77777777" w:rsidR="002535DF" w:rsidRPr="00B75A2A" w:rsidRDefault="002535DF" w:rsidP="00B75A2A">
            <w:pPr>
              <w:tabs>
                <w:tab w:val="left" w:pos="1220"/>
                <w:tab w:val="left" w:pos="1752"/>
              </w:tabs>
              <w:snapToGrid w:val="0"/>
              <w:spacing w:line="480" w:lineRule="auto"/>
            </w:pPr>
            <w:r w:rsidRPr="00B75A2A">
              <w:t>5.33</w:t>
            </w:r>
          </w:p>
        </w:tc>
        <w:tc>
          <w:tcPr>
            <w:tcW w:w="554" w:type="pct"/>
            <w:shd w:val="clear" w:color="auto" w:fill="auto"/>
            <w:vAlign w:val="center"/>
          </w:tcPr>
          <w:p w14:paraId="41FB743C" w14:textId="77777777" w:rsidR="002535DF" w:rsidRPr="00B75A2A" w:rsidRDefault="002535DF" w:rsidP="00B75A2A">
            <w:pPr>
              <w:tabs>
                <w:tab w:val="left" w:pos="1220"/>
                <w:tab w:val="left" w:pos="1752"/>
              </w:tabs>
              <w:snapToGrid w:val="0"/>
              <w:spacing w:line="480" w:lineRule="auto"/>
              <w:rPr>
                <w:color w:val="000000"/>
              </w:rPr>
            </w:pPr>
            <w:r w:rsidRPr="00B75A2A">
              <w:t>-1.85</w:t>
            </w:r>
          </w:p>
        </w:tc>
      </w:tr>
      <w:tr w:rsidR="002535DF" w:rsidRPr="00B75A2A" w14:paraId="38D69E71" w14:textId="77777777" w:rsidTr="00061B4F">
        <w:trPr>
          <w:cnfStyle w:val="000000010000" w:firstRow="0" w:lastRow="0" w:firstColumn="0" w:lastColumn="0" w:oddVBand="0" w:evenVBand="0" w:oddHBand="0" w:evenHBand="1" w:firstRowFirstColumn="0" w:firstRowLastColumn="0" w:lastRowFirstColumn="0" w:lastRowLastColumn="0"/>
          <w:trHeight w:val="20"/>
        </w:trPr>
        <w:tc>
          <w:tcPr>
            <w:tcW w:w="899" w:type="pct"/>
            <w:shd w:val="clear" w:color="auto" w:fill="auto"/>
            <w:vAlign w:val="center"/>
          </w:tcPr>
          <w:p w14:paraId="310A5720" w14:textId="77777777" w:rsidR="002535DF" w:rsidRPr="00B75A2A" w:rsidRDefault="002535DF" w:rsidP="00B75A2A">
            <w:pPr>
              <w:tabs>
                <w:tab w:val="left" w:pos="1220"/>
                <w:tab w:val="left" w:pos="1752"/>
              </w:tabs>
              <w:snapToGrid w:val="0"/>
              <w:spacing w:line="480" w:lineRule="auto"/>
            </w:pPr>
            <w:r w:rsidRPr="00B75A2A">
              <w:t>ERAP1</w:t>
            </w:r>
          </w:p>
        </w:tc>
        <w:tc>
          <w:tcPr>
            <w:tcW w:w="2969" w:type="pct"/>
            <w:shd w:val="clear" w:color="auto" w:fill="auto"/>
            <w:vAlign w:val="center"/>
          </w:tcPr>
          <w:p w14:paraId="74BD439C" w14:textId="77777777" w:rsidR="002535DF" w:rsidRPr="00B75A2A" w:rsidRDefault="002535DF" w:rsidP="00B75A2A">
            <w:pPr>
              <w:tabs>
                <w:tab w:val="left" w:pos="1220"/>
                <w:tab w:val="left" w:pos="1752"/>
              </w:tabs>
              <w:snapToGrid w:val="0"/>
              <w:spacing w:line="480" w:lineRule="auto"/>
            </w:pPr>
            <w:r w:rsidRPr="00B75A2A">
              <w:t>endoplasmic reticulum aminopeptidase 1</w:t>
            </w:r>
          </w:p>
        </w:tc>
        <w:tc>
          <w:tcPr>
            <w:tcW w:w="578" w:type="pct"/>
            <w:shd w:val="clear" w:color="auto" w:fill="auto"/>
            <w:vAlign w:val="center"/>
          </w:tcPr>
          <w:p w14:paraId="1BD7A179" w14:textId="77777777" w:rsidR="002535DF" w:rsidRPr="00B75A2A" w:rsidRDefault="002535DF" w:rsidP="00B75A2A">
            <w:pPr>
              <w:tabs>
                <w:tab w:val="left" w:pos="1220"/>
                <w:tab w:val="left" w:pos="1752"/>
              </w:tabs>
              <w:snapToGrid w:val="0"/>
              <w:spacing w:line="480" w:lineRule="auto"/>
            </w:pPr>
            <w:r w:rsidRPr="00B75A2A">
              <w:t>4.06</w:t>
            </w:r>
          </w:p>
        </w:tc>
        <w:tc>
          <w:tcPr>
            <w:tcW w:w="554" w:type="pct"/>
            <w:shd w:val="clear" w:color="auto" w:fill="auto"/>
            <w:vAlign w:val="center"/>
          </w:tcPr>
          <w:p w14:paraId="3A5A64B7" w14:textId="77777777" w:rsidR="002535DF" w:rsidRPr="00B75A2A" w:rsidRDefault="002535DF" w:rsidP="00B75A2A">
            <w:pPr>
              <w:tabs>
                <w:tab w:val="left" w:pos="1220"/>
                <w:tab w:val="left" w:pos="1752"/>
              </w:tabs>
              <w:snapToGrid w:val="0"/>
              <w:spacing w:line="480" w:lineRule="auto"/>
              <w:rPr>
                <w:color w:val="000000"/>
              </w:rPr>
            </w:pPr>
            <w:r w:rsidRPr="00B75A2A">
              <w:t>-0.68</w:t>
            </w:r>
          </w:p>
        </w:tc>
      </w:tr>
      <w:tr w:rsidR="002535DF" w:rsidRPr="00B75A2A" w14:paraId="59116AC6" w14:textId="77777777" w:rsidTr="00061B4F">
        <w:trPr>
          <w:trHeight w:val="20"/>
        </w:trPr>
        <w:tc>
          <w:tcPr>
            <w:tcW w:w="899" w:type="pct"/>
            <w:shd w:val="clear" w:color="auto" w:fill="auto"/>
            <w:vAlign w:val="center"/>
          </w:tcPr>
          <w:p w14:paraId="1C89265A" w14:textId="77777777" w:rsidR="002535DF" w:rsidRPr="00B75A2A" w:rsidRDefault="002535DF" w:rsidP="00B75A2A">
            <w:pPr>
              <w:tabs>
                <w:tab w:val="left" w:pos="1220"/>
                <w:tab w:val="left" w:pos="1752"/>
              </w:tabs>
              <w:snapToGrid w:val="0"/>
              <w:spacing w:line="480" w:lineRule="auto"/>
            </w:pPr>
            <w:r w:rsidRPr="00B75A2A">
              <w:t>FAS</w:t>
            </w:r>
          </w:p>
        </w:tc>
        <w:tc>
          <w:tcPr>
            <w:tcW w:w="2969" w:type="pct"/>
            <w:shd w:val="clear" w:color="auto" w:fill="auto"/>
            <w:vAlign w:val="center"/>
          </w:tcPr>
          <w:p w14:paraId="5491013E" w14:textId="77777777" w:rsidR="002535DF" w:rsidRPr="00B75A2A" w:rsidRDefault="002535DF" w:rsidP="00B75A2A">
            <w:pPr>
              <w:tabs>
                <w:tab w:val="left" w:pos="1220"/>
                <w:tab w:val="left" w:pos="1752"/>
              </w:tabs>
              <w:snapToGrid w:val="0"/>
              <w:spacing w:line="480" w:lineRule="auto"/>
            </w:pPr>
            <w:proofErr w:type="spellStart"/>
            <w:r w:rsidRPr="00B75A2A">
              <w:t>Fas</w:t>
            </w:r>
            <w:proofErr w:type="spellEnd"/>
            <w:r w:rsidRPr="00B75A2A">
              <w:t xml:space="preserve"> cell surface death receptor</w:t>
            </w:r>
          </w:p>
        </w:tc>
        <w:tc>
          <w:tcPr>
            <w:tcW w:w="578" w:type="pct"/>
            <w:shd w:val="clear" w:color="auto" w:fill="auto"/>
            <w:vAlign w:val="center"/>
          </w:tcPr>
          <w:p w14:paraId="59E98A5A" w14:textId="77777777" w:rsidR="002535DF" w:rsidRPr="00B75A2A" w:rsidRDefault="002535DF" w:rsidP="00B75A2A">
            <w:pPr>
              <w:tabs>
                <w:tab w:val="left" w:pos="1220"/>
                <w:tab w:val="left" w:pos="1752"/>
              </w:tabs>
              <w:snapToGrid w:val="0"/>
              <w:spacing w:line="480" w:lineRule="auto"/>
            </w:pPr>
            <w:r w:rsidRPr="00B75A2A">
              <w:t>5.51</w:t>
            </w:r>
          </w:p>
        </w:tc>
        <w:tc>
          <w:tcPr>
            <w:tcW w:w="554" w:type="pct"/>
            <w:shd w:val="clear" w:color="auto" w:fill="auto"/>
            <w:vAlign w:val="center"/>
          </w:tcPr>
          <w:p w14:paraId="6F6D8EEF" w14:textId="77777777" w:rsidR="002535DF" w:rsidRPr="00B75A2A" w:rsidRDefault="002535DF" w:rsidP="00B75A2A">
            <w:pPr>
              <w:tabs>
                <w:tab w:val="left" w:pos="1220"/>
                <w:tab w:val="left" w:pos="1752"/>
              </w:tabs>
              <w:snapToGrid w:val="0"/>
              <w:spacing w:line="480" w:lineRule="auto"/>
              <w:rPr>
                <w:color w:val="000000"/>
              </w:rPr>
            </w:pPr>
            <w:r w:rsidRPr="00B75A2A">
              <w:t>-1.31</w:t>
            </w:r>
          </w:p>
        </w:tc>
      </w:tr>
      <w:tr w:rsidR="002535DF" w:rsidRPr="00B75A2A" w14:paraId="127D6354" w14:textId="77777777" w:rsidTr="00061B4F">
        <w:trPr>
          <w:cnfStyle w:val="000000010000" w:firstRow="0" w:lastRow="0" w:firstColumn="0" w:lastColumn="0" w:oddVBand="0" w:evenVBand="0" w:oddHBand="0" w:evenHBand="1" w:firstRowFirstColumn="0" w:firstRowLastColumn="0" w:lastRowFirstColumn="0" w:lastRowLastColumn="0"/>
          <w:trHeight w:val="20"/>
        </w:trPr>
        <w:tc>
          <w:tcPr>
            <w:tcW w:w="899" w:type="pct"/>
            <w:shd w:val="clear" w:color="auto" w:fill="auto"/>
            <w:vAlign w:val="center"/>
          </w:tcPr>
          <w:p w14:paraId="0C3A02D4" w14:textId="77777777" w:rsidR="002535DF" w:rsidRPr="00B75A2A" w:rsidRDefault="002535DF" w:rsidP="00B75A2A">
            <w:pPr>
              <w:tabs>
                <w:tab w:val="left" w:pos="1220"/>
                <w:tab w:val="left" w:pos="1752"/>
              </w:tabs>
              <w:snapToGrid w:val="0"/>
              <w:spacing w:line="480" w:lineRule="auto"/>
            </w:pPr>
            <w:r w:rsidRPr="00B75A2A">
              <w:t>GBP2</w:t>
            </w:r>
          </w:p>
        </w:tc>
        <w:tc>
          <w:tcPr>
            <w:tcW w:w="2969" w:type="pct"/>
            <w:shd w:val="clear" w:color="auto" w:fill="auto"/>
            <w:vAlign w:val="center"/>
          </w:tcPr>
          <w:p w14:paraId="288B2AC7" w14:textId="77777777" w:rsidR="002535DF" w:rsidRPr="00B75A2A" w:rsidRDefault="002535DF" w:rsidP="00B75A2A">
            <w:pPr>
              <w:tabs>
                <w:tab w:val="left" w:pos="1220"/>
                <w:tab w:val="left" w:pos="1752"/>
              </w:tabs>
              <w:snapToGrid w:val="0"/>
              <w:spacing w:line="480" w:lineRule="auto"/>
            </w:pPr>
            <w:r w:rsidRPr="00B75A2A">
              <w:t>guanylate binding protein 2</w:t>
            </w:r>
          </w:p>
        </w:tc>
        <w:tc>
          <w:tcPr>
            <w:tcW w:w="578" w:type="pct"/>
            <w:shd w:val="clear" w:color="auto" w:fill="auto"/>
            <w:vAlign w:val="center"/>
          </w:tcPr>
          <w:p w14:paraId="7DF4CAC3" w14:textId="77777777" w:rsidR="002535DF" w:rsidRPr="00B75A2A" w:rsidRDefault="002535DF" w:rsidP="00B75A2A">
            <w:pPr>
              <w:tabs>
                <w:tab w:val="left" w:pos="1220"/>
                <w:tab w:val="left" w:pos="1752"/>
              </w:tabs>
              <w:snapToGrid w:val="0"/>
              <w:spacing w:line="480" w:lineRule="auto"/>
            </w:pPr>
            <w:r w:rsidRPr="00B75A2A">
              <w:t>4.02</w:t>
            </w:r>
          </w:p>
        </w:tc>
        <w:tc>
          <w:tcPr>
            <w:tcW w:w="554" w:type="pct"/>
            <w:shd w:val="clear" w:color="auto" w:fill="auto"/>
            <w:vAlign w:val="center"/>
          </w:tcPr>
          <w:p w14:paraId="33139D11" w14:textId="77777777" w:rsidR="002535DF" w:rsidRPr="00B75A2A" w:rsidRDefault="002535DF" w:rsidP="00B75A2A">
            <w:pPr>
              <w:tabs>
                <w:tab w:val="left" w:pos="1220"/>
                <w:tab w:val="left" w:pos="1752"/>
              </w:tabs>
              <w:snapToGrid w:val="0"/>
              <w:spacing w:line="480" w:lineRule="auto"/>
              <w:rPr>
                <w:color w:val="000000"/>
              </w:rPr>
            </w:pPr>
            <w:r w:rsidRPr="00B75A2A">
              <w:t>-2.03</w:t>
            </w:r>
          </w:p>
        </w:tc>
      </w:tr>
      <w:tr w:rsidR="002535DF" w:rsidRPr="00B75A2A" w14:paraId="61B05031" w14:textId="77777777" w:rsidTr="00061B4F">
        <w:trPr>
          <w:trHeight w:val="20"/>
        </w:trPr>
        <w:tc>
          <w:tcPr>
            <w:tcW w:w="899" w:type="pct"/>
            <w:shd w:val="clear" w:color="auto" w:fill="auto"/>
            <w:vAlign w:val="center"/>
          </w:tcPr>
          <w:p w14:paraId="6F58524C" w14:textId="77777777" w:rsidR="002535DF" w:rsidRPr="00B75A2A" w:rsidRDefault="002535DF" w:rsidP="00B75A2A">
            <w:pPr>
              <w:tabs>
                <w:tab w:val="left" w:pos="1220"/>
                <w:tab w:val="left" w:pos="1752"/>
              </w:tabs>
              <w:snapToGrid w:val="0"/>
              <w:spacing w:line="480" w:lineRule="auto"/>
            </w:pPr>
            <w:r w:rsidRPr="00B75A2A">
              <w:t>GBP6</w:t>
            </w:r>
          </w:p>
        </w:tc>
        <w:tc>
          <w:tcPr>
            <w:tcW w:w="2969" w:type="pct"/>
            <w:shd w:val="clear" w:color="auto" w:fill="auto"/>
            <w:vAlign w:val="center"/>
          </w:tcPr>
          <w:p w14:paraId="2A5A2413" w14:textId="77777777" w:rsidR="002535DF" w:rsidRPr="00B75A2A" w:rsidRDefault="002535DF" w:rsidP="00B75A2A">
            <w:pPr>
              <w:tabs>
                <w:tab w:val="left" w:pos="1220"/>
                <w:tab w:val="left" w:pos="1752"/>
              </w:tabs>
              <w:snapToGrid w:val="0"/>
              <w:spacing w:line="480" w:lineRule="auto"/>
            </w:pPr>
            <w:r w:rsidRPr="00B75A2A">
              <w:t>guanylate binding protein family member 6</w:t>
            </w:r>
          </w:p>
        </w:tc>
        <w:tc>
          <w:tcPr>
            <w:tcW w:w="578" w:type="pct"/>
            <w:shd w:val="clear" w:color="auto" w:fill="auto"/>
            <w:vAlign w:val="center"/>
          </w:tcPr>
          <w:p w14:paraId="5F26A71F" w14:textId="77777777" w:rsidR="002535DF" w:rsidRPr="00B75A2A" w:rsidRDefault="002535DF" w:rsidP="00B75A2A">
            <w:pPr>
              <w:tabs>
                <w:tab w:val="left" w:pos="1220"/>
                <w:tab w:val="left" w:pos="1752"/>
              </w:tabs>
              <w:snapToGrid w:val="0"/>
              <w:spacing w:line="480" w:lineRule="auto"/>
            </w:pPr>
            <w:r w:rsidRPr="00B75A2A">
              <w:t>3.94</w:t>
            </w:r>
          </w:p>
        </w:tc>
        <w:tc>
          <w:tcPr>
            <w:tcW w:w="554" w:type="pct"/>
            <w:shd w:val="clear" w:color="auto" w:fill="auto"/>
            <w:vAlign w:val="center"/>
          </w:tcPr>
          <w:p w14:paraId="68E62F45" w14:textId="77777777" w:rsidR="002535DF" w:rsidRPr="00B75A2A" w:rsidRDefault="002535DF" w:rsidP="00B75A2A">
            <w:pPr>
              <w:tabs>
                <w:tab w:val="left" w:pos="1220"/>
                <w:tab w:val="left" w:pos="1752"/>
              </w:tabs>
              <w:snapToGrid w:val="0"/>
              <w:spacing w:line="480" w:lineRule="auto"/>
              <w:rPr>
                <w:color w:val="000000"/>
              </w:rPr>
            </w:pPr>
            <w:r w:rsidRPr="00B75A2A">
              <w:t>-1.11</w:t>
            </w:r>
          </w:p>
        </w:tc>
      </w:tr>
      <w:tr w:rsidR="002535DF" w:rsidRPr="00B75A2A" w14:paraId="309C2672" w14:textId="77777777" w:rsidTr="00061B4F">
        <w:trPr>
          <w:cnfStyle w:val="000000010000" w:firstRow="0" w:lastRow="0" w:firstColumn="0" w:lastColumn="0" w:oddVBand="0" w:evenVBand="0" w:oddHBand="0" w:evenHBand="1" w:firstRowFirstColumn="0" w:firstRowLastColumn="0" w:lastRowFirstColumn="0" w:lastRowLastColumn="0"/>
          <w:trHeight w:val="20"/>
        </w:trPr>
        <w:tc>
          <w:tcPr>
            <w:tcW w:w="899" w:type="pct"/>
            <w:shd w:val="clear" w:color="auto" w:fill="auto"/>
            <w:vAlign w:val="center"/>
          </w:tcPr>
          <w:p w14:paraId="440157BE" w14:textId="77777777" w:rsidR="002535DF" w:rsidRPr="00B75A2A" w:rsidRDefault="002535DF" w:rsidP="00B75A2A">
            <w:pPr>
              <w:tabs>
                <w:tab w:val="left" w:pos="1220"/>
                <w:tab w:val="left" w:pos="1752"/>
              </w:tabs>
              <w:snapToGrid w:val="0"/>
              <w:spacing w:line="480" w:lineRule="auto"/>
            </w:pPr>
            <w:r w:rsidRPr="00B75A2A">
              <w:t>HLA-DMA</w:t>
            </w:r>
          </w:p>
        </w:tc>
        <w:tc>
          <w:tcPr>
            <w:tcW w:w="2969" w:type="pct"/>
            <w:shd w:val="clear" w:color="auto" w:fill="auto"/>
            <w:vAlign w:val="center"/>
          </w:tcPr>
          <w:p w14:paraId="028FFC1A" w14:textId="77777777" w:rsidR="002535DF" w:rsidRPr="00B75A2A" w:rsidRDefault="002535DF" w:rsidP="00B75A2A">
            <w:pPr>
              <w:tabs>
                <w:tab w:val="left" w:pos="1220"/>
                <w:tab w:val="left" w:pos="1752"/>
              </w:tabs>
              <w:snapToGrid w:val="0"/>
              <w:spacing w:line="480" w:lineRule="auto"/>
            </w:pPr>
            <w:r w:rsidRPr="00B75A2A">
              <w:t>major histocompatibility complex, class II, DM alpha</w:t>
            </w:r>
          </w:p>
        </w:tc>
        <w:tc>
          <w:tcPr>
            <w:tcW w:w="578" w:type="pct"/>
            <w:shd w:val="clear" w:color="auto" w:fill="auto"/>
            <w:vAlign w:val="center"/>
          </w:tcPr>
          <w:p w14:paraId="68C73062" w14:textId="77777777" w:rsidR="002535DF" w:rsidRPr="00B75A2A" w:rsidRDefault="002535DF" w:rsidP="00B75A2A">
            <w:pPr>
              <w:tabs>
                <w:tab w:val="left" w:pos="1220"/>
                <w:tab w:val="left" w:pos="1752"/>
              </w:tabs>
              <w:snapToGrid w:val="0"/>
              <w:spacing w:line="480" w:lineRule="auto"/>
            </w:pPr>
            <w:r w:rsidRPr="00B75A2A">
              <w:t>3.98</w:t>
            </w:r>
          </w:p>
        </w:tc>
        <w:tc>
          <w:tcPr>
            <w:tcW w:w="554" w:type="pct"/>
            <w:shd w:val="clear" w:color="auto" w:fill="auto"/>
            <w:vAlign w:val="center"/>
          </w:tcPr>
          <w:p w14:paraId="3C980F9F" w14:textId="77777777" w:rsidR="002535DF" w:rsidRPr="00B75A2A" w:rsidRDefault="002535DF" w:rsidP="00B75A2A">
            <w:pPr>
              <w:tabs>
                <w:tab w:val="left" w:pos="1220"/>
                <w:tab w:val="left" w:pos="1752"/>
              </w:tabs>
              <w:snapToGrid w:val="0"/>
              <w:spacing w:line="480" w:lineRule="auto"/>
              <w:rPr>
                <w:color w:val="000000"/>
              </w:rPr>
            </w:pPr>
            <w:r w:rsidRPr="00B75A2A">
              <w:t>-0.89</w:t>
            </w:r>
          </w:p>
        </w:tc>
      </w:tr>
      <w:tr w:rsidR="002535DF" w:rsidRPr="00B75A2A" w14:paraId="45F2082B" w14:textId="77777777" w:rsidTr="00061B4F">
        <w:trPr>
          <w:trHeight w:val="20"/>
        </w:trPr>
        <w:tc>
          <w:tcPr>
            <w:tcW w:w="899" w:type="pct"/>
            <w:shd w:val="clear" w:color="auto" w:fill="auto"/>
            <w:vAlign w:val="center"/>
          </w:tcPr>
          <w:p w14:paraId="717BBB87" w14:textId="77777777" w:rsidR="002535DF" w:rsidRPr="00B75A2A" w:rsidRDefault="002535DF" w:rsidP="00B75A2A">
            <w:pPr>
              <w:tabs>
                <w:tab w:val="left" w:pos="1220"/>
                <w:tab w:val="left" w:pos="1752"/>
              </w:tabs>
              <w:snapToGrid w:val="0"/>
              <w:spacing w:line="480" w:lineRule="auto"/>
            </w:pPr>
            <w:r w:rsidRPr="00B75A2A">
              <w:t>HLA-DMB</w:t>
            </w:r>
          </w:p>
        </w:tc>
        <w:tc>
          <w:tcPr>
            <w:tcW w:w="2969" w:type="pct"/>
            <w:shd w:val="clear" w:color="auto" w:fill="auto"/>
            <w:vAlign w:val="center"/>
          </w:tcPr>
          <w:p w14:paraId="32D61B43" w14:textId="77777777" w:rsidR="002535DF" w:rsidRPr="00B75A2A" w:rsidRDefault="002535DF" w:rsidP="00B75A2A">
            <w:pPr>
              <w:tabs>
                <w:tab w:val="left" w:pos="1220"/>
                <w:tab w:val="left" w:pos="1752"/>
              </w:tabs>
              <w:snapToGrid w:val="0"/>
              <w:spacing w:line="480" w:lineRule="auto"/>
            </w:pPr>
            <w:r w:rsidRPr="00B75A2A">
              <w:t>major histocompatibility complex, class II, DM beta</w:t>
            </w:r>
          </w:p>
        </w:tc>
        <w:tc>
          <w:tcPr>
            <w:tcW w:w="578" w:type="pct"/>
            <w:shd w:val="clear" w:color="auto" w:fill="auto"/>
            <w:vAlign w:val="center"/>
          </w:tcPr>
          <w:p w14:paraId="5AE09E7F" w14:textId="77777777" w:rsidR="002535DF" w:rsidRPr="00B75A2A" w:rsidRDefault="002535DF" w:rsidP="00B75A2A">
            <w:pPr>
              <w:tabs>
                <w:tab w:val="left" w:pos="1220"/>
                <w:tab w:val="left" w:pos="1752"/>
              </w:tabs>
              <w:snapToGrid w:val="0"/>
              <w:spacing w:line="480" w:lineRule="auto"/>
            </w:pPr>
            <w:r w:rsidRPr="00B75A2A">
              <w:t>3.91</w:t>
            </w:r>
          </w:p>
        </w:tc>
        <w:tc>
          <w:tcPr>
            <w:tcW w:w="554" w:type="pct"/>
            <w:shd w:val="clear" w:color="auto" w:fill="auto"/>
            <w:vAlign w:val="center"/>
          </w:tcPr>
          <w:p w14:paraId="762D6113" w14:textId="77777777" w:rsidR="002535DF" w:rsidRPr="00B75A2A" w:rsidRDefault="002535DF" w:rsidP="00B75A2A">
            <w:pPr>
              <w:tabs>
                <w:tab w:val="left" w:pos="1220"/>
                <w:tab w:val="left" w:pos="1752"/>
              </w:tabs>
              <w:snapToGrid w:val="0"/>
              <w:spacing w:line="480" w:lineRule="auto"/>
              <w:rPr>
                <w:color w:val="000000"/>
              </w:rPr>
            </w:pPr>
            <w:r w:rsidRPr="00B75A2A">
              <w:t>-0.66</w:t>
            </w:r>
          </w:p>
        </w:tc>
      </w:tr>
      <w:tr w:rsidR="002535DF" w:rsidRPr="00B75A2A" w14:paraId="34647AC6" w14:textId="77777777" w:rsidTr="00061B4F">
        <w:trPr>
          <w:cnfStyle w:val="000000010000" w:firstRow="0" w:lastRow="0" w:firstColumn="0" w:lastColumn="0" w:oddVBand="0" w:evenVBand="0" w:oddHBand="0" w:evenHBand="1" w:firstRowFirstColumn="0" w:firstRowLastColumn="0" w:lastRowFirstColumn="0" w:lastRowLastColumn="0"/>
          <w:trHeight w:val="20"/>
        </w:trPr>
        <w:tc>
          <w:tcPr>
            <w:tcW w:w="899" w:type="pct"/>
            <w:shd w:val="clear" w:color="auto" w:fill="auto"/>
            <w:vAlign w:val="center"/>
          </w:tcPr>
          <w:p w14:paraId="7130339B" w14:textId="77777777" w:rsidR="002535DF" w:rsidRPr="00B75A2A" w:rsidRDefault="002535DF" w:rsidP="00B75A2A">
            <w:pPr>
              <w:tabs>
                <w:tab w:val="left" w:pos="1220"/>
                <w:tab w:val="left" w:pos="1752"/>
              </w:tabs>
              <w:snapToGrid w:val="0"/>
              <w:spacing w:line="480" w:lineRule="auto"/>
            </w:pPr>
            <w:r w:rsidRPr="00B75A2A">
              <w:t>HLA-DQB2</w:t>
            </w:r>
          </w:p>
        </w:tc>
        <w:tc>
          <w:tcPr>
            <w:tcW w:w="2969" w:type="pct"/>
            <w:shd w:val="clear" w:color="auto" w:fill="auto"/>
            <w:vAlign w:val="center"/>
          </w:tcPr>
          <w:p w14:paraId="6138C747" w14:textId="77777777" w:rsidR="002535DF" w:rsidRPr="00B75A2A" w:rsidRDefault="002535DF" w:rsidP="00B75A2A">
            <w:pPr>
              <w:tabs>
                <w:tab w:val="left" w:pos="1220"/>
                <w:tab w:val="left" w:pos="1752"/>
              </w:tabs>
              <w:snapToGrid w:val="0"/>
              <w:spacing w:line="480" w:lineRule="auto"/>
            </w:pPr>
            <w:r w:rsidRPr="00B75A2A">
              <w:t>major histocompatibility complex, class II, DQ beta 2</w:t>
            </w:r>
          </w:p>
        </w:tc>
        <w:tc>
          <w:tcPr>
            <w:tcW w:w="578" w:type="pct"/>
            <w:shd w:val="clear" w:color="auto" w:fill="auto"/>
            <w:vAlign w:val="center"/>
          </w:tcPr>
          <w:p w14:paraId="5A41E64D" w14:textId="77777777" w:rsidR="002535DF" w:rsidRPr="00B75A2A" w:rsidRDefault="002535DF" w:rsidP="00B75A2A">
            <w:pPr>
              <w:tabs>
                <w:tab w:val="left" w:pos="1220"/>
                <w:tab w:val="left" w:pos="1752"/>
              </w:tabs>
              <w:snapToGrid w:val="0"/>
              <w:spacing w:line="480" w:lineRule="auto"/>
            </w:pPr>
            <w:r w:rsidRPr="00B75A2A">
              <w:t>4.48</w:t>
            </w:r>
          </w:p>
        </w:tc>
        <w:tc>
          <w:tcPr>
            <w:tcW w:w="554" w:type="pct"/>
            <w:shd w:val="clear" w:color="auto" w:fill="auto"/>
            <w:vAlign w:val="center"/>
          </w:tcPr>
          <w:p w14:paraId="2D2D0D50" w14:textId="77777777" w:rsidR="002535DF" w:rsidRPr="00B75A2A" w:rsidRDefault="002535DF" w:rsidP="00B75A2A">
            <w:pPr>
              <w:tabs>
                <w:tab w:val="left" w:pos="1220"/>
                <w:tab w:val="left" w:pos="1752"/>
              </w:tabs>
              <w:snapToGrid w:val="0"/>
              <w:spacing w:line="480" w:lineRule="auto"/>
              <w:rPr>
                <w:color w:val="000000"/>
              </w:rPr>
            </w:pPr>
            <w:r w:rsidRPr="00B75A2A">
              <w:t>-0.79</w:t>
            </w:r>
          </w:p>
        </w:tc>
      </w:tr>
      <w:tr w:rsidR="002535DF" w:rsidRPr="00B75A2A" w14:paraId="6D7F1E3E" w14:textId="77777777" w:rsidTr="00061B4F">
        <w:trPr>
          <w:trHeight w:val="20"/>
        </w:trPr>
        <w:tc>
          <w:tcPr>
            <w:tcW w:w="899" w:type="pct"/>
            <w:shd w:val="clear" w:color="auto" w:fill="auto"/>
            <w:vAlign w:val="center"/>
          </w:tcPr>
          <w:p w14:paraId="0DC6C710" w14:textId="77777777" w:rsidR="002535DF" w:rsidRPr="00B75A2A" w:rsidRDefault="002535DF" w:rsidP="00B75A2A">
            <w:pPr>
              <w:tabs>
                <w:tab w:val="left" w:pos="1220"/>
                <w:tab w:val="left" w:pos="1752"/>
              </w:tabs>
              <w:snapToGrid w:val="0"/>
              <w:spacing w:line="480" w:lineRule="auto"/>
            </w:pPr>
            <w:r w:rsidRPr="00B75A2A">
              <w:t>IDO1</w:t>
            </w:r>
          </w:p>
        </w:tc>
        <w:tc>
          <w:tcPr>
            <w:tcW w:w="2969" w:type="pct"/>
            <w:shd w:val="clear" w:color="auto" w:fill="auto"/>
            <w:vAlign w:val="center"/>
          </w:tcPr>
          <w:p w14:paraId="1DCF6F15" w14:textId="77777777" w:rsidR="002535DF" w:rsidRPr="00B75A2A" w:rsidRDefault="002535DF" w:rsidP="00B75A2A">
            <w:pPr>
              <w:tabs>
                <w:tab w:val="left" w:pos="1220"/>
                <w:tab w:val="left" w:pos="1752"/>
              </w:tabs>
              <w:snapToGrid w:val="0"/>
              <w:spacing w:line="480" w:lineRule="auto"/>
            </w:pPr>
            <w:r w:rsidRPr="00B75A2A">
              <w:t>indoleamine 2,3-dioxygenase 1</w:t>
            </w:r>
          </w:p>
        </w:tc>
        <w:tc>
          <w:tcPr>
            <w:tcW w:w="578" w:type="pct"/>
            <w:shd w:val="clear" w:color="auto" w:fill="auto"/>
            <w:vAlign w:val="center"/>
          </w:tcPr>
          <w:p w14:paraId="39E529EF" w14:textId="77777777" w:rsidR="002535DF" w:rsidRPr="00B75A2A" w:rsidRDefault="002535DF" w:rsidP="00B75A2A">
            <w:pPr>
              <w:tabs>
                <w:tab w:val="left" w:pos="1220"/>
                <w:tab w:val="left" w:pos="1752"/>
              </w:tabs>
              <w:snapToGrid w:val="0"/>
              <w:spacing w:line="480" w:lineRule="auto"/>
            </w:pPr>
            <w:r w:rsidRPr="00B75A2A">
              <w:t>5.77</w:t>
            </w:r>
          </w:p>
        </w:tc>
        <w:tc>
          <w:tcPr>
            <w:tcW w:w="554" w:type="pct"/>
            <w:shd w:val="clear" w:color="auto" w:fill="auto"/>
            <w:vAlign w:val="center"/>
          </w:tcPr>
          <w:p w14:paraId="27867D3C" w14:textId="77777777" w:rsidR="002535DF" w:rsidRPr="00B75A2A" w:rsidRDefault="002535DF" w:rsidP="00B75A2A">
            <w:pPr>
              <w:tabs>
                <w:tab w:val="left" w:pos="1220"/>
                <w:tab w:val="left" w:pos="1752"/>
              </w:tabs>
              <w:snapToGrid w:val="0"/>
              <w:spacing w:line="480" w:lineRule="auto"/>
              <w:rPr>
                <w:color w:val="000000"/>
              </w:rPr>
            </w:pPr>
            <w:r w:rsidRPr="00B75A2A">
              <w:t>-1.89</w:t>
            </w:r>
          </w:p>
        </w:tc>
      </w:tr>
      <w:tr w:rsidR="002535DF" w:rsidRPr="00B75A2A" w14:paraId="356499CC" w14:textId="77777777" w:rsidTr="00061B4F">
        <w:trPr>
          <w:cnfStyle w:val="000000010000" w:firstRow="0" w:lastRow="0" w:firstColumn="0" w:lastColumn="0" w:oddVBand="0" w:evenVBand="0" w:oddHBand="0" w:evenHBand="1" w:firstRowFirstColumn="0" w:firstRowLastColumn="0" w:lastRowFirstColumn="0" w:lastRowLastColumn="0"/>
          <w:trHeight w:val="20"/>
        </w:trPr>
        <w:tc>
          <w:tcPr>
            <w:tcW w:w="899" w:type="pct"/>
            <w:shd w:val="clear" w:color="auto" w:fill="auto"/>
            <w:vAlign w:val="center"/>
          </w:tcPr>
          <w:p w14:paraId="40B81A3F" w14:textId="77777777" w:rsidR="002535DF" w:rsidRPr="00B75A2A" w:rsidRDefault="002535DF" w:rsidP="00B75A2A">
            <w:pPr>
              <w:tabs>
                <w:tab w:val="left" w:pos="1220"/>
                <w:tab w:val="left" w:pos="1752"/>
              </w:tabs>
              <w:snapToGrid w:val="0"/>
              <w:spacing w:line="480" w:lineRule="auto"/>
            </w:pPr>
            <w:r w:rsidRPr="00B75A2A">
              <w:t>NR1D1</w:t>
            </w:r>
          </w:p>
        </w:tc>
        <w:tc>
          <w:tcPr>
            <w:tcW w:w="2969" w:type="pct"/>
            <w:shd w:val="clear" w:color="auto" w:fill="auto"/>
            <w:vAlign w:val="center"/>
          </w:tcPr>
          <w:p w14:paraId="71D3C81D" w14:textId="77777777" w:rsidR="002535DF" w:rsidRPr="00B75A2A" w:rsidRDefault="002535DF" w:rsidP="00B75A2A">
            <w:pPr>
              <w:tabs>
                <w:tab w:val="left" w:pos="1220"/>
                <w:tab w:val="left" w:pos="1752"/>
              </w:tabs>
              <w:snapToGrid w:val="0"/>
              <w:spacing w:line="480" w:lineRule="auto"/>
            </w:pPr>
            <w:r w:rsidRPr="00B75A2A">
              <w:t>nuclear receptor subfamily 1 group D member 1</w:t>
            </w:r>
          </w:p>
        </w:tc>
        <w:tc>
          <w:tcPr>
            <w:tcW w:w="578" w:type="pct"/>
            <w:shd w:val="clear" w:color="auto" w:fill="auto"/>
            <w:vAlign w:val="center"/>
          </w:tcPr>
          <w:p w14:paraId="64B0E995" w14:textId="77777777" w:rsidR="002535DF" w:rsidRPr="00B75A2A" w:rsidRDefault="002535DF" w:rsidP="00B75A2A">
            <w:pPr>
              <w:tabs>
                <w:tab w:val="left" w:pos="1220"/>
                <w:tab w:val="left" w:pos="1752"/>
              </w:tabs>
              <w:snapToGrid w:val="0"/>
              <w:spacing w:line="480" w:lineRule="auto"/>
            </w:pPr>
            <w:r w:rsidRPr="00B75A2A">
              <w:t>5.60</w:t>
            </w:r>
          </w:p>
        </w:tc>
        <w:tc>
          <w:tcPr>
            <w:tcW w:w="554" w:type="pct"/>
            <w:shd w:val="clear" w:color="auto" w:fill="auto"/>
            <w:vAlign w:val="center"/>
          </w:tcPr>
          <w:p w14:paraId="71FDEC71" w14:textId="77777777" w:rsidR="002535DF" w:rsidRPr="00B75A2A" w:rsidRDefault="002535DF" w:rsidP="00B75A2A">
            <w:pPr>
              <w:tabs>
                <w:tab w:val="left" w:pos="1220"/>
                <w:tab w:val="left" w:pos="1752"/>
              </w:tabs>
              <w:snapToGrid w:val="0"/>
              <w:spacing w:line="480" w:lineRule="auto"/>
              <w:rPr>
                <w:color w:val="000000"/>
              </w:rPr>
            </w:pPr>
            <w:r w:rsidRPr="00B75A2A">
              <w:t>-2.01</w:t>
            </w:r>
          </w:p>
        </w:tc>
      </w:tr>
      <w:tr w:rsidR="002535DF" w:rsidRPr="00B75A2A" w14:paraId="253BD980" w14:textId="77777777" w:rsidTr="00061B4F">
        <w:trPr>
          <w:trHeight w:val="20"/>
        </w:trPr>
        <w:tc>
          <w:tcPr>
            <w:tcW w:w="899" w:type="pct"/>
            <w:shd w:val="clear" w:color="auto" w:fill="auto"/>
            <w:vAlign w:val="center"/>
          </w:tcPr>
          <w:p w14:paraId="6F6CEC91" w14:textId="77777777" w:rsidR="002535DF" w:rsidRPr="00B75A2A" w:rsidRDefault="002535DF" w:rsidP="00B75A2A">
            <w:pPr>
              <w:tabs>
                <w:tab w:val="left" w:pos="1220"/>
                <w:tab w:val="left" w:pos="1752"/>
              </w:tabs>
              <w:snapToGrid w:val="0"/>
              <w:spacing w:line="480" w:lineRule="auto"/>
            </w:pPr>
            <w:r w:rsidRPr="00B75A2A">
              <w:t>PSMB10</w:t>
            </w:r>
          </w:p>
        </w:tc>
        <w:tc>
          <w:tcPr>
            <w:tcW w:w="2969" w:type="pct"/>
            <w:shd w:val="clear" w:color="auto" w:fill="auto"/>
            <w:vAlign w:val="center"/>
          </w:tcPr>
          <w:p w14:paraId="40BC5F20" w14:textId="77777777" w:rsidR="002535DF" w:rsidRPr="00B75A2A" w:rsidRDefault="002535DF" w:rsidP="00B75A2A">
            <w:pPr>
              <w:tabs>
                <w:tab w:val="left" w:pos="1220"/>
                <w:tab w:val="left" w:pos="1752"/>
              </w:tabs>
              <w:snapToGrid w:val="0"/>
              <w:spacing w:line="480" w:lineRule="auto"/>
            </w:pPr>
            <w:r w:rsidRPr="00B75A2A">
              <w:t>proteasome 20S subunit beta 10</w:t>
            </w:r>
          </w:p>
        </w:tc>
        <w:tc>
          <w:tcPr>
            <w:tcW w:w="578" w:type="pct"/>
            <w:shd w:val="clear" w:color="auto" w:fill="auto"/>
            <w:vAlign w:val="center"/>
          </w:tcPr>
          <w:p w14:paraId="159A308F" w14:textId="77777777" w:rsidR="002535DF" w:rsidRPr="00B75A2A" w:rsidRDefault="002535DF" w:rsidP="00B75A2A">
            <w:pPr>
              <w:tabs>
                <w:tab w:val="left" w:pos="1220"/>
                <w:tab w:val="left" w:pos="1752"/>
              </w:tabs>
              <w:snapToGrid w:val="0"/>
              <w:spacing w:line="480" w:lineRule="auto"/>
            </w:pPr>
            <w:r w:rsidRPr="00B75A2A">
              <w:t>5.18</w:t>
            </w:r>
          </w:p>
        </w:tc>
        <w:tc>
          <w:tcPr>
            <w:tcW w:w="554" w:type="pct"/>
            <w:shd w:val="clear" w:color="auto" w:fill="auto"/>
            <w:vAlign w:val="center"/>
          </w:tcPr>
          <w:p w14:paraId="5745A0EF" w14:textId="77777777" w:rsidR="002535DF" w:rsidRPr="00B75A2A" w:rsidRDefault="002535DF" w:rsidP="00B75A2A">
            <w:pPr>
              <w:tabs>
                <w:tab w:val="left" w:pos="1220"/>
                <w:tab w:val="left" w:pos="1752"/>
              </w:tabs>
              <w:snapToGrid w:val="0"/>
              <w:spacing w:line="480" w:lineRule="auto"/>
              <w:rPr>
                <w:color w:val="000000"/>
              </w:rPr>
            </w:pPr>
            <w:r w:rsidRPr="00B75A2A">
              <w:t>-0.97</w:t>
            </w:r>
          </w:p>
        </w:tc>
      </w:tr>
      <w:tr w:rsidR="002535DF" w:rsidRPr="00B75A2A" w14:paraId="272F2BDD" w14:textId="77777777" w:rsidTr="00061B4F">
        <w:trPr>
          <w:cnfStyle w:val="000000010000" w:firstRow="0" w:lastRow="0" w:firstColumn="0" w:lastColumn="0" w:oddVBand="0" w:evenVBand="0" w:oddHBand="0" w:evenHBand="1" w:firstRowFirstColumn="0" w:firstRowLastColumn="0" w:lastRowFirstColumn="0" w:lastRowLastColumn="0"/>
          <w:trHeight w:val="20"/>
        </w:trPr>
        <w:tc>
          <w:tcPr>
            <w:tcW w:w="899" w:type="pct"/>
            <w:shd w:val="clear" w:color="auto" w:fill="auto"/>
            <w:vAlign w:val="center"/>
          </w:tcPr>
          <w:p w14:paraId="0413D3D4" w14:textId="77777777" w:rsidR="002535DF" w:rsidRPr="00B75A2A" w:rsidRDefault="002535DF" w:rsidP="00B75A2A">
            <w:pPr>
              <w:tabs>
                <w:tab w:val="left" w:pos="1220"/>
                <w:tab w:val="left" w:pos="1752"/>
              </w:tabs>
              <w:snapToGrid w:val="0"/>
              <w:spacing w:line="480" w:lineRule="auto"/>
            </w:pPr>
            <w:r w:rsidRPr="00B75A2A">
              <w:lastRenderedPageBreak/>
              <w:t>RORC</w:t>
            </w:r>
          </w:p>
        </w:tc>
        <w:tc>
          <w:tcPr>
            <w:tcW w:w="2969" w:type="pct"/>
            <w:shd w:val="clear" w:color="auto" w:fill="auto"/>
            <w:vAlign w:val="center"/>
          </w:tcPr>
          <w:p w14:paraId="07B214B5" w14:textId="77777777" w:rsidR="002535DF" w:rsidRPr="00B75A2A" w:rsidRDefault="002535DF" w:rsidP="00B75A2A">
            <w:pPr>
              <w:tabs>
                <w:tab w:val="left" w:pos="1220"/>
                <w:tab w:val="left" w:pos="1752"/>
              </w:tabs>
              <w:snapToGrid w:val="0"/>
              <w:spacing w:line="480" w:lineRule="auto"/>
            </w:pPr>
            <w:r w:rsidRPr="00B75A2A">
              <w:t>RAR related orphan receptor C</w:t>
            </w:r>
          </w:p>
        </w:tc>
        <w:tc>
          <w:tcPr>
            <w:tcW w:w="578" w:type="pct"/>
            <w:shd w:val="clear" w:color="auto" w:fill="auto"/>
            <w:vAlign w:val="center"/>
          </w:tcPr>
          <w:p w14:paraId="55D10911" w14:textId="77777777" w:rsidR="002535DF" w:rsidRPr="00B75A2A" w:rsidRDefault="002535DF" w:rsidP="00B75A2A">
            <w:pPr>
              <w:tabs>
                <w:tab w:val="left" w:pos="1220"/>
                <w:tab w:val="left" w:pos="1752"/>
              </w:tabs>
              <w:snapToGrid w:val="0"/>
              <w:spacing w:line="480" w:lineRule="auto"/>
            </w:pPr>
            <w:r w:rsidRPr="00B75A2A">
              <w:t>4.28</w:t>
            </w:r>
          </w:p>
        </w:tc>
        <w:tc>
          <w:tcPr>
            <w:tcW w:w="554" w:type="pct"/>
            <w:shd w:val="clear" w:color="auto" w:fill="auto"/>
            <w:vAlign w:val="center"/>
          </w:tcPr>
          <w:p w14:paraId="4F55BC8C" w14:textId="77777777" w:rsidR="002535DF" w:rsidRPr="00B75A2A" w:rsidRDefault="002535DF" w:rsidP="00B75A2A">
            <w:pPr>
              <w:tabs>
                <w:tab w:val="left" w:pos="1220"/>
                <w:tab w:val="left" w:pos="1752"/>
              </w:tabs>
              <w:snapToGrid w:val="0"/>
              <w:spacing w:line="480" w:lineRule="auto"/>
              <w:rPr>
                <w:color w:val="000000"/>
              </w:rPr>
            </w:pPr>
            <w:r w:rsidRPr="00B75A2A">
              <w:t>1.03</w:t>
            </w:r>
          </w:p>
        </w:tc>
      </w:tr>
      <w:tr w:rsidR="002535DF" w:rsidRPr="00B75A2A" w14:paraId="10327FA7" w14:textId="77777777" w:rsidTr="00061B4F">
        <w:trPr>
          <w:trHeight w:val="20"/>
        </w:trPr>
        <w:tc>
          <w:tcPr>
            <w:tcW w:w="899" w:type="pct"/>
            <w:shd w:val="clear" w:color="auto" w:fill="auto"/>
            <w:vAlign w:val="center"/>
          </w:tcPr>
          <w:p w14:paraId="57B2916E" w14:textId="77777777" w:rsidR="002535DF" w:rsidRPr="00B75A2A" w:rsidRDefault="002535DF" w:rsidP="00B75A2A">
            <w:pPr>
              <w:tabs>
                <w:tab w:val="left" w:pos="1220"/>
                <w:tab w:val="left" w:pos="1752"/>
              </w:tabs>
              <w:snapToGrid w:val="0"/>
              <w:spacing w:line="480" w:lineRule="auto"/>
            </w:pPr>
            <w:r w:rsidRPr="00B75A2A">
              <w:t>XCL1</w:t>
            </w:r>
          </w:p>
        </w:tc>
        <w:tc>
          <w:tcPr>
            <w:tcW w:w="2969" w:type="pct"/>
            <w:shd w:val="clear" w:color="auto" w:fill="auto"/>
            <w:vAlign w:val="center"/>
          </w:tcPr>
          <w:p w14:paraId="7882021F" w14:textId="77777777" w:rsidR="002535DF" w:rsidRPr="00B75A2A" w:rsidRDefault="002535DF" w:rsidP="00B75A2A">
            <w:pPr>
              <w:tabs>
                <w:tab w:val="left" w:pos="1220"/>
                <w:tab w:val="left" w:pos="1752"/>
              </w:tabs>
              <w:snapToGrid w:val="0"/>
              <w:spacing w:line="480" w:lineRule="auto"/>
            </w:pPr>
            <w:r w:rsidRPr="00B75A2A">
              <w:t>X-C motif chemokine ligand 1</w:t>
            </w:r>
          </w:p>
        </w:tc>
        <w:tc>
          <w:tcPr>
            <w:tcW w:w="578" w:type="pct"/>
            <w:shd w:val="clear" w:color="auto" w:fill="auto"/>
            <w:vAlign w:val="center"/>
          </w:tcPr>
          <w:p w14:paraId="2E98654F" w14:textId="77777777" w:rsidR="002535DF" w:rsidRPr="00B75A2A" w:rsidRDefault="002535DF" w:rsidP="00B75A2A">
            <w:pPr>
              <w:tabs>
                <w:tab w:val="left" w:pos="1220"/>
                <w:tab w:val="left" w:pos="1752"/>
              </w:tabs>
              <w:snapToGrid w:val="0"/>
              <w:spacing w:line="480" w:lineRule="auto"/>
            </w:pPr>
            <w:r w:rsidRPr="00B75A2A">
              <w:t>4.03</w:t>
            </w:r>
          </w:p>
        </w:tc>
        <w:tc>
          <w:tcPr>
            <w:tcW w:w="554" w:type="pct"/>
            <w:shd w:val="clear" w:color="auto" w:fill="auto"/>
            <w:vAlign w:val="center"/>
          </w:tcPr>
          <w:p w14:paraId="27735FE4" w14:textId="77777777" w:rsidR="002535DF" w:rsidRPr="00B75A2A" w:rsidRDefault="002535DF" w:rsidP="00B75A2A">
            <w:pPr>
              <w:tabs>
                <w:tab w:val="left" w:pos="1220"/>
                <w:tab w:val="left" w:pos="1752"/>
              </w:tabs>
              <w:snapToGrid w:val="0"/>
              <w:spacing w:line="480" w:lineRule="auto"/>
              <w:rPr>
                <w:color w:val="000000"/>
              </w:rPr>
            </w:pPr>
            <w:r w:rsidRPr="00B75A2A">
              <w:t>-0.74</w:t>
            </w:r>
          </w:p>
        </w:tc>
      </w:tr>
      <w:tr w:rsidR="002535DF" w:rsidRPr="00B75A2A" w14:paraId="32CDFF1B" w14:textId="77777777" w:rsidTr="00061B4F">
        <w:trPr>
          <w:cnfStyle w:val="000000010000" w:firstRow="0" w:lastRow="0" w:firstColumn="0" w:lastColumn="0" w:oddVBand="0" w:evenVBand="0" w:oddHBand="0" w:evenHBand="1" w:firstRowFirstColumn="0" w:firstRowLastColumn="0" w:lastRowFirstColumn="0" w:lastRowLastColumn="0"/>
          <w:trHeight w:val="20"/>
        </w:trPr>
        <w:tc>
          <w:tcPr>
            <w:tcW w:w="899" w:type="pct"/>
            <w:shd w:val="clear" w:color="auto" w:fill="auto"/>
            <w:vAlign w:val="center"/>
          </w:tcPr>
          <w:p w14:paraId="7C57EAA1" w14:textId="77777777" w:rsidR="002535DF" w:rsidRPr="00B75A2A" w:rsidRDefault="002535DF" w:rsidP="00B75A2A">
            <w:pPr>
              <w:tabs>
                <w:tab w:val="left" w:pos="1220"/>
                <w:tab w:val="left" w:pos="1752"/>
              </w:tabs>
              <w:snapToGrid w:val="0"/>
              <w:spacing w:line="480" w:lineRule="auto"/>
            </w:pPr>
          </w:p>
        </w:tc>
        <w:tc>
          <w:tcPr>
            <w:tcW w:w="2969" w:type="pct"/>
            <w:shd w:val="clear" w:color="auto" w:fill="auto"/>
            <w:vAlign w:val="center"/>
          </w:tcPr>
          <w:p w14:paraId="53D10ED5" w14:textId="77777777" w:rsidR="002535DF" w:rsidRPr="00B75A2A" w:rsidRDefault="002535DF" w:rsidP="00B75A2A">
            <w:pPr>
              <w:tabs>
                <w:tab w:val="left" w:pos="1220"/>
                <w:tab w:val="left" w:pos="1752"/>
              </w:tabs>
              <w:snapToGrid w:val="0"/>
              <w:spacing w:line="480" w:lineRule="auto"/>
            </w:pPr>
          </w:p>
        </w:tc>
        <w:tc>
          <w:tcPr>
            <w:tcW w:w="578" w:type="pct"/>
            <w:shd w:val="clear" w:color="auto" w:fill="auto"/>
            <w:vAlign w:val="center"/>
          </w:tcPr>
          <w:p w14:paraId="1632F466" w14:textId="77777777" w:rsidR="002535DF" w:rsidRPr="00B75A2A" w:rsidRDefault="002535DF" w:rsidP="00B75A2A">
            <w:pPr>
              <w:tabs>
                <w:tab w:val="left" w:pos="1220"/>
                <w:tab w:val="left" w:pos="1752"/>
              </w:tabs>
              <w:snapToGrid w:val="0"/>
              <w:spacing w:line="480" w:lineRule="auto"/>
            </w:pPr>
          </w:p>
        </w:tc>
        <w:tc>
          <w:tcPr>
            <w:tcW w:w="554" w:type="pct"/>
            <w:shd w:val="clear" w:color="auto" w:fill="auto"/>
            <w:vAlign w:val="center"/>
          </w:tcPr>
          <w:p w14:paraId="3BD69990" w14:textId="77777777" w:rsidR="002535DF" w:rsidRPr="00B75A2A" w:rsidRDefault="002535DF" w:rsidP="00B75A2A">
            <w:pPr>
              <w:tabs>
                <w:tab w:val="left" w:pos="1220"/>
                <w:tab w:val="left" w:pos="1752"/>
              </w:tabs>
              <w:snapToGrid w:val="0"/>
              <w:spacing w:line="480" w:lineRule="auto"/>
            </w:pPr>
          </w:p>
        </w:tc>
      </w:tr>
      <w:tr w:rsidR="002535DF" w:rsidRPr="00B75A2A" w14:paraId="76556729" w14:textId="77777777" w:rsidTr="00061B4F">
        <w:trPr>
          <w:trHeight w:val="20"/>
        </w:trPr>
        <w:tc>
          <w:tcPr>
            <w:tcW w:w="899" w:type="pct"/>
            <w:shd w:val="clear" w:color="auto" w:fill="auto"/>
            <w:vAlign w:val="center"/>
          </w:tcPr>
          <w:p w14:paraId="23C087D3" w14:textId="77777777" w:rsidR="002535DF" w:rsidRPr="00B75A2A" w:rsidRDefault="002535DF" w:rsidP="00B75A2A">
            <w:pPr>
              <w:tabs>
                <w:tab w:val="left" w:pos="1220"/>
                <w:tab w:val="left" w:pos="1752"/>
              </w:tabs>
              <w:snapToGrid w:val="0"/>
              <w:spacing w:line="480" w:lineRule="auto"/>
              <w:rPr>
                <w:i/>
                <w:iCs/>
              </w:rPr>
            </w:pPr>
            <w:r w:rsidRPr="00B75A2A">
              <w:rPr>
                <w:i/>
                <w:iCs/>
              </w:rPr>
              <w:t>Low interacting</w:t>
            </w:r>
          </w:p>
        </w:tc>
        <w:tc>
          <w:tcPr>
            <w:tcW w:w="2969" w:type="pct"/>
            <w:shd w:val="clear" w:color="auto" w:fill="auto"/>
            <w:vAlign w:val="center"/>
          </w:tcPr>
          <w:p w14:paraId="2C277B67" w14:textId="77777777" w:rsidR="002535DF" w:rsidRPr="00B75A2A" w:rsidRDefault="002535DF" w:rsidP="00B75A2A">
            <w:pPr>
              <w:tabs>
                <w:tab w:val="left" w:pos="1220"/>
                <w:tab w:val="left" w:pos="1752"/>
              </w:tabs>
              <w:snapToGrid w:val="0"/>
              <w:spacing w:line="480" w:lineRule="auto"/>
            </w:pPr>
          </w:p>
        </w:tc>
        <w:tc>
          <w:tcPr>
            <w:tcW w:w="578" w:type="pct"/>
            <w:shd w:val="clear" w:color="auto" w:fill="auto"/>
            <w:vAlign w:val="center"/>
          </w:tcPr>
          <w:p w14:paraId="01B5D86B" w14:textId="77777777" w:rsidR="002535DF" w:rsidRPr="00B75A2A" w:rsidRDefault="002535DF" w:rsidP="00B75A2A">
            <w:pPr>
              <w:tabs>
                <w:tab w:val="left" w:pos="1220"/>
                <w:tab w:val="left" w:pos="1752"/>
              </w:tabs>
              <w:snapToGrid w:val="0"/>
              <w:spacing w:line="480" w:lineRule="auto"/>
            </w:pPr>
          </w:p>
        </w:tc>
        <w:tc>
          <w:tcPr>
            <w:tcW w:w="554" w:type="pct"/>
            <w:shd w:val="clear" w:color="auto" w:fill="auto"/>
            <w:vAlign w:val="center"/>
          </w:tcPr>
          <w:p w14:paraId="383C249D" w14:textId="77777777" w:rsidR="002535DF" w:rsidRPr="00B75A2A" w:rsidRDefault="002535DF" w:rsidP="00B75A2A">
            <w:pPr>
              <w:tabs>
                <w:tab w:val="left" w:pos="1220"/>
                <w:tab w:val="left" w:pos="1752"/>
              </w:tabs>
              <w:snapToGrid w:val="0"/>
              <w:spacing w:line="480" w:lineRule="auto"/>
            </w:pPr>
          </w:p>
        </w:tc>
      </w:tr>
      <w:tr w:rsidR="002535DF" w:rsidRPr="00B75A2A" w14:paraId="34EEBB30" w14:textId="77777777" w:rsidTr="00061B4F">
        <w:trPr>
          <w:cnfStyle w:val="000000010000" w:firstRow="0" w:lastRow="0" w:firstColumn="0" w:lastColumn="0" w:oddVBand="0" w:evenVBand="0" w:oddHBand="0" w:evenHBand="1" w:firstRowFirstColumn="0" w:firstRowLastColumn="0" w:lastRowFirstColumn="0" w:lastRowLastColumn="0"/>
          <w:trHeight w:val="20"/>
        </w:trPr>
        <w:tc>
          <w:tcPr>
            <w:tcW w:w="899" w:type="pct"/>
            <w:shd w:val="clear" w:color="auto" w:fill="auto"/>
            <w:vAlign w:val="center"/>
          </w:tcPr>
          <w:p w14:paraId="456395B7" w14:textId="77777777" w:rsidR="002535DF" w:rsidRPr="00B75A2A" w:rsidRDefault="002535DF" w:rsidP="00B75A2A">
            <w:pPr>
              <w:tabs>
                <w:tab w:val="left" w:pos="1220"/>
                <w:tab w:val="left" w:pos="1752"/>
              </w:tabs>
              <w:snapToGrid w:val="0"/>
              <w:spacing w:line="480" w:lineRule="auto"/>
            </w:pPr>
            <w:r w:rsidRPr="00B75A2A">
              <w:t>TCIRG1</w:t>
            </w:r>
          </w:p>
        </w:tc>
        <w:tc>
          <w:tcPr>
            <w:tcW w:w="2969" w:type="pct"/>
            <w:shd w:val="clear" w:color="auto" w:fill="auto"/>
            <w:vAlign w:val="center"/>
          </w:tcPr>
          <w:p w14:paraId="18737735" w14:textId="77777777" w:rsidR="002535DF" w:rsidRPr="00B75A2A" w:rsidRDefault="002535DF" w:rsidP="00B75A2A">
            <w:pPr>
              <w:tabs>
                <w:tab w:val="left" w:pos="1220"/>
                <w:tab w:val="left" w:pos="1752"/>
              </w:tabs>
              <w:snapToGrid w:val="0"/>
              <w:spacing w:line="480" w:lineRule="auto"/>
            </w:pPr>
            <w:r w:rsidRPr="00B75A2A">
              <w:t>T cell immune regulator 1, ATPase H+ transporting V0 subunit a3</w:t>
            </w:r>
          </w:p>
        </w:tc>
        <w:tc>
          <w:tcPr>
            <w:tcW w:w="578" w:type="pct"/>
            <w:shd w:val="clear" w:color="auto" w:fill="auto"/>
            <w:vAlign w:val="center"/>
          </w:tcPr>
          <w:p w14:paraId="20B0EB0C" w14:textId="77777777" w:rsidR="002535DF" w:rsidRPr="00B75A2A" w:rsidRDefault="002535DF" w:rsidP="00B75A2A">
            <w:pPr>
              <w:tabs>
                <w:tab w:val="left" w:pos="1220"/>
                <w:tab w:val="left" w:pos="1752"/>
              </w:tabs>
              <w:snapToGrid w:val="0"/>
              <w:spacing w:line="480" w:lineRule="auto"/>
            </w:pPr>
            <w:r w:rsidRPr="00B75A2A">
              <w:t>4.00</w:t>
            </w:r>
          </w:p>
        </w:tc>
        <w:tc>
          <w:tcPr>
            <w:tcW w:w="554" w:type="pct"/>
            <w:shd w:val="clear" w:color="auto" w:fill="auto"/>
            <w:vAlign w:val="center"/>
          </w:tcPr>
          <w:p w14:paraId="3E35E714" w14:textId="77777777" w:rsidR="002535DF" w:rsidRPr="00B75A2A" w:rsidRDefault="002535DF" w:rsidP="00B75A2A">
            <w:pPr>
              <w:tabs>
                <w:tab w:val="left" w:pos="1220"/>
                <w:tab w:val="left" w:pos="1752"/>
              </w:tabs>
              <w:snapToGrid w:val="0"/>
              <w:spacing w:line="480" w:lineRule="auto"/>
            </w:pPr>
            <w:r w:rsidRPr="00B75A2A">
              <w:t>-0.48</w:t>
            </w:r>
          </w:p>
        </w:tc>
      </w:tr>
      <w:tr w:rsidR="002535DF" w:rsidRPr="00B75A2A" w14:paraId="343C3C23" w14:textId="77777777" w:rsidTr="00061B4F">
        <w:trPr>
          <w:trHeight w:val="20"/>
        </w:trPr>
        <w:tc>
          <w:tcPr>
            <w:tcW w:w="899" w:type="pct"/>
            <w:shd w:val="clear" w:color="auto" w:fill="auto"/>
            <w:vAlign w:val="center"/>
          </w:tcPr>
          <w:p w14:paraId="459000DF" w14:textId="77777777" w:rsidR="002535DF" w:rsidRPr="00B75A2A" w:rsidRDefault="002535DF" w:rsidP="00B75A2A">
            <w:pPr>
              <w:tabs>
                <w:tab w:val="left" w:pos="1220"/>
                <w:tab w:val="left" w:pos="1752"/>
              </w:tabs>
              <w:snapToGrid w:val="0"/>
              <w:spacing w:line="480" w:lineRule="auto"/>
            </w:pPr>
          </w:p>
        </w:tc>
        <w:tc>
          <w:tcPr>
            <w:tcW w:w="2969" w:type="pct"/>
            <w:shd w:val="clear" w:color="auto" w:fill="auto"/>
            <w:vAlign w:val="center"/>
          </w:tcPr>
          <w:p w14:paraId="407E3C16" w14:textId="77777777" w:rsidR="002535DF" w:rsidRPr="00B75A2A" w:rsidRDefault="002535DF" w:rsidP="00B75A2A">
            <w:pPr>
              <w:tabs>
                <w:tab w:val="left" w:pos="1220"/>
                <w:tab w:val="left" w:pos="1752"/>
              </w:tabs>
              <w:snapToGrid w:val="0"/>
              <w:spacing w:line="480" w:lineRule="auto"/>
            </w:pPr>
          </w:p>
        </w:tc>
        <w:tc>
          <w:tcPr>
            <w:tcW w:w="578" w:type="pct"/>
            <w:shd w:val="clear" w:color="auto" w:fill="auto"/>
            <w:vAlign w:val="center"/>
          </w:tcPr>
          <w:p w14:paraId="45D3E000" w14:textId="77777777" w:rsidR="002535DF" w:rsidRPr="00B75A2A" w:rsidRDefault="002535DF" w:rsidP="00B75A2A">
            <w:pPr>
              <w:tabs>
                <w:tab w:val="left" w:pos="1220"/>
                <w:tab w:val="left" w:pos="1752"/>
              </w:tabs>
              <w:snapToGrid w:val="0"/>
              <w:spacing w:line="480" w:lineRule="auto"/>
            </w:pPr>
          </w:p>
        </w:tc>
        <w:tc>
          <w:tcPr>
            <w:tcW w:w="554" w:type="pct"/>
            <w:shd w:val="clear" w:color="auto" w:fill="auto"/>
            <w:vAlign w:val="center"/>
          </w:tcPr>
          <w:p w14:paraId="6C4528D4" w14:textId="77777777" w:rsidR="002535DF" w:rsidRPr="00B75A2A" w:rsidRDefault="002535DF" w:rsidP="00B75A2A">
            <w:pPr>
              <w:tabs>
                <w:tab w:val="left" w:pos="1220"/>
                <w:tab w:val="left" w:pos="1752"/>
              </w:tabs>
              <w:snapToGrid w:val="0"/>
              <w:spacing w:line="480" w:lineRule="auto"/>
            </w:pPr>
          </w:p>
        </w:tc>
      </w:tr>
      <w:tr w:rsidR="002535DF" w:rsidRPr="00B75A2A" w14:paraId="4181D28D" w14:textId="77777777" w:rsidTr="00061B4F">
        <w:trPr>
          <w:cnfStyle w:val="000000010000" w:firstRow="0" w:lastRow="0" w:firstColumn="0" w:lastColumn="0" w:oddVBand="0" w:evenVBand="0" w:oddHBand="0" w:evenHBand="1" w:firstRowFirstColumn="0" w:firstRowLastColumn="0" w:lastRowFirstColumn="0" w:lastRowLastColumn="0"/>
          <w:trHeight w:val="20"/>
        </w:trPr>
        <w:tc>
          <w:tcPr>
            <w:tcW w:w="899" w:type="pct"/>
            <w:shd w:val="clear" w:color="auto" w:fill="auto"/>
            <w:vAlign w:val="center"/>
          </w:tcPr>
          <w:p w14:paraId="05DBCC95" w14:textId="77777777" w:rsidR="002535DF" w:rsidRPr="00B75A2A" w:rsidRDefault="002535DF" w:rsidP="00B75A2A">
            <w:pPr>
              <w:tabs>
                <w:tab w:val="left" w:pos="1220"/>
                <w:tab w:val="left" w:pos="1752"/>
              </w:tabs>
              <w:snapToGrid w:val="0"/>
              <w:spacing w:line="480" w:lineRule="auto"/>
              <w:rPr>
                <w:i/>
                <w:iCs/>
              </w:rPr>
            </w:pPr>
            <w:r w:rsidRPr="00B75A2A">
              <w:rPr>
                <w:i/>
                <w:iCs/>
              </w:rPr>
              <w:t>Non interacting</w:t>
            </w:r>
          </w:p>
        </w:tc>
        <w:tc>
          <w:tcPr>
            <w:tcW w:w="2969" w:type="pct"/>
            <w:shd w:val="clear" w:color="auto" w:fill="auto"/>
            <w:vAlign w:val="center"/>
          </w:tcPr>
          <w:p w14:paraId="5C4416A4" w14:textId="77777777" w:rsidR="002535DF" w:rsidRPr="00B75A2A" w:rsidRDefault="002535DF" w:rsidP="00B75A2A">
            <w:pPr>
              <w:tabs>
                <w:tab w:val="left" w:pos="1220"/>
                <w:tab w:val="left" w:pos="1752"/>
              </w:tabs>
              <w:snapToGrid w:val="0"/>
              <w:spacing w:line="480" w:lineRule="auto"/>
            </w:pPr>
          </w:p>
        </w:tc>
        <w:tc>
          <w:tcPr>
            <w:tcW w:w="578" w:type="pct"/>
            <w:shd w:val="clear" w:color="auto" w:fill="auto"/>
            <w:vAlign w:val="center"/>
          </w:tcPr>
          <w:p w14:paraId="3B25795B" w14:textId="77777777" w:rsidR="002535DF" w:rsidRPr="00B75A2A" w:rsidRDefault="002535DF" w:rsidP="00B75A2A">
            <w:pPr>
              <w:tabs>
                <w:tab w:val="left" w:pos="1220"/>
                <w:tab w:val="left" w:pos="1752"/>
              </w:tabs>
              <w:snapToGrid w:val="0"/>
              <w:spacing w:line="480" w:lineRule="auto"/>
            </w:pPr>
          </w:p>
        </w:tc>
        <w:tc>
          <w:tcPr>
            <w:tcW w:w="554" w:type="pct"/>
            <w:shd w:val="clear" w:color="auto" w:fill="auto"/>
            <w:vAlign w:val="center"/>
          </w:tcPr>
          <w:p w14:paraId="27AD617D" w14:textId="77777777" w:rsidR="002535DF" w:rsidRPr="00B75A2A" w:rsidRDefault="002535DF" w:rsidP="00B75A2A">
            <w:pPr>
              <w:tabs>
                <w:tab w:val="left" w:pos="1220"/>
                <w:tab w:val="left" w:pos="1752"/>
              </w:tabs>
              <w:snapToGrid w:val="0"/>
              <w:spacing w:line="480" w:lineRule="auto"/>
            </w:pPr>
          </w:p>
        </w:tc>
      </w:tr>
      <w:tr w:rsidR="002535DF" w:rsidRPr="00B75A2A" w14:paraId="220BA5E2" w14:textId="77777777" w:rsidTr="00061B4F">
        <w:trPr>
          <w:trHeight w:val="20"/>
        </w:trPr>
        <w:tc>
          <w:tcPr>
            <w:tcW w:w="899" w:type="pct"/>
            <w:shd w:val="clear" w:color="auto" w:fill="auto"/>
            <w:vAlign w:val="center"/>
          </w:tcPr>
          <w:p w14:paraId="2C773268" w14:textId="77777777" w:rsidR="002535DF" w:rsidRPr="00B75A2A" w:rsidRDefault="002535DF" w:rsidP="00B75A2A">
            <w:pPr>
              <w:tabs>
                <w:tab w:val="left" w:pos="1220"/>
                <w:tab w:val="left" w:pos="1752"/>
              </w:tabs>
              <w:snapToGrid w:val="0"/>
              <w:spacing w:line="480" w:lineRule="auto"/>
            </w:pPr>
            <w:r w:rsidRPr="00B75A2A">
              <w:t>DOCK11</w:t>
            </w:r>
          </w:p>
        </w:tc>
        <w:tc>
          <w:tcPr>
            <w:tcW w:w="2969" w:type="pct"/>
            <w:shd w:val="clear" w:color="auto" w:fill="auto"/>
            <w:vAlign w:val="center"/>
          </w:tcPr>
          <w:p w14:paraId="73D588AF" w14:textId="77777777" w:rsidR="002535DF" w:rsidRPr="00B75A2A" w:rsidRDefault="002535DF" w:rsidP="00B75A2A">
            <w:pPr>
              <w:tabs>
                <w:tab w:val="left" w:pos="1220"/>
                <w:tab w:val="left" w:pos="1752"/>
              </w:tabs>
              <w:snapToGrid w:val="0"/>
              <w:spacing w:line="480" w:lineRule="auto"/>
            </w:pPr>
            <w:r w:rsidRPr="00B75A2A">
              <w:t>dedicator of cytokinesis 11</w:t>
            </w:r>
          </w:p>
        </w:tc>
        <w:tc>
          <w:tcPr>
            <w:tcW w:w="578" w:type="pct"/>
            <w:shd w:val="clear" w:color="auto" w:fill="auto"/>
            <w:vAlign w:val="center"/>
          </w:tcPr>
          <w:p w14:paraId="61E997A9" w14:textId="77777777" w:rsidR="002535DF" w:rsidRPr="00B75A2A" w:rsidRDefault="002535DF" w:rsidP="00B75A2A">
            <w:pPr>
              <w:tabs>
                <w:tab w:val="left" w:pos="1220"/>
                <w:tab w:val="left" w:pos="1752"/>
              </w:tabs>
              <w:snapToGrid w:val="0"/>
              <w:spacing w:line="480" w:lineRule="auto"/>
            </w:pPr>
            <w:r w:rsidRPr="00B75A2A">
              <w:t>-0.82</w:t>
            </w:r>
          </w:p>
        </w:tc>
        <w:tc>
          <w:tcPr>
            <w:tcW w:w="554" w:type="pct"/>
            <w:shd w:val="clear" w:color="auto" w:fill="auto"/>
            <w:vAlign w:val="center"/>
          </w:tcPr>
          <w:p w14:paraId="596C126C" w14:textId="77777777" w:rsidR="002535DF" w:rsidRPr="00B75A2A" w:rsidRDefault="002535DF" w:rsidP="00B75A2A">
            <w:pPr>
              <w:tabs>
                <w:tab w:val="left" w:pos="1220"/>
                <w:tab w:val="left" w:pos="1752"/>
              </w:tabs>
              <w:snapToGrid w:val="0"/>
              <w:spacing w:line="480" w:lineRule="auto"/>
              <w:rPr>
                <w:color w:val="000000"/>
              </w:rPr>
            </w:pPr>
            <w:r w:rsidRPr="00B75A2A">
              <w:t>-0.82</w:t>
            </w:r>
          </w:p>
        </w:tc>
      </w:tr>
      <w:tr w:rsidR="002535DF" w:rsidRPr="00B75A2A" w14:paraId="2842AB1D" w14:textId="77777777" w:rsidTr="00061B4F">
        <w:trPr>
          <w:cnfStyle w:val="000000010000" w:firstRow="0" w:lastRow="0" w:firstColumn="0" w:lastColumn="0" w:oddVBand="0" w:evenVBand="0" w:oddHBand="0" w:evenHBand="1" w:firstRowFirstColumn="0" w:firstRowLastColumn="0" w:lastRowFirstColumn="0" w:lastRowLastColumn="0"/>
          <w:trHeight w:val="20"/>
        </w:trPr>
        <w:tc>
          <w:tcPr>
            <w:tcW w:w="899" w:type="pct"/>
            <w:shd w:val="clear" w:color="auto" w:fill="auto"/>
            <w:vAlign w:val="center"/>
          </w:tcPr>
          <w:p w14:paraId="33E7911D" w14:textId="77777777" w:rsidR="002535DF" w:rsidRPr="00B75A2A" w:rsidRDefault="002535DF" w:rsidP="00B75A2A">
            <w:pPr>
              <w:tabs>
                <w:tab w:val="left" w:pos="1220"/>
                <w:tab w:val="left" w:pos="1752"/>
              </w:tabs>
              <w:snapToGrid w:val="0"/>
              <w:spacing w:line="480" w:lineRule="auto"/>
            </w:pPr>
            <w:r w:rsidRPr="00B75A2A">
              <w:t>EMP2</w:t>
            </w:r>
          </w:p>
        </w:tc>
        <w:tc>
          <w:tcPr>
            <w:tcW w:w="2969" w:type="pct"/>
            <w:shd w:val="clear" w:color="auto" w:fill="auto"/>
            <w:vAlign w:val="center"/>
          </w:tcPr>
          <w:p w14:paraId="55B6E059" w14:textId="77777777" w:rsidR="002535DF" w:rsidRPr="00B75A2A" w:rsidRDefault="002535DF" w:rsidP="00B75A2A">
            <w:pPr>
              <w:tabs>
                <w:tab w:val="left" w:pos="1220"/>
                <w:tab w:val="left" w:pos="1752"/>
              </w:tabs>
              <w:snapToGrid w:val="0"/>
              <w:spacing w:line="480" w:lineRule="auto"/>
            </w:pPr>
            <w:r w:rsidRPr="00B75A2A">
              <w:t>epithelial membrane protein 2</w:t>
            </w:r>
          </w:p>
        </w:tc>
        <w:tc>
          <w:tcPr>
            <w:tcW w:w="578" w:type="pct"/>
            <w:shd w:val="clear" w:color="auto" w:fill="auto"/>
            <w:vAlign w:val="center"/>
          </w:tcPr>
          <w:p w14:paraId="63C995DD" w14:textId="77777777" w:rsidR="002535DF" w:rsidRPr="00B75A2A" w:rsidRDefault="002535DF" w:rsidP="00B75A2A">
            <w:pPr>
              <w:tabs>
                <w:tab w:val="left" w:pos="1220"/>
                <w:tab w:val="left" w:pos="1752"/>
              </w:tabs>
              <w:snapToGrid w:val="0"/>
              <w:spacing w:line="480" w:lineRule="auto"/>
            </w:pPr>
            <w:r w:rsidRPr="00B75A2A">
              <w:t>-1.00</w:t>
            </w:r>
          </w:p>
        </w:tc>
        <w:tc>
          <w:tcPr>
            <w:tcW w:w="554" w:type="pct"/>
            <w:shd w:val="clear" w:color="auto" w:fill="auto"/>
            <w:vAlign w:val="center"/>
          </w:tcPr>
          <w:p w14:paraId="47872FD4" w14:textId="77777777" w:rsidR="002535DF" w:rsidRPr="00B75A2A" w:rsidRDefault="002535DF" w:rsidP="00B75A2A">
            <w:pPr>
              <w:tabs>
                <w:tab w:val="left" w:pos="1220"/>
                <w:tab w:val="left" w:pos="1752"/>
              </w:tabs>
              <w:snapToGrid w:val="0"/>
              <w:spacing w:line="480" w:lineRule="auto"/>
              <w:rPr>
                <w:color w:val="000000"/>
              </w:rPr>
            </w:pPr>
            <w:r w:rsidRPr="00B75A2A">
              <w:t>-1.00</w:t>
            </w:r>
          </w:p>
        </w:tc>
      </w:tr>
      <w:tr w:rsidR="002535DF" w:rsidRPr="00B75A2A" w14:paraId="279DEB3F" w14:textId="77777777" w:rsidTr="00061B4F">
        <w:trPr>
          <w:trHeight w:val="20"/>
        </w:trPr>
        <w:tc>
          <w:tcPr>
            <w:tcW w:w="899" w:type="pct"/>
            <w:shd w:val="clear" w:color="auto" w:fill="auto"/>
            <w:vAlign w:val="center"/>
          </w:tcPr>
          <w:p w14:paraId="20AB3BDF" w14:textId="77777777" w:rsidR="002535DF" w:rsidRPr="00B75A2A" w:rsidRDefault="002535DF" w:rsidP="00B75A2A">
            <w:pPr>
              <w:tabs>
                <w:tab w:val="left" w:pos="1220"/>
                <w:tab w:val="left" w:pos="1752"/>
              </w:tabs>
              <w:snapToGrid w:val="0"/>
              <w:spacing w:line="480" w:lineRule="auto"/>
            </w:pPr>
            <w:r w:rsidRPr="00B75A2A">
              <w:t>FER</w:t>
            </w:r>
          </w:p>
        </w:tc>
        <w:tc>
          <w:tcPr>
            <w:tcW w:w="2969" w:type="pct"/>
            <w:shd w:val="clear" w:color="auto" w:fill="auto"/>
            <w:vAlign w:val="center"/>
          </w:tcPr>
          <w:p w14:paraId="6424A6A9" w14:textId="77777777" w:rsidR="002535DF" w:rsidRPr="00B75A2A" w:rsidRDefault="002535DF" w:rsidP="00B75A2A">
            <w:pPr>
              <w:tabs>
                <w:tab w:val="left" w:pos="1220"/>
                <w:tab w:val="left" w:pos="1752"/>
              </w:tabs>
              <w:snapToGrid w:val="0"/>
              <w:spacing w:line="480" w:lineRule="auto"/>
            </w:pPr>
            <w:r w:rsidRPr="00B75A2A">
              <w:t>FER tyrosine kinase</w:t>
            </w:r>
          </w:p>
        </w:tc>
        <w:tc>
          <w:tcPr>
            <w:tcW w:w="578" w:type="pct"/>
            <w:shd w:val="clear" w:color="auto" w:fill="auto"/>
            <w:vAlign w:val="center"/>
          </w:tcPr>
          <w:p w14:paraId="6D1A9AA0" w14:textId="77777777" w:rsidR="002535DF" w:rsidRPr="00B75A2A" w:rsidRDefault="002535DF" w:rsidP="00B75A2A">
            <w:pPr>
              <w:tabs>
                <w:tab w:val="left" w:pos="1220"/>
                <w:tab w:val="left" w:pos="1752"/>
              </w:tabs>
              <w:snapToGrid w:val="0"/>
              <w:spacing w:line="480" w:lineRule="auto"/>
            </w:pPr>
            <w:r w:rsidRPr="00B75A2A">
              <w:t>-0.59</w:t>
            </w:r>
          </w:p>
        </w:tc>
        <w:tc>
          <w:tcPr>
            <w:tcW w:w="554" w:type="pct"/>
            <w:shd w:val="clear" w:color="auto" w:fill="auto"/>
            <w:vAlign w:val="center"/>
          </w:tcPr>
          <w:p w14:paraId="30AAE848" w14:textId="77777777" w:rsidR="002535DF" w:rsidRPr="00B75A2A" w:rsidRDefault="002535DF" w:rsidP="00B75A2A">
            <w:pPr>
              <w:tabs>
                <w:tab w:val="left" w:pos="1220"/>
                <w:tab w:val="left" w:pos="1752"/>
              </w:tabs>
              <w:snapToGrid w:val="0"/>
              <w:spacing w:line="480" w:lineRule="auto"/>
              <w:rPr>
                <w:color w:val="000000"/>
              </w:rPr>
            </w:pPr>
            <w:r w:rsidRPr="00B75A2A">
              <w:t>-0.59</w:t>
            </w:r>
          </w:p>
        </w:tc>
      </w:tr>
      <w:tr w:rsidR="002535DF" w:rsidRPr="00B75A2A" w14:paraId="447880E8" w14:textId="77777777" w:rsidTr="00061B4F">
        <w:trPr>
          <w:cnfStyle w:val="000000010000" w:firstRow="0" w:lastRow="0" w:firstColumn="0" w:lastColumn="0" w:oddVBand="0" w:evenVBand="0" w:oddHBand="0" w:evenHBand="1" w:firstRowFirstColumn="0" w:firstRowLastColumn="0" w:lastRowFirstColumn="0" w:lastRowLastColumn="0"/>
          <w:trHeight w:val="20"/>
        </w:trPr>
        <w:tc>
          <w:tcPr>
            <w:tcW w:w="899" w:type="pct"/>
            <w:shd w:val="clear" w:color="auto" w:fill="auto"/>
            <w:vAlign w:val="center"/>
          </w:tcPr>
          <w:p w14:paraId="7056A899" w14:textId="77777777" w:rsidR="002535DF" w:rsidRPr="00B75A2A" w:rsidRDefault="002535DF" w:rsidP="00B75A2A">
            <w:pPr>
              <w:tabs>
                <w:tab w:val="left" w:pos="1220"/>
                <w:tab w:val="left" w:pos="1752"/>
              </w:tabs>
              <w:snapToGrid w:val="0"/>
              <w:spacing w:line="480" w:lineRule="auto"/>
            </w:pPr>
            <w:r w:rsidRPr="00B75A2A">
              <w:t>GRN</w:t>
            </w:r>
          </w:p>
        </w:tc>
        <w:tc>
          <w:tcPr>
            <w:tcW w:w="2969" w:type="pct"/>
            <w:shd w:val="clear" w:color="auto" w:fill="auto"/>
            <w:vAlign w:val="center"/>
          </w:tcPr>
          <w:p w14:paraId="478EF82F" w14:textId="77777777" w:rsidR="002535DF" w:rsidRPr="00B75A2A" w:rsidRDefault="002535DF" w:rsidP="00B75A2A">
            <w:pPr>
              <w:tabs>
                <w:tab w:val="left" w:pos="1220"/>
                <w:tab w:val="left" w:pos="1752"/>
              </w:tabs>
              <w:snapToGrid w:val="0"/>
              <w:spacing w:line="480" w:lineRule="auto"/>
            </w:pPr>
            <w:r w:rsidRPr="00B75A2A">
              <w:t>granulin precursor</w:t>
            </w:r>
          </w:p>
        </w:tc>
        <w:tc>
          <w:tcPr>
            <w:tcW w:w="578" w:type="pct"/>
            <w:shd w:val="clear" w:color="auto" w:fill="auto"/>
            <w:vAlign w:val="center"/>
          </w:tcPr>
          <w:p w14:paraId="52D3EDA1" w14:textId="77777777" w:rsidR="002535DF" w:rsidRPr="00B75A2A" w:rsidRDefault="002535DF" w:rsidP="00B75A2A">
            <w:pPr>
              <w:tabs>
                <w:tab w:val="left" w:pos="1220"/>
                <w:tab w:val="left" w:pos="1752"/>
              </w:tabs>
              <w:snapToGrid w:val="0"/>
              <w:spacing w:line="480" w:lineRule="auto"/>
            </w:pPr>
            <w:r w:rsidRPr="00B75A2A">
              <w:t>-1.08</w:t>
            </w:r>
          </w:p>
        </w:tc>
        <w:tc>
          <w:tcPr>
            <w:tcW w:w="554" w:type="pct"/>
            <w:shd w:val="clear" w:color="auto" w:fill="auto"/>
            <w:vAlign w:val="center"/>
          </w:tcPr>
          <w:p w14:paraId="27500910" w14:textId="77777777" w:rsidR="002535DF" w:rsidRPr="00B75A2A" w:rsidRDefault="002535DF" w:rsidP="00B75A2A">
            <w:pPr>
              <w:tabs>
                <w:tab w:val="left" w:pos="1220"/>
                <w:tab w:val="left" w:pos="1752"/>
              </w:tabs>
              <w:snapToGrid w:val="0"/>
              <w:spacing w:line="480" w:lineRule="auto"/>
              <w:rPr>
                <w:color w:val="000000"/>
              </w:rPr>
            </w:pPr>
            <w:r w:rsidRPr="00B75A2A">
              <w:t>-1.08</w:t>
            </w:r>
          </w:p>
        </w:tc>
      </w:tr>
      <w:tr w:rsidR="002535DF" w:rsidRPr="00B75A2A" w14:paraId="2EE2564A" w14:textId="77777777" w:rsidTr="00061B4F">
        <w:trPr>
          <w:trHeight w:val="20"/>
        </w:trPr>
        <w:tc>
          <w:tcPr>
            <w:tcW w:w="899" w:type="pct"/>
            <w:shd w:val="clear" w:color="auto" w:fill="auto"/>
            <w:vAlign w:val="center"/>
          </w:tcPr>
          <w:p w14:paraId="5DF612CE" w14:textId="77777777" w:rsidR="002535DF" w:rsidRPr="00B75A2A" w:rsidRDefault="002535DF" w:rsidP="00B75A2A">
            <w:pPr>
              <w:tabs>
                <w:tab w:val="left" w:pos="1220"/>
                <w:tab w:val="left" w:pos="1752"/>
              </w:tabs>
              <w:snapToGrid w:val="0"/>
              <w:spacing w:line="480" w:lineRule="auto"/>
            </w:pPr>
            <w:r w:rsidRPr="00B75A2A">
              <w:t>GSDMC</w:t>
            </w:r>
          </w:p>
        </w:tc>
        <w:tc>
          <w:tcPr>
            <w:tcW w:w="2969" w:type="pct"/>
            <w:shd w:val="clear" w:color="auto" w:fill="auto"/>
            <w:vAlign w:val="center"/>
          </w:tcPr>
          <w:p w14:paraId="443C5076" w14:textId="77777777" w:rsidR="002535DF" w:rsidRPr="00B75A2A" w:rsidRDefault="002535DF" w:rsidP="00B75A2A">
            <w:pPr>
              <w:tabs>
                <w:tab w:val="left" w:pos="1220"/>
                <w:tab w:val="left" w:pos="1752"/>
              </w:tabs>
              <w:snapToGrid w:val="0"/>
              <w:spacing w:line="480" w:lineRule="auto"/>
            </w:pPr>
            <w:proofErr w:type="spellStart"/>
            <w:r w:rsidRPr="00B75A2A">
              <w:t>gasdermin</w:t>
            </w:r>
            <w:proofErr w:type="spellEnd"/>
            <w:r w:rsidRPr="00B75A2A">
              <w:t xml:space="preserve"> C</w:t>
            </w:r>
          </w:p>
        </w:tc>
        <w:tc>
          <w:tcPr>
            <w:tcW w:w="578" w:type="pct"/>
            <w:shd w:val="clear" w:color="auto" w:fill="auto"/>
            <w:vAlign w:val="center"/>
          </w:tcPr>
          <w:p w14:paraId="58E7A0B9" w14:textId="77777777" w:rsidR="002535DF" w:rsidRPr="00B75A2A" w:rsidRDefault="002535DF" w:rsidP="00B75A2A">
            <w:pPr>
              <w:tabs>
                <w:tab w:val="left" w:pos="1220"/>
                <w:tab w:val="left" w:pos="1752"/>
              </w:tabs>
              <w:snapToGrid w:val="0"/>
              <w:spacing w:line="480" w:lineRule="auto"/>
            </w:pPr>
            <w:r w:rsidRPr="00B75A2A">
              <w:t>-3.35</w:t>
            </w:r>
          </w:p>
        </w:tc>
        <w:tc>
          <w:tcPr>
            <w:tcW w:w="554" w:type="pct"/>
            <w:shd w:val="clear" w:color="auto" w:fill="auto"/>
            <w:vAlign w:val="center"/>
          </w:tcPr>
          <w:p w14:paraId="490DBB96" w14:textId="77777777" w:rsidR="002535DF" w:rsidRPr="00B75A2A" w:rsidRDefault="002535DF" w:rsidP="00B75A2A">
            <w:pPr>
              <w:tabs>
                <w:tab w:val="left" w:pos="1220"/>
                <w:tab w:val="left" w:pos="1752"/>
              </w:tabs>
              <w:snapToGrid w:val="0"/>
              <w:spacing w:line="480" w:lineRule="auto"/>
              <w:rPr>
                <w:color w:val="000000"/>
              </w:rPr>
            </w:pPr>
            <w:r w:rsidRPr="00B75A2A">
              <w:t>-3.35</w:t>
            </w:r>
          </w:p>
        </w:tc>
      </w:tr>
      <w:tr w:rsidR="002535DF" w:rsidRPr="00B75A2A" w14:paraId="541CD606" w14:textId="77777777" w:rsidTr="00061B4F">
        <w:trPr>
          <w:cnfStyle w:val="000000010000" w:firstRow="0" w:lastRow="0" w:firstColumn="0" w:lastColumn="0" w:oddVBand="0" w:evenVBand="0" w:oddHBand="0" w:evenHBand="1" w:firstRowFirstColumn="0" w:firstRowLastColumn="0" w:lastRowFirstColumn="0" w:lastRowLastColumn="0"/>
          <w:trHeight w:val="20"/>
        </w:trPr>
        <w:tc>
          <w:tcPr>
            <w:tcW w:w="899" w:type="pct"/>
            <w:shd w:val="clear" w:color="auto" w:fill="auto"/>
            <w:vAlign w:val="center"/>
          </w:tcPr>
          <w:p w14:paraId="3C1524D5" w14:textId="77777777" w:rsidR="002535DF" w:rsidRPr="00B75A2A" w:rsidRDefault="002535DF" w:rsidP="00B75A2A">
            <w:pPr>
              <w:tabs>
                <w:tab w:val="left" w:pos="1220"/>
                <w:tab w:val="left" w:pos="1752"/>
              </w:tabs>
              <w:snapToGrid w:val="0"/>
              <w:spacing w:line="480" w:lineRule="auto"/>
            </w:pPr>
            <w:r w:rsidRPr="00B75A2A">
              <w:t>GSDMC</w:t>
            </w:r>
          </w:p>
        </w:tc>
        <w:tc>
          <w:tcPr>
            <w:tcW w:w="2969" w:type="pct"/>
            <w:shd w:val="clear" w:color="auto" w:fill="auto"/>
            <w:vAlign w:val="center"/>
          </w:tcPr>
          <w:p w14:paraId="1232D1F4" w14:textId="77777777" w:rsidR="002535DF" w:rsidRPr="00B75A2A" w:rsidRDefault="002535DF" w:rsidP="00B75A2A">
            <w:pPr>
              <w:tabs>
                <w:tab w:val="left" w:pos="1220"/>
                <w:tab w:val="left" w:pos="1752"/>
              </w:tabs>
              <w:snapToGrid w:val="0"/>
              <w:spacing w:line="480" w:lineRule="auto"/>
            </w:pPr>
            <w:proofErr w:type="spellStart"/>
            <w:r w:rsidRPr="00B75A2A">
              <w:t>gasdermin</w:t>
            </w:r>
            <w:proofErr w:type="spellEnd"/>
            <w:r w:rsidRPr="00B75A2A">
              <w:t xml:space="preserve"> C</w:t>
            </w:r>
          </w:p>
        </w:tc>
        <w:tc>
          <w:tcPr>
            <w:tcW w:w="578" w:type="pct"/>
            <w:shd w:val="clear" w:color="auto" w:fill="auto"/>
            <w:vAlign w:val="center"/>
          </w:tcPr>
          <w:p w14:paraId="42AD378F" w14:textId="77777777" w:rsidR="002535DF" w:rsidRPr="00B75A2A" w:rsidRDefault="002535DF" w:rsidP="00B75A2A">
            <w:pPr>
              <w:tabs>
                <w:tab w:val="left" w:pos="1220"/>
                <w:tab w:val="left" w:pos="1752"/>
              </w:tabs>
              <w:snapToGrid w:val="0"/>
              <w:spacing w:line="480" w:lineRule="auto"/>
            </w:pPr>
            <w:r w:rsidRPr="00B75A2A">
              <w:t>-4.04</w:t>
            </w:r>
          </w:p>
        </w:tc>
        <w:tc>
          <w:tcPr>
            <w:tcW w:w="554" w:type="pct"/>
            <w:shd w:val="clear" w:color="auto" w:fill="auto"/>
            <w:vAlign w:val="center"/>
          </w:tcPr>
          <w:p w14:paraId="0A395274" w14:textId="77777777" w:rsidR="002535DF" w:rsidRPr="00B75A2A" w:rsidRDefault="002535DF" w:rsidP="00B75A2A">
            <w:pPr>
              <w:tabs>
                <w:tab w:val="left" w:pos="1220"/>
                <w:tab w:val="left" w:pos="1752"/>
              </w:tabs>
              <w:snapToGrid w:val="0"/>
              <w:spacing w:line="480" w:lineRule="auto"/>
              <w:rPr>
                <w:color w:val="000000"/>
              </w:rPr>
            </w:pPr>
            <w:r w:rsidRPr="00B75A2A">
              <w:t>-4.04</w:t>
            </w:r>
          </w:p>
        </w:tc>
      </w:tr>
      <w:tr w:rsidR="002535DF" w:rsidRPr="00B75A2A" w14:paraId="46DAD804" w14:textId="77777777" w:rsidTr="00061B4F">
        <w:trPr>
          <w:trHeight w:val="20"/>
        </w:trPr>
        <w:tc>
          <w:tcPr>
            <w:tcW w:w="899" w:type="pct"/>
            <w:shd w:val="clear" w:color="auto" w:fill="auto"/>
            <w:vAlign w:val="center"/>
          </w:tcPr>
          <w:p w14:paraId="714B929F" w14:textId="77777777" w:rsidR="002535DF" w:rsidRPr="00B75A2A" w:rsidRDefault="002535DF" w:rsidP="00B75A2A">
            <w:pPr>
              <w:tabs>
                <w:tab w:val="left" w:pos="1220"/>
                <w:tab w:val="left" w:pos="1752"/>
              </w:tabs>
              <w:snapToGrid w:val="0"/>
              <w:spacing w:line="480" w:lineRule="auto"/>
            </w:pPr>
            <w:r w:rsidRPr="00B75A2A">
              <w:t>LGR4</w:t>
            </w:r>
          </w:p>
        </w:tc>
        <w:tc>
          <w:tcPr>
            <w:tcW w:w="2969" w:type="pct"/>
            <w:shd w:val="clear" w:color="auto" w:fill="auto"/>
            <w:vAlign w:val="center"/>
          </w:tcPr>
          <w:p w14:paraId="7B44D3EC" w14:textId="77777777" w:rsidR="002535DF" w:rsidRPr="00B75A2A" w:rsidRDefault="002535DF" w:rsidP="00B75A2A">
            <w:pPr>
              <w:tabs>
                <w:tab w:val="left" w:pos="1220"/>
                <w:tab w:val="left" w:pos="1752"/>
              </w:tabs>
              <w:snapToGrid w:val="0"/>
              <w:spacing w:line="480" w:lineRule="auto"/>
            </w:pPr>
            <w:r w:rsidRPr="00B75A2A">
              <w:t>leucine rich repeat containing G protein-coupled receptor 4</w:t>
            </w:r>
          </w:p>
        </w:tc>
        <w:tc>
          <w:tcPr>
            <w:tcW w:w="578" w:type="pct"/>
            <w:shd w:val="clear" w:color="auto" w:fill="auto"/>
            <w:vAlign w:val="center"/>
          </w:tcPr>
          <w:p w14:paraId="1A82EFCF" w14:textId="77777777" w:rsidR="002535DF" w:rsidRPr="00B75A2A" w:rsidRDefault="002535DF" w:rsidP="00B75A2A">
            <w:pPr>
              <w:tabs>
                <w:tab w:val="left" w:pos="1220"/>
                <w:tab w:val="left" w:pos="1752"/>
              </w:tabs>
              <w:snapToGrid w:val="0"/>
              <w:spacing w:line="480" w:lineRule="auto"/>
            </w:pPr>
            <w:r w:rsidRPr="00B75A2A">
              <w:t>-0.75</w:t>
            </w:r>
          </w:p>
        </w:tc>
        <w:tc>
          <w:tcPr>
            <w:tcW w:w="554" w:type="pct"/>
            <w:shd w:val="clear" w:color="auto" w:fill="auto"/>
            <w:vAlign w:val="center"/>
          </w:tcPr>
          <w:p w14:paraId="2C36A168" w14:textId="77777777" w:rsidR="002535DF" w:rsidRPr="00B75A2A" w:rsidRDefault="002535DF" w:rsidP="00B75A2A">
            <w:pPr>
              <w:tabs>
                <w:tab w:val="left" w:pos="1220"/>
                <w:tab w:val="left" w:pos="1752"/>
              </w:tabs>
              <w:snapToGrid w:val="0"/>
              <w:spacing w:line="480" w:lineRule="auto"/>
              <w:rPr>
                <w:color w:val="000000"/>
              </w:rPr>
            </w:pPr>
            <w:r w:rsidRPr="00B75A2A">
              <w:t>-0.75</w:t>
            </w:r>
          </w:p>
        </w:tc>
      </w:tr>
      <w:tr w:rsidR="002535DF" w:rsidRPr="00B75A2A" w14:paraId="2905E8EF" w14:textId="77777777" w:rsidTr="00061B4F">
        <w:trPr>
          <w:cnfStyle w:val="000000010000" w:firstRow="0" w:lastRow="0" w:firstColumn="0" w:lastColumn="0" w:oddVBand="0" w:evenVBand="0" w:oddHBand="0" w:evenHBand="1" w:firstRowFirstColumn="0" w:firstRowLastColumn="0" w:lastRowFirstColumn="0" w:lastRowLastColumn="0"/>
          <w:trHeight w:val="20"/>
        </w:trPr>
        <w:tc>
          <w:tcPr>
            <w:tcW w:w="899" w:type="pct"/>
            <w:shd w:val="clear" w:color="auto" w:fill="auto"/>
            <w:vAlign w:val="center"/>
          </w:tcPr>
          <w:p w14:paraId="549DE4FF" w14:textId="77777777" w:rsidR="002535DF" w:rsidRPr="00B75A2A" w:rsidRDefault="002535DF" w:rsidP="00B75A2A">
            <w:pPr>
              <w:tabs>
                <w:tab w:val="left" w:pos="1220"/>
                <w:tab w:val="left" w:pos="1752"/>
              </w:tabs>
              <w:snapToGrid w:val="0"/>
              <w:spacing w:line="480" w:lineRule="auto"/>
            </w:pPr>
            <w:r w:rsidRPr="00B75A2A">
              <w:t>RNASET2</w:t>
            </w:r>
          </w:p>
        </w:tc>
        <w:tc>
          <w:tcPr>
            <w:tcW w:w="2969" w:type="pct"/>
            <w:shd w:val="clear" w:color="auto" w:fill="auto"/>
            <w:vAlign w:val="center"/>
          </w:tcPr>
          <w:p w14:paraId="4866F8C8" w14:textId="77777777" w:rsidR="002535DF" w:rsidRPr="00B75A2A" w:rsidRDefault="002535DF" w:rsidP="00B75A2A">
            <w:pPr>
              <w:tabs>
                <w:tab w:val="left" w:pos="1220"/>
                <w:tab w:val="left" w:pos="1752"/>
              </w:tabs>
              <w:snapToGrid w:val="0"/>
              <w:spacing w:line="480" w:lineRule="auto"/>
            </w:pPr>
            <w:r w:rsidRPr="00B75A2A">
              <w:t>ribonuclease T2</w:t>
            </w:r>
          </w:p>
        </w:tc>
        <w:tc>
          <w:tcPr>
            <w:tcW w:w="578" w:type="pct"/>
            <w:shd w:val="clear" w:color="auto" w:fill="auto"/>
            <w:vAlign w:val="center"/>
          </w:tcPr>
          <w:p w14:paraId="3162EAF2" w14:textId="77777777" w:rsidR="002535DF" w:rsidRPr="00B75A2A" w:rsidRDefault="002535DF" w:rsidP="00B75A2A">
            <w:pPr>
              <w:tabs>
                <w:tab w:val="left" w:pos="1220"/>
                <w:tab w:val="left" w:pos="1752"/>
              </w:tabs>
              <w:snapToGrid w:val="0"/>
              <w:spacing w:line="480" w:lineRule="auto"/>
            </w:pPr>
            <w:r w:rsidRPr="00B75A2A">
              <w:t>-0.46</w:t>
            </w:r>
          </w:p>
        </w:tc>
        <w:tc>
          <w:tcPr>
            <w:tcW w:w="554" w:type="pct"/>
            <w:shd w:val="clear" w:color="auto" w:fill="auto"/>
            <w:vAlign w:val="center"/>
          </w:tcPr>
          <w:p w14:paraId="3ADC1B09" w14:textId="77777777" w:rsidR="002535DF" w:rsidRPr="00B75A2A" w:rsidRDefault="002535DF" w:rsidP="00B75A2A">
            <w:pPr>
              <w:tabs>
                <w:tab w:val="left" w:pos="1220"/>
                <w:tab w:val="left" w:pos="1752"/>
              </w:tabs>
              <w:snapToGrid w:val="0"/>
              <w:spacing w:line="480" w:lineRule="auto"/>
              <w:rPr>
                <w:color w:val="000000"/>
              </w:rPr>
            </w:pPr>
            <w:r w:rsidRPr="00B75A2A">
              <w:t>-0.46</w:t>
            </w:r>
          </w:p>
        </w:tc>
      </w:tr>
      <w:tr w:rsidR="002535DF" w:rsidRPr="00B75A2A" w14:paraId="4648A85D" w14:textId="77777777" w:rsidTr="00061B4F">
        <w:trPr>
          <w:trHeight w:val="20"/>
        </w:trPr>
        <w:tc>
          <w:tcPr>
            <w:tcW w:w="899" w:type="pct"/>
            <w:shd w:val="clear" w:color="auto" w:fill="auto"/>
            <w:vAlign w:val="center"/>
          </w:tcPr>
          <w:p w14:paraId="62C5E94C" w14:textId="77777777" w:rsidR="002535DF" w:rsidRPr="00B75A2A" w:rsidRDefault="002535DF" w:rsidP="00B75A2A">
            <w:pPr>
              <w:tabs>
                <w:tab w:val="left" w:pos="1220"/>
                <w:tab w:val="left" w:pos="1752"/>
              </w:tabs>
              <w:snapToGrid w:val="0"/>
              <w:spacing w:line="480" w:lineRule="auto"/>
            </w:pPr>
            <w:r w:rsidRPr="00B75A2A">
              <w:t>RNASET2</w:t>
            </w:r>
          </w:p>
        </w:tc>
        <w:tc>
          <w:tcPr>
            <w:tcW w:w="2969" w:type="pct"/>
            <w:shd w:val="clear" w:color="auto" w:fill="auto"/>
            <w:vAlign w:val="center"/>
          </w:tcPr>
          <w:p w14:paraId="5D93E598" w14:textId="77777777" w:rsidR="002535DF" w:rsidRPr="00B75A2A" w:rsidRDefault="002535DF" w:rsidP="00B75A2A">
            <w:pPr>
              <w:tabs>
                <w:tab w:val="left" w:pos="1220"/>
                <w:tab w:val="left" w:pos="1752"/>
              </w:tabs>
              <w:snapToGrid w:val="0"/>
              <w:spacing w:line="480" w:lineRule="auto"/>
            </w:pPr>
            <w:r w:rsidRPr="00B75A2A">
              <w:t>ribonuclease T2</w:t>
            </w:r>
          </w:p>
        </w:tc>
        <w:tc>
          <w:tcPr>
            <w:tcW w:w="578" w:type="pct"/>
            <w:shd w:val="clear" w:color="auto" w:fill="auto"/>
            <w:vAlign w:val="center"/>
          </w:tcPr>
          <w:p w14:paraId="0DDBE205" w14:textId="77777777" w:rsidR="002535DF" w:rsidRPr="00B75A2A" w:rsidRDefault="002535DF" w:rsidP="00B75A2A">
            <w:pPr>
              <w:tabs>
                <w:tab w:val="left" w:pos="1220"/>
                <w:tab w:val="left" w:pos="1752"/>
              </w:tabs>
              <w:snapToGrid w:val="0"/>
              <w:spacing w:line="480" w:lineRule="auto"/>
            </w:pPr>
            <w:r w:rsidRPr="00B75A2A">
              <w:t>-0.46</w:t>
            </w:r>
          </w:p>
        </w:tc>
        <w:tc>
          <w:tcPr>
            <w:tcW w:w="554" w:type="pct"/>
            <w:shd w:val="clear" w:color="auto" w:fill="auto"/>
            <w:vAlign w:val="center"/>
          </w:tcPr>
          <w:p w14:paraId="477A9F93" w14:textId="77777777" w:rsidR="002535DF" w:rsidRPr="00B75A2A" w:rsidRDefault="002535DF" w:rsidP="00B75A2A">
            <w:pPr>
              <w:tabs>
                <w:tab w:val="left" w:pos="1220"/>
                <w:tab w:val="left" w:pos="1752"/>
              </w:tabs>
              <w:snapToGrid w:val="0"/>
              <w:spacing w:line="480" w:lineRule="auto"/>
              <w:rPr>
                <w:color w:val="000000"/>
              </w:rPr>
            </w:pPr>
            <w:r w:rsidRPr="00B75A2A">
              <w:t>-0.46</w:t>
            </w:r>
          </w:p>
        </w:tc>
      </w:tr>
      <w:tr w:rsidR="002535DF" w:rsidRPr="00B75A2A" w14:paraId="3555EA68" w14:textId="77777777" w:rsidTr="00061B4F">
        <w:trPr>
          <w:cnfStyle w:val="000000010000" w:firstRow="0" w:lastRow="0" w:firstColumn="0" w:lastColumn="0" w:oddVBand="0" w:evenVBand="0" w:oddHBand="0" w:evenHBand="1" w:firstRowFirstColumn="0" w:firstRowLastColumn="0" w:lastRowFirstColumn="0" w:lastRowLastColumn="0"/>
          <w:trHeight w:val="20"/>
        </w:trPr>
        <w:tc>
          <w:tcPr>
            <w:tcW w:w="899" w:type="pct"/>
            <w:shd w:val="clear" w:color="auto" w:fill="auto"/>
            <w:vAlign w:val="center"/>
          </w:tcPr>
          <w:p w14:paraId="6C6FC914" w14:textId="77777777" w:rsidR="002535DF" w:rsidRPr="00B75A2A" w:rsidRDefault="002535DF" w:rsidP="00B75A2A">
            <w:pPr>
              <w:tabs>
                <w:tab w:val="left" w:pos="1220"/>
                <w:tab w:val="left" w:pos="1752"/>
              </w:tabs>
              <w:snapToGrid w:val="0"/>
              <w:spacing w:line="480" w:lineRule="auto"/>
            </w:pPr>
            <w:r w:rsidRPr="00B75A2A">
              <w:t>SLC26A6</w:t>
            </w:r>
          </w:p>
        </w:tc>
        <w:tc>
          <w:tcPr>
            <w:tcW w:w="2969" w:type="pct"/>
            <w:shd w:val="clear" w:color="auto" w:fill="auto"/>
            <w:vAlign w:val="center"/>
          </w:tcPr>
          <w:p w14:paraId="1782078B" w14:textId="77777777" w:rsidR="002535DF" w:rsidRPr="00B75A2A" w:rsidRDefault="002535DF" w:rsidP="00B75A2A">
            <w:pPr>
              <w:tabs>
                <w:tab w:val="left" w:pos="1220"/>
                <w:tab w:val="left" w:pos="1752"/>
              </w:tabs>
              <w:snapToGrid w:val="0"/>
              <w:spacing w:line="480" w:lineRule="auto"/>
            </w:pPr>
            <w:r w:rsidRPr="00B75A2A">
              <w:t xml:space="preserve">solute carrier family </w:t>
            </w:r>
            <w:proofErr w:type="gramStart"/>
            <w:r w:rsidRPr="00B75A2A">
              <w:t>26 member</w:t>
            </w:r>
            <w:proofErr w:type="gramEnd"/>
            <w:r w:rsidRPr="00B75A2A">
              <w:t xml:space="preserve"> 6</w:t>
            </w:r>
          </w:p>
        </w:tc>
        <w:tc>
          <w:tcPr>
            <w:tcW w:w="578" w:type="pct"/>
            <w:shd w:val="clear" w:color="auto" w:fill="auto"/>
            <w:vAlign w:val="center"/>
          </w:tcPr>
          <w:p w14:paraId="72681BF6" w14:textId="77777777" w:rsidR="002535DF" w:rsidRPr="00B75A2A" w:rsidRDefault="002535DF" w:rsidP="00B75A2A">
            <w:pPr>
              <w:tabs>
                <w:tab w:val="left" w:pos="1220"/>
                <w:tab w:val="left" w:pos="1752"/>
              </w:tabs>
              <w:snapToGrid w:val="0"/>
              <w:spacing w:line="480" w:lineRule="auto"/>
            </w:pPr>
            <w:r w:rsidRPr="00B75A2A">
              <w:t>-0.69</w:t>
            </w:r>
          </w:p>
        </w:tc>
        <w:tc>
          <w:tcPr>
            <w:tcW w:w="554" w:type="pct"/>
            <w:shd w:val="clear" w:color="auto" w:fill="auto"/>
            <w:vAlign w:val="center"/>
          </w:tcPr>
          <w:p w14:paraId="1F059C9D" w14:textId="77777777" w:rsidR="002535DF" w:rsidRPr="00B75A2A" w:rsidRDefault="002535DF" w:rsidP="00B75A2A">
            <w:pPr>
              <w:tabs>
                <w:tab w:val="left" w:pos="1220"/>
                <w:tab w:val="left" w:pos="1752"/>
              </w:tabs>
              <w:snapToGrid w:val="0"/>
              <w:spacing w:line="480" w:lineRule="auto"/>
              <w:rPr>
                <w:color w:val="000000"/>
              </w:rPr>
            </w:pPr>
            <w:r w:rsidRPr="00B75A2A">
              <w:t>-0.69</w:t>
            </w:r>
          </w:p>
        </w:tc>
      </w:tr>
      <w:tr w:rsidR="002535DF" w:rsidRPr="00B75A2A" w14:paraId="77FA276A" w14:textId="77777777" w:rsidTr="00061B4F">
        <w:trPr>
          <w:trHeight w:val="20"/>
        </w:trPr>
        <w:tc>
          <w:tcPr>
            <w:tcW w:w="899" w:type="pct"/>
            <w:shd w:val="clear" w:color="auto" w:fill="auto"/>
            <w:vAlign w:val="center"/>
          </w:tcPr>
          <w:p w14:paraId="3C0E7A8A" w14:textId="77777777" w:rsidR="002535DF" w:rsidRPr="00B75A2A" w:rsidRDefault="002535DF" w:rsidP="00B75A2A">
            <w:pPr>
              <w:tabs>
                <w:tab w:val="left" w:pos="1220"/>
                <w:tab w:val="left" w:pos="1752"/>
              </w:tabs>
              <w:snapToGrid w:val="0"/>
              <w:spacing w:line="480" w:lineRule="auto"/>
            </w:pPr>
            <w:r w:rsidRPr="00B75A2A">
              <w:t>DOCK11</w:t>
            </w:r>
          </w:p>
        </w:tc>
        <w:tc>
          <w:tcPr>
            <w:tcW w:w="2969" w:type="pct"/>
            <w:shd w:val="clear" w:color="auto" w:fill="auto"/>
            <w:vAlign w:val="center"/>
          </w:tcPr>
          <w:p w14:paraId="127FC30C" w14:textId="77777777" w:rsidR="002535DF" w:rsidRPr="00B75A2A" w:rsidRDefault="002535DF" w:rsidP="00B75A2A">
            <w:pPr>
              <w:tabs>
                <w:tab w:val="left" w:pos="1220"/>
                <w:tab w:val="left" w:pos="1752"/>
              </w:tabs>
              <w:snapToGrid w:val="0"/>
              <w:spacing w:line="480" w:lineRule="auto"/>
            </w:pPr>
            <w:r w:rsidRPr="00B75A2A">
              <w:t>dedicator of cytokinesis 11</w:t>
            </w:r>
          </w:p>
        </w:tc>
        <w:tc>
          <w:tcPr>
            <w:tcW w:w="578" w:type="pct"/>
            <w:shd w:val="clear" w:color="auto" w:fill="auto"/>
            <w:vAlign w:val="center"/>
          </w:tcPr>
          <w:p w14:paraId="4A6A5EB4" w14:textId="77777777" w:rsidR="002535DF" w:rsidRPr="00B75A2A" w:rsidRDefault="002535DF" w:rsidP="00B75A2A">
            <w:pPr>
              <w:tabs>
                <w:tab w:val="left" w:pos="1220"/>
                <w:tab w:val="left" w:pos="1752"/>
              </w:tabs>
              <w:snapToGrid w:val="0"/>
              <w:spacing w:line="480" w:lineRule="auto"/>
            </w:pPr>
            <w:r w:rsidRPr="00B75A2A">
              <w:t>-0.82</w:t>
            </w:r>
          </w:p>
        </w:tc>
        <w:tc>
          <w:tcPr>
            <w:tcW w:w="554" w:type="pct"/>
            <w:shd w:val="clear" w:color="auto" w:fill="auto"/>
            <w:vAlign w:val="center"/>
          </w:tcPr>
          <w:p w14:paraId="6DBFF3D5" w14:textId="77777777" w:rsidR="002535DF" w:rsidRPr="00B75A2A" w:rsidRDefault="002535DF" w:rsidP="00B75A2A">
            <w:pPr>
              <w:tabs>
                <w:tab w:val="left" w:pos="1220"/>
                <w:tab w:val="left" w:pos="1752"/>
              </w:tabs>
              <w:snapToGrid w:val="0"/>
              <w:spacing w:line="480" w:lineRule="auto"/>
              <w:rPr>
                <w:color w:val="000000"/>
              </w:rPr>
            </w:pPr>
            <w:r w:rsidRPr="00B75A2A">
              <w:t>-0.82</w:t>
            </w:r>
          </w:p>
        </w:tc>
      </w:tr>
      <w:tr w:rsidR="002535DF" w:rsidRPr="00B75A2A" w14:paraId="507142D4" w14:textId="77777777" w:rsidTr="00061B4F">
        <w:trPr>
          <w:cnfStyle w:val="000000010000" w:firstRow="0" w:lastRow="0" w:firstColumn="0" w:lastColumn="0" w:oddVBand="0" w:evenVBand="0" w:oddHBand="0" w:evenHBand="1" w:firstRowFirstColumn="0" w:firstRowLastColumn="0" w:lastRowFirstColumn="0" w:lastRowLastColumn="0"/>
          <w:trHeight w:val="20"/>
        </w:trPr>
        <w:tc>
          <w:tcPr>
            <w:tcW w:w="899" w:type="pct"/>
            <w:shd w:val="clear" w:color="auto" w:fill="auto"/>
            <w:vAlign w:val="center"/>
          </w:tcPr>
          <w:p w14:paraId="52C70338" w14:textId="77777777" w:rsidR="002535DF" w:rsidRPr="00B75A2A" w:rsidRDefault="002535DF" w:rsidP="00B75A2A">
            <w:pPr>
              <w:tabs>
                <w:tab w:val="left" w:pos="1220"/>
                <w:tab w:val="left" w:pos="1752"/>
              </w:tabs>
              <w:snapToGrid w:val="0"/>
              <w:spacing w:line="480" w:lineRule="auto"/>
            </w:pPr>
            <w:r w:rsidRPr="00B75A2A">
              <w:t>EMP2</w:t>
            </w:r>
          </w:p>
        </w:tc>
        <w:tc>
          <w:tcPr>
            <w:tcW w:w="2969" w:type="pct"/>
            <w:shd w:val="clear" w:color="auto" w:fill="auto"/>
            <w:vAlign w:val="center"/>
          </w:tcPr>
          <w:p w14:paraId="37D362F8" w14:textId="77777777" w:rsidR="002535DF" w:rsidRPr="00B75A2A" w:rsidRDefault="002535DF" w:rsidP="00B75A2A">
            <w:pPr>
              <w:tabs>
                <w:tab w:val="left" w:pos="1220"/>
                <w:tab w:val="left" w:pos="1752"/>
              </w:tabs>
              <w:snapToGrid w:val="0"/>
              <w:spacing w:line="480" w:lineRule="auto"/>
            </w:pPr>
            <w:r w:rsidRPr="00B75A2A">
              <w:t>epithelial membrane protein 2</w:t>
            </w:r>
          </w:p>
        </w:tc>
        <w:tc>
          <w:tcPr>
            <w:tcW w:w="578" w:type="pct"/>
            <w:shd w:val="clear" w:color="auto" w:fill="auto"/>
            <w:vAlign w:val="center"/>
          </w:tcPr>
          <w:p w14:paraId="4388A5F3" w14:textId="77777777" w:rsidR="002535DF" w:rsidRPr="00B75A2A" w:rsidRDefault="002535DF" w:rsidP="00B75A2A">
            <w:pPr>
              <w:tabs>
                <w:tab w:val="left" w:pos="1220"/>
                <w:tab w:val="left" w:pos="1752"/>
              </w:tabs>
              <w:snapToGrid w:val="0"/>
              <w:spacing w:line="480" w:lineRule="auto"/>
            </w:pPr>
            <w:r w:rsidRPr="00B75A2A">
              <w:t>-1.00</w:t>
            </w:r>
          </w:p>
        </w:tc>
        <w:tc>
          <w:tcPr>
            <w:tcW w:w="554" w:type="pct"/>
            <w:shd w:val="clear" w:color="auto" w:fill="auto"/>
            <w:vAlign w:val="center"/>
          </w:tcPr>
          <w:p w14:paraId="6C533DA8" w14:textId="77777777" w:rsidR="002535DF" w:rsidRPr="00B75A2A" w:rsidRDefault="002535DF" w:rsidP="00B75A2A">
            <w:pPr>
              <w:tabs>
                <w:tab w:val="left" w:pos="1220"/>
                <w:tab w:val="left" w:pos="1752"/>
              </w:tabs>
              <w:snapToGrid w:val="0"/>
              <w:spacing w:line="480" w:lineRule="auto"/>
              <w:rPr>
                <w:color w:val="000000"/>
              </w:rPr>
            </w:pPr>
            <w:r w:rsidRPr="00B75A2A">
              <w:t>-1.00</w:t>
            </w:r>
          </w:p>
        </w:tc>
      </w:tr>
      <w:tr w:rsidR="002535DF" w:rsidRPr="00B75A2A" w14:paraId="2AEF29C9" w14:textId="77777777" w:rsidTr="00061B4F">
        <w:trPr>
          <w:trHeight w:val="20"/>
        </w:trPr>
        <w:tc>
          <w:tcPr>
            <w:tcW w:w="899" w:type="pct"/>
            <w:shd w:val="clear" w:color="auto" w:fill="auto"/>
            <w:vAlign w:val="center"/>
          </w:tcPr>
          <w:p w14:paraId="241D8EF7" w14:textId="77777777" w:rsidR="002535DF" w:rsidRPr="00B75A2A" w:rsidRDefault="002535DF" w:rsidP="00B75A2A">
            <w:pPr>
              <w:tabs>
                <w:tab w:val="left" w:pos="1220"/>
                <w:tab w:val="left" w:pos="1752"/>
              </w:tabs>
              <w:snapToGrid w:val="0"/>
              <w:spacing w:line="480" w:lineRule="auto"/>
            </w:pPr>
            <w:r w:rsidRPr="00B75A2A">
              <w:t>FER</w:t>
            </w:r>
          </w:p>
        </w:tc>
        <w:tc>
          <w:tcPr>
            <w:tcW w:w="2969" w:type="pct"/>
            <w:shd w:val="clear" w:color="auto" w:fill="auto"/>
            <w:vAlign w:val="center"/>
          </w:tcPr>
          <w:p w14:paraId="1D026C4E" w14:textId="77777777" w:rsidR="002535DF" w:rsidRPr="00B75A2A" w:rsidRDefault="002535DF" w:rsidP="00B75A2A">
            <w:pPr>
              <w:tabs>
                <w:tab w:val="left" w:pos="1220"/>
                <w:tab w:val="left" w:pos="1752"/>
              </w:tabs>
              <w:snapToGrid w:val="0"/>
              <w:spacing w:line="480" w:lineRule="auto"/>
            </w:pPr>
            <w:r w:rsidRPr="00B75A2A">
              <w:t>FER tyrosine kinase</w:t>
            </w:r>
          </w:p>
        </w:tc>
        <w:tc>
          <w:tcPr>
            <w:tcW w:w="578" w:type="pct"/>
            <w:shd w:val="clear" w:color="auto" w:fill="auto"/>
            <w:vAlign w:val="center"/>
          </w:tcPr>
          <w:p w14:paraId="0101A642" w14:textId="77777777" w:rsidR="002535DF" w:rsidRPr="00B75A2A" w:rsidRDefault="002535DF" w:rsidP="00B75A2A">
            <w:pPr>
              <w:tabs>
                <w:tab w:val="left" w:pos="1220"/>
                <w:tab w:val="left" w:pos="1752"/>
              </w:tabs>
              <w:snapToGrid w:val="0"/>
              <w:spacing w:line="480" w:lineRule="auto"/>
            </w:pPr>
            <w:r w:rsidRPr="00B75A2A">
              <w:t>-0.59</w:t>
            </w:r>
          </w:p>
        </w:tc>
        <w:tc>
          <w:tcPr>
            <w:tcW w:w="554" w:type="pct"/>
            <w:shd w:val="clear" w:color="auto" w:fill="auto"/>
            <w:vAlign w:val="center"/>
          </w:tcPr>
          <w:p w14:paraId="3753F51D" w14:textId="77777777" w:rsidR="002535DF" w:rsidRPr="00B75A2A" w:rsidRDefault="002535DF" w:rsidP="00B75A2A">
            <w:pPr>
              <w:tabs>
                <w:tab w:val="left" w:pos="1220"/>
                <w:tab w:val="left" w:pos="1752"/>
              </w:tabs>
              <w:snapToGrid w:val="0"/>
              <w:spacing w:line="480" w:lineRule="auto"/>
              <w:rPr>
                <w:color w:val="000000"/>
              </w:rPr>
            </w:pPr>
            <w:r w:rsidRPr="00B75A2A">
              <w:t>-0.59</w:t>
            </w:r>
          </w:p>
        </w:tc>
      </w:tr>
      <w:tr w:rsidR="002535DF" w:rsidRPr="00B75A2A" w14:paraId="54C84850" w14:textId="77777777" w:rsidTr="00061B4F">
        <w:trPr>
          <w:cnfStyle w:val="000000010000" w:firstRow="0" w:lastRow="0" w:firstColumn="0" w:lastColumn="0" w:oddVBand="0" w:evenVBand="0" w:oddHBand="0" w:evenHBand="1" w:firstRowFirstColumn="0" w:firstRowLastColumn="0" w:lastRowFirstColumn="0" w:lastRowLastColumn="0"/>
          <w:trHeight w:val="20"/>
        </w:trPr>
        <w:tc>
          <w:tcPr>
            <w:tcW w:w="899" w:type="pct"/>
            <w:shd w:val="clear" w:color="auto" w:fill="auto"/>
            <w:vAlign w:val="center"/>
          </w:tcPr>
          <w:p w14:paraId="3422D791" w14:textId="77777777" w:rsidR="002535DF" w:rsidRPr="00B75A2A" w:rsidRDefault="002535DF" w:rsidP="00B75A2A">
            <w:pPr>
              <w:tabs>
                <w:tab w:val="left" w:pos="1220"/>
                <w:tab w:val="left" w:pos="1752"/>
              </w:tabs>
              <w:snapToGrid w:val="0"/>
              <w:spacing w:line="480" w:lineRule="auto"/>
            </w:pPr>
            <w:r w:rsidRPr="00B75A2A">
              <w:lastRenderedPageBreak/>
              <w:t>GRN</w:t>
            </w:r>
          </w:p>
        </w:tc>
        <w:tc>
          <w:tcPr>
            <w:tcW w:w="2969" w:type="pct"/>
            <w:shd w:val="clear" w:color="auto" w:fill="auto"/>
            <w:vAlign w:val="center"/>
          </w:tcPr>
          <w:p w14:paraId="37B49D75" w14:textId="77777777" w:rsidR="002535DF" w:rsidRPr="00B75A2A" w:rsidRDefault="002535DF" w:rsidP="00B75A2A">
            <w:pPr>
              <w:tabs>
                <w:tab w:val="left" w:pos="1220"/>
                <w:tab w:val="left" w:pos="1752"/>
              </w:tabs>
              <w:snapToGrid w:val="0"/>
              <w:spacing w:line="480" w:lineRule="auto"/>
            </w:pPr>
            <w:r w:rsidRPr="00B75A2A">
              <w:t>granulin precursor</w:t>
            </w:r>
          </w:p>
        </w:tc>
        <w:tc>
          <w:tcPr>
            <w:tcW w:w="578" w:type="pct"/>
            <w:shd w:val="clear" w:color="auto" w:fill="auto"/>
            <w:vAlign w:val="center"/>
          </w:tcPr>
          <w:p w14:paraId="27096BCB" w14:textId="77777777" w:rsidR="002535DF" w:rsidRPr="00B75A2A" w:rsidRDefault="002535DF" w:rsidP="00B75A2A">
            <w:pPr>
              <w:tabs>
                <w:tab w:val="left" w:pos="1220"/>
                <w:tab w:val="left" w:pos="1752"/>
              </w:tabs>
              <w:snapToGrid w:val="0"/>
              <w:spacing w:line="480" w:lineRule="auto"/>
            </w:pPr>
            <w:r w:rsidRPr="00B75A2A">
              <w:t>-1.08</w:t>
            </w:r>
          </w:p>
        </w:tc>
        <w:tc>
          <w:tcPr>
            <w:tcW w:w="554" w:type="pct"/>
            <w:shd w:val="clear" w:color="auto" w:fill="auto"/>
            <w:vAlign w:val="center"/>
          </w:tcPr>
          <w:p w14:paraId="2F791FDE" w14:textId="77777777" w:rsidR="002535DF" w:rsidRPr="00B75A2A" w:rsidRDefault="002535DF" w:rsidP="00B75A2A">
            <w:pPr>
              <w:tabs>
                <w:tab w:val="left" w:pos="1220"/>
                <w:tab w:val="left" w:pos="1752"/>
              </w:tabs>
              <w:snapToGrid w:val="0"/>
              <w:spacing w:line="480" w:lineRule="auto"/>
              <w:rPr>
                <w:color w:val="000000"/>
              </w:rPr>
            </w:pPr>
            <w:r w:rsidRPr="00B75A2A">
              <w:t>-1.08</w:t>
            </w:r>
          </w:p>
        </w:tc>
      </w:tr>
      <w:tr w:rsidR="002535DF" w:rsidRPr="00B75A2A" w14:paraId="7C34313C" w14:textId="77777777" w:rsidTr="00061B4F">
        <w:trPr>
          <w:trHeight w:val="20"/>
        </w:trPr>
        <w:tc>
          <w:tcPr>
            <w:tcW w:w="899" w:type="pct"/>
            <w:shd w:val="clear" w:color="auto" w:fill="auto"/>
            <w:vAlign w:val="center"/>
          </w:tcPr>
          <w:p w14:paraId="228AF58A" w14:textId="77777777" w:rsidR="002535DF" w:rsidRPr="00B75A2A" w:rsidRDefault="002535DF" w:rsidP="00B75A2A">
            <w:pPr>
              <w:tabs>
                <w:tab w:val="left" w:pos="1220"/>
                <w:tab w:val="left" w:pos="1752"/>
              </w:tabs>
              <w:snapToGrid w:val="0"/>
              <w:spacing w:line="480" w:lineRule="auto"/>
            </w:pPr>
            <w:r w:rsidRPr="00B75A2A">
              <w:t>GSDMC</w:t>
            </w:r>
          </w:p>
        </w:tc>
        <w:tc>
          <w:tcPr>
            <w:tcW w:w="2969" w:type="pct"/>
            <w:shd w:val="clear" w:color="auto" w:fill="auto"/>
            <w:vAlign w:val="center"/>
          </w:tcPr>
          <w:p w14:paraId="47FA65C1" w14:textId="77777777" w:rsidR="002535DF" w:rsidRPr="00B75A2A" w:rsidRDefault="002535DF" w:rsidP="00B75A2A">
            <w:pPr>
              <w:tabs>
                <w:tab w:val="left" w:pos="1220"/>
                <w:tab w:val="left" w:pos="1752"/>
              </w:tabs>
              <w:snapToGrid w:val="0"/>
              <w:spacing w:line="480" w:lineRule="auto"/>
            </w:pPr>
            <w:proofErr w:type="spellStart"/>
            <w:r w:rsidRPr="00B75A2A">
              <w:t>gasdermin</w:t>
            </w:r>
            <w:proofErr w:type="spellEnd"/>
            <w:r w:rsidRPr="00B75A2A">
              <w:t xml:space="preserve"> C</w:t>
            </w:r>
          </w:p>
        </w:tc>
        <w:tc>
          <w:tcPr>
            <w:tcW w:w="578" w:type="pct"/>
            <w:shd w:val="clear" w:color="auto" w:fill="auto"/>
            <w:vAlign w:val="center"/>
          </w:tcPr>
          <w:p w14:paraId="6C1E86E9" w14:textId="77777777" w:rsidR="002535DF" w:rsidRPr="00B75A2A" w:rsidRDefault="002535DF" w:rsidP="00B75A2A">
            <w:pPr>
              <w:tabs>
                <w:tab w:val="left" w:pos="1220"/>
                <w:tab w:val="left" w:pos="1752"/>
              </w:tabs>
              <w:snapToGrid w:val="0"/>
              <w:spacing w:line="480" w:lineRule="auto"/>
            </w:pPr>
            <w:r w:rsidRPr="00B75A2A">
              <w:t>-3.35</w:t>
            </w:r>
          </w:p>
        </w:tc>
        <w:tc>
          <w:tcPr>
            <w:tcW w:w="554" w:type="pct"/>
            <w:shd w:val="clear" w:color="auto" w:fill="auto"/>
            <w:vAlign w:val="center"/>
          </w:tcPr>
          <w:p w14:paraId="6A2A84C4" w14:textId="77777777" w:rsidR="002535DF" w:rsidRPr="00B75A2A" w:rsidRDefault="002535DF" w:rsidP="00B75A2A">
            <w:pPr>
              <w:tabs>
                <w:tab w:val="left" w:pos="1220"/>
                <w:tab w:val="left" w:pos="1752"/>
              </w:tabs>
              <w:snapToGrid w:val="0"/>
              <w:spacing w:line="480" w:lineRule="auto"/>
              <w:rPr>
                <w:color w:val="000000"/>
              </w:rPr>
            </w:pPr>
            <w:r w:rsidRPr="00B75A2A">
              <w:t>-3.35</w:t>
            </w:r>
          </w:p>
        </w:tc>
      </w:tr>
      <w:tr w:rsidR="002535DF" w:rsidRPr="00B75A2A" w14:paraId="5E75693E" w14:textId="77777777" w:rsidTr="00061B4F">
        <w:trPr>
          <w:cnfStyle w:val="000000010000" w:firstRow="0" w:lastRow="0" w:firstColumn="0" w:lastColumn="0" w:oddVBand="0" w:evenVBand="0" w:oddHBand="0" w:evenHBand="1" w:firstRowFirstColumn="0" w:firstRowLastColumn="0" w:lastRowFirstColumn="0" w:lastRowLastColumn="0"/>
          <w:trHeight w:val="20"/>
        </w:trPr>
        <w:tc>
          <w:tcPr>
            <w:tcW w:w="899" w:type="pct"/>
            <w:shd w:val="clear" w:color="auto" w:fill="auto"/>
            <w:vAlign w:val="center"/>
          </w:tcPr>
          <w:p w14:paraId="7951C96C" w14:textId="77777777" w:rsidR="002535DF" w:rsidRPr="00B75A2A" w:rsidRDefault="002535DF" w:rsidP="00B75A2A">
            <w:pPr>
              <w:tabs>
                <w:tab w:val="left" w:pos="1220"/>
                <w:tab w:val="left" w:pos="1752"/>
              </w:tabs>
              <w:snapToGrid w:val="0"/>
              <w:spacing w:line="480" w:lineRule="auto"/>
            </w:pPr>
            <w:r w:rsidRPr="00B75A2A">
              <w:t>GSDMC</w:t>
            </w:r>
          </w:p>
        </w:tc>
        <w:tc>
          <w:tcPr>
            <w:tcW w:w="2969" w:type="pct"/>
            <w:shd w:val="clear" w:color="auto" w:fill="auto"/>
            <w:vAlign w:val="center"/>
          </w:tcPr>
          <w:p w14:paraId="51A93389" w14:textId="77777777" w:rsidR="002535DF" w:rsidRPr="00B75A2A" w:rsidRDefault="002535DF" w:rsidP="00B75A2A">
            <w:pPr>
              <w:tabs>
                <w:tab w:val="left" w:pos="1220"/>
                <w:tab w:val="left" w:pos="1752"/>
              </w:tabs>
              <w:snapToGrid w:val="0"/>
              <w:spacing w:line="480" w:lineRule="auto"/>
            </w:pPr>
            <w:proofErr w:type="spellStart"/>
            <w:r w:rsidRPr="00B75A2A">
              <w:t>gasdermin</w:t>
            </w:r>
            <w:proofErr w:type="spellEnd"/>
            <w:r w:rsidRPr="00B75A2A">
              <w:t xml:space="preserve"> C</w:t>
            </w:r>
          </w:p>
        </w:tc>
        <w:tc>
          <w:tcPr>
            <w:tcW w:w="578" w:type="pct"/>
            <w:shd w:val="clear" w:color="auto" w:fill="auto"/>
            <w:vAlign w:val="center"/>
          </w:tcPr>
          <w:p w14:paraId="632AFFFC" w14:textId="77777777" w:rsidR="002535DF" w:rsidRPr="00B75A2A" w:rsidRDefault="002535DF" w:rsidP="00B75A2A">
            <w:pPr>
              <w:tabs>
                <w:tab w:val="left" w:pos="1220"/>
                <w:tab w:val="left" w:pos="1752"/>
              </w:tabs>
              <w:snapToGrid w:val="0"/>
              <w:spacing w:line="480" w:lineRule="auto"/>
            </w:pPr>
            <w:r w:rsidRPr="00B75A2A">
              <w:t>-4.04</w:t>
            </w:r>
          </w:p>
        </w:tc>
        <w:tc>
          <w:tcPr>
            <w:tcW w:w="554" w:type="pct"/>
            <w:shd w:val="clear" w:color="auto" w:fill="auto"/>
            <w:vAlign w:val="center"/>
          </w:tcPr>
          <w:p w14:paraId="03AB5200" w14:textId="77777777" w:rsidR="002535DF" w:rsidRPr="00B75A2A" w:rsidRDefault="002535DF" w:rsidP="00B75A2A">
            <w:pPr>
              <w:tabs>
                <w:tab w:val="left" w:pos="1220"/>
                <w:tab w:val="left" w:pos="1752"/>
              </w:tabs>
              <w:snapToGrid w:val="0"/>
              <w:spacing w:line="480" w:lineRule="auto"/>
              <w:rPr>
                <w:color w:val="000000"/>
              </w:rPr>
            </w:pPr>
            <w:r w:rsidRPr="00B75A2A">
              <w:t>-4.04</w:t>
            </w:r>
          </w:p>
        </w:tc>
      </w:tr>
      <w:tr w:rsidR="002535DF" w:rsidRPr="00B75A2A" w14:paraId="7F5DE5F3" w14:textId="77777777" w:rsidTr="00061B4F">
        <w:trPr>
          <w:trHeight w:val="20"/>
        </w:trPr>
        <w:tc>
          <w:tcPr>
            <w:tcW w:w="899" w:type="pct"/>
            <w:shd w:val="clear" w:color="auto" w:fill="auto"/>
            <w:vAlign w:val="center"/>
          </w:tcPr>
          <w:p w14:paraId="595365E9" w14:textId="77777777" w:rsidR="002535DF" w:rsidRPr="00B75A2A" w:rsidRDefault="002535DF" w:rsidP="00B75A2A">
            <w:pPr>
              <w:tabs>
                <w:tab w:val="left" w:pos="1220"/>
                <w:tab w:val="left" w:pos="1752"/>
              </w:tabs>
              <w:snapToGrid w:val="0"/>
              <w:spacing w:line="480" w:lineRule="auto"/>
            </w:pPr>
            <w:r w:rsidRPr="00B75A2A">
              <w:t>LGR4</w:t>
            </w:r>
          </w:p>
        </w:tc>
        <w:tc>
          <w:tcPr>
            <w:tcW w:w="2969" w:type="pct"/>
            <w:shd w:val="clear" w:color="auto" w:fill="auto"/>
            <w:vAlign w:val="center"/>
          </w:tcPr>
          <w:p w14:paraId="6F79752E" w14:textId="77777777" w:rsidR="002535DF" w:rsidRPr="00B75A2A" w:rsidRDefault="002535DF" w:rsidP="00B75A2A">
            <w:pPr>
              <w:tabs>
                <w:tab w:val="left" w:pos="1220"/>
                <w:tab w:val="left" w:pos="1752"/>
              </w:tabs>
              <w:snapToGrid w:val="0"/>
              <w:spacing w:line="480" w:lineRule="auto"/>
            </w:pPr>
            <w:r w:rsidRPr="00B75A2A">
              <w:t>leucine rich repeat containing G protein-coupled receptor 4</w:t>
            </w:r>
          </w:p>
        </w:tc>
        <w:tc>
          <w:tcPr>
            <w:tcW w:w="578" w:type="pct"/>
            <w:shd w:val="clear" w:color="auto" w:fill="auto"/>
            <w:vAlign w:val="center"/>
          </w:tcPr>
          <w:p w14:paraId="2191683D" w14:textId="77777777" w:rsidR="002535DF" w:rsidRPr="00B75A2A" w:rsidRDefault="002535DF" w:rsidP="00B75A2A">
            <w:pPr>
              <w:tabs>
                <w:tab w:val="left" w:pos="1220"/>
                <w:tab w:val="left" w:pos="1752"/>
              </w:tabs>
              <w:snapToGrid w:val="0"/>
              <w:spacing w:line="480" w:lineRule="auto"/>
            </w:pPr>
            <w:r w:rsidRPr="00B75A2A">
              <w:t>-0.75</w:t>
            </w:r>
          </w:p>
        </w:tc>
        <w:tc>
          <w:tcPr>
            <w:tcW w:w="554" w:type="pct"/>
            <w:shd w:val="clear" w:color="auto" w:fill="auto"/>
            <w:vAlign w:val="center"/>
          </w:tcPr>
          <w:p w14:paraId="6258AFD2" w14:textId="77777777" w:rsidR="002535DF" w:rsidRPr="00B75A2A" w:rsidRDefault="002535DF" w:rsidP="00B75A2A">
            <w:pPr>
              <w:tabs>
                <w:tab w:val="left" w:pos="1220"/>
                <w:tab w:val="left" w:pos="1752"/>
              </w:tabs>
              <w:snapToGrid w:val="0"/>
              <w:spacing w:line="480" w:lineRule="auto"/>
              <w:rPr>
                <w:color w:val="000000"/>
              </w:rPr>
            </w:pPr>
            <w:r w:rsidRPr="00B75A2A">
              <w:t>-0.75</w:t>
            </w:r>
          </w:p>
        </w:tc>
      </w:tr>
      <w:tr w:rsidR="002535DF" w:rsidRPr="00B75A2A" w14:paraId="78AC80BA" w14:textId="77777777" w:rsidTr="00061B4F">
        <w:trPr>
          <w:cnfStyle w:val="000000010000" w:firstRow="0" w:lastRow="0" w:firstColumn="0" w:lastColumn="0" w:oddVBand="0" w:evenVBand="0" w:oddHBand="0" w:evenHBand="1" w:firstRowFirstColumn="0" w:firstRowLastColumn="0" w:lastRowFirstColumn="0" w:lastRowLastColumn="0"/>
          <w:trHeight w:val="20"/>
        </w:trPr>
        <w:tc>
          <w:tcPr>
            <w:tcW w:w="899" w:type="pct"/>
            <w:shd w:val="clear" w:color="auto" w:fill="auto"/>
            <w:vAlign w:val="center"/>
          </w:tcPr>
          <w:p w14:paraId="504B933D" w14:textId="77777777" w:rsidR="002535DF" w:rsidRPr="00B75A2A" w:rsidRDefault="002535DF" w:rsidP="00B75A2A">
            <w:pPr>
              <w:tabs>
                <w:tab w:val="left" w:pos="1220"/>
                <w:tab w:val="left" w:pos="1752"/>
              </w:tabs>
              <w:snapToGrid w:val="0"/>
              <w:spacing w:line="480" w:lineRule="auto"/>
            </w:pPr>
            <w:r w:rsidRPr="00B75A2A">
              <w:t>RNASET2</w:t>
            </w:r>
          </w:p>
        </w:tc>
        <w:tc>
          <w:tcPr>
            <w:tcW w:w="2969" w:type="pct"/>
            <w:shd w:val="clear" w:color="auto" w:fill="auto"/>
            <w:vAlign w:val="center"/>
          </w:tcPr>
          <w:p w14:paraId="7E5C5DA7" w14:textId="77777777" w:rsidR="002535DF" w:rsidRPr="00B75A2A" w:rsidRDefault="002535DF" w:rsidP="00B75A2A">
            <w:pPr>
              <w:tabs>
                <w:tab w:val="left" w:pos="1220"/>
                <w:tab w:val="left" w:pos="1752"/>
              </w:tabs>
              <w:snapToGrid w:val="0"/>
              <w:spacing w:line="480" w:lineRule="auto"/>
            </w:pPr>
            <w:r w:rsidRPr="00B75A2A">
              <w:t>ribonuclease T2</w:t>
            </w:r>
          </w:p>
        </w:tc>
        <w:tc>
          <w:tcPr>
            <w:tcW w:w="578" w:type="pct"/>
            <w:shd w:val="clear" w:color="auto" w:fill="auto"/>
            <w:vAlign w:val="center"/>
          </w:tcPr>
          <w:p w14:paraId="3881CF59" w14:textId="77777777" w:rsidR="002535DF" w:rsidRPr="00B75A2A" w:rsidRDefault="002535DF" w:rsidP="00B75A2A">
            <w:pPr>
              <w:tabs>
                <w:tab w:val="left" w:pos="1220"/>
                <w:tab w:val="left" w:pos="1752"/>
              </w:tabs>
              <w:snapToGrid w:val="0"/>
              <w:spacing w:line="480" w:lineRule="auto"/>
            </w:pPr>
            <w:r w:rsidRPr="00B75A2A">
              <w:t>-0.46</w:t>
            </w:r>
          </w:p>
        </w:tc>
        <w:tc>
          <w:tcPr>
            <w:tcW w:w="554" w:type="pct"/>
            <w:shd w:val="clear" w:color="auto" w:fill="auto"/>
            <w:vAlign w:val="center"/>
          </w:tcPr>
          <w:p w14:paraId="66FC5096" w14:textId="77777777" w:rsidR="002535DF" w:rsidRPr="00B75A2A" w:rsidRDefault="002535DF" w:rsidP="00B75A2A">
            <w:pPr>
              <w:tabs>
                <w:tab w:val="left" w:pos="1220"/>
                <w:tab w:val="left" w:pos="1752"/>
              </w:tabs>
              <w:snapToGrid w:val="0"/>
              <w:spacing w:line="480" w:lineRule="auto"/>
              <w:rPr>
                <w:color w:val="000000"/>
              </w:rPr>
            </w:pPr>
            <w:r w:rsidRPr="00B75A2A">
              <w:t>-0.46</w:t>
            </w:r>
          </w:p>
        </w:tc>
      </w:tr>
      <w:tr w:rsidR="002535DF" w:rsidRPr="00B75A2A" w14:paraId="281AA184" w14:textId="77777777" w:rsidTr="00061B4F">
        <w:trPr>
          <w:trHeight w:val="20"/>
        </w:trPr>
        <w:tc>
          <w:tcPr>
            <w:tcW w:w="899" w:type="pct"/>
            <w:shd w:val="clear" w:color="auto" w:fill="auto"/>
            <w:vAlign w:val="center"/>
          </w:tcPr>
          <w:p w14:paraId="0CD3518A" w14:textId="77777777" w:rsidR="002535DF" w:rsidRPr="00B75A2A" w:rsidRDefault="002535DF" w:rsidP="00B75A2A">
            <w:pPr>
              <w:tabs>
                <w:tab w:val="left" w:pos="1220"/>
                <w:tab w:val="left" w:pos="1752"/>
              </w:tabs>
              <w:snapToGrid w:val="0"/>
              <w:spacing w:line="480" w:lineRule="auto"/>
            </w:pPr>
            <w:r w:rsidRPr="00B75A2A">
              <w:t>RNASET2</w:t>
            </w:r>
          </w:p>
        </w:tc>
        <w:tc>
          <w:tcPr>
            <w:tcW w:w="2969" w:type="pct"/>
            <w:shd w:val="clear" w:color="auto" w:fill="auto"/>
            <w:vAlign w:val="center"/>
          </w:tcPr>
          <w:p w14:paraId="21EBD940" w14:textId="77777777" w:rsidR="002535DF" w:rsidRPr="00B75A2A" w:rsidRDefault="002535DF" w:rsidP="00B75A2A">
            <w:pPr>
              <w:tabs>
                <w:tab w:val="left" w:pos="1220"/>
                <w:tab w:val="left" w:pos="1752"/>
              </w:tabs>
              <w:snapToGrid w:val="0"/>
              <w:spacing w:line="480" w:lineRule="auto"/>
            </w:pPr>
            <w:r w:rsidRPr="00B75A2A">
              <w:t>ribonuclease T2</w:t>
            </w:r>
          </w:p>
        </w:tc>
        <w:tc>
          <w:tcPr>
            <w:tcW w:w="578" w:type="pct"/>
            <w:shd w:val="clear" w:color="auto" w:fill="auto"/>
            <w:vAlign w:val="center"/>
          </w:tcPr>
          <w:p w14:paraId="6FFA35FA" w14:textId="77777777" w:rsidR="002535DF" w:rsidRPr="00B75A2A" w:rsidRDefault="002535DF" w:rsidP="00B75A2A">
            <w:pPr>
              <w:tabs>
                <w:tab w:val="left" w:pos="1220"/>
                <w:tab w:val="left" w:pos="1752"/>
              </w:tabs>
              <w:snapToGrid w:val="0"/>
              <w:spacing w:line="480" w:lineRule="auto"/>
            </w:pPr>
            <w:r w:rsidRPr="00B75A2A">
              <w:t>-0.46</w:t>
            </w:r>
          </w:p>
        </w:tc>
        <w:tc>
          <w:tcPr>
            <w:tcW w:w="554" w:type="pct"/>
            <w:shd w:val="clear" w:color="auto" w:fill="auto"/>
            <w:vAlign w:val="center"/>
          </w:tcPr>
          <w:p w14:paraId="6CF5ADD4" w14:textId="77777777" w:rsidR="002535DF" w:rsidRPr="00B75A2A" w:rsidRDefault="002535DF" w:rsidP="00B75A2A">
            <w:pPr>
              <w:tabs>
                <w:tab w:val="left" w:pos="1220"/>
                <w:tab w:val="left" w:pos="1752"/>
              </w:tabs>
              <w:snapToGrid w:val="0"/>
              <w:spacing w:line="480" w:lineRule="auto"/>
              <w:rPr>
                <w:color w:val="000000"/>
              </w:rPr>
            </w:pPr>
            <w:r w:rsidRPr="00B75A2A">
              <w:t>-0.46</w:t>
            </w:r>
          </w:p>
        </w:tc>
      </w:tr>
      <w:tr w:rsidR="002535DF" w:rsidRPr="00B75A2A" w14:paraId="4475E61A" w14:textId="77777777" w:rsidTr="00061B4F">
        <w:trPr>
          <w:cnfStyle w:val="000000010000" w:firstRow="0" w:lastRow="0" w:firstColumn="0" w:lastColumn="0" w:oddVBand="0" w:evenVBand="0" w:oddHBand="0" w:evenHBand="1" w:firstRowFirstColumn="0" w:firstRowLastColumn="0" w:lastRowFirstColumn="0" w:lastRowLastColumn="0"/>
          <w:trHeight w:val="20"/>
        </w:trPr>
        <w:tc>
          <w:tcPr>
            <w:tcW w:w="899" w:type="pct"/>
            <w:shd w:val="clear" w:color="auto" w:fill="auto"/>
            <w:vAlign w:val="center"/>
          </w:tcPr>
          <w:p w14:paraId="20B31667" w14:textId="77777777" w:rsidR="002535DF" w:rsidRPr="00B75A2A" w:rsidRDefault="002535DF" w:rsidP="00B75A2A">
            <w:pPr>
              <w:tabs>
                <w:tab w:val="left" w:pos="1220"/>
                <w:tab w:val="left" w:pos="1752"/>
              </w:tabs>
              <w:snapToGrid w:val="0"/>
              <w:spacing w:line="480" w:lineRule="auto"/>
            </w:pPr>
            <w:r w:rsidRPr="00B75A2A">
              <w:t>SLC26A6</w:t>
            </w:r>
          </w:p>
        </w:tc>
        <w:tc>
          <w:tcPr>
            <w:tcW w:w="2969" w:type="pct"/>
            <w:shd w:val="clear" w:color="auto" w:fill="auto"/>
            <w:vAlign w:val="center"/>
          </w:tcPr>
          <w:p w14:paraId="116F31E8" w14:textId="77777777" w:rsidR="002535DF" w:rsidRPr="00B75A2A" w:rsidRDefault="002535DF" w:rsidP="00B75A2A">
            <w:pPr>
              <w:tabs>
                <w:tab w:val="left" w:pos="1220"/>
                <w:tab w:val="left" w:pos="1752"/>
              </w:tabs>
              <w:snapToGrid w:val="0"/>
              <w:spacing w:line="480" w:lineRule="auto"/>
            </w:pPr>
            <w:r w:rsidRPr="00B75A2A">
              <w:t xml:space="preserve">solute carrier family </w:t>
            </w:r>
            <w:proofErr w:type="gramStart"/>
            <w:r w:rsidRPr="00B75A2A">
              <w:t>26 member</w:t>
            </w:r>
            <w:proofErr w:type="gramEnd"/>
            <w:r w:rsidRPr="00B75A2A">
              <w:t xml:space="preserve"> 6</w:t>
            </w:r>
          </w:p>
        </w:tc>
        <w:tc>
          <w:tcPr>
            <w:tcW w:w="578" w:type="pct"/>
            <w:shd w:val="clear" w:color="auto" w:fill="auto"/>
            <w:vAlign w:val="center"/>
          </w:tcPr>
          <w:p w14:paraId="71DA4581" w14:textId="77777777" w:rsidR="002535DF" w:rsidRPr="00B75A2A" w:rsidRDefault="002535DF" w:rsidP="00B75A2A">
            <w:pPr>
              <w:tabs>
                <w:tab w:val="left" w:pos="1220"/>
                <w:tab w:val="left" w:pos="1752"/>
              </w:tabs>
              <w:snapToGrid w:val="0"/>
              <w:spacing w:line="480" w:lineRule="auto"/>
            </w:pPr>
            <w:r w:rsidRPr="00B75A2A">
              <w:t>-0.69</w:t>
            </w:r>
          </w:p>
        </w:tc>
        <w:tc>
          <w:tcPr>
            <w:tcW w:w="554" w:type="pct"/>
            <w:shd w:val="clear" w:color="auto" w:fill="auto"/>
            <w:vAlign w:val="center"/>
          </w:tcPr>
          <w:p w14:paraId="5DA956DB" w14:textId="77777777" w:rsidR="002535DF" w:rsidRPr="00B75A2A" w:rsidRDefault="002535DF" w:rsidP="00B75A2A">
            <w:pPr>
              <w:tabs>
                <w:tab w:val="left" w:pos="1220"/>
                <w:tab w:val="left" w:pos="1752"/>
              </w:tabs>
              <w:snapToGrid w:val="0"/>
              <w:spacing w:line="480" w:lineRule="auto"/>
              <w:rPr>
                <w:color w:val="000000"/>
              </w:rPr>
            </w:pPr>
            <w:r w:rsidRPr="00B75A2A">
              <w:t>-0.69</w:t>
            </w:r>
          </w:p>
        </w:tc>
      </w:tr>
    </w:tbl>
    <w:p w14:paraId="7A09456A" w14:textId="77777777" w:rsidR="002535DF" w:rsidRPr="00B75A2A" w:rsidRDefault="002535DF" w:rsidP="00B75A2A">
      <w:pPr>
        <w:spacing w:line="480" w:lineRule="auto"/>
        <w:jc w:val="both"/>
      </w:pPr>
    </w:p>
    <w:p w14:paraId="137FE9E7" w14:textId="73FA0CF6" w:rsidR="0079665C" w:rsidRPr="00B75A2A" w:rsidRDefault="0079665C" w:rsidP="00B75A2A">
      <w:pPr>
        <w:spacing w:line="480" w:lineRule="auto"/>
        <w:jc w:val="both"/>
        <w:rPr>
          <w:b/>
          <w:bCs/>
        </w:rPr>
      </w:pPr>
      <w:r w:rsidRPr="00B75A2A">
        <w:rPr>
          <w:b/>
          <w:bCs/>
        </w:rPr>
        <w:t>FIGURE</w:t>
      </w:r>
      <w:r w:rsidR="00E75F60">
        <w:rPr>
          <w:b/>
          <w:bCs/>
        </w:rPr>
        <w:t>S</w:t>
      </w:r>
    </w:p>
    <w:p w14:paraId="08B1EC5C" w14:textId="7B344FA9" w:rsidR="00E75F60" w:rsidRDefault="00E75F60" w:rsidP="00B75A2A">
      <w:pPr>
        <w:spacing w:line="480" w:lineRule="auto"/>
        <w:jc w:val="both"/>
      </w:pPr>
      <w:r>
        <w:rPr>
          <w:noProof/>
        </w:rPr>
        <w:drawing>
          <wp:inline distT="0" distB="0" distL="0" distR="0" wp14:anchorId="20E10819" wp14:editId="141192B0">
            <wp:extent cx="5731510" cy="35947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594735"/>
                    </a:xfrm>
                    <a:prstGeom prst="rect">
                      <a:avLst/>
                    </a:prstGeom>
                  </pic:spPr>
                </pic:pic>
              </a:graphicData>
            </a:graphic>
          </wp:inline>
        </w:drawing>
      </w:r>
    </w:p>
    <w:p w14:paraId="63E1A98E" w14:textId="2BD44042" w:rsidR="0079665C" w:rsidRPr="00B75A2A" w:rsidRDefault="0079665C" w:rsidP="00B75A2A">
      <w:pPr>
        <w:spacing w:line="480" w:lineRule="auto"/>
        <w:jc w:val="both"/>
      </w:pPr>
      <w:r w:rsidRPr="00B75A2A">
        <w:t xml:space="preserve">Figure 1. Network of encoded proteins of differentially expressed genes (DEGs) in the small intestine of young germ-free mouse hosts after transplantation with old donor gut microbiota. DEGs with multiple network interactions (A), few interactions (B) and no interactions (C). </w:t>
      </w:r>
      <w:r w:rsidRPr="00B75A2A">
        <w:lastRenderedPageBreak/>
        <w:t>Immune-associated genes are shown as yellow, red represents upregulated genes and teal represents downregulated genes.</w:t>
      </w:r>
    </w:p>
    <w:p w14:paraId="721E6642" w14:textId="6D9A5608" w:rsidR="0079665C" w:rsidRDefault="0079665C" w:rsidP="00B75A2A">
      <w:pPr>
        <w:spacing w:line="480" w:lineRule="auto"/>
        <w:jc w:val="both"/>
      </w:pPr>
    </w:p>
    <w:p w14:paraId="54E361E6" w14:textId="1D32E78E" w:rsidR="00E75F60" w:rsidRPr="00B75A2A" w:rsidRDefault="00E75F60" w:rsidP="00B75A2A">
      <w:pPr>
        <w:spacing w:line="480" w:lineRule="auto"/>
        <w:jc w:val="both"/>
      </w:pPr>
      <w:r>
        <w:rPr>
          <w:noProof/>
        </w:rPr>
        <w:drawing>
          <wp:inline distT="0" distB="0" distL="0" distR="0" wp14:anchorId="44E9FEB7" wp14:editId="4D8E5A29">
            <wp:extent cx="5731510" cy="2306320"/>
            <wp:effectExtent l="0" t="0" r="0" b="5080"/>
            <wp:docPr id="2" name="Picture 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306320"/>
                    </a:xfrm>
                    <a:prstGeom prst="rect">
                      <a:avLst/>
                    </a:prstGeom>
                  </pic:spPr>
                </pic:pic>
              </a:graphicData>
            </a:graphic>
          </wp:inline>
        </w:drawing>
      </w:r>
    </w:p>
    <w:p w14:paraId="62A57326" w14:textId="01C17BCE" w:rsidR="00C54B2F" w:rsidRDefault="0079665C" w:rsidP="00B75A2A">
      <w:pPr>
        <w:spacing w:line="480" w:lineRule="auto"/>
        <w:jc w:val="both"/>
      </w:pPr>
      <w:r w:rsidRPr="00B75A2A">
        <w:t>Figure 2. Immune microenvironment status of the 25-genes signature of immune-associated differentially expressed genes in the small intestine of young germ-free mice transplanted with old donor gut microbiota. Expression levels of this signature was positively correlated with naïve T-cell (A), effector memory T-cell (B), central memory T-cell (C), resident memory T-cell (D), exhausted T-cell (E), resting Treg T-cell (F), effector Treg T-cell (G) and Th1-like (H) gene signatures in normal colorectal tissues from The Cancer Genome Atlas and Genotype-Tissue Expression project.</w:t>
      </w:r>
    </w:p>
    <w:p w14:paraId="76B74967" w14:textId="0FD20143" w:rsidR="00C54B2F" w:rsidRDefault="00C54B2F" w:rsidP="00E75F60">
      <w:pPr>
        <w:spacing w:line="480" w:lineRule="auto"/>
        <w:jc w:val="both"/>
      </w:pPr>
    </w:p>
    <w:sectPr w:rsidR="00C54B2F" w:rsidSect="002535DF">
      <w:footerReference w:type="even" r:id="rId12"/>
      <w:footerReference w:type="default" r:id="rId13"/>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CB280" w14:textId="77777777" w:rsidR="002843D0" w:rsidRDefault="002843D0" w:rsidP="00766A2B">
      <w:r>
        <w:separator/>
      </w:r>
    </w:p>
  </w:endnote>
  <w:endnote w:type="continuationSeparator" w:id="0">
    <w:p w14:paraId="5D04643A" w14:textId="77777777" w:rsidR="002843D0" w:rsidRDefault="002843D0" w:rsidP="00766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559214"/>
      <w:docPartObj>
        <w:docPartGallery w:val="Page Numbers (Bottom of Page)"/>
        <w:docPartUnique/>
      </w:docPartObj>
    </w:sdtPr>
    <w:sdtEndPr>
      <w:rPr>
        <w:noProof/>
      </w:rPr>
    </w:sdtEndPr>
    <w:sdtContent>
      <w:p w14:paraId="60F5FADC" w14:textId="533D99E4" w:rsidR="00156AB2" w:rsidRDefault="00156AB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CF92D0" w14:textId="77777777" w:rsidR="00766A2B" w:rsidRDefault="00766A2B" w:rsidP="0035759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0292236"/>
      <w:docPartObj>
        <w:docPartGallery w:val="Page Numbers (Bottom of Page)"/>
        <w:docPartUnique/>
      </w:docPartObj>
    </w:sdtPr>
    <w:sdtEndPr>
      <w:rPr>
        <w:noProof/>
      </w:rPr>
    </w:sdtEndPr>
    <w:sdtContent>
      <w:p w14:paraId="331908B6" w14:textId="7F2A70F5" w:rsidR="000B7DE1" w:rsidRDefault="000B7DE1">
        <w:pPr>
          <w:pStyle w:val="Footer"/>
          <w:jc w:val="center"/>
        </w:pPr>
        <w:r w:rsidRPr="000B7DE1">
          <w:rPr>
            <w:rFonts w:ascii="Times New Roman" w:hAnsi="Times New Roman" w:cs="Times New Roman"/>
          </w:rPr>
          <w:fldChar w:fldCharType="begin"/>
        </w:r>
        <w:r w:rsidRPr="000B7DE1">
          <w:rPr>
            <w:rFonts w:ascii="Times New Roman" w:hAnsi="Times New Roman" w:cs="Times New Roman"/>
          </w:rPr>
          <w:instrText xml:space="preserve"> PAGE   \* MERGEFORMAT </w:instrText>
        </w:r>
        <w:r w:rsidRPr="000B7DE1">
          <w:rPr>
            <w:rFonts w:ascii="Times New Roman" w:hAnsi="Times New Roman" w:cs="Times New Roman"/>
          </w:rPr>
          <w:fldChar w:fldCharType="separate"/>
        </w:r>
        <w:r w:rsidRPr="000B7DE1">
          <w:rPr>
            <w:rFonts w:ascii="Times New Roman" w:hAnsi="Times New Roman" w:cs="Times New Roman"/>
            <w:noProof/>
          </w:rPr>
          <w:t>2</w:t>
        </w:r>
        <w:r w:rsidRPr="000B7DE1">
          <w:rPr>
            <w:rFonts w:ascii="Times New Roman" w:hAnsi="Times New Roman" w:cs="Times New Roman"/>
            <w:noProof/>
          </w:rPr>
          <w:fldChar w:fldCharType="end"/>
        </w:r>
      </w:p>
    </w:sdtContent>
  </w:sdt>
  <w:p w14:paraId="154936E7" w14:textId="77777777" w:rsidR="000B7DE1" w:rsidRDefault="000B7D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62A92" w14:textId="77777777" w:rsidR="002843D0" w:rsidRDefault="002843D0" w:rsidP="00766A2B">
      <w:r>
        <w:separator/>
      </w:r>
    </w:p>
  </w:footnote>
  <w:footnote w:type="continuationSeparator" w:id="0">
    <w:p w14:paraId="7F1700A8" w14:textId="77777777" w:rsidR="002843D0" w:rsidRDefault="002843D0" w:rsidP="00766A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A45967"/>
    <w:multiLevelType w:val="multilevel"/>
    <w:tmpl w:val="0AB6481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8034289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BMC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wxxrz9fkt00vzea5p4pvvvzpt9fezd52xt5&quot;&gt;Gastro&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record-ids&gt;&lt;/item&gt;&lt;/Libraries&gt;"/>
  </w:docVars>
  <w:rsids>
    <w:rsidRoot w:val="004A2877"/>
    <w:rsid w:val="00003F09"/>
    <w:rsid w:val="000156A7"/>
    <w:rsid w:val="00047AD6"/>
    <w:rsid w:val="00052F00"/>
    <w:rsid w:val="00057830"/>
    <w:rsid w:val="000727B2"/>
    <w:rsid w:val="000B7DE1"/>
    <w:rsid w:val="000C7916"/>
    <w:rsid w:val="000D4054"/>
    <w:rsid w:val="000D46E7"/>
    <w:rsid w:val="000D4E6A"/>
    <w:rsid w:val="000D6435"/>
    <w:rsid w:val="000F6D6C"/>
    <w:rsid w:val="00115251"/>
    <w:rsid w:val="00125348"/>
    <w:rsid w:val="00154D46"/>
    <w:rsid w:val="00156AB2"/>
    <w:rsid w:val="00162BA6"/>
    <w:rsid w:val="00173284"/>
    <w:rsid w:val="00186BB7"/>
    <w:rsid w:val="00192082"/>
    <w:rsid w:val="001C7FA2"/>
    <w:rsid w:val="00217075"/>
    <w:rsid w:val="00226EEB"/>
    <w:rsid w:val="0024192D"/>
    <w:rsid w:val="002535DF"/>
    <w:rsid w:val="002802C3"/>
    <w:rsid w:val="002843D0"/>
    <w:rsid w:val="002D5249"/>
    <w:rsid w:val="00313412"/>
    <w:rsid w:val="003234D8"/>
    <w:rsid w:val="00346DC7"/>
    <w:rsid w:val="0035759A"/>
    <w:rsid w:val="003A3C92"/>
    <w:rsid w:val="003C0D01"/>
    <w:rsid w:val="003C2102"/>
    <w:rsid w:val="003D611A"/>
    <w:rsid w:val="003E7E80"/>
    <w:rsid w:val="003F513C"/>
    <w:rsid w:val="0040075C"/>
    <w:rsid w:val="00447154"/>
    <w:rsid w:val="00470A93"/>
    <w:rsid w:val="004A194D"/>
    <w:rsid w:val="004A2877"/>
    <w:rsid w:val="004B69F9"/>
    <w:rsid w:val="004E7AC0"/>
    <w:rsid w:val="004F0FEB"/>
    <w:rsid w:val="004F4C95"/>
    <w:rsid w:val="004F4D45"/>
    <w:rsid w:val="005117A1"/>
    <w:rsid w:val="005541C1"/>
    <w:rsid w:val="005637C3"/>
    <w:rsid w:val="00565B3C"/>
    <w:rsid w:val="0058609F"/>
    <w:rsid w:val="005B1A89"/>
    <w:rsid w:val="006212AF"/>
    <w:rsid w:val="00646DBC"/>
    <w:rsid w:val="006472AB"/>
    <w:rsid w:val="00697D3A"/>
    <w:rsid w:val="006C5684"/>
    <w:rsid w:val="006F308C"/>
    <w:rsid w:val="00712682"/>
    <w:rsid w:val="00747FBF"/>
    <w:rsid w:val="007569EB"/>
    <w:rsid w:val="00766A2B"/>
    <w:rsid w:val="0079665C"/>
    <w:rsid w:val="007C2A3A"/>
    <w:rsid w:val="0084516A"/>
    <w:rsid w:val="00877326"/>
    <w:rsid w:val="008C4509"/>
    <w:rsid w:val="008D051B"/>
    <w:rsid w:val="008E1117"/>
    <w:rsid w:val="008E4103"/>
    <w:rsid w:val="008E50A8"/>
    <w:rsid w:val="00906494"/>
    <w:rsid w:val="00990267"/>
    <w:rsid w:val="009B484E"/>
    <w:rsid w:val="009F5FE5"/>
    <w:rsid w:val="00A37BA2"/>
    <w:rsid w:val="00A426D4"/>
    <w:rsid w:val="00A6244C"/>
    <w:rsid w:val="00AE0352"/>
    <w:rsid w:val="00AF2D3F"/>
    <w:rsid w:val="00B75A2A"/>
    <w:rsid w:val="00B93D11"/>
    <w:rsid w:val="00BC62C6"/>
    <w:rsid w:val="00BF29D8"/>
    <w:rsid w:val="00C060EE"/>
    <w:rsid w:val="00C13461"/>
    <w:rsid w:val="00C54B2F"/>
    <w:rsid w:val="00CD4E84"/>
    <w:rsid w:val="00CF202C"/>
    <w:rsid w:val="00D02573"/>
    <w:rsid w:val="00D2452F"/>
    <w:rsid w:val="00D90716"/>
    <w:rsid w:val="00DF347D"/>
    <w:rsid w:val="00E52137"/>
    <w:rsid w:val="00E7354C"/>
    <w:rsid w:val="00E75F60"/>
    <w:rsid w:val="00EC733B"/>
    <w:rsid w:val="00EE6894"/>
    <w:rsid w:val="00EF2D5E"/>
    <w:rsid w:val="00F2480C"/>
    <w:rsid w:val="00F67FF8"/>
    <w:rsid w:val="00FB7A0F"/>
    <w:rsid w:val="00FE62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5410CD"/>
  <w15:chartTrackingRefBased/>
  <w15:docId w15:val="{AEB1E2B6-6EEA-47DC-8459-09EB8ADCE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BA6"/>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A2877"/>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2Horz">
      <w:tblPr/>
      <w:tcPr>
        <w:shd w:val="clear" w:color="auto" w:fill="D0CECE" w:themeFill="background2" w:themeFillShade="E6"/>
      </w:tcPr>
    </w:tblStylePr>
  </w:style>
  <w:style w:type="paragraph" w:styleId="Revision">
    <w:name w:val="Revision"/>
    <w:hidden/>
    <w:uiPriority w:val="99"/>
    <w:semiHidden/>
    <w:rsid w:val="004A2877"/>
    <w:pPr>
      <w:spacing w:after="0" w:line="240" w:lineRule="auto"/>
    </w:pPr>
  </w:style>
  <w:style w:type="character" w:styleId="CommentReference">
    <w:name w:val="annotation reference"/>
    <w:basedOn w:val="DefaultParagraphFont"/>
    <w:uiPriority w:val="99"/>
    <w:semiHidden/>
    <w:unhideWhenUsed/>
    <w:rsid w:val="004A2877"/>
    <w:rPr>
      <w:sz w:val="16"/>
      <w:szCs w:val="16"/>
    </w:rPr>
  </w:style>
  <w:style w:type="paragraph" w:styleId="CommentText">
    <w:name w:val="annotation text"/>
    <w:basedOn w:val="Normal"/>
    <w:link w:val="CommentTextChar"/>
    <w:uiPriority w:val="99"/>
    <w:semiHidden/>
    <w:unhideWhenUsed/>
    <w:rsid w:val="004A2877"/>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4A2877"/>
    <w:rPr>
      <w:sz w:val="20"/>
      <w:szCs w:val="20"/>
    </w:rPr>
  </w:style>
  <w:style w:type="paragraph" w:styleId="CommentSubject">
    <w:name w:val="annotation subject"/>
    <w:basedOn w:val="CommentText"/>
    <w:next w:val="CommentText"/>
    <w:link w:val="CommentSubjectChar"/>
    <w:uiPriority w:val="99"/>
    <w:semiHidden/>
    <w:unhideWhenUsed/>
    <w:rsid w:val="004A2877"/>
    <w:rPr>
      <w:b/>
      <w:bCs/>
    </w:rPr>
  </w:style>
  <w:style w:type="character" w:customStyle="1" w:styleId="CommentSubjectChar">
    <w:name w:val="Comment Subject Char"/>
    <w:basedOn w:val="CommentTextChar"/>
    <w:link w:val="CommentSubject"/>
    <w:uiPriority w:val="99"/>
    <w:semiHidden/>
    <w:rsid w:val="004A2877"/>
    <w:rPr>
      <w:b/>
      <w:bCs/>
      <w:sz w:val="20"/>
      <w:szCs w:val="20"/>
    </w:rPr>
  </w:style>
  <w:style w:type="character" w:styleId="Hyperlink">
    <w:name w:val="Hyperlink"/>
    <w:basedOn w:val="DefaultParagraphFont"/>
    <w:uiPriority w:val="99"/>
    <w:unhideWhenUsed/>
    <w:rsid w:val="004A2877"/>
    <w:rPr>
      <w:color w:val="0563C1" w:themeColor="hyperlink"/>
      <w:u w:val="single"/>
    </w:rPr>
  </w:style>
  <w:style w:type="character" w:styleId="UnresolvedMention">
    <w:name w:val="Unresolved Mention"/>
    <w:basedOn w:val="DefaultParagraphFont"/>
    <w:uiPriority w:val="99"/>
    <w:semiHidden/>
    <w:unhideWhenUsed/>
    <w:rsid w:val="004A2877"/>
    <w:rPr>
      <w:color w:val="605E5C"/>
      <w:shd w:val="clear" w:color="auto" w:fill="E1DFDD"/>
    </w:rPr>
  </w:style>
  <w:style w:type="character" w:styleId="LineNumber">
    <w:name w:val="line number"/>
    <w:basedOn w:val="DefaultParagraphFont"/>
    <w:uiPriority w:val="99"/>
    <w:semiHidden/>
    <w:unhideWhenUsed/>
    <w:rsid w:val="004A2877"/>
  </w:style>
  <w:style w:type="paragraph" w:customStyle="1" w:styleId="EndNoteBibliographyTitle">
    <w:name w:val="EndNote Bibliography Title"/>
    <w:basedOn w:val="Normal"/>
    <w:link w:val="EndNoteBibliographyTitleChar"/>
    <w:rsid w:val="004A2877"/>
    <w:pPr>
      <w:spacing w:line="259" w:lineRule="auto"/>
      <w:jc w:val="center"/>
    </w:pPr>
    <w:rPr>
      <w:rFonts w:ascii="Calibri" w:eastAsiaTheme="minorHAnsi" w:hAnsi="Calibri" w:cs="Calibri"/>
      <w:noProof/>
      <w:sz w:val="22"/>
      <w:szCs w:val="22"/>
      <w:lang w:val="en-US" w:eastAsia="en-US"/>
    </w:rPr>
  </w:style>
  <w:style w:type="character" w:customStyle="1" w:styleId="EndNoteBibliographyTitleChar">
    <w:name w:val="EndNote Bibliography Title Char"/>
    <w:basedOn w:val="DefaultParagraphFont"/>
    <w:link w:val="EndNoteBibliographyTitle"/>
    <w:rsid w:val="004A2877"/>
    <w:rPr>
      <w:rFonts w:ascii="Calibri" w:hAnsi="Calibri" w:cs="Calibri"/>
      <w:noProof/>
      <w:lang w:val="en-US"/>
    </w:rPr>
  </w:style>
  <w:style w:type="paragraph" w:customStyle="1" w:styleId="EndNoteBibliography">
    <w:name w:val="EndNote Bibliography"/>
    <w:basedOn w:val="Normal"/>
    <w:link w:val="EndNoteBibliographyChar"/>
    <w:rsid w:val="004A2877"/>
    <w:pPr>
      <w:spacing w:after="160"/>
      <w:jc w:val="both"/>
    </w:pPr>
    <w:rPr>
      <w:rFonts w:ascii="Calibri" w:eastAsiaTheme="minorHAnsi" w:hAnsi="Calibri" w:cs="Calibri"/>
      <w:noProof/>
      <w:sz w:val="22"/>
      <w:szCs w:val="22"/>
      <w:lang w:val="en-US" w:eastAsia="en-US"/>
    </w:rPr>
  </w:style>
  <w:style w:type="character" w:customStyle="1" w:styleId="EndNoteBibliographyChar">
    <w:name w:val="EndNote Bibliography Char"/>
    <w:basedOn w:val="DefaultParagraphFont"/>
    <w:link w:val="EndNoteBibliography"/>
    <w:rsid w:val="004A2877"/>
    <w:rPr>
      <w:rFonts w:ascii="Calibri" w:hAnsi="Calibri" w:cs="Calibri"/>
      <w:noProof/>
      <w:lang w:val="en-US"/>
    </w:rPr>
  </w:style>
  <w:style w:type="paragraph" w:styleId="Footer">
    <w:name w:val="footer"/>
    <w:basedOn w:val="Normal"/>
    <w:link w:val="FooterChar"/>
    <w:uiPriority w:val="99"/>
    <w:unhideWhenUsed/>
    <w:rsid w:val="00766A2B"/>
    <w:pPr>
      <w:tabs>
        <w:tab w:val="center" w:pos="4680"/>
        <w:tab w:val="right" w:pos="9360"/>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766A2B"/>
  </w:style>
  <w:style w:type="character" w:styleId="PageNumber">
    <w:name w:val="page number"/>
    <w:basedOn w:val="DefaultParagraphFont"/>
    <w:uiPriority w:val="99"/>
    <w:semiHidden/>
    <w:unhideWhenUsed/>
    <w:rsid w:val="00766A2B"/>
  </w:style>
  <w:style w:type="paragraph" w:styleId="Header">
    <w:name w:val="header"/>
    <w:basedOn w:val="Normal"/>
    <w:link w:val="HeaderChar"/>
    <w:uiPriority w:val="99"/>
    <w:unhideWhenUsed/>
    <w:rsid w:val="00156AB2"/>
    <w:pPr>
      <w:tabs>
        <w:tab w:val="center" w:pos="4153"/>
        <w:tab w:val="right" w:pos="830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156A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569">
      <w:bodyDiv w:val="1"/>
      <w:marLeft w:val="0"/>
      <w:marRight w:val="0"/>
      <w:marTop w:val="0"/>
      <w:marBottom w:val="0"/>
      <w:divBdr>
        <w:top w:val="none" w:sz="0" w:space="0" w:color="auto"/>
        <w:left w:val="none" w:sz="0" w:space="0" w:color="auto"/>
        <w:bottom w:val="none" w:sz="0" w:space="0" w:color="auto"/>
        <w:right w:val="none" w:sz="0" w:space="0" w:color="auto"/>
      </w:divBdr>
    </w:div>
    <w:div w:id="762072455">
      <w:bodyDiv w:val="1"/>
      <w:marLeft w:val="0"/>
      <w:marRight w:val="0"/>
      <w:marTop w:val="0"/>
      <w:marBottom w:val="0"/>
      <w:divBdr>
        <w:top w:val="none" w:sz="0" w:space="0" w:color="auto"/>
        <w:left w:val="none" w:sz="0" w:space="0" w:color="auto"/>
        <w:bottom w:val="none" w:sz="0" w:space="0" w:color="auto"/>
        <w:right w:val="none" w:sz="0" w:space="0" w:color="auto"/>
      </w:divBdr>
    </w:div>
    <w:div w:id="870842895">
      <w:bodyDiv w:val="1"/>
      <w:marLeft w:val="0"/>
      <w:marRight w:val="0"/>
      <w:marTop w:val="0"/>
      <w:marBottom w:val="0"/>
      <w:divBdr>
        <w:top w:val="none" w:sz="0" w:space="0" w:color="auto"/>
        <w:left w:val="none" w:sz="0" w:space="0" w:color="auto"/>
        <w:bottom w:val="none" w:sz="0" w:space="0" w:color="auto"/>
        <w:right w:val="none" w:sz="0" w:space="0" w:color="auto"/>
      </w:divBdr>
    </w:div>
    <w:div w:id="1113746440">
      <w:bodyDiv w:val="1"/>
      <w:marLeft w:val="0"/>
      <w:marRight w:val="0"/>
      <w:marTop w:val="0"/>
      <w:marBottom w:val="0"/>
      <w:divBdr>
        <w:top w:val="none" w:sz="0" w:space="0" w:color="auto"/>
        <w:left w:val="none" w:sz="0" w:space="0" w:color="auto"/>
        <w:bottom w:val="none" w:sz="0" w:space="0" w:color="auto"/>
        <w:right w:val="none" w:sz="0" w:space="0" w:color="auto"/>
      </w:divBdr>
    </w:div>
    <w:div w:id="1153135800">
      <w:bodyDiv w:val="1"/>
      <w:marLeft w:val="0"/>
      <w:marRight w:val="0"/>
      <w:marTop w:val="0"/>
      <w:marBottom w:val="0"/>
      <w:divBdr>
        <w:top w:val="none" w:sz="0" w:space="0" w:color="auto"/>
        <w:left w:val="none" w:sz="0" w:space="0" w:color="auto"/>
        <w:bottom w:val="none" w:sz="0" w:space="0" w:color="auto"/>
        <w:right w:val="none" w:sz="0" w:space="0" w:color="auto"/>
      </w:divBdr>
    </w:div>
    <w:div w:id="1526602728">
      <w:bodyDiv w:val="1"/>
      <w:marLeft w:val="0"/>
      <w:marRight w:val="0"/>
      <w:marTop w:val="0"/>
      <w:marBottom w:val="0"/>
      <w:divBdr>
        <w:top w:val="none" w:sz="0" w:space="0" w:color="auto"/>
        <w:left w:val="none" w:sz="0" w:space="0" w:color="auto"/>
        <w:bottom w:val="none" w:sz="0" w:space="0" w:color="auto"/>
        <w:right w:val="none" w:sz="0" w:space="0" w:color="auto"/>
      </w:divBdr>
    </w:div>
    <w:div w:id="2145416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lwright@liverpool.ac.u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tif"/><Relationship Id="rId4" Type="http://schemas.openxmlformats.org/officeDocument/2006/relationships/settings" Target="settings.xml"/><Relationship Id="rId9" Type="http://schemas.openxmlformats.org/officeDocument/2006/relationships/hyperlink" Target="https://www.cancer.gov/about-nci/organization/ccg/research/structural-genomics/tcga"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0A18EE-BD4B-47B7-8803-8002AD5E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36</Pages>
  <Words>20804</Words>
  <Characters>118586</Characters>
  <Application>Microsoft Office Word</Application>
  <DocSecurity>0</DocSecurity>
  <Lines>988</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pg719A</dc:creator>
  <cp:keywords/>
  <dc:description/>
  <cp:lastModifiedBy>Wright, Helen</cp:lastModifiedBy>
  <cp:revision>3</cp:revision>
  <dcterms:created xsi:type="dcterms:W3CDTF">2022-12-12T15:32:00Z</dcterms:created>
  <dcterms:modified xsi:type="dcterms:W3CDTF">2022-12-12T15:34:00Z</dcterms:modified>
</cp:coreProperties>
</file>