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3C53" w14:textId="0F67C2B3" w:rsidR="00D624B2" w:rsidRPr="00C53149" w:rsidRDefault="00C53149" w:rsidP="00C53149">
      <w:pPr>
        <w:jc w:val="center"/>
        <w:rPr>
          <w:b/>
          <w:bCs/>
          <w:sz w:val="24"/>
          <w:szCs w:val="24"/>
        </w:rPr>
      </w:pPr>
      <w:bookmarkStart w:id="0" w:name="_Hlk117671838"/>
      <w:r w:rsidRPr="00C53149">
        <w:rPr>
          <w:b/>
          <w:bCs/>
          <w:sz w:val="24"/>
          <w:szCs w:val="24"/>
        </w:rPr>
        <w:t>Dog</w:t>
      </w:r>
      <w:r w:rsidR="00D624B2" w:rsidRPr="00C53149">
        <w:rPr>
          <w:b/>
          <w:bCs/>
          <w:sz w:val="24"/>
          <w:szCs w:val="24"/>
        </w:rPr>
        <w:t>-related deaths</w:t>
      </w:r>
      <w:r w:rsidR="00ED3D7D">
        <w:rPr>
          <w:b/>
          <w:bCs/>
          <w:sz w:val="24"/>
          <w:szCs w:val="24"/>
        </w:rPr>
        <w:t xml:space="preserve"> registered</w:t>
      </w:r>
      <w:r w:rsidR="0054645F" w:rsidRPr="00C53149">
        <w:rPr>
          <w:b/>
          <w:bCs/>
          <w:sz w:val="24"/>
          <w:szCs w:val="24"/>
        </w:rPr>
        <w:t xml:space="preserve"> in England and Wales</w:t>
      </w:r>
      <w:r w:rsidR="00B15562">
        <w:rPr>
          <w:b/>
          <w:bCs/>
          <w:sz w:val="24"/>
          <w:szCs w:val="24"/>
        </w:rPr>
        <w:t xml:space="preserve"> from</w:t>
      </w:r>
      <w:r w:rsidR="0054645F" w:rsidRPr="00C53149">
        <w:rPr>
          <w:b/>
          <w:bCs/>
          <w:sz w:val="24"/>
          <w:szCs w:val="24"/>
        </w:rPr>
        <w:t xml:space="preserve"> 2001</w:t>
      </w:r>
      <w:r w:rsidR="00B15562">
        <w:rPr>
          <w:b/>
          <w:bCs/>
          <w:sz w:val="24"/>
          <w:szCs w:val="24"/>
        </w:rPr>
        <w:t xml:space="preserve"> to</w:t>
      </w:r>
      <w:r w:rsidR="005E4B40">
        <w:rPr>
          <w:b/>
          <w:bCs/>
          <w:sz w:val="24"/>
          <w:szCs w:val="24"/>
        </w:rPr>
        <w:t xml:space="preserve"> </w:t>
      </w:r>
      <w:r w:rsidR="0054645F" w:rsidRPr="00C53149">
        <w:rPr>
          <w:b/>
          <w:bCs/>
          <w:sz w:val="24"/>
          <w:szCs w:val="24"/>
        </w:rPr>
        <w:t>2021</w:t>
      </w:r>
    </w:p>
    <w:bookmarkEnd w:id="0"/>
    <w:p w14:paraId="1CE71795" w14:textId="77777777" w:rsidR="00AD75EE" w:rsidRPr="00AD75EE" w:rsidRDefault="00AD75EE">
      <w:pPr>
        <w:rPr>
          <w:b/>
          <w:bCs/>
        </w:rPr>
      </w:pPr>
    </w:p>
    <w:p w14:paraId="07C6CFC1" w14:textId="77777777" w:rsidR="00285DC8" w:rsidRPr="00AD75EE" w:rsidRDefault="00285DC8">
      <w:pPr>
        <w:rPr>
          <w:b/>
          <w:bCs/>
        </w:rPr>
      </w:pPr>
      <w:r w:rsidRPr="00AD75EE">
        <w:rPr>
          <w:b/>
          <w:bCs/>
        </w:rPr>
        <w:t xml:space="preserve">Abstract </w:t>
      </w:r>
    </w:p>
    <w:p w14:paraId="5B93E494" w14:textId="0CFE8B6C" w:rsidR="00D92C3B" w:rsidRDefault="00D01D5D" w:rsidP="00D92C3B">
      <w:pPr>
        <w:spacing w:line="360" w:lineRule="auto"/>
        <w:jc w:val="both"/>
      </w:pPr>
      <w:r>
        <w:rPr>
          <w:b/>
          <w:bCs/>
        </w:rPr>
        <w:t>Objective</w:t>
      </w:r>
      <w:r w:rsidR="00D92C3B" w:rsidRPr="00AD75EE">
        <w:rPr>
          <w:b/>
          <w:bCs/>
        </w:rPr>
        <w:t xml:space="preserve">: </w:t>
      </w:r>
      <w:r w:rsidRPr="00D01D5D">
        <w:t>T</w:t>
      </w:r>
      <w:r w:rsidR="00D92C3B" w:rsidRPr="00AD75EE">
        <w:t xml:space="preserve">o describe the incidence and demographics of fatal dog bites or strikes, as defined in English and Welsh mortality data </w:t>
      </w:r>
      <w:r w:rsidR="00DD036A" w:rsidRPr="00AD75EE">
        <w:t>(</w:t>
      </w:r>
      <w:r w:rsidR="00D92C3B" w:rsidRPr="00AD75EE">
        <w:t>2001-2021</w:t>
      </w:r>
      <w:r w:rsidR="00DD036A" w:rsidRPr="00AD75EE">
        <w:t>)</w:t>
      </w:r>
      <w:r w:rsidR="00D92C3B" w:rsidRPr="00AD75EE">
        <w:t>.</w:t>
      </w:r>
    </w:p>
    <w:p w14:paraId="2130B781" w14:textId="39DFDBFB" w:rsidR="00D01D5D" w:rsidRPr="00D01D5D" w:rsidRDefault="00D01D5D" w:rsidP="00D92C3B">
      <w:pPr>
        <w:spacing w:line="360" w:lineRule="auto"/>
        <w:jc w:val="both"/>
      </w:pPr>
      <w:r>
        <w:rPr>
          <w:b/>
          <w:bCs/>
        </w:rPr>
        <w:t xml:space="preserve">Study Design: </w:t>
      </w:r>
      <w:r>
        <w:t xml:space="preserve">Descriptive analysis of the </w:t>
      </w:r>
      <w:r w:rsidRPr="00AD75EE">
        <w:t>Office for National Statistics registered deaths dataset</w:t>
      </w:r>
    </w:p>
    <w:p w14:paraId="61DA076E" w14:textId="58304158" w:rsidR="00ED3D7D" w:rsidRPr="00AD75EE" w:rsidRDefault="00ED3D7D" w:rsidP="00D92C3B">
      <w:pPr>
        <w:spacing w:line="360" w:lineRule="auto"/>
        <w:jc w:val="both"/>
      </w:pPr>
      <w:r w:rsidRPr="00AD75EE">
        <w:rPr>
          <w:b/>
          <w:bCs/>
        </w:rPr>
        <w:t>Methods</w:t>
      </w:r>
      <w:r w:rsidR="00D92C3B" w:rsidRPr="00AD75EE">
        <w:rPr>
          <w:b/>
          <w:bCs/>
        </w:rPr>
        <w:t xml:space="preserve">: </w:t>
      </w:r>
      <w:r w:rsidR="00D01D5D">
        <w:rPr>
          <w:b/>
          <w:bCs/>
        </w:rPr>
        <w:t>I</w:t>
      </w:r>
      <w:r w:rsidR="00D92C3B" w:rsidRPr="00AD75EE">
        <w:t>ndividuals whose ca</w:t>
      </w:r>
      <w:r w:rsidR="00AA503F" w:rsidRPr="00AD75EE">
        <w:t>u</w:t>
      </w:r>
      <w:r w:rsidR="00D92C3B" w:rsidRPr="00AD75EE">
        <w:t>s</w:t>
      </w:r>
      <w:r w:rsidR="00AA503F" w:rsidRPr="00AD75EE">
        <w:t>e</w:t>
      </w:r>
      <w:r w:rsidR="00D92C3B" w:rsidRPr="00AD75EE">
        <w:t xml:space="preserve"> of death was defined as ‘bitten or struck by a dog’</w:t>
      </w:r>
      <w:r w:rsidR="00D01D5D">
        <w:t xml:space="preserve"> were identified</w:t>
      </w:r>
      <w:r w:rsidR="00D92C3B" w:rsidRPr="00AD75EE">
        <w:t>. The average annual number of dog-related deaths and trends in incidence were calculated. Age and sex demographics of victims were described.</w:t>
      </w:r>
    </w:p>
    <w:p w14:paraId="45BFA81E" w14:textId="2A796DD8" w:rsidR="00D92C3B" w:rsidRPr="00AD75EE" w:rsidRDefault="00ED3D7D" w:rsidP="00D92C3B">
      <w:pPr>
        <w:spacing w:line="360" w:lineRule="auto"/>
        <w:jc w:val="both"/>
      </w:pPr>
      <w:r w:rsidRPr="00AD75EE">
        <w:rPr>
          <w:b/>
          <w:bCs/>
        </w:rPr>
        <w:t>Results</w:t>
      </w:r>
      <w:r w:rsidR="00D92C3B" w:rsidRPr="00AD75EE">
        <w:rPr>
          <w:b/>
          <w:bCs/>
        </w:rPr>
        <w:t xml:space="preserve">: </w:t>
      </w:r>
      <w:bookmarkStart w:id="1" w:name="_Hlk120619677"/>
      <w:r w:rsidR="00FE6195">
        <w:t>In total t</w:t>
      </w:r>
      <w:r w:rsidR="00D92C3B" w:rsidRPr="00AD75EE">
        <w:t>here w</w:t>
      </w:r>
      <w:r w:rsidR="00FE6195">
        <w:t>ere 69 registered deaths, a mean of</w:t>
      </w:r>
      <w:r w:rsidR="00D92C3B" w:rsidRPr="00AD75EE">
        <w:t xml:space="preserve"> 3.3 (95%CI 0.3-6.3) dog-related deaths per year, a mean annual incidence of 0.59 (95%CI 0.06-1.11) deaths per 10 million population. </w:t>
      </w:r>
      <w:bookmarkStart w:id="2" w:name="_Hlk120619976"/>
      <w:bookmarkEnd w:id="1"/>
      <w:r w:rsidR="00D92C3B" w:rsidRPr="00AD75EE">
        <w:t xml:space="preserve">There was no </w:t>
      </w:r>
      <w:r w:rsidR="00FE6195">
        <w:t>year-on-year change</w:t>
      </w:r>
      <w:r w:rsidR="009378CA">
        <w:t xml:space="preserve"> </w:t>
      </w:r>
      <w:r w:rsidR="00D92C3B" w:rsidRPr="00AD75EE">
        <w:t>in incidence</w:t>
      </w:r>
      <w:bookmarkEnd w:id="2"/>
      <w:r w:rsidR="00D92C3B" w:rsidRPr="00AD75EE">
        <w:t xml:space="preserve">. </w:t>
      </w:r>
      <w:r w:rsidR="00DD036A" w:rsidRPr="00AD75EE">
        <w:t>Of victims, 59%</w:t>
      </w:r>
      <w:r w:rsidR="00D92C3B" w:rsidRPr="00AD75EE">
        <w:t xml:space="preserve"> were male, 10% were </w:t>
      </w:r>
      <w:r w:rsidR="00DD036A" w:rsidRPr="00AD75EE">
        <w:t>&lt;</w:t>
      </w:r>
      <w:r w:rsidR="00D92C3B" w:rsidRPr="00AD75EE">
        <w:t xml:space="preserve">5 years, and 30% were </w:t>
      </w:r>
      <w:r w:rsidR="00DD036A" w:rsidRPr="00AD75EE">
        <w:rPr>
          <w:rFonts w:cstheme="minorHAnsi"/>
        </w:rPr>
        <w:t>≥</w:t>
      </w:r>
      <w:r w:rsidR="00D92C3B" w:rsidRPr="00AD75EE">
        <w:t xml:space="preserve">75 years. </w:t>
      </w:r>
    </w:p>
    <w:p w14:paraId="608B1F41" w14:textId="4E47C18E" w:rsidR="00AD75EE" w:rsidRDefault="00D01D5D" w:rsidP="00346F1B">
      <w:pPr>
        <w:spacing w:line="360" w:lineRule="auto"/>
        <w:jc w:val="both"/>
      </w:pPr>
      <w:r>
        <w:rPr>
          <w:b/>
          <w:bCs/>
        </w:rPr>
        <w:t>Conclusions</w:t>
      </w:r>
      <w:r w:rsidR="00D92C3B" w:rsidRPr="00AD75EE">
        <w:rPr>
          <w:b/>
          <w:bCs/>
        </w:rPr>
        <w:t xml:space="preserve">: </w:t>
      </w:r>
      <w:r w:rsidR="00D92C3B" w:rsidRPr="00AD75EE">
        <w:t xml:space="preserve">Dog-related deaths are rare </w:t>
      </w:r>
      <w:r w:rsidR="00DD036A" w:rsidRPr="00AD75EE">
        <w:t>in</w:t>
      </w:r>
      <w:r w:rsidR="00D92C3B" w:rsidRPr="00AD75EE">
        <w:t xml:space="preserve"> England and Wales and </w:t>
      </w:r>
      <w:r w:rsidR="005A2B2D" w:rsidRPr="00AD75EE">
        <w:t xml:space="preserve">have not increased </w:t>
      </w:r>
      <w:r w:rsidR="00577E9E" w:rsidRPr="00AD75EE">
        <w:t xml:space="preserve">between 2001 and </w:t>
      </w:r>
      <w:r w:rsidR="005A2B2D" w:rsidRPr="00AD75EE">
        <w:t>2021</w:t>
      </w:r>
      <w:r w:rsidR="00D92C3B" w:rsidRPr="00AD75EE">
        <w:t xml:space="preserve">. </w:t>
      </w:r>
      <w:r w:rsidR="00AA503F" w:rsidRPr="00AD75EE">
        <w:t>Further</w:t>
      </w:r>
      <w:r w:rsidR="00D92C3B" w:rsidRPr="00AD75EE">
        <w:t xml:space="preserve"> contextual information </w:t>
      </w:r>
      <w:r w:rsidR="00F00A54" w:rsidRPr="00AD75EE">
        <w:t xml:space="preserve">about the incidents </w:t>
      </w:r>
      <w:r w:rsidR="00D92C3B" w:rsidRPr="00AD75EE">
        <w:t xml:space="preserve">is needed to be able to develop public health strategies and interventions. </w:t>
      </w:r>
    </w:p>
    <w:p w14:paraId="31D956B4" w14:textId="79E0035D" w:rsidR="00D01D5D" w:rsidRDefault="00D01D5D" w:rsidP="00346F1B">
      <w:pPr>
        <w:spacing w:line="360" w:lineRule="auto"/>
        <w:jc w:val="both"/>
      </w:pPr>
    </w:p>
    <w:p w14:paraId="4DE2FB4C" w14:textId="77777777" w:rsidR="00063F2B" w:rsidRDefault="00063F2B" w:rsidP="00063F2B">
      <w:r w:rsidRPr="00AD75EE">
        <w:rPr>
          <w:b/>
          <w:bCs/>
        </w:rPr>
        <w:t xml:space="preserve">Key words: </w:t>
      </w:r>
      <w:r w:rsidRPr="00AD75EE">
        <w:t>dog bites, dog attacks, death, fatality, UK</w:t>
      </w:r>
    </w:p>
    <w:p w14:paraId="1FD159C0" w14:textId="77777777" w:rsidR="00D01D5D" w:rsidRDefault="00D01D5D" w:rsidP="00346F1B">
      <w:pPr>
        <w:spacing w:line="360" w:lineRule="auto"/>
        <w:jc w:val="both"/>
      </w:pPr>
    </w:p>
    <w:p w14:paraId="3BBBF6C5" w14:textId="653B2A7F" w:rsidR="007F33C1" w:rsidRDefault="00F86B80" w:rsidP="00C154A4">
      <w:pPr>
        <w:spacing w:line="360" w:lineRule="auto"/>
        <w:rPr>
          <w:b/>
          <w:bCs/>
        </w:rPr>
      </w:pPr>
      <w:r>
        <w:rPr>
          <w:b/>
          <w:bCs/>
        </w:rPr>
        <w:t>Introduction</w:t>
      </w:r>
      <w:r w:rsidR="001D4B8D">
        <w:rPr>
          <w:b/>
          <w:bCs/>
        </w:rPr>
        <w:t xml:space="preserve"> </w:t>
      </w:r>
    </w:p>
    <w:p w14:paraId="175C0CF3" w14:textId="38A84EF5" w:rsidR="007F33C1" w:rsidRPr="007F33C1" w:rsidRDefault="005C796E" w:rsidP="004F28DB">
      <w:pPr>
        <w:spacing w:line="360" w:lineRule="auto"/>
        <w:jc w:val="both"/>
      </w:pPr>
      <w:r>
        <w:t>Between January and</w:t>
      </w:r>
      <w:r w:rsidR="007F33C1">
        <w:t xml:space="preserve"> </w:t>
      </w:r>
      <w:r w:rsidR="00B52DC8">
        <w:t xml:space="preserve"> </w:t>
      </w:r>
      <w:r w:rsidR="007A62C6">
        <w:t xml:space="preserve">November </w:t>
      </w:r>
      <w:r w:rsidR="007F33C1">
        <w:t xml:space="preserve">2022 </w:t>
      </w:r>
      <w:r w:rsidR="002C79E6">
        <w:t xml:space="preserve">the media have reported that </w:t>
      </w:r>
      <w:r w:rsidR="007F33C1">
        <w:t xml:space="preserve">at least </w:t>
      </w:r>
      <w:r w:rsidR="00B52DC8">
        <w:t>nine</w:t>
      </w:r>
      <w:r w:rsidR="007F33C1">
        <w:t xml:space="preserve"> people</w:t>
      </w:r>
      <w:r w:rsidR="00321073">
        <w:t xml:space="preserve"> </w:t>
      </w:r>
      <w:r w:rsidR="007F33C1">
        <w:t>have been killed by dogs in England and Wales</w:t>
      </w:r>
      <w:r w:rsidR="005A2B2D">
        <w:t xml:space="preserve">, and </w:t>
      </w:r>
      <w:r w:rsidR="00B52DC8">
        <w:t xml:space="preserve">have </w:t>
      </w:r>
      <w:r w:rsidR="005A2B2D">
        <w:t>suggested that fatal attacks are increasing</w:t>
      </w:r>
      <w:r w:rsidR="00E51974">
        <w:t>.</w:t>
      </w:r>
      <w:r w:rsidR="009070E9">
        <w:fldChar w:fldCharType="begin" w:fldLock="1"/>
      </w:r>
      <w:r w:rsidR="00213950">
        <w:instrText>ADDIN CSL_CITATION {"citationItems":[{"id":"ITEM-1","itemData":{"URL":"https://deframedia.blog.gov.uk/2022/10/06/defra-response-to-reported-recent-increase-in-fatal-dog-attacks/","author":[{"dropping-particle":"","family":"Office","given":"Defra Press","non-dropping-particle":"","parse-names":false,"suffix":""}],"id":"ITEM-1","issued":{"date-parts":[["2022"]]},"title":"Defra response to reported recent increase in fatal dog attacks","type":"webpage"},"uris":["http://www.mendeley.com/documents/?uuid=6fe436e2-28da-42fd-bafa-0bf575e1180b"]}],"mendeley":{"formattedCitation":"&lt;sup&gt;1&lt;/sup&gt;","plainTextFormattedCitation":"1","previouslyFormattedCitation":"[1]"},"properties":{"noteIndex":0},"schema":"https://github.com/citation-style-language/schema/raw/master/csl-citation.json"}</w:instrText>
      </w:r>
      <w:r w:rsidR="009070E9">
        <w:fldChar w:fldCharType="separate"/>
      </w:r>
      <w:r w:rsidR="00213950" w:rsidRPr="00213950">
        <w:rPr>
          <w:noProof/>
          <w:vertAlign w:val="superscript"/>
        </w:rPr>
        <w:t>1</w:t>
      </w:r>
      <w:r w:rsidR="009070E9">
        <w:fldChar w:fldCharType="end"/>
      </w:r>
      <w:r w:rsidR="007F33C1">
        <w:t xml:space="preserve"> </w:t>
      </w:r>
      <w:bookmarkStart w:id="3" w:name="_Hlk120617731"/>
      <w:r w:rsidR="00D75F91">
        <w:t>T</w:t>
      </w:r>
      <w:r>
        <w:t>he incidence of dog</w:t>
      </w:r>
      <w:r w:rsidR="00B40F07">
        <w:t>-</w:t>
      </w:r>
      <w:r>
        <w:t>bite</w:t>
      </w:r>
      <w:r w:rsidR="00227906">
        <w:t xml:space="preserve"> related</w:t>
      </w:r>
      <w:r>
        <w:t xml:space="preserve"> hospital admissions in England </w:t>
      </w:r>
      <w:r w:rsidR="00BC337E">
        <w:t>more than doubl</w:t>
      </w:r>
      <w:r w:rsidR="00227906">
        <w:t>ed</w:t>
      </w:r>
      <w:r w:rsidR="00BC337E">
        <w:t xml:space="preserve"> between 1998 and 2018, with over 8</w:t>
      </w:r>
      <w:r>
        <w:t>,</w:t>
      </w:r>
      <w:r w:rsidR="00BC337E">
        <w:t>000 individuals being admitted annually</w:t>
      </w:r>
      <w:r w:rsidR="00D75F91">
        <w:t xml:space="preserve"> and males more likely than females</w:t>
      </w:r>
      <w:r w:rsidR="00E51974">
        <w:t>.</w:t>
      </w:r>
      <w:r w:rsidR="00A816AF">
        <w:fldChar w:fldCharType="begin" w:fldLock="1"/>
      </w:r>
      <w:r w:rsidR="00213950">
        <w:instrText>ADDIN CSL_CITATION {"citationItems":[{"id":"ITEM-1","itemData":{"author":[{"dropping-particle":"","family":"Tulloch","given":"John S. P.","non-dropping-particle":"","parse-names":false,"suffix":""},{"dropping-particle":"","family":"Owczarczak-Garstecka","given":"Sara C.","non-dropping-particle":"","parse-names":false,"suffix":""},{"dropping-particle":"","family":"Fleming","given":"Kate M.","non-dropping-particle":"","parse-names":false,"suffix":""},{"dropping-particle":"","family":"Vivancos","given":"Roberto","non-dropping-particle":"","parse-names":false,"suffix":""},{"dropping-particle":"","family":"Westgarth","given":"Carri","non-dropping-particle":"","parse-names":false,"suffix":""}],"container-title":"Scientific Reports","id":"ITEM-1","issued":{"date-parts":[["2021"]]},"title":"English hospital episode data analysis (1998 – 2018) reveal that the rise in dog bite hospital admissions is driven by adult cases","type":"article-journal"},"uris":["http://www.mendeley.com/documents/?uuid=cc0b1b1d-ad15-489c-88a4-8b03f6a84b6c"]}],"mendeley":{"formattedCitation":"&lt;sup&gt;2&lt;/sup&gt;","plainTextFormattedCitation":"2","previouslyFormattedCitation":"[2]"},"properties":{"noteIndex":0},"schema":"https://github.com/citation-style-language/schema/raw/master/csl-citation.json"}</w:instrText>
      </w:r>
      <w:r w:rsidR="00A816AF">
        <w:fldChar w:fldCharType="separate"/>
      </w:r>
      <w:r w:rsidR="00213950" w:rsidRPr="00213950">
        <w:rPr>
          <w:noProof/>
          <w:vertAlign w:val="superscript"/>
        </w:rPr>
        <w:t>2</w:t>
      </w:r>
      <w:r w:rsidR="00A816AF">
        <w:fldChar w:fldCharType="end"/>
      </w:r>
      <w:r w:rsidR="00BC337E">
        <w:t xml:space="preserve"> </w:t>
      </w:r>
      <w:r w:rsidR="00C563B4">
        <w:t>Over this period, the incidence tripled in adults to 15.0</w:t>
      </w:r>
      <w:r w:rsidR="00C563B4" w:rsidRPr="00C563B4">
        <w:t xml:space="preserve"> admissions per 100,000 population in 2018</w:t>
      </w:r>
      <w:r w:rsidR="00C563B4">
        <w:t xml:space="preserve">, whilst that in children (defined as 14 years and under) remained stable and high (annual mean of </w:t>
      </w:r>
      <w:r w:rsidR="00C563B4" w:rsidRPr="00C563B4">
        <w:t>14.</w:t>
      </w:r>
      <w:r w:rsidR="00C563B4">
        <w:t>4).</w:t>
      </w:r>
      <w:r w:rsidR="00C563B4" w:rsidRPr="00C563B4">
        <w:t xml:space="preserve"> </w:t>
      </w:r>
      <w:r w:rsidR="00C563B4">
        <w:fldChar w:fldCharType="begin" w:fldLock="1"/>
      </w:r>
      <w:r w:rsidR="00C563B4">
        <w:instrText>ADDIN CSL_CITATION {"citationItems":[{"id":"ITEM-1","itemData":{"author":[{"dropping-particle":"","family":"Tulloch","given":"John S. P.","non-dropping-particle":"","parse-names":false,"suffix":""},{"dropping-particle":"","family":"Owczarczak-Garstecka","given":"Sara C.","non-dropping-particle":"","parse-names":false,"suffix":""},{"dropping-particle":"","family":"Fleming","given":"Kate M.","non-dropping-particle":"","parse-names":false,"suffix":""},{"dropping-particle":"","family":"Vivancos","given":"Roberto","non-dropping-particle":"","parse-names":false,"suffix":""},{"dropping-particle":"","family":"Westgarth","given":"Carri","non-dropping-particle":"","parse-names":false,"suffix":""}],"container-title":"Scientific Reports","id":"ITEM-1","issued":{"date-parts":[["2021"]]},"title":"English hospital episode data analysis (1998 – 2018) reveal that the rise in dog bite hospital admissions is driven by adult cases","type":"article-journal"},"uris":["http://www.mendeley.com/documents/?uuid=cc0b1b1d-ad15-489c-88a4-8b03f6a84b6c"]}],"mendeley":{"formattedCitation":"&lt;sup&gt;2&lt;/sup&gt;","plainTextFormattedCitation":"2","previouslyFormattedCitation":"[2]"},"properties":{"noteIndex":0},"schema":"https://github.com/citation-style-language/schema/raw/master/csl-citation.json"}</w:instrText>
      </w:r>
      <w:r w:rsidR="00C563B4">
        <w:fldChar w:fldCharType="separate"/>
      </w:r>
      <w:r w:rsidR="00C563B4" w:rsidRPr="00213950">
        <w:rPr>
          <w:noProof/>
          <w:vertAlign w:val="superscript"/>
        </w:rPr>
        <w:t>2</w:t>
      </w:r>
      <w:r w:rsidR="00C563B4">
        <w:fldChar w:fldCharType="end"/>
      </w:r>
      <w:r w:rsidR="00C563B4">
        <w:t xml:space="preserve"> Twenty-five percent of all admissions were children; in 2018 1518 children were admitted compared to 6871 adults.</w:t>
      </w:r>
      <w:r w:rsidR="00C563B4">
        <w:fldChar w:fldCharType="begin" w:fldLock="1"/>
      </w:r>
      <w:r w:rsidR="00C563B4">
        <w:instrText>ADDIN CSL_CITATION {"citationItems":[{"id":"ITEM-1","itemData":{"author":[{"dropping-particle":"","family":"Tulloch","given":"John S. P.","non-dropping-particle":"","parse-names":false,"suffix":""},{"dropping-particle":"","family":"Owczarczak-Garstecka","given":"Sara C.","non-dropping-particle":"","parse-names":false,"suffix":""},{"dropping-particle":"","family":"Fleming","given":"Kate M.","non-dropping-particle":"","parse-names":false,"suffix":""},{"dropping-particle":"","family":"Vivancos","given":"Roberto","non-dropping-particle":"","parse-names":false,"suffix":""},{"dropping-particle":"","family":"Westgarth","given":"Carri","non-dropping-particle":"","parse-names":false,"suffix":""}],"container-title":"Scientific Reports","id":"ITEM-1","issued":{"date-parts":[["2021"]]},"title":"English hospital episode data analysis (1998 – 2018) reveal that the rise in dog bite hospital admissions is driven by adult cases","type":"article-journal"},"uris":["http://www.mendeley.com/documents/?uuid=cc0b1b1d-ad15-489c-88a4-8b03f6a84b6c"]}],"mendeley":{"formattedCitation":"&lt;sup&gt;2&lt;/sup&gt;","plainTextFormattedCitation":"2","previouslyFormattedCitation":"[2]"},"properties":{"noteIndex":0},"schema":"https://github.com/citation-style-language/schema/raw/master/csl-citation.json"}</w:instrText>
      </w:r>
      <w:r w:rsidR="00C563B4">
        <w:fldChar w:fldCharType="separate"/>
      </w:r>
      <w:r w:rsidR="00C563B4" w:rsidRPr="00213950">
        <w:rPr>
          <w:noProof/>
          <w:vertAlign w:val="superscript"/>
        </w:rPr>
        <w:t>2</w:t>
      </w:r>
      <w:r w:rsidR="00C563B4">
        <w:fldChar w:fldCharType="end"/>
      </w:r>
      <w:r w:rsidR="00C563B4">
        <w:t xml:space="preserve"> </w:t>
      </w:r>
      <w:r w:rsidR="009F2E47">
        <w:t xml:space="preserve">For </w:t>
      </w:r>
      <w:r w:rsidR="00637C9C">
        <w:t>females</w:t>
      </w:r>
      <w:r w:rsidR="009F2E47">
        <w:t>,</w:t>
      </w:r>
      <w:r w:rsidR="00637C9C">
        <w:t xml:space="preserve"> there were peaks in childhood (5-9 year</w:t>
      </w:r>
      <w:r w:rsidR="00275747">
        <w:t>s</w:t>
      </w:r>
      <w:r w:rsidR="00637C9C">
        <w:t>) and in middle age (45-49 year</w:t>
      </w:r>
      <w:r w:rsidR="00275747">
        <w:t>s</w:t>
      </w:r>
      <w:r w:rsidR="00637C9C">
        <w:t xml:space="preserve">), whilst </w:t>
      </w:r>
      <w:r w:rsidR="001A6DB8">
        <w:t xml:space="preserve">for </w:t>
      </w:r>
      <w:r w:rsidR="00637C9C">
        <w:t>males</w:t>
      </w:r>
      <w:r w:rsidR="00275747">
        <w:t>,</w:t>
      </w:r>
      <w:r w:rsidR="00637C9C">
        <w:t xml:space="preserve"> there was a sole peak in childhood (</w:t>
      </w:r>
      <w:r w:rsidR="002A23AF">
        <w:t>10–14</w:t>
      </w:r>
      <w:r w:rsidR="00047BE9">
        <w:t xml:space="preserve"> </w:t>
      </w:r>
      <w:r w:rsidR="002A23AF">
        <w:t>year</w:t>
      </w:r>
      <w:r w:rsidR="00275747">
        <w:t>s</w:t>
      </w:r>
      <w:r w:rsidR="00637C9C">
        <w:t>). National data regarding emergency department</w:t>
      </w:r>
      <w:r w:rsidR="00FC7C90">
        <w:t>s</w:t>
      </w:r>
      <w:r w:rsidR="00637C9C">
        <w:t xml:space="preserve"> </w:t>
      </w:r>
      <w:r w:rsidR="00D75F91">
        <w:t>is not available but data</w:t>
      </w:r>
      <w:r w:rsidR="00637C9C">
        <w:t xml:space="preserve"> from a </w:t>
      </w:r>
      <w:r w:rsidR="0069169B">
        <w:t xml:space="preserve">single </w:t>
      </w:r>
      <w:r w:rsidR="00637C9C">
        <w:t>tertiary paediatric hospital reported stable levels of attendance</w:t>
      </w:r>
      <w:r w:rsidR="00D75F91">
        <w:t xml:space="preserve"> for a dog bite</w:t>
      </w:r>
      <w:r w:rsidR="00637C9C">
        <w:t xml:space="preserve"> between 2016 and 2019</w:t>
      </w:r>
      <w:r w:rsidR="00FD3E8D">
        <w:t xml:space="preserve"> </w:t>
      </w:r>
      <w:bookmarkStart w:id="4" w:name="_Hlk120617839"/>
      <w:r w:rsidR="00FD3E8D">
        <w:t>(15 attendances per month)</w:t>
      </w:r>
      <w:bookmarkEnd w:id="4"/>
      <w:r w:rsidR="00637C9C">
        <w:t>, with no differences in attendance by sex</w:t>
      </w:r>
      <w:r w:rsidR="006C195C">
        <w:t>;</w:t>
      </w:r>
      <w:r w:rsidR="00637C9C">
        <w:t xml:space="preserve"> 33.4% of </w:t>
      </w:r>
      <w:r w:rsidR="00BA5330">
        <w:t>attendees</w:t>
      </w:r>
      <w:r w:rsidR="00637C9C">
        <w:t xml:space="preserve"> </w:t>
      </w:r>
      <w:r w:rsidR="00B82A01">
        <w:t>were</w:t>
      </w:r>
      <w:r w:rsidR="00637C9C">
        <w:t xml:space="preserve"> 7-12 year</w:t>
      </w:r>
      <w:r w:rsidR="00275747">
        <w:t>s</w:t>
      </w:r>
      <w:r w:rsidR="00637C9C">
        <w:t xml:space="preserve"> and 26.5% </w:t>
      </w:r>
      <w:r w:rsidR="00BA5330">
        <w:t>were</w:t>
      </w:r>
      <w:r w:rsidR="00637C9C">
        <w:t xml:space="preserve"> 1-3 year</w:t>
      </w:r>
      <w:r w:rsidR="00275747">
        <w:t>s</w:t>
      </w:r>
      <w:r w:rsidR="00E51974">
        <w:t>.</w:t>
      </w:r>
      <w:r w:rsidR="00A816AF">
        <w:fldChar w:fldCharType="begin" w:fldLock="1"/>
      </w:r>
      <w:r w:rsidR="00213950">
        <w:instrText>ADDIN CSL_CITATION {"citationItems":[{"id":"ITEM-1","itemData":{"author":[{"dropping-particle":"","family":"Tulloch","given":"John S P","non-dropping-particle":"","parse-names":false,"suffix":""},{"dropping-particle":"","family":"Minford","given":"Simon","non-dropping-particle":"","parse-names":false,"suffix":""},{"dropping-particle":"","family":"Vicky","given":"Pimblett","non-dropping-particle":"","parse-names":false,"suffix":""},{"dropping-particle":"","family":"Rotheram","given":"Matt","non-dropping-particle":"","parse-names":false,"suffix":""},{"dropping-particle":"","family":"Christley","given":"Robert M","non-dropping-particle":"","parse-names":false,"suffix":""},{"dropping-particle":"","family":"Westgarth","given":"Carri","non-dropping-particle":"","parse-names":false,"suffix":""}],"container-title":"BMJ Paediatrics Open","id":"ITEM-1","issue":"In Press","issued":{"date-parts":[["2021"]]},"title":"Paediatric Emergency Department dog bite attendance during the COVID-19 pandemic: an audit at a tertiary children’s hospital","type":"article-journal"},"uris":["http://www.mendeley.com/documents/?uuid=9127017b-1fb4-4f5c-af01-5a354b999026"]}],"mendeley":{"formattedCitation":"&lt;sup&gt;3&lt;/sup&gt;","plainTextFormattedCitation":"3","previouslyFormattedCitation":"[3]"},"properties":{"noteIndex":0},"schema":"https://github.com/citation-style-language/schema/raw/master/csl-citation.json"}</w:instrText>
      </w:r>
      <w:r w:rsidR="00A816AF">
        <w:fldChar w:fldCharType="separate"/>
      </w:r>
      <w:r w:rsidR="00213950" w:rsidRPr="00213950">
        <w:rPr>
          <w:noProof/>
          <w:vertAlign w:val="superscript"/>
        </w:rPr>
        <w:t>3</w:t>
      </w:r>
      <w:r w:rsidR="00A816AF">
        <w:fldChar w:fldCharType="end"/>
      </w:r>
      <w:bookmarkEnd w:id="3"/>
      <w:r w:rsidR="00637C9C">
        <w:t xml:space="preserve"> </w:t>
      </w:r>
      <w:r w:rsidR="00BC337E">
        <w:t xml:space="preserve">It is unknown </w:t>
      </w:r>
      <w:r w:rsidR="00BC337E">
        <w:lastRenderedPageBreak/>
        <w:t>whether</w:t>
      </w:r>
      <w:r w:rsidR="004F28DB">
        <w:t xml:space="preserve"> national</w:t>
      </w:r>
      <w:r w:rsidR="00BC337E">
        <w:t xml:space="preserve"> dog-related deaths have </w:t>
      </w:r>
      <w:r w:rsidR="004F28DB">
        <w:t>increased</w:t>
      </w:r>
      <w:r w:rsidR="005A2B2D">
        <w:t xml:space="preserve"> in line with hospital admissions</w:t>
      </w:r>
      <w:r w:rsidR="004F28DB">
        <w:t>,</w:t>
      </w:r>
      <w:r w:rsidR="00BC337E">
        <w:t xml:space="preserve"> and whether the demographics of the victims are similar. </w:t>
      </w:r>
    </w:p>
    <w:p w14:paraId="698FF0B0" w14:textId="3CD983EB" w:rsidR="00C53149" w:rsidRDefault="00BC337E" w:rsidP="000A4310">
      <w:pPr>
        <w:spacing w:line="360" w:lineRule="auto"/>
        <w:jc w:val="both"/>
      </w:pPr>
      <w:r>
        <w:t>Th</w:t>
      </w:r>
      <w:r w:rsidR="00275747">
        <w:t>is study aimed</w:t>
      </w:r>
      <w:r>
        <w:t xml:space="preserve"> to describe English and Welsh mortality data where the cause of death was registered </w:t>
      </w:r>
      <w:r w:rsidR="004F28DB">
        <w:t xml:space="preserve">as a dog bite or strike. We </w:t>
      </w:r>
      <w:r w:rsidR="005A2B2D">
        <w:t xml:space="preserve">hypothesised </w:t>
      </w:r>
      <w:r w:rsidR="004F28DB">
        <w:t xml:space="preserve">that mortality incidence </w:t>
      </w:r>
      <w:r w:rsidR="00BA5330">
        <w:t xml:space="preserve">trends </w:t>
      </w:r>
      <w:r w:rsidR="005A2B2D">
        <w:t>would</w:t>
      </w:r>
      <w:r w:rsidR="004F28DB">
        <w:t xml:space="preserve"> </w:t>
      </w:r>
      <w:r w:rsidR="00B82A01">
        <w:t xml:space="preserve">be </w:t>
      </w:r>
      <w:r w:rsidR="00D75F91">
        <w:t xml:space="preserve">rising </w:t>
      </w:r>
      <w:r w:rsidR="00B82A01">
        <w:t xml:space="preserve">similar to </w:t>
      </w:r>
      <w:r w:rsidR="004F28DB">
        <w:t>hospital admission</w:t>
      </w:r>
      <w:r w:rsidR="00B82A01">
        <w:t>s</w:t>
      </w:r>
      <w:r w:rsidR="004F28DB">
        <w:t xml:space="preserve"> data. </w:t>
      </w:r>
    </w:p>
    <w:p w14:paraId="7FA6AD01" w14:textId="77777777" w:rsidR="00063F2B" w:rsidRPr="00C53149" w:rsidRDefault="00063F2B" w:rsidP="000A4310">
      <w:pPr>
        <w:spacing w:line="360" w:lineRule="auto"/>
        <w:jc w:val="both"/>
      </w:pPr>
    </w:p>
    <w:p w14:paraId="05BC2666" w14:textId="01FD6D0A" w:rsidR="00D624B2" w:rsidRDefault="00D624B2" w:rsidP="00B216B3">
      <w:pPr>
        <w:keepNext/>
        <w:spacing w:line="360" w:lineRule="auto"/>
        <w:rPr>
          <w:b/>
          <w:bCs/>
        </w:rPr>
      </w:pPr>
      <w:r>
        <w:rPr>
          <w:b/>
          <w:bCs/>
        </w:rPr>
        <w:t>Methods</w:t>
      </w:r>
    </w:p>
    <w:p w14:paraId="731B9D1C" w14:textId="6977F310" w:rsidR="003D2B1F" w:rsidRDefault="00E075E5" w:rsidP="00C154A4">
      <w:pPr>
        <w:spacing w:line="360" w:lineRule="auto"/>
        <w:jc w:val="both"/>
      </w:pPr>
      <w:r>
        <w:t>The Office for National Statistics</w:t>
      </w:r>
      <w:r w:rsidR="00B216B3">
        <w:t xml:space="preserve"> (ONS)</w:t>
      </w:r>
      <w:r>
        <w:t xml:space="preserve"> dataset ‘Deaths registered in England and Wales – 21</w:t>
      </w:r>
      <w:r w:rsidRPr="00E075E5">
        <w:rPr>
          <w:vertAlign w:val="superscript"/>
        </w:rPr>
        <w:t>st</w:t>
      </w:r>
      <w:r>
        <w:t xml:space="preserve"> century mortality’ was explored</w:t>
      </w:r>
      <w:r w:rsidR="00E51974">
        <w:t>.</w:t>
      </w:r>
      <w:r w:rsidR="001C4DDB">
        <w:fldChar w:fldCharType="begin" w:fldLock="1"/>
      </w:r>
      <w:r w:rsidR="00213950">
        <w:instrText>ADDIN CSL_CITATION {"citationItems":[{"id":"ITEM-1","itemData":{"URL":"https://www.ons.gov.uk/peoplepopulationandcommunity/birthsdeathsandmarriages/deaths/datasets/the21stcenturymortalityfilesdeathsdataset","accessed":{"date-parts":[["2022","9","20"]]},"author":[{"dropping-particle":"","family":"Office for National Statistics","given":"","non-dropping-particle":"","parse-names":false,"suffix":""}],"id":"ITEM-1","issued":{"date-parts":[["2022"]]},"title":"Deaths registered in England and Wales – 21st century mortality","type":"webpage"},"uris":["http://www.mendeley.com/documents/?uuid=4751b1bb-97b2-4d13-86a0-5350d087e03e"]}],"mendeley":{"formattedCitation":"&lt;sup&gt;4&lt;/sup&gt;","plainTextFormattedCitation":"4","previouslyFormattedCitation":"[4]"},"properties":{"noteIndex":0},"schema":"https://github.com/citation-style-language/schema/raw/master/csl-citation.json"}</w:instrText>
      </w:r>
      <w:r w:rsidR="001C4DDB">
        <w:fldChar w:fldCharType="separate"/>
      </w:r>
      <w:r w:rsidR="00213950" w:rsidRPr="00213950">
        <w:rPr>
          <w:noProof/>
          <w:vertAlign w:val="superscript"/>
        </w:rPr>
        <w:t>4</w:t>
      </w:r>
      <w:r w:rsidR="001C4DDB">
        <w:fldChar w:fldCharType="end"/>
      </w:r>
      <w:r>
        <w:t xml:space="preserve"> </w:t>
      </w:r>
      <w:r w:rsidR="003D2B1F">
        <w:t>These data are collated through the official certification and registration of deaths, a legal requirement since 1837, as such they have almost complete population coverage of deaths occurring in England and Wales</w:t>
      </w:r>
      <w:r w:rsidR="00E51974">
        <w:t>.</w:t>
      </w:r>
      <w:r w:rsidR="001C4DDB">
        <w:fldChar w:fldCharType="begin" w:fldLock="1"/>
      </w:r>
      <w:r w:rsidR="00213950">
        <w:instrText>ADDIN CSL_CITATION {"citationItems":[{"id":"ITEM-1","itemData":{"URL":"https://www.ons.gov.uk/peoplepopulationandcommunity/birthsdeathsandmarriages/deaths/methodologies/mortalitystatisticsinenglandandwalesqmi","accessed":{"date-parts":[["2022","9","20"]]},"author":[{"dropping-particle":"","family":"Office for National Statistics","given":"","non-dropping-particle":"","parse-names":false,"suffix":""}],"id":"ITEM-1","issued":{"date-parts":[["2022"]]},"title":"Mortality statistics in England and Wales QMI","type":"webpage"},"uris":["http://www.mendeley.com/documents/?uuid=38804962-eeca-4ee6-a82c-0b0ab393475f"]}],"mendeley":{"formattedCitation":"&lt;sup&gt;5&lt;/sup&gt;","plainTextFormattedCitation":"5","previouslyFormattedCitation":"[5]"},"properties":{"noteIndex":0},"schema":"https://github.com/citation-style-language/schema/raw/master/csl-citation.json"}</w:instrText>
      </w:r>
      <w:r w:rsidR="001C4DDB">
        <w:fldChar w:fldCharType="separate"/>
      </w:r>
      <w:r w:rsidR="00213950" w:rsidRPr="00213950">
        <w:rPr>
          <w:noProof/>
          <w:vertAlign w:val="superscript"/>
        </w:rPr>
        <w:t>5</w:t>
      </w:r>
      <w:r w:rsidR="001C4DDB">
        <w:fldChar w:fldCharType="end"/>
      </w:r>
      <w:r w:rsidR="003D2B1F">
        <w:t xml:space="preserve"> </w:t>
      </w:r>
      <w:r w:rsidR="00A70FF7">
        <w:t>The data</w:t>
      </w:r>
      <w:r>
        <w:t xml:space="preserve"> describe the annual number of registered deaths stratified by age group, sex, year</w:t>
      </w:r>
      <w:r w:rsidR="003D2B1F">
        <w:t>,</w:t>
      </w:r>
      <w:r>
        <w:t xml:space="preserve"> </w:t>
      </w:r>
      <w:r w:rsidR="006051B0">
        <w:t xml:space="preserve">geographical region (only </w:t>
      </w:r>
      <w:r w:rsidR="00275747">
        <w:t xml:space="preserve">from </w:t>
      </w:r>
      <w:r w:rsidR="006051B0">
        <w:t xml:space="preserve">2013 onwards), </w:t>
      </w:r>
      <w:r>
        <w:t xml:space="preserve">and </w:t>
      </w:r>
      <w:r w:rsidR="003D2B1F">
        <w:t xml:space="preserve">the </w:t>
      </w:r>
      <w:r>
        <w:t>underlying cause of death.</w:t>
      </w:r>
      <w:r w:rsidR="003D2B1F">
        <w:t xml:space="preserve"> The cause of death is decided upon by </w:t>
      </w:r>
      <w:r w:rsidR="005C796E">
        <w:t>considering</w:t>
      </w:r>
      <w:r w:rsidR="003D2B1F">
        <w:t xml:space="preserve"> data from medical practitioners and coroners</w:t>
      </w:r>
      <w:r w:rsidR="005C796E">
        <w:t xml:space="preserve"> alongside information provided once a death has been registered</w:t>
      </w:r>
      <w:r w:rsidR="003D2B1F">
        <w:t xml:space="preserve">. </w:t>
      </w:r>
      <w:bookmarkStart w:id="5" w:name="_Hlk120625351"/>
      <w:r w:rsidR="000F78C6">
        <w:t>These data solely record the primary cause of death</w:t>
      </w:r>
      <w:r w:rsidR="00513FA3">
        <w:t>;</w:t>
      </w:r>
      <w:r w:rsidR="000F78C6">
        <w:t xml:space="preserve"> secondary or contributing causes are not included in this dataset. </w:t>
      </w:r>
      <w:bookmarkEnd w:id="5"/>
      <w:r w:rsidR="003D2B1F">
        <w:t xml:space="preserve">Cause of death is coded utilising the World Health Organisation’s International Classification of Diseases and Related Health Problems, Tenth </w:t>
      </w:r>
      <w:r w:rsidR="001D39B8">
        <w:t xml:space="preserve">Revision </w:t>
      </w:r>
      <w:r w:rsidR="003D2B1F">
        <w:t>(ICD-10)</w:t>
      </w:r>
      <w:r w:rsidR="00E51974">
        <w:t>.</w:t>
      </w:r>
      <w:r w:rsidR="00384667">
        <w:t xml:space="preserve"> </w:t>
      </w:r>
    </w:p>
    <w:p w14:paraId="11C5802F" w14:textId="49CD6304" w:rsidR="004F28DB" w:rsidRDefault="00D75F91" w:rsidP="00C154A4">
      <w:pPr>
        <w:spacing w:line="360" w:lineRule="auto"/>
        <w:jc w:val="both"/>
      </w:pPr>
      <w:r>
        <w:t>D</w:t>
      </w:r>
      <w:r w:rsidR="005C796E">
        <w:t>eaths</w:t>
      </w:r>
      <w:r w:rsidR="00E075E5">
        <w:t xml:space="preserve"> were identified using the ICD-10 code group W54</w:t>
      </w:r>
      <w:r w:rsidR="00047BE9">
        <w:t xml:space="preserve"> </w:t>
      </w:r>
      <w:r w:rsidR="00690335">
        <w:t>(</w:t>
      </w:r>
      <w:r w:rsidR="002A23AF" w:rsidRPr="002A23AF">
        <w:t xml:space="preserve">Bitten or struck by </w:t>
      </w:r>
      <w:r w:rsidR="00275747">
        <w:t xml:space="preserve">a </w:t>
      </w:r>
      <w:r w:rsidR="002A23AF" w:rsidRPr="002A23AF">
        <w:t>dog</w:t>
      </w:r>
      <w:r w:rsidR="00690335">
        <w:t>)</w:t>
      </w:r>
      <w:r w:rsidR="00E075E5">
        <w:t xml:space="preserve">. </w:t>
      </w:r>
      <w:r w:rsidR="004F28DB">
        <w:t>This was the same code</w:t>
      </w:r>
      <w:r w:rsidR="002A23AF">
        <w:t xml:space="preserve"> group</w:t>
      </w:r>
      <w:r w:rsidR="004F28DB">
        <w:t xml:space="preserve"> </w:t>
      </w:r>
      <w:r w:rsidR="005A2B2D">
        <w:t xml:space="preserve">previously </w:t>
      </w:r>
      <w:r w:rsidR="004F28DB">
        <w:t xml:space="preserve">used to identify individuals admitted to </w:t>
      </w:r>
      <w:r w:rsidR="002A23AF">
        <w:t xml:space="preserve">English </w:t>
      </w:r>
      <w:r w:rsidR="004F28DB">
        <w:t xml:space="preserve">hospitals </w:t>
      </w:r>
      <w:r w:rsidR="00D62E0E">
        <w:t>due to</w:t>
      </w:r>
      <w:r w:rsidR="004F28DB">
        <w:t xml:space="preserve"> dog bites</w:t>
      </w:r>
      <w:r w:rsidR="00E51974">
        <w:t>.</w:t>
      </w:r>
      <w:r w:rsidR="001C4DDB">
        <w:fldChar w:fldCharType="begin" w:fldLock="1"/>
      </w:r>
      <w:r w:rsidR="00213950">
        <w:instrText>ADDIN CSL_CITATION {"citationItems":[{"id":"ITEM-1","itemData":{"author":[{"dropping-particle":"","family":"Tulloch","given":"John S. P.","non-dropping-particle":"","parse-names":false,"suffix":""},{"dropping-particle":"","family":"Owczarczak-Garstecka","given":"Sara C.","non-dropping-particle":"","parse-names":false,"suffix":""},{"dropping-particle":"","family":"Fleming","given":"Kate M.","non-dropping-particle":"","parse-names":false,"suffix":""},{"dropping-particle":"","family":"Vivancos","given":"Roberto","non-dropping-particle":"","parse-names":false,"suffix":""},{"dropping-particle":"","family":"Westgarth","given":"Carri","non-dropping-particle":"","parse-names":false,"suffix":""}],"container-title":"Scientific Reports","id":"ITEM-1","issued":{"date-parts":[["2021"]]},"title":"English hospital episode data analysis (1998 – 2018) reveal that the rise in dog bite hospital admissions is driven by adult cases","type":"article-journal"},"uris":["http://www.mendeley.com/documents/?uuid=cc0b1b1d-ad15-489c-88a4-8b03f6a84b6c"]}],"mendeley":{"formattedCitation":"&lt;sup&gt;2&lt;/sup&gt;","plainTextFormattedCitation":"2","previouslyFormattedCitation":"[2]"},"properties":{"noteIndex":0},"schema":"https://github.com/citation-style-language/schema/raw/master/csl-citation.json"}</w:instrText>
      </w:r>
      <w:r w:rsidR="001C4DDB">
        <w:fldChar w:fldCharType="separate"/>
      </w:r>
      <w:r w:rsidR="00213950" w:rsidRPr="00213950">
        <w:rPr>
          <w:noProof/>
          <w:vertAlign w:val="superscript"/>
        </w:rPr>
        <w:t>2</w:t>
      </w:r>
      <w:r w:rsidR="001C4DDB">
        <w:fldChar w:fldCharType="end"/>
      </w:r>
      <w:r w:rsidR="00E51974">
        <w:t xml:space="preserve"> </w:t>
      </w:r>
      <w:r w:rsidR="00E075E5">
        <w:t xml:space="preserve">The </w:t>
      </w:r>
      <w:r w:rsidR="00B216B3">
        <w:t xml:space="preserve">annual </w:t>
      </w:r>
      <w:r w:rsidR="00E075E5">
        <w:t xml:space="preserve">average number </w:t>
      </w:r>
      <w:r w:rsidR="00B216B3">
        <w:t xml:space="preserve">and </w:t>
      </w:r>
      <w:r w:rsidR="005C796E">
        <w:t>population</w:t>
      </w:r>
      <w:r w:rsidR="00E075E5">
        <w:t xml:space="preserve"> incidence of dog-related deaths </w:t>
      </w:r>
      <w:r w:rsidR="00275747">
        <w:t xml:space="preserve">were </w:t>
      </w:r>
      <w:r w:rsidR="00E075E5">
        <w:t>calculated</w:t>
      </w:r>
      <w:r w:rsidR="00B216B3">
        <w:t xml:space="preserve"> using ONS population data as the denominator</w:t>
      </w:r>
      <w:r w:rsidR="00E51974">
        <w:t>,</w:t>
      </w:r>
      <w:r w:rsidR="00E075E5">
        <w:t xml:space="preserve"> and trends were </w:t>
      </w:r>
      <w:r w:rsidR="002A23AF">
        <w:t>described</w:t>
      </w:r>
      <w:r w:rsidR="00E075E5">
        <w:t xml:space="preserve">. </w:t>
      </w:r>
      <w:r w:rsidR="006051B0">
        <w:t xml:space="preserve">Incidence was stratified by geographical region and plotted. </w:t>
      </w:r>
      <w:r w:rsidR="00D62E0E">
        <w:t>The age and sex of the victims were described</w:t>
      </w:r>
      <w:r w:rsidR="00F17ADB">
        <w:t xml:space="preserve"> and</w:t>
      </w:r>
      <w:r w:rsidR="005C287E">
        <w:t xml:space="preserve"> </w:t>
      </w:r>
      <w:r w:rsidR="00EF04FB">
        <w:t>differences in sex</w:t>
      </w:r>
      <w:r w:rsidR="00F90DD6">
        <w:t>-stratified incidence</w:t>
      </w:r>
      <w:r w:rsidR="00F17ADB">
        <w:t xml:space="preserve"> </w:t>
      </w:r>
      <w:r w:rsidR="00275747">
        <w:t xml:space="preserve">were </w:t>
      </w:r>
      <w:r w:rsidR="00F17ADB">
        <w:t xml:space="preserve">examined using </w:t>
      </w:r>
      <w:r w:rsidR="00F17ADB">
        <w:rPr>
          <w:rFonts w:cstheme="minorHAnsi"/>
        </w:rPr>
        <w:t>χ</w:t>
      </w:r>
      <w:r w:rsidR="00F17ADB">
        <w:rPr>
          <w:vertAlign w:val="superscript"/>
        </w:rPr>
        <w:t>2</w:t>
      </w:r>
      <w:r w:rsidR="00F17ADB">
        <w:t xml:space="preserve"> </w:t>
      </w:r>
      <w:r w:rsidR="00891738">
        <w:t>analysis</w:t>
      </w:r>
      <w:r w:rsidR="00EF04FB">
        <w:t xml:space="preserve">. The ICD-10 codes used were </w:t>
      </w:r>
      <w:r w:rsidR="002A23AF">
        <w:t>analysed</w:t>
      </w:r>
      <w:r w:rsidR="00EF04FB">
        <w:t xml:space="preserve"> to identify any contextual information about the location of where the</w:t>
      </w:r>
      <w:r w:rsidR="0022754B">
        <w:t xml:space="preserve"> dog bite</w:t>
      </w:r>
      <w:r w:rsidR="00690335">
        <w:t>s</w:t>
      </w:r>
      <w:r w:rsidR="0022754B">
        <w:t xml:space="preserve"> </w:t>
      </w:r>
      <w:r w:rsidR="00EF04FB">
        <w:t xml:space="preserve">occurred. </w:t>
      </w:r>
    </w:p>
    <w:p w14:paraId="7B927A4A" w14:textId="3847E903" w:rsidR="00E075E5" w:rsidRDefault="00EF04FB" w:rsidP="00C154A4">
      <w:pPr>
        <w:spacing w:line="360" w:lineRule="auto"/>
        <w:jc w:val="both"/>
      </w:pPr>
      <w:r w:rsidRPr="00EF04FB">
        <w:t>All statistical and spatial analyses were carried out using R language (version 3.2.0) (R Core Team 2015). Results were deemed statistically significant where p &lt; 0.05.</w:t>
      </w:r>
      <w:r>
        <w:t xml:space="preserve"> </w:t>
      </w:r>
    </w:p>
    <w:p w14:paraId="39C2F66D" w14:textId="77777777" w:rsidR="00063F2B" w:rsidRPr="00E075E5" w:rsidRDefault="00063F2B" w:rsidP="00C154A4">
      <w:pPr>
        <w:spacing w:line="360" w:lineRule="auto"/>
        <w:jc w:val="both"/>
      </w:pPr>
    </w:p>
    <w:p w14:paraId="1607325A" w14:textId="6B73E5C3" w:rsidR="00D624B2" w:rsidRDefault="00D624B2" w:rsidP="005C796E">
      <w:pPr>
        <w:spacing w:line="360" w:lineRule="auto"/>
        <w:rPr>
          <w:b/>
          <w:bCs/>
        </w:rPr>
      </w:pPr>
      <w:r>
        <w:rPr>
          <w:b/>
          <w:bCs/>
        </w:rPr>
        <w:t>Results</w:t>
      </w:r>
    </w:p>
    <w:p w14:paraId="76070D5D" w14:textId="31188782" w:rsidR="002E3EC5" w:rsidRDefault="00EF04FB" w:rsidP="004D2C43">
      <w:pPr>
        <w:spacing w:line="360" w:lineRule="auto"/>
        <w:jc w:val="both"/>
      </w:pPr>
      <w:r>
        <w:t xml:space="preserve">Between 2001 and 2021, </w:t>
      </w:r>
      <w:r w:rsidR="00811392">
        <w:t>69</w:t>
      </w:r>
      <w:r>
        <w:t xml:space="preserve"> individual deaths were registered as being caused by a dog</w:t>
      </w:r>
      <w:r w:rsidR="00BE180A">
        <w:t xml:space="preserve"> bite or strike</w:t>
      </w:r>
      <w:r>
        <w:t xml:space="preserve">. The annual number of deaths were </w:t>
      </w:r>
      <w:r w:rsidR="00BE180A">
        <w:t xml:space="preserve">approximately </w:t>
      </w:r>
      <w:r>
        <w:t>normally distributed</w:t>
      </w:r>
      <w:r w:rsidR="004D2C43">
        <w:t>,</w:t>
      </w:r>
      <w:r w:rsidR="00BE180A">
        <w:t xml:space="preserve"> </w:t>
      </w:r>
      <w:r w:rsidR="005545F8">
        <w:t>the</w:t>
      </w:r>
      <w:r>
        <w:t xml:space="preserve"> mean number of dog-related deaths per year</w:t>
      </w:r>
      <w:r w:rsidR="005A3B4D">
        <w:t xml:space="preserve"> </w:t>
      </w:r>
      <w:r w:rsidR="00D62E0E">
        <w:t>was</w:t>
      </w:r>
      <w:r>
        <w:t xml:space="preserve"> 3.29 (95%CI 0.30-6.27)</w:t>
      </w:r>
      <w:r w:rsidR="00C154A4">
        <w:t xml:space="preserve">. </w:t>
      </w:r>
    </w:p>
    <w:p w14:paraId="5842592F" w14:textId="069EAE3B" w:rsidR="00EF04FB" w:rsidRPr="00EF04FB" w:rsidRDefault="007D4572" w:rsidP="005C796E">
      <w:pPr>
        <w:spacing w:line="360" w:lineRule="auto"/>
        <w:jc w:val="both"/>
      </w:pPr>
      <w:r>
        <w:lastRenderedPageBreak/>
        <w:t xml:space="preserve">The mean annual incidence was 0.59 (95%CI 0.06-1.11) per 10 </w:t>
      </w:r>
      <w:r w:rsidRPr="004D2C43">
        <w:t>million (Fig 1).</w:t>
      </w:r>
      <w:r>
        <w:t xml:space="preserve"> </w:t>
      </w:r>
      <w:r w:rsidR="00C154A4">
        <w:t xml:space="preserve">The highest incidence of dog-related deaths was in 2011, with 1.07 (95%CI 0.44-2.20) </w:t>
      </w:r>
      <w:r w:rsidR="009E1C1E">
        <w:t>per 10</w:t>
      </w:r>
      <w:r w:rsidR="00811392">
        <w:t xml:space="preserve"> million</w:t>
      </w:r>
      <w:r w:rsidR="00611664">
        <w:t xml:space="preserve"> </w:t>
      </w:r>
      <w:r w:rsidR="009E1C1E">
        <w:t>population</w:t>
      </w:r>
      <w:r w:rsidR="00F17ADB">
        <w:t>.</w:t>
      </w:r>
      <w:r w:rsidR="009E1C1E">
        <w:t xml:space="preserve"> </w:t>
      </w:r>
      <w:r w:rsidR="005A3B4D">
        <w:t xml:space="preserve">There was no obvious trend in incidence. </w:t>
      </w:r>
    </w:p>
    <w:p w14:paraId="4092C399" w14:textId="59BE6FAB" w:rsidR="00AD75EE" w:rsidRDefault="006051B0" w:rsidP="00AD75EE">
      <w:pPr>
        <w:spacing w:line="360" w:lineRule="auto"/>
        <w:jc w:val="both"/>
      </w:pPr>
      <w:r>
        <w:t xml:space="preserve">Regional variation of dog-related deaths incidence </w:t>
      </w:r>
      <w:r w:rsidR="00B03993">
        <w:t>was evident</w:t>
      </w:r>
      <w:r>
        <w:t>. The North-West of England had the highest average annual incidence of 1.36 deaths per 10 million population</w:t>
      </w:r>
      <w:r w:rsidR="002F3C1C">
        <w:t xml:space="preserve"> (95%CI 0.67-2.48)</w:t>
      </w:r>
      <w:r>
        <w:t xml:space="preserve">, and </w:t>
      </w:r>
      <w:r w:rsidR="002F3C1C">
        <w:t>the East of England</w:t>
      </w:r>
      <w:r>
        <w:t xml:space="preserve"> </w:t>
      </w:r>
      <w:r w:rsidR="00275747">
        <w:t xml:space="preserve">had </w:t>
      </w:r>
      <w:r>
        <w:t>the lowest, 0.1</w:t>
      </w:r>
      <w:r w:rsidR="002F3C1C">
        <w:t>8</w:t>
      </w:r>
      <w:r>
        <w:t xml:space="preserve"> deaths per 10 million population</w:t>
      </w:r>
      <w:r w:rsidR="002F3C1C">
        <w:t xml:space="preserve"> (95%CI 0.02-0.83)</w:t>
      </w:r>
      <w:r>
        <w:t xml:space="preserve"> </w:t>
      </w:r>
      <w:r w:rsidRPr="002F3C1C">
        <w:t xml:space="preserve">(Fig </w:t>
      </w:r>
      <w:r w:rsidR="002D04CF">
        <w:t>1</w:t>
      </w:r>
      <w:r w:rsidRPr="002F3C1C">
        <w:t>).</w:t>
      </w:r>
    </w:p>
    <w:p w14:paraId="5FEBB8E0" w14:textId="0CE79310" w:rsidR="002001CA" w:rsidRDefault="005A3B4D" w:rsidP="00AD75EE">
      <w:pPr>
        <w:spacing w:line="360" w:lineRule="auto"/>
        <w:jc w:val="both"/>
      </w:pPr>
      <w:r>
        <w:t xml:space="preserve">Fifty-nine percent of victims (n=41, 59.4% 95%CI 46.9-71.1) were </w:t>
      </w:r>
      <w:r w:rsidR="0054645F">
        <w:t>male</w:t>
      </w:r>
      <w:r w:rsidR="00F00A54">
        <w:t xml:space="preserve"> (</w:t>
      </w:r>
      <w:r w:rsidR="00F90DD6">
        <w:t>0.67 cases per 10 million population</w:t>
      </w:r>
      <w:r w:rsidR="00223883">
        <w:t xml:space="preserve"> (95%CI 0.48-0.91), </w:t>
      </w:r>
      <w:r w:rsidR="00F00A54">
        <w:t>compared to</w:t>
      </w:r>
      <w:r w:rsidR="00223883">
        <w:t xml:space="preserve"> 0.44 cases per 10 million (95%CI 0.29-0.63)</w:t>
      </w:r>
      <w:r w:rsidR="00F00A54">
        <w:t xml:space="preserve"> in females</w:t>
      </w:r>
      <w:r w:rsidR="00F17ADB">
        <w:t xml:space="preserve"> (</w:t>
      </w:r>
      <w:r w:rsidR="00870CCB">
        <w:t>p</w:t>
      </w:r>
      <w:r w:rsidR="00F17ADB">
        <w:t>=0.08)</w:t>
      </w:r>
      <w:r w:rsidR="00F00A54">
        <w:t>)</w:t>
      </w:r>
      <w:r w:rsidR="00223883">
        <w:t xml:space="preserve">.  </w:t>
      </w:r>
      <w:r w:rsidR="00B7045D">
        <w:t>There appeared to be three peaks in incidence among m</w:t>
      </w:r>
      <w:r w:rsidR="00223883">
        <w:t>ales; 75-84 years (75-79</w:t>
      </w:r>
      <w:r w:rsidR="00A5223D">
        <w:t xml:space="preserve"> </w:t>
      </w:r>
      <w:r w:rsidR="00223883">
        <w:t>=</w:t>
      </w:r>
      <w:r w:rsidR="00A5223D">
        <w:t xml:space="preserve"> </w:t>
      </w:r>
      <w:r w:rsidR="00223883">
        <w:t>2.01, 80-84 = 2.36), 50-54 years (1.02), and &lt;5 years (0.86)</w:t>
      </w:r>
      <w:r w:rsidR="00B6009E">
        <w:t xml:space="preserve">, </w:t>
      </w:r>
      <w:r w:rsidR="00F00A54">
        <w:t>and</w:t>
      </w:r>
      <w:r w:rsidR="00223883">
        <w:t xml:space="preserve"> two </w:t>
      </w:r>
      <w:r w:rsidR="00F00A54">
        <w:t>in females</w:t>
      </w:r>
      <w:r w:rsidR="00223883">
        <w:t>; 75-79 years (1.53), and &lt;</w:t>
      </w:r>
      <w:r w:rsidR="00275747">
        <w:t xml:space="preserve">5 years </w:t>
      </w:r>
      <w:r w:rsidR="00223883">
        <w:t>(1.21)</w:t>
      </w:r>
      <w:r w:rsidR="00B6009E" w:rsidRPr="00B6009E">
        <w:t xml:space="preserve"> </w:t>
      </w:r>
      <w:r w:rsidR="00B6009E">
        <w:t>(</w:t>
      </w:r>
      <w:r w:rsidR="00B6009E" w:rsidRPr="00B30CC7">
        <w:t xml:space="preserve">Fig </w:t>
      </w:r>
      <w:r w:rsidR="002D04CF">
        <w:t>1</w:t>
      </w:r>
      <w:r w:rsidR="00B6009E">
        <w:t>)</w:t>
      </w:r>
      <w:r w:rsidR="00223883">
        <w:t>.</w:t>
      </w:r>
    </w:p>
    <w:p w14:paraId="199C3C4C" w14:textId="07748161" w:rsidR="00213950" w:rsidRDefault="00F86B80" w:rsidP="00F86B80">
      <w:pPr>
        <w:spacing w:line="360" w:lineRule="auto"/>
        <w:jc w:val="both"/>
      </w:pPr>
      <w:r>
        <w:t xml:space="preserve">The majority of ICD-10 codes were not used, and from 2020 onwards the summary code </w:t>
      </w:r>
      <w:r w:rsidR="004907F5">
        <w:t>‘</w:t>
      </w:r>
      <w:r>
        <w:t>W54</w:t>
      </w:r>
      <w:r w:rsidR="004907F5">
        <w:t>’</w:t>
      </w:r>
      <w:r>
        <w:t xml:space="preserve"> was solely used</w:t>
      </w:r>
      <w:r w:rsidR="00213950">
        <w:t>.</w:t>
      </w:r>
      <w:r>
        <w:t xml:space="preserve"> Only two codes specified a location of the dog attack (n=42, 60.9%</w:t>
      </w:r>
      <w:r w:rsidR="00213950">
        <w:t xml:space="preserve"> of cases</w:t>
      </w:r>
      <w:r>
        <w:t>)</w:t>
      </w:r>
      <w:r w:rsidR="00B65475">
        <w:t>.</w:t>
      </w:r>
      <w:r>
        <w:t xml:space="preserve"> Of these, 81.0% (95%CI 65.9-91.4) occurred at home</w:t>
      </w:r>
      <w:r w:rsidR="00213950">
        <w:t xml:space="preserve"> (W54.0)</w:t>
      </w:r>
      <w:r>
        <w:t xml:space="preserve"> and 19.0% (95%CI 8.6-34.1) occurred on the street or highway</w:t>
      </w:r>
      <w:r w:rsidR="00213950">
        <w:t xml:space="preserve"> (W54.8)</w:t>
      </w:r>
      <w:r>
        <w:t>.</w:t>
      </w:r>
    </w:p>
    <w:p w14:paraId="1B94082F" w14:textId="77777777" w:rsidR="00063F2B" w:rsidRDefault="00063F2B" w:rsidP="00F86B80">
      <w:pPr>
        <w:spacing w:line="360" w:lineRule="auto"/>
        <w:jc w:val="both"/>
      </w:pPr>
    </w:p>
    <w:p w14:paraId="2E986739" w14:textId="4D6FD47B" w:rsidR="00E075E5" w:rsidRDefault="00F86B80">
      <w:pPr>
        <w:rPr>
          <w:b/>
          <w:bCs/>
        </w:rPr>
      </w:pPr>
      <w:r w:rsidRPr="00F86B80">
        <w:rPr>
          <w:b/>
          <w:bCs/>
        </w:rPr>
        <w:t>Discussion</w:t>
      </w:r>
    </w:p>
    <w:p w14:paraId="18B57ED5" w14:textId="2F43C3B1" w:rsidR="008968D0" w:rsidRDefault="008968D0" w:rsidP="008968D0">
      <w:pPr>
        <w:spacing w:line="360" w:lineRule="auto"/>
        <w:jc w:val="both"/>
      </w:pPr>
      <w:r>
        <w:t>Th</w:t>
      </w:r>
      <w:r w:rsidR="00B81524">
        <w:t>e</w:t>
      </w:r>
      <w:r>
        <w:t xml:space="preserve"> </w:t>
      </w:r>
      <w:r w:rsidR="00FE03AD">
        <w:t xml:space="preserve">findings of this </w:t>
      </w:r>
      <w:r>
        <w:t xml:space="preserve">study </w:t>
      </w:r>
      <w:r w:rsidR="00F44FF7">
        <w:t xml:space="preserve">do not support our initial </w:t>
      </w:r>
      <w:r w:rsidR="00AD482A">
        <w:t>hypothesis</w:t>
      </w:r>
      <w:r w:rsidR="00F44FF7">
        <w:t xml:space="preserve"> that</w:t>
      </w:r>
      <w:r w:rsidR="00FE03AD">
        <w:t xml:space="preserve"> </w:t>
      </w:r>
      <w:r>
        <w:t>dog-related deaths in England and Wales</w:t>
      </w:r>
      <w:r w:rsidR="005545F8">
        <w:t xml:space="preserve"> </w:t>
      </w:r>
      <w:r w:rsidR="00AD482A">
        <w:t xml:space="preserve">were increasing in number </w:t>
      </w:r>
      <w:r w:rsidR="005545F8">
        <w:t>between and including 2001-2021</w:t>
      </w:r>
      <w:r w:rsidR="007F33C1">
        <w:t xml:space="preserve">, </w:t>
      </w:r>
      <w:r>
        <w:t>and</w:t>
      </w:r>
      <w:r w:rsidR="007F33C1">
        <w:t xml:space="preserve"> </w:t>
      </w:r>
      <w:r w:rsidR="00AD482A">
        <w:t xml:space="preserve">instead they appear to be </w:t>
      </w:r>
      <w:r w:rsidR="00726F2F">
        <w:t>at a</w:t>
      </w:r>
      <w:r w:rsidR="007F33C1">
        <w:t xml:space="preserve"> </w:t>
      </w:r>
      <w:r>
        <w:t>stable, low</w:t>
      </w:r>
      <w:r w:rsidR="00E83579">
        <w:t xml:space="preserve"> </w:t>
      </w:r>
      <w:r>
        <w:t xml:space="preserve">rate; </w:t>
      </w:r>
      <w:r w:rsidR="007F75E4">
        <w:t xml:space="preserve">averaging </w:t>
      </w:r>
      <w:r>
        <w:t xml:space="preserve">three deaths per year. </w:t>
      </w:r>
      <w:r w:rsidR="006C195C">
        <w:t>For</w:t>
      </w:r>
      <w:r>
        <w:t xml:space="preserve"> context, over the same period on average </w:t>
      </w:r>
      <w:r w:rsidR="00B65475">
        <w:t>one</w:t>
      </w:r>
      <w:r>
        <w:t xml:space="preserve"> person per year died due to a lightning strike (ICD-10 code: X33)</w:t>
      </w:r>
      <w:r w:rsidR="00E51974">
        <w:t>,</w:t>
      </w:r>
      <w:r w:rsidR="002001CA">
        <w:fldChar w:fldCharType="begin" w:fldLock="1"/>
      </w:r>
      <w:r w:rsidR="00213950">
        <w:instrText>ADDIN CSL_CITATION {"citationItems":[{"id":"ITEM-1","itemData":{"URL":"https://www.ons.gov.uk/peoplepopulationandcommunity/birthsdeathsandmarriages/deaths/datasets/the21stcenturymortalityfilesdeathsdataset","accessed":{"date-parts":[["2022","9","20"]]},"author":[{"dropping-particle":"","family":"Office for National Statistics","given":"","non-dropping-particle":"","parse-names":false,"suffix":""}],"id":"ITEM-1","issued":{"date-parts":[["2022"]]},"title":"Deaths registered in England and Wales – 21st century mortality","type":"webpage"},"uris":["http://www.mendeley.com/documents/?uuid=4751b1bb-97b2-4d13-86a0-5350d087e03e"]}],"mendeley":{"formattedCitation":"&lt;sup&gt;4&lt;/sup&gt;","plainTextFormattedCitation":"4","previouslyFormattedCitation":"[4]"},"properties":{"noteIndex":0},"schema":"https://github.com/citation-style-language/schema/raw/master/csl-citation.json"}</w:instrText>
      </w:r>
      <w:r w:rsidR="002001CA">
        <w:fldChar w:fldCharType="separate"/>
      </w:r>
      <w:r w:rsidR="00213950" w:rsidRPr="00213950">
        <w:rPr>
          <w:noProof/>
          <w:vertAlign w:val="superscript"/>
        </w:rPr>
        <w:t>4</w:t>
      </w:r>
      <w:r w:rsidR="002001CA">
        <w:fldChar w:fldCharType="end"/>
      </w:r>
      <w:r>
        <w:t xml:space="preserve"> 3 after falling from a tree (ICD-10 code: W14)</w:t>
      </w:r>
      <w:r w:rsidR="00E51974">
        <w:t>,</w:t>
      </w:r>
      <w:r w:rsidR="002001CA">
        <w:t xml:space="preserve"> </w:t>
      </w:r>
      <w:r w:rsidR="002001CA">
        <w:fldChar w:fldCharType="begin" w:fldLock="1"/>
      </w:r>
      <w:r w:rsidR="00213950">
        <w:instrText>ADDIN CSL_CITATION {"citationItems":[{"id":"ITEM-1","itemData":{"URL":"https://www.ons.gov.uk/peoplepopulationandcommunity/birthsdeathsandmarriages/deaths/datasets/the21stcenturymortalityfilesdeathsdataset","accessed":{"date-parts":[["2022","9","20"]]},"author":[{"dropping-particle":"","family":"Office for National Statistics","given":"","non-dropping-particle":"","parse-names":false,"suffix":""}],"id":"ITEM-1","issued":{"date-parts":[["2022"]]},"title":"Deaths registered in England and Wales – 21st century mortality","type":"webpage"},"uris":["http://www.mendeley.com/documents/?uuid=4751b1bb-97b2-4d13-86a0-5350d087e03e"]}],"mendeley":{"formattedCitation":"&lt;sup&gt;4&lt;/sup&gt;","plainTextFormattedCitation":"4","previouslyFormattedCitation":"[4]"},"properties":{"noteIndex":0},"schema":"https://github.com/citation-style-language/schema/raw/master/csl-citation.json"}</w:instrText>
      </w:r>
      <w:r w:rsidR="002001CA">
        <w:fldChar w:fldCharType="separate"/>
      </w:r>
      <w:r w:rsidR="00213950" w:rsidRPr="00213950">
        <w:rPr>
          <w:noProof/>
          <w:vertAlign w:val="superscript"/>
        </w:rPr>
        <w:t>4</w:t>
      </w:r>
      <w:r w:rsidR="002001CA">
        <w:fldChar w:fldCharType="end"/>
      </w:r>
      <w:r>
        <w:t xml:space="preserve"> and 1</w:t>
      </w:r>
      <w:r w:rsidR="00E83579">
        <w:t>,</w:t>
      </w:r>
      <w:r>
        <w:t xml:space="preserve">548 </w:t>
      </w:r>
      <w:r w:rsidR="004070B6">
        <w:t xml:space="preserve">in </w:t>
      </w:r>
      <w:r>
        <w:t>road accidents</w:t>
      </w:r>
      <w:r w:rsidR="00E51974">
        <w:t>.</w:t>
      </w:r>
      <w:r w:rsidR="002001CA">
        <w:fldChar w:fldCharType="begin" w:fldLock="1"/>
      </w:r>
      <w:r w:rsidR="00213950">
        <w:instrText>ADDIN CSL_CITATION {"citationItems":[{"id":"ITEM-1","itemData":{"URL":"https://www.gov.uk/government/statistical-data-sets/reported-road-accidents-vehicles-and-casualties-tables-for-great-britain","accessed":{"date-parts":[["2022","9","20"]]},"author":[{"dropping-particle":"","family":"Transport","given":"Department for","non-dropping-particle":"","parse-names":false,"suffix":""}],"id":"ITEM-1","issued":{"date-parts":[["2022"]]},"title":"Reported road accidents, vehicles and casualties tables for Great Britain","type":"webpage"},"uris":["http://www.mendeley.com/documents/?uuid=c4386810-a0c7-4153-9d1f-e0f080c2b376"]}],"mendeley":{"formattedCitation":"&lt;sup&gt;6&lt;/sup&gt;","plainTextFormattedCitation":"6","previouslyFormattedCitation":"[6]"},"properties":{"noteIndex":0},"schema":"https://github.com/citation-style-language/schema/raw/master/csl-citation.json"}</w:instrText>
      </w:r>
      <w:r w:rsidR="002001CA">
        <w:fldChar w:fldCharType="separate"/>
      </w:r>
      <w:r w:rsidR="00213950" w:rsidRPr="00213950">
        <w:rPr>
          <w:noProof/>
          <w:vertAlign w:val="superscript"/>
        </w:rPr>
        <w:t>6</w:t>
      </w:r>
      <w:r w:rsidR="002001CA">
        <w:fldChar w:fldCharType="end"/>
      </w:r>
      <w:r>
        <w:t xml:space="preserve"> </w:t>
      </w:r>
      <w:r w:rsidR="000A4310" w:rsidRPr="006817BC">
        <w:t>Data has yet to be</w:t>
      </w:r>
      <w:r w:rsidR="006817BC">
        <w:t xml:space="preserve"> officially</w:t>
      </w:r>
      <w:r w:rsidR="000A4310" w:rsidRPr="006817BC">
        <w:t xml:space="preserve"> collated for </w:t>
      </w:r>
      <w:r w:rsidR="00E83579" w:rsidRPr="006817BC">
        <w:t>2022</w:t>
      </w:r>
      <w:r w:rsidR="000A4310" w:rsidRPr="006817BC">
        <w:t xml:space="preserve"> but </w:t>
      </w:r>
      <w:r w:rsidR="00672C59">
        <w:t>it may record the</w:t>
      </w:r>
      <w:r w:rsidR="000A4310" w:rsidRPr="006817BC">
        <w:t xml:space="preserve"> greatest number of deaths for over 20 years.</w:t>
      </w:r>
      <w:r w:rsidR="000A4310">
        <w:t xml:space="preserve"> However, </w:t>
      </w:r>
      <w:r w:rsidR="00646EFA">
        <w:t xml:space="preserve">this </w:t>
      </w:r>
      <w:r w:rsidR="000A4310">
        <w:t>must be treated with caution as one anomalous year does not make a</w:t>
      </w:r>
      <w:r w:rsidR="004070B6">
        <w:t>n increasing</w:t>
      </w:r>
      <w:r w:rsidR="000A4310">
        <w:t xml:space="preserve"> trend. </w:t>
      </w:r>
      <w:r w:rsidR="00931392">
        <w:t>Nevertheless</w:t>
      </w:r>
      <w:r w:rsidR="00B9442D">
        <w:t>, t</w:t>
      </w:r>
      <w:r w:rsidR="000A4310">
        <w:t>he</w:t>
      </w:r>
      <w:r w:rsidR="00B9442D">
        <w:t xml:space="preserve"> media reports are </w:t>
      </w:r>
      <w:r w:rsidR="006C494B">
        <w:t>concerning,</w:t>
      </w:r>
      <w:r w:rsidR="00B9442D">
        <w:t xml:space="preserve"> and we recommend that</w:t>
      </w:r>
      <w:r w:rsidR="000A4310">
        <w:t xml:space="preserve"> data need to be reviewed annually to </w:t>
      </w:r>
      <w:r w:rsidR="00B9442D">
        <w:t>identify</w:t>
      </w:r>
      <w:r w:rsidR="000A4310">
        <w:t xml:space="preserve"> whether a</w:t>
      </w:r>
      <w:r w:rsidR="005545F8">
        <w:t>ny</w:t>
      </w:r>
      <w:r w:rsidR="000A4310">
        <w:t xml:space="preserve"> trend</w:t>
      </w:r>
      <w:r w:rsidR="00BF2FE2">
        <w:t>s</w:t>
      </w:r>
      <w:r w:rsidR="000A4310">
        <w:t xml:space="preserve"> of dog-related deaths emerge.</w:t>
      </w:r>
    </w:p>
    <w:p w14:paraId="5DAA21BC" w14:textId="675C7D2C" w:rsidR="00726F2F" w:rsidRDefault="00726F2F" w:rsidP="008968D0">
      <w:pPr>
        <w:spacing w:line="360" w:lineRule="auto"/>
        <w:jc w:val="both"/>
      </w:pPr>
      <w:r>
        <w:t>The</w:t>
      </w:r>
      <w:r w:rsidR="00CA6B08">
        <w:t xml:space="preserve"> calculated</w:t>
      </w:r>
      <w:r>
        <w:t xml:space="preserve"> incidence of dog-related deaths (0</w:t>
      </w:r>
      <w:r w:rsidR="00CA6B08">
        <w:t>.</w:t>
      </w:r>
      <w:r w:rsidR="00DB6AFE">
        <w:t xml:space="preserve">59 </w:t>
      </w:r>
      <w:r w:rsidR="00CA6B08">
        <w:t xml:space="preserve">deaths per </w:t>
      </w:r>
      <w:r w:rsidR="00DB6AFE">
        <w:t>10 million</w:t>
      </w:r>
      <w:r w:rsidR="00CA6B08">
        <w:t xml:space="preserve"> population) is slightly lower than in the United States of America</w:t>
      </w:r>
      <w:r w:rsidR="00E83579">
        <w:t xml:space="preserve"> (USA)</w:t>
      </w:r>
      <w:r w:rsidR="00CA6B08">
        <w:t xml:space="preserve"> (</w:t>
      </w:r>
      <w:r w:rsidR="00DB6AFE">
        <w:t>1.1</w:t>
      </w:r>
      <w:r w:rsidR="00CA6B08">
        <w:t xml:space="preserve"> deaths per </w:t>
      </w:r>
      <w:r w:rsidR="00DB6AFE">
        <w:t>10 million</w:t>
      </w:r>
      <w:r w:rsidR="00CA6B08">
        <w:t xml:space="preserve"> population)</w:t>
      </w:r>
      <w:r w:rsidR="00E51974">
        <w:t>,</w:t>
      </w:r>
      <w:r w:rsidR="004070B6">
        <w:t xml:space="preserve"> and</w:t>
      </w:r>
      <w:r w:rsidR="00B30CC7">
        <w:t xml:space="preserve"> </w:t>
      </w:r>
      <w:r w:rsidR="00277714">
        <w:t>similarly stable</w:t>
      </w:r>
      <w:r w:rsidR="00E51974">
        <w:t>.</w:t>
      </w:r>
      <w:r w:rsidR="00384667" w:rsidRPr="00384667">
        <w:t xml:space="preserve"> </w:t>
      </w:r>
      <w:r w:rsidR="00384667">
        <w:fldChar w:fldCharType="begin" w:fldLock="1"/>
      </w:r>
      <w:r w:rsidR="00213950">
        <w:instrText>ADDIN CSL_CITATION {"citationItems":[{"id":"ITEM-1","itemData":{"URL":"https://wonder.cdc.gov/Deaths-by-Underlying-Cause.html","author":[{"dropping-particle":"","family":"Prevention","given":"Centers for Disease Control and","non-dropping-particle":"","parse-names":false,"suffix":""}],"id":"ITEM-1","issued":{"date-parts":[["2021"]]},"title":"National Center for Health Statistics Mortality Data on CDC WONDER","type":"webpage"},"uris":["http://www.mendeley.com/documents/?uuid=52acb2f2-3306-42d5-9891-d7c9cdf16df5"]}],"mendeley":{"formattedCitation":"&lt;sup&gt;7&lt;/sup&gt;","plainTextFormattedCitation":"7","previouslyFormattedCitation":"[7]"},"properties":{"noteIndex":0},"schema":"https://github.com/citation-style-language/schema/raw/master/csl-citation.json"}</w:instrText>
      </w:r>
      <w:r w:rsidR="00384667">
        <w:fldChar w:fldCharType="separate"/>
      </w:r>
      <w:r w:rsidR="00213950" w:rsidRPr="00213950">
        <w:rPr>
          <w:noProof/>
          <w:vertAlign w:val="superscript"/>
        </w:rPr>
        <w:t>7</w:t>
      </w:r>
      <w:r w:rsidR="00384667">
        <w:fldChar w:fldCharType="end"/>
      </w:r>
      <w:r w:rsidR="00277714">
        <w:t xml:space="preserve"> </w:t>
      </w:r>
      <w:r w:rsidR="004070B6">
        <w:t>However, t</w:t>
      </w:r>
      <w:r w:rsidR="000161FD">
        <w:t>he</w:t>
      </w:r>
      <w:r w:rsidR="00E83579">
        <w:t xml:space="preserve"> </w:t>
      </w:r>
      <w:r w:rsidR="006F3560">
        <w:t>annual</w:t>
      </w:r>
      <w:r w:rsidR="007850DD">
        <w:t xml:space="preserve"> European Union</w:t>
      </w:r>
      <w:r w:rsidR="006F3560">
        <w:t xml:space="preserve"> </w:t>
      </w:r>
      <w:r w:rsidR="007850DD">
        <w:t>(</w:t>
      </w:r>
      <w:r w:rsidR="00E83579">
        <w:t>EU</w:t>
      </w:r>
      <w:r w:rsidR="007850DD">
        <w:t>)</w:t>
      </w:r>
      <w:r w:rsidR="00E83579">
        <w:t xml:space="preserve"> </w:t>
      </w:r>
      <w:r w:rsidR="00284919">
        <w:t>incidence</w:t>
      </w:r>
      <w:r w:rsidR="006F3560">
        <w:t>, between 1995 and 2016,</w:t>
      </w:r>
      <w:r w:rsidR="00E83579">
        <w:t xml:space="preserve"> </w:t>
      </w:r>
      <w:r w:rsidR="004070B6">
        <w:t xml:space="preserve">has been </w:t>
      </w:r>
      <w:r w:rsidR="00E83579" w:rsidRPr="00B30CC7">
        <w:t>estimated</w:t>
      </w:r>
      <w:r w:rsidR="00284919" w:rsidRPr="00B30CC7">
        <w:t xml:space="preserve"> </w:t>
      </w:r>
      <w:r w:rsidR="00E83579" w:rsidRPr="00B30CC7">
        <w:t>as</w:t>
      </w:r>
      <w:r w:rsidR="00284919" w:rsidRPr="00B30CC7">
        <w:t xml:space="preserve"> 0.9 per </w:t>
      </w:r>
      <w:r w:rsidR="00DB6AFE">
        <w:t>10 million</w:t>
      </w:r>
      <w:r w:rsidR="00284919" w:rsidRPr="00B30CC7">
        <w:t xml:space="preserve"> population</w:t>
      </w:r>
      <w:r w:rsidR="00284919">
        <w:t xml:space="preserve">, </w:t>
      </w:r>
      <w:r w:rsidR="00277714">
        <w:t xml:space="preserve">with an </w:t>
      </w:r>
      <w:r w:rsidR="00277714" w:rsidRPr="007850DD">
        <w:t>annual increase of 5.6%</w:t>
      </w:r>
      <w:r w:rsidR="00E51974" w:rsidRPr="007850DD">
        <w:t>,</w:t>
      </w:r>
      <w:r w:rsidR="00221C4B" w:rsidRPr="007850DD">
        <w:fldChar w:fldCharType="begin" w:fldLock="1"/>
      </w:r>
      <w:r w:rsidR="00213950">
        <w:instrText>ADDIN CSL_CITATION {"citationItems":[{"id":"ITEM-1","itemData":{"DOI":"10.1016/j.forsciint.2020.110592","ISSN":"03790738","author":[{"dropping-particle":"","family":"Sarenbo","given":"Sirkku","non-dropping-particle":"","parse-names":false,"suffix":""},{"dropping-particle":"","family":"Svensson","given":"P. Andreas","non-dropping-particle":"","parse-names":false,"suffix":""}],"container-title":"Forensic Science International","id":"ITEM-1","issued":{"date-parts":[["2021","1"]]},"page":"110592","title":"Bitten or struck by dog: A rising number of fatalities in Europe, 1995–2016","type":"article-journal","volume":"318"},"uris":["http://www.mendeley.com/documents/?uuid=38cc1947-0edd-44e7-8bdb-8fee4a3230a3"]}],"mendeley":{"formattedCitation":"&lt;sup&gt;8&lt;/sup&gt;","plainTextFormattedCitation":"8","previouslyFormattedCitation":"[8]"},"properties":{"noteIndex":0},"schema":"https://github.com/citation-style-language/schema/raw/master/csl-citation.json"}</w:instrText>
      </w:r>
      <w:r w:rsidR="00221C4B" w:rsidRPr="007850DD">
        <w:fldChar w:fldCharType="separate"/>
      </w:r>
      <w:r w:rsidR="00213950" w:rsidRPr="00213950">
        <w:rPr>
          <w:noProof/>
          <w:vertAlign w:val="superscript"/>
        </w:rPr>
        <w:t>8</w:t>
      </w:r>
      <w:r w:rsidR="00221C4B" w:rsidRPr="007850DD">
        <w:fldChar w:fldCharType="end"/>
      </w:r>
      <w:r w:rsidR="004070B6">
        <w:t xml:space="preserve"> ranging</w:t>
      </w:r>
      <w:r w:rsidR="00F00A61">
        <w:t xml:space="preserve"> from 0 in Ireland and Luxembourg to </w:t>
      </w:r>
      <w:r w:rsidR="00DB6AFE">
        <w:t>4.5</w:t>
      </w:r>
      <w:r w:rsidR="00F00A61">
        <w:t xml:space="preserve"> in Hungary, with a median of </w:t>
      </w:r>
      <w:r w:rsidR="00F00A61" w:rsidRPr="006F3560">
        <w:t xml:space="preserve">0.6 deaths per </w:t>
      </w:r>
      <w:r w:rsidR="00DB6AFE">
        <w:t>10 million</w:t>
      </w:r>
      <w:r w:rsidR="00F00A61" w:rsidRPr="006F3560">
        <w:t xml:space="preserve"> across the </w:t>
      </w:r>
      <w:r w:rsidR="00BF2FE2" w:rsidRPr="006F3560">
        <w:t xml:space="preserve">EU </w:t>
      </w:r>
      <w:r w:rsidR="00F00A61" w:rsidRPr="006F3560">
        <w:t>nations</w:t>
      </w:r>
      <w:r w:rsidR="00F00A61">
        <w:t xml:space="preserve">. It can be concluded that the incidence </w:t>
      </w:r>
      <w:r w:rsidR="007850DD">
        <w:t xml:space="preserve">of </w:t>
      </w:r>
      <w:r w:rsidR="00F00A61">
        <w:t xml:space="preserve">dog-related deaths in England and Wales </w:t>
      </w:r>
      <w:r w:rsidR="00275747">
        <w:t xml:space="preserve">are </w:t>
      </w:r>
      <w:r w:rsidR="00F00A61">
        <w:t xml:space="preserve">not </w:t>
      </w:r>
      <w:r w:rsidR="00C8336E">
        <w:t>anomalous and</w:t>
      </w:r>
      <w:r w:rsidR="00F00A61">
        <w:t xml:space="preserve"> is similar to many other North American and European </w:t>
      </w:r>
      <w:r w:rsidR="00BF2FE2">
        <w:t>countries</w:t>
      </w:r>
      <w:r w:rsidR="00F00A61">
        <w:t xml:space="preserve">. </w:t>
      </w:r>
      <w:r w:rsidR="007850DD">
        <w:t xml:space="preserve">However, the trend data do not </w:t>
      </w:r>
      <w:r w:rsidR="007850DD">
        <w:lastRenderedPageBreak/>
        <w:t>match the EU, which saw an increase above and beyond the growth in the dog population.</w:t>
      </w:r>
      <w:r w:rsidR="00213950" w:rsidRPr="007850DD">
        <w:fldChar w:fldCharType="begin" w:fldLock="1"/>
      </w:r>
      <w:r w:rsidR="00213950">
        <w:instrText>ADDIN CSL_CITATION {"citationItems":[{"id":"ITEM-1","itemData":{"DOI":"10.1016/j.forsciint.2020.110592","ISSN":"03790738","author":[{"dropping-particle":"","family":"Sarenbo","given":"Sirkku","non-dropping-particle":"","parse-names":false,"suffix":""},{"dropping-particle":"","family":"Svensson","given":"P. Andreas","non-dropping-particle":"","parse-names":false,"suffix":""}],"container-title":"Forensic Science International","id":"ITEM-1","issued":{"date-parts":[["2021","1"]]},"page":"110592","title":"Bitten or struck by dog: A rising number of fatalities in Europe, 1995–2016","type":"article-journal","volume":"318"},"uris":["http://www.mendeley.com/documents/?uuid=38cc1947-0edd-44e7-8bdb-8fee4a3230a3"]}],"mendeley":{"formattedCitation":"&lt;sup&gt;8&lt;/sup&gt;","plainTextFormattedCitation":"8","previouslyFormattedCitation":"[8]"},"properties":{"noteIndex":0},"schema":"https://github.com/citation-style-language/schema/raw/master/csl-citation.json"}</w:instrText>
      </w:r>
      <w:r w:rsidR="00213950" w:rsidRPr="007850DD">
        <w:fldChar w:fldCharType="separate"/>
      </w:r>
      <w:r w:rsidR="00213950" w:rsidRPr="00213950">
        <w:rPr>
          <w:noProof/>
          <w:vertAlign w:val="superscript"/>
        </w:rPr>
        <w:t>8</w:t>
      </w:r>
      <w:r w:rsidR="00213950" w:rsidRPr="007850DD">
        <w:fldChar w:fldCharType="end"/>
      </w:r>
      <w:r w:rsidR="007850DD">
        <w:t xml:space="preserve"> This is similar to English hospital admissions for dog bites, which saw an increasing rate of admissions that was greater than rate of growth in the dog population.</w:t>
      </w:r>
      <w:r w:rsidR="0038121A" w:rsidRPr="0038121A">
        <w:t xml:space="preserve"> </w:t>
      </w:r>
      <w:r w:rsidR="0038121A">
        <w:fldChar w:fldCharType="begin" w:fldLock="1"/>
      </w:r>
      <w:r w:rsidR="0038121A">
        <w:instrText>ADDIN CSL_CITATION {"citationItems":[{"id":"ITEM-1","itemData":{"author":[{"dropping-particle":"","family":"Tulloch","given":"John S. P.","non-dropping-particle":"","parse-names":false,"suffix":""},{"dropping-particle":"","family":"Owczarczak-Garstecka","given":"Sara C.","non-dropping-particle":"","parse-names":false,"suffix":""},{"dropping-particle":"","family":"Fleming","given":"Kate M.","non-dropping-particle":"","parse-names":false,"suffix":""},{"dropping-particle":"","family":"Vivancos","given":"Roberto","non-dropping-particle":"","parse-names":false,"suffix":""},{"dropping-particle":"","family":"Westgarth","given":"Carri","non-dropping-particle":"","parse-names":false,"suffix":""}],"container-title":"Scientific Reports","id":"ITEM-1","issued":{"date-parts":[["2021"]]},"title":"English hospital episode data analysis (1998 – 2018) reveal that the rise in dog bite hospital admissions is driven by adult cases","type":"article-journal"},"uris":["http://www.mendeley.com/documents/?uuid=cc0b1b1d-ad15-489c-88a4-8b03f6a84b6c"]}],"mendeley":{"formattedCitation":"&lt;sup&gt;2&lt;/sup&gt;","plainTextFormattedCitation":"2","previouslyFormattedCitation":"[2]"},"properties":{"noteIndex":0},"schema":"https://github.com/citation-style-language/schema/raw/master/csl-citation.json"}</w:instrText>
      </w:r>
      <w:r w:rsidR="0038121A">
        <w:fldChar w:fldCharType="separate"/>
      </w:r>
      <w:r w:rsidR="0038121A" w:rsidRPr="00213950">
        <w:rPr>
          <w:noProof/>
          <w:vertAlign w:val="superscript"/>
        </w:rPr>
        <w:t>2</w:t>
      </w:r>
      <w:r w:rsidR="0038121A">
        <w:fldChar w:fldCharType="end"/>
      </w:r>
      <w:r w:rsidR="0038121A">
        <w:t xml:space="preserve"> </w:t>
      </w:r>
    </w:p>
    <w:p w14:paraId="68290EEB" w14:textId="3A3522D6" w:rsidR="006C195C" w:rsidRDefault="004070B6" w:rsidP="008968D0">
      <w:pPr>
        <w:spacing w:line="360" w:lineRule="auto"/>
        <w:jc w:val="both"/>
      </w:pPr>
      <w:r>
        <w:t>Furthermore, a</w:t>
      </w:r>
      <w:r w:rsidR="006C195C">
        <w:t>cross many</w:t>
      </w:r>
      <w:r w:rsidR="000A1D4D">
        <w:t xml:space="preserve"> North American and European</w:t>
      </w:r>
      <w:r w:rsidR="006C195C">
        <w:t xml:space="preserve"> nations</w:t>
      </w:r>
      <w:r w:rsidR="00275747">
        <w:t>,</w:t>
      </w:r>
      <w:r w:rsidR="006C195C">
        <w:t xml:space="preserve"> victi</w:t>
      </w:r>
      <w:r w:rsidR="000A1D4D">
        <w:t>m</w:t>
      </w:r>
      <w:r w:rsidR="006C195C">
        <w:t xml:space="preserve">s are </w:t>
      </w:r>
      <w:r w:rsidR="000A1D4D">
        <w:t>predominantly</w:t>
      </w:r>
      <w:r w:rsidR="006C195C">
        <w:t xml:space="preserve"> male, with peak deaths in young children and </w:t>
      </w:r>
      <w:r w:rsidR="000A1D4D">
        <w:t>the elderly</w:t>
      </w:r>
      <w:r w:rsidR="00E51974">
        <w:t>.</w:t>
      </w:r>
      <w:r w:rsidR="000A1D4D">
        <w:fldChar w:fldCharType="begin" w:fldLock="1"/>
      </w:r>
      <w:r w:rsidR="00213950">
        <w:instrText>ADDIN CSL_CITATION {"citationItems":[{"id":"ITEM-1","itemData":{"DOI":"10.1016/j.forsciint.2020.110592","ISSN":"03790738","author":[{"dropping-particle":"","family":"Sarenbo","given":"Sirkku","non-dropping-particle":"","parse-names":false,"suffix":""},{"dropping-particle":"","family":"Svensson","given":"P. Andreas","non-dropping-particle":"","parse-names":false,"suffix":""}],"container-title":"Forensic Science International","id":"ITEM-1","issued":{"date-parts":[["2021","1"]]},"page":"110592","title":"Bitten or struck by dog: A rising number of fatalities in Europe, 1995–2016","type":"article-journal","volume":"318"},"uris":["http://www.mendeley.com/documents/?uuid=38cc1947-0edd-44e7-8bdb-8fee4a3230a3"]},{"id":"ITEM-2","itemData":{"DOI":"10.1016/j.wem.2017.10.004","ISSN":"10806032","author":[{"dropping-particle":"","family":"Forrester","given":"Jared A.","non-dropping-particle":"","parse-names":false,"suffix":""},{"dropping-particle":"","family":"Weiser","given":"Thomas G.","non-dropping-particle":"","parse-names":false,"suffix":""},{"dropping-particle":"","family":"Forrester","given":"Joseph D.","non-dropping-particle":"","parse-names":false,"suffix":""}],"container-title":"Wilderness &amp; Environmental Medicine","id":"ITEM-2","issue":"1","issued":{"date-parts":[["2018","3"]]},"page":"36-44","title":"An Update on Fatalities Due to Venomous and Nonvenomous Animals in the United States (2008–2015)","type":"article-journal","volume":"29"},"uris":["http://www.mendeley.com/documents/?uuid=27e25ede-c809-4bba-905a-99d3cfe2c9bc"]},{"id":"ITEM-3","itemData":{"ISSN":"00085286","abstract":"In Canada, public debates on dog attacks are dominated by studies from the United States. An electronic search of media reports in the Canadian Newsstand database, for the years 1990 to 2007, identified 28 fatalities from dog-bite injuries. Predominant factors in this case series were owned, known dogs; residential location; children's unsupervised access to area with dogs; and rural/remote areas, including aboriginal reserves in the prairies. A higher proportion of sled dogs and, possibly, mixed-breed dogs in Canada than in the United States caused fatalities, as did multiple dogs rather than single dogs. Free-roaming dog packs, reported only from rural communities, caused most on-reserve fatalities. Future studies are needed to assess if this rural/urban divide is observed in nonfatal attacks and if the breeds that bite in Canada are different from the breeds that killed. Breed representation in this paper and, perhaps, multiple-dog overrepresentation should be understood in the context of the overall Canadian dog population.","author":[{"dropping-particle":"","family":"Raghavan","given":"Malathi","non-dropping-particle":"","parse-names":false,"suffix":""}],"container-title":"Canadian Veterinary Journal","id":"ITEM-3","issue":"6","issued":{"date-parts":[["2008"]]},"page":"577-581","title":"Fatal dog attacks in Canada, 1990-2007","type":"article-journal","volume":"49"},"uris":["http://www.mendeley.com/documents/?uuid=d26f2131-5bc2-4c45-82f0-7197a58f7ff5"]}],"mendeley":{"formattedCitation":"&lt;sup&gt;8–10&lt;/sup&gt;","plainTextFormattedCitation":"8–10","previouslyFormattedCitation":"[8–10]"},"properties":{"noteIndex":0},"schema":"https://github.com/citation-style-language/schema/raw/master/csl-citation.json"}</w:instrText>
      </w:r>
      <w:r w:rsidR="000A1D4D">
        <w:fldChar w:fldCharType="separate"/>
      </w:r>
      <w:r w:rsidR="00213950" w:rsidRPr="00213950">
        <w:rPr>
          <w:noProof/>
          <w:vertAlign w:val="superscript"/>
        </w:rPr>
        <w:t>8–10</w:t>
      </w:r>
      <w:r w:rsidR="000A1D4D">
        <w:fldChar w:fldCharType="end"/>
      </w:r>
      <w:r w:rsidR="000A1D4D">
        <w:t xml:space="preserve"> Numerically more males were seen </w:t>
      </w:r>
      <w:r>
        <w:t>here</w:t>
      </w:r>
      <w:r w:rsidR="000A1D4D">
        <w:t xml:space="preserve">, but this was not statistically significant. </w:t>
      </w:r>
      <w:r w:rsidR="006F3560">
        <w:t>H</w:t>
      </w:r>
      <w:r w:rsidR="000A1D4D">
        <w:t>ere</w:t>
      </w:r>
      <w:r w:rsidR="006F3560">
        <w:t xml:space="preserve"> there</w:t>
      </w:r>
      <w:r w:rsidR="000A1D4D">
        <w:t xml:space="preserve"> was a high proportion of deaths seen in the &lt;5</w:t>
      </w:r>
      <w:r w:rsidR="00275747">
        <w:t xml:space="preserve"> </w:t>
      </w:r>
      <w:r w:rsidR="000A1D4D">
        <w:t>year</w:t>
      </w:r>
      <w:r w:rsidR="00FC7C90">
        <w:t>s</w:t>
      </w:r>
      <w:r w:rsidR="000A1D4D">
        <w:t xml:space="preserve"> (10.1%) and </w:t>
      </w:r>
      <w:r w:rsidR="000A1D4D">
        <w:rPr>
          <w:rFonts w:cstheme="minorHAnsi"/>
        </w:rPr>
        <w:t>≥</w:t>
      </w:r>
      <w:r w:rsidR="000A1D4D">
        <w:t xml:space="preserve">75 years (30.4%). </w:t>
      </w:r>
    </w:p>
    <w:p w14:paraId="52557D81" w14:textId="162E08C8" w:rsidR="00634C10" w:rsidRDefault="00BA5A1F" w:rsidP="00182F01">
      <w:pPr>
        <w:spacing w:line="360" w:lineRule="auto"/>
        <w:jc w:val="both"/>
      </w:pPr>
      <w:r>
        <w:t>There</w:t>
      </w:r>
      <w:r w:rsidR="00182F01">
        <w:t xml:space="preserve"> appears to be a disconnect between the </w:t>
      </w:r>
      <w:r w:rsidR="00DD4A93">
        <w:t xml:space="preserve">stable </w:t>
      </w:r>
      <w:r w:rsidR="00182F01">
        <w:t xml:space="preserve">incidence of dog-related deaths and the </w:t>
      </w:r>
      <w:r w:rsidR="00DD4A93">
        <w:t xml:space="preserve">increasing </w:t>
      </w:r>
      <w:r w:rsidR="00182F01">
        <w:t>incidence of hospital admissions for dog bites in England, which more than doubled over a similar period</w:t>
      </w:r>
      <w:r w:rsidR="00E51974">
        <w:t>.</w:t>
      </w:r>
      <w:r w:rsidR="003871EF">
        <w:fldChar w:fldCharType="begin" w:fldLock="1"/>
      </w:r>
      <w:r w:rsidR="00213950">
        <w:instrText>ADDIN CSL_CITATION {"citationItems":[{"id":"ITEM-1","itemData":{"author":[{"dropping-particle":"","family":"Tulloch","given":"John S. P.","non-dropping-particle":"","parse-names":false,"suffix":""},{"dropping-particle":"","family":"Owczarczak-Garstecka","given":"Sara C.","non-dropping-particle":"","parse-names":false,"suffix":""},{"dropping-particle":"","family":"Fleming","given":"Kate M.","non-dropping-particle":"","parse-names":false,"suffix":""},{"dropping-particle":"","family":"Vivancos","given":"Roberto","non-dropping-particle":"","parse-names":false,"suffix":""},{"dropping-particle":"","family":"Westgarth","given":"Carri","non-dropping-particle":"","parse-names":false,"suffix":""}],"container-title":"Scientific Reports","id":"ITEM-1","issued":{"date-parts":[["2021"]]},"title":"English hospital episode data analysis (1998 – 2018) reveal that the rise in dog bite hospital admissions is driven by adult cases","type":"article-journal"},"uris":["http://www.mendeley.com/documents/?uuid=cc0b1b1d-ad15-489c-88a4-8b03f6a84b6c"]}],"mendeley":{"formattedCitation":"&lt;sup&gt;2&lt;/sup&gt;","plainTextFormattedCitation":"2","previouslyFormattedCitation":"[2]"},"properties":{"noteIndex":0},"schema":"https://github.com/citation-style-language/schema/raw/master/csl-citation.json"}</w:instrText>
      </w:r>
      <w:r w:rsidR="003871EF">
        <w:fldChar w:fldCharType="separate"/>
      </w:r>
      <w:r w:rsidR="00213950" w:rsidRPr="00213950">
        <w:rPr>
          <w:noProof/>
          <w:vertAlign w:val="superscript"/>
        </w:rPr>
        <w:t>2</w:t>
      </w:r>
      <w:r w:rsidR="003871EF">
        <w:fldChar w:fldCharType="end"/>
      </w:r>
      <w:r w:rsidR="00182F01">
        <w:t xml:space="preserve"> </w:t>
      </w:r>
      <w:r w:rsidR="00DD4A93">
        <w:t xml:space="preserve">It is unknown why dog-related deaths are not increasing at the same rate. </w:t>
      </w:r>
      <w:r w:rsidR="00634C10">
        <w:t>It may</w:t>
      </w:r>
      <w:r w:rsidR="00DD4A93">
        <w:t xml:space="preserve"> be that dog bites leading to minor injuries are increasing, but the most severe injuries (including fatal </w:t>
      </w:r>
      <w:r w:rsidR="00E83579">
        <w:t>ones</w:t>
      </w:r>
      <w:r w:rsidR="00DD4A93">
        <w:t xml:space="preserve">) are not increasing. Without further contextual and medical information about the nature of the bite or attack and the type and severity of injury, it is not possible to draw a conclusion. </w:t>
      </w:r>
    </w:p>
    <w:p w14:paraId="66A93B6B" w14:textId="7FCE73AC" w:rsidR="000161FD" w:rsidRDefault="000161FD" w:rsidP="00182F01">
      <w:pPr>
        <w:spacing w:line="360" w:lineRule="auto"/>
        <w:jc w:val="both"/>
      </w:pPr>
      <w:r>
        <w:t xml:space="preserve">The geographical spread of deaths were </w:t>
      </w:r>
      <w:r w:rsidR="00951CD4">
        <w:t>inconsistent with</w:t>
      </w:r>
      <w:r>
        <w:t xml:space="preserve"> the spatial distribution </w:t>
      </w:r>
      <w:r w:rsidR="00951CD4">
        <w:t>of</w:t>
      </w:r>
      <w:r>
        <w:t xml:space="preserve"> hospital admissions</w:t>
      </w:r>
      <w:r w:rsidR="00E51974">
        <w:t>.</w:t>
      </w:r>
      <w:r>
        <w:fldChar w:fldCharType="begin" w:fldLock="1"/>
      </w:r>
      <w:r w:rsidR="00213950">
        <w:instrText>ADDIN CSL_CITATION {"citationItems":[{"id":"ITEM-1","itemData":{"author":[{"dropping-particle":"","family":"Tulloch","given":"John S. P.","non-dropping-particle":"","parse-names":false,"suffix":""},{"dropping-particle":"","family":"Owczarczak-Garstecka","given":"Sara C.","non-dropping-particle":"","parse-names":false,"suffix":""},{"dropping-particle":"","family":"Fleming","given":"Kate M.","non-dropping-particle":"","parse-names":false,"suffix":""},{"dropping-particle":"","family":"Vivancos","given":"Roberto","non-dropping-particle":"","parse-names":false,"suffix":""},{"dropping-particle":"","family":"Westgarth","given":"Carri","non-dropping-particle":"","parse-names":false,"suffix":""}],"container-title":"Scientific Reports","id":"ITEM-1","issued":{"date-parts":[["2021"]]},"title":"English hospital episode data analysis (1998 – 2018) reveal that the rise in dog bite hospital admissions is driven by adult cases","type":"article-journal"},"uris":["http://www.mendeley.com/documents/?uuid=cc0b1b1d-ad15-489c-88a4-8b03f6a84b6c"]}],"mendeley":{"formattedCitation":"&lt;sup&gt;2&lt;/sup&gt;","plainTextFormattedCitation":"2","previouslyFormattedCitation":"[2]"},"properties":{"noteIndex":0},"schema":"https://github.com/citation-style-language/schema/raw/master/csl-citation.json"}</w:instrText>
      </w:r>
      <w:r>
        <w:fldChar w:fldCharType="separate"/>
      </w:r>
      <w:r w:rsidR="00213950" w:rsidRPr="00213950">
        <w:rPr>
          <w:noProof/>
          <w:vertAlign w:val="superscript"/>
        </w:rPr>
        <w:t>2</w:t>
      </w:r>
      <w:r>
        <w:fldChar w:fldCharType="end"/>
      </w:r>
      <w:r>
        <w:t xml:space="preserve"> Hospital admissions data </w:t>
      </w:r>
      <w:r w:rsidR="00E477A9">
        <w:t>identified</w:t>
      </w:r>
      <w:r>
        <w:t xml:space="preserve"> hotspots in areas</w:t>
      </w:r>
      <w:r w:rsidR="00DD4A93">
        <w:t xml:space="preserve"> </w:t>
      </w:r>
      <w:r>
        <w:t xml:space="preserve">that would have </w:t>
      </w:r>
      <w:r w:rsidR="00E477A9">
        <w:t>equated</w:t>
      </w:r>
      <w:r>
        <w:t xml:space="preserve"> to the regions of the </w:t>
      </w:r>
      <w:r w:rsidR="00D00196">
        <w:t>North West (</w:t>
      </w:r>
      <w:r w:rsidR="00045AFB">
        <w:t>similarly</w:t>
      </w:r>
      <w:r w:rsidR="00D00196">
        <w:t xml:space="preserve"> highest death incidence out of the 10 regions), </w:t>
      </w:r>
      <w:r w:rsidR="004133C6">
        <w:t xml:space="preserve">and </w:t>
      </w:r>
      <w:r w:rsidR="00D00196">
        <w:t>North East (</w:t>
      </w:r>
      <w:r w:rsidR="004133C6">
        <w:t xml:space="preserve">only </w:t>
      </w:r>
      <w:r w:rsidR="00D00196">
        <w:t>5</w:t>
      </w:r>
      <w:r w:rsidR="00D00196" w:rsidRPr="00045AFB">
        <w:rPr>
          <w:vertAlign w:val="superscript"/>
        </w:rPr>
        <w:t>th</w:t>
      </w:r>
      <w:r w:rsidR="00D00196">
        <w:t xml:space="preserve"> out of the 10 regions), </w:t>
      </w:r>
      <w:r w:rsidR="004133C6">
        <w:t>whilst the</w:t>
      </w:r>
      <w:r w:rsidR="00D00196">
        <w:t xml:space="preserve"> area with the lowest hospital admissions was London (3</w:t>
      </w:r>
      <w:r w:rsidR="00D00196" w:rsidRPr="005545F8">
        <w:rPr>
          <w:vertAlign w:val="superscript"/>
        </w:rPr>
        <w:t>rd</w:t>
      </w:r>
      <w:r w:rsidR="00D00196">
        <w:t xml:space="preserve"> high</w:t>
      </w:r>
      <w:r w:rsidR="00914A24">
        <w:t>est</w:t>
      </w:r>
      <w:r w:rsidR="00D00196">
        <w:t xml:space="preserve"> death incidence). This is most likely due to the low number of deaths in each region resulting in the modifiable area unit problem form of bias. As </w:t>
      </w:r>
      <w:r w:rsidR="005545F8">
        <w:t>such, these</w:t>
      </w:r>
      <w:r w:rsidR="00D00196">
        <w:t xml:space="preserve"> spatial patterns must be </w:t>
      </w:r>
      <w:r w:rsidR="00E2527E">
        <w:t>considered</w:t>
      </w:r>
      <w:r w:rsidR="00D00196">
        <w:t xml:space="preserve"> with a degree of caution.</w:t>
      </w:r>
    </w:p>
    <w:p w14:paraId="7BD497E7" w14:textId="55CC3925" w:rsidR="00AF33DD" w:rsidRDefault="00182F01" w:rsidP="00182F01">
      <w:pPr>
        <w:spacing w:line="360" w:lineRule="auto"/>
        <w:jc w:val="both"/>
      </w:pPr>
      <w:r>
        <w:t xml:space="preserve">The demographics of those killed versus those admitted to hospital </w:t>
      </w:r>
      <w:r w:rsidR="000855C6">
        <w:t xml:space="preserve">also </w:t>
      </w:r>
      <w:r>
        <w:t>differ</w:t>
      </w:r>
      <w:r w:rsidR="00275747">
        <w:t>ed</w:t>
      </w:r>
      <w:r>
        <w:t xml:space="preserve"> slightly. </w:t>
      </w:r>
      <w:r w:rsidR="0048136C">
        <w:t>In both cases, p</w:t>
      </w:r>
      <w:r>
        <w:t xml:space="preserve">eaks were seen in young children, but </w:t>
      </w:r>
      <w:r w:rsidR="00E06814">
        <w:t xml:space="preserve">were </w:t>
      </w:r>
      <w:r>
        <w:t>younger in the registered deaths dataset</w:t>
      </w:r>
      <w:r w:rsidR="00E51974">
        <w:t>.</w:t>
      </w:r>
      <w:r w:rsidR="003871EF">
        <w:fldChar w:fldCharType="begin" w:fldLock="1"/>
      </w:r>
      <w:r w:rsidR="00213950">
        <w:instrText>ADDIN CSL_CITATION {"citationItems":[{"id":"ITEM-1","itemData":{"author":[{"dropping-particle":"","family":"Tulloch","given":"John S. P.","non-dropping-particle":"","parse-names":false,"suffix":""},{"dropping-particle":"","family":"Owczarczak-Garstecka","given":"Sara C.","non-dropping-particle":"","parse-names":false,"suffix":""},{"dropping-particle":"","family":"Fleming","given":"Kate M.","non-dropping-particle":"","parse-names":false,"suffix":""},{"dropping-particle":"","family":"Vivancos","given":"Roberto","non-dropping-particle":"","parse-names":false,"suffix":""},{"dropping-particle":"","family":"Westgarth","given":"Carri","non-dropping-particle":"","parse-names":false,"suffix":""}],"container-title":"Scientific Reports","id":"ITEM-1","issued":{"date-parts":[["2021"]]},"title":"English hospital episode data analysis (1998 – 2018) reveal that the rise in dog bite hospital admissions is driven by adult cases","type":"article-journal"},"uris":["http://www.mendeley.com/documents/?uuid=cc0b1b1d-ad15-489c-88a4-8b03f6a84b6c"]}],"mendeley":{"formattedCitation":"&lt;sup&gt;2&lt;/sup&gt;","plainTextFormattedCitation":"2","previouslyFormattedCitation":"[2]"},"properties":{"noteIndex":0},"schema":"https://github.com/citation-style-language/schema/raw/master/csl-citation.json"}</w:instrText>
      </w:r>
      <w:r w:rsidR="003871EF">
        <w:fldChar w:fldCharType="separate"/>
      </w:r>
      <w:r w:rsidR="00213950" w:rsidRPr="00213950">
        <w:rPr>
          <w:noProof/>
          <w:vertAlign w:val="superscript"/>
        </w:rPr>
        <w:t>2</w:t>
      </w:r>
      <w:r w:rsidR="003871EF">
        <w:fldChar w:fldCharType="end"/>
      </w:r>
      <w:r>
        <w:t xml:space="preserve"> Peak adult admissions occurred in middle age (40-49 year</w:t>
      </w:r>
      <w:r w:rsidR="00B30CC7">
        <w:t>s</w:t>
      </w:r>
      <w:r>
        <w:t xml:space="preserve">), whilst peak adult deaths </w:t>
      </w:r>
      <w:r w:rsidR="00DE0A7D">
        <w:t xml:space="preserve">occurred in </w:t>
      </w:r>
      <w:r w:rsidR="00275747">
        <w:t>&gt;</w:t>
      </w:r>
      <w:r w:rsidR="00DE0A7D">
        <w:t>75 year</w:t>
      </w:r>
      <w:r w:rsidR="00B30CC7">
        <w:t>s</w:t>
      </w:r>
      <w:r w:rsidR="00DE0A7D">
        <w:t xml:space="preserve">. </w:t>
      </w:r>
      <w:r w:rsidR="000855C6">
        <w:t xml:space="preserve">This is likely due to the increased vulnerability of younger children and </w:t>
      </w:r>
      <w:r w:rsidR="00275747">
        <w:t xml:space="preserve">the </w:t>
      </w:r>
      <w:r w:rsidR="000855C6">
        <w:t>elderly</w:t>
      </w:r>
      <w:r w:rsidR="00B30CC7">
        <w:t xml:space="preserve"> </w:t>
      </w:r>
      <w:r w:rsidR="000855C6">
        <w:t xml:space="preserve">to </w:t>
      </w:r>
      <w:r w:rsidR="005545F8">
        <w:t>fatal</w:t>
      </w:r>
      <w:r w:rsidR="000855C6">
        <w:t xml:space="preserve"> injury. </w:t>
      </w:r>
      <w:r w:rsidR="00DE0A7D">
        <w:t xml:space="preserve">The </w:t>
      </w:r>
      <w:r w:rsidR="0007257D">
        <w:t xml:space="preserve">type of </w:t>
      </w:r>
      <w:r w:rsidR="00DE0A7D">
        <w:t>location of the dog</w:t>
      </w:r>
      <w:r w:rsidR="006E0FA3">
        <w:t>-related incident</w:t>
      </w:r>
      <w:r w:rsidR="00DE0A7D">
        <w:t xml:space="preserve">, as recorded by ICD-10 codes, is comparable with 81.0% of individuals </w:t>
      </w:r>
      <w:r w:rsidR="006E0FA3">
        <w:t xml:space="preserve">killed </w:t>
      </w:r>
      <w:r w:rsidR="00DE0A7D">
        <w:t>at home compared to 83.9% of those admitted to hospital</w:t>
      </w:r>
      <w:r w:rsidR="000855C6">
        <w:t>, and 19% and 12% on the street, respectively</w:t>
      </w:r>
      <w:r w:rsidR="00E51974">
        <w:t>.</w:t>
      </w:r>
      <w:r w:rsidR="003871EF">
        <w:fldChar w:fldCharType="begin" w:fldLock="1"/>
      </w:r>
      <w:r w:rsidR="00213950">
        <w:instrText>ADDIN CSL_CITATION {"citationItems":[{"id":"ITEM-1","itemData":{"author":[{"dropping-particle":"","family":"Tulloch","given":"John S. P.","non-dropping-particle":"","parse-names":false,"suffix":""},{"dropping-particle":"","family":"Owczarczak-Garstecka","given":"Sara C.","non-dropping-particle":"","parse-names":false,"suffix":""},{"dropping-particle":"","family":"Fleming","given":"Kate M.","non-dropping-particle":"","parse-names":false,"suffix":""},{"dropping-particle":"","family":"Vivancos","given":"Roberto","non-dropping-particle":"","parse-names":false,"suffix":""},{"dropping-particle":"","family":"Westgarth","given":"Carri","non-dropping-particle":"","parse-names":false,"suffix":""}],"container-title":"Scientific Reports","id":"ITEM-1","issued":{"date-parts":[["2021"]]},"title":"English hospital episode data analysis (1998 – 2018) reveal that the rise in dog bite hospital admissions is driven by adult cases","type":"article-journal"},"uris":["http://www.mendeley.com/documents/?uuid=cc0b1b1d-ad15-489c-88a4-8b03f6a84b6c"]}],"mendeley":{"formattedCitation":"&lt;sup&gt;2&lt;/sup&gt;","plainTextFormattedCitation":"2","previouslyFormattedCitation":"[2]"},"properties":{"noteIndex":0},"schema":"https://github.com/citation-style-language/schema/raw/master/csl-citation.json"}</w:instrText>
      </w:r>
      <w:r w:rsidR="003871EF">
        <w:fldChar w:fldCharType="separate"/>
      </w:r>
      <w:r w:rsidR="00213950" w:rsidRPr="00213950">
        <w:rPr>
          <w:noProof/>
          <w:vertAlign w:val="superscript"/>
        </w:rPr>
        <w:t>2</w:t>
      </w:r>
      <w:r w:rsidR="003871EF">
        <w:fldChar w:fldCharType="end"/>
      </w:r>
      <w:r w:rsidR="00DE0A7D">
        <w:t xml:space="preserve"> </w:t>
      </w:r>
    </w:p>
    <w:p w14:paraId="6CF5DA29" w14:textId="77777777" w:rsidR="009378CA" w:rsidRDefault="00640A1D" w:rsidP="00640A1D">
      <w:pPr>
        <w:spacing w:line="360" w:lineRule="auto"/>
        <w:jc w:val="both"/>
      </w:pPr>
      <w:r>
        <w:t xml:space="preserve">The major limitation of these data is the lack of contextual information about the events leading up to the victims’ death. Understandably, as this is not the dataset’s primary purpose, there is no data concerning the dogs involved, the nature of the attack and events preceding it, and the extent and severity of injury. From a public health </w:t>
      </w:r>
      <w:r w:rsidR="00B30CC7">
        <w:t>perspective, these</w:t>
      </w:r>
      <w:r w:rsidR="00275747">
        <w:t xml:space="preserve"> data </w:t>
      </w:r>
      <w:r w:rsidR="00A806BF">
        <w:t>are critical</w:t>
      </w:r>
      <w:r>
        <w:t xml:space="preserve"> so that interventions can be developed that may prevent these rare events from happening in the future. </w:t>
      </w:r>
      <w:r w:rsidR="000F78C6">
        <w:t>A</w:t>
      </w:r>
      <w:bookmarkStart w:id="6" w:name="_Hlk120625877"/>
      <w:r w:rsidR="000F78C6">
        <w:t xml:space="preserve">dditionally, as no secondary or contributory causes of deaths are reported within these data, we do not know the degree </w:t>
      </w:r>
      <w:bookmarkStart w:id="7" w:name="_Hlk120625953"/>
      <w:r w:rsidR="008D5BB1">
        <w:t>our incidence figures are an</w:t>
      </w:r>
      <w:r w:rsidR="000F78C6">
        <w:t xml:space="preserve"> over, or under, estimat</w:t>
      </w:r>
      <w:r w:rsidR="008D5BB1">
        <w:t>e</w:t>
      </w:r>
      <w:bookmarkEnd w:id="7"/>
      <w:r w:rsidR="008D5BB1">
        <w:t>.</w:t>
      </w:r>
      <w:r w:rsidR="000F78C6">
        <w:t xml:space="preserve"> </w:t>
      </w:r>
      <w:bookmarkEnd w:id="6"/>
      <w:r>
        <w:t xml:space="preserve">Due to the low number of deaths, when </w:t>
      </w:r>
      <w:r>
        <w:lastRenderedPageBreak/>
        <w:t>these data are stratified by demographics</w:t>
      </w:r>
      <w:r w:rsidR="00D00196">
        <w:t xml:space="preserve"> or geographical areas</w:t>
      </w:r>
      <w:r>
        <w:t>, group size become</w:t>
      </w:r>
      <w:r w:rsidR="00D62E0E">
        <w:t>s</w:t>
      </w:r>
      <w:r>
        <w:t xml:space="preserve"> small and so only crude</w:t>
      </w:r>
      <w:r w:rsidR="00E83579">
        <w:t xml:space="preserve"> descriptive</w:t>
      </w:r>
      <w:r>
        <w:t xml:space="preserve"> analysis can occur.  </w:t>
      </w:r>
    </w:p>
    <w:p w14:paraId="7A9D4CEF" w14:textId="77777777" w:rsidR="009378CA" w:rsidRDefault="009378CA" w:rsidP="00640A1D">
      <w:pPr>
        <w:spacing w:line="360" w:lineRule="auto"/>
        <w:jc w:val="both"/>
      </w:pPr>
    </w:p>
    <w:p w14:paraId="3F58A9B5" w14:textId="2EBF43EB" w:rsidR="002D5FC3" w:rsidRPr="009378CA" w:rsidRDefault="00C53149" w:rsidP="00640A1D">
      <w:pPr>
        <w:spacing w:line="360" w:lineRule="auto"/>
        <w:jc w:val="both"/>
      </w:pPr>
      <w:r w:rsidRPr="00640A1D">
        <w:rPr>
          <w:b/>
          <w:bCs/>
        </w:rPr>
        <w:t>Conclusions</w:t>
      </w:r>
    </w:p>
    <w:p w14:paraId="5DB67B0A" w14:textId="2D819464" w:rsidR="00640A1D" w:rsidRPr="00640A1D" w:rsidRDefault="00640A1D" w:rsidP="00640A1D">
      <w:pPr>
        <w:spacing w:line="360" w:lineRule="auto"/>
        <w:jc w:val="both"/>
      </w:pPr>
      <w:r>
        <w:t>Dog-related deaths are very rare events within England and Wales and have not been increasing in incidence</w:t>
      </w:r>
      <w:r w:rsidR="000855C6">
        <w:t xml:space="preserve"> to 2021</w:t>
      </w:r>
      <w:r>
        <w:t xml:space="preserve">. The incidence and demographics </w:t>
      </w:r>
      <w:r w:rsidR="00043131">
        <w:t xml:space="preserve">are broadly similar to </w:t>
      </w:r>
      <w:r>
        <w:t xml:space="preserve">those of other European and North American nations. </w:t>
      </w:r>
      <w:bookmarkStart w:id="8" w:name="_Hlk120623122"/>
      <w:r>
        <w:t>More contextual information is needed about dog</w:t>
      </w:r>
      <w:r w:rsidR="00ED3D7D">
        <w:t xml:space="preserve">-related deaths to be able to elicit change and develop </w:t>
      </w:r>
      <w:r w:rsidR="000855C6">
        <w:t xml:space="preserve">effective </w:t>
      </w:r>
      <w:r w:rsidR="00ED3D7D">
        <w:t>public health strategies</w:t>
      </w:r>
      <w:bookmarkEnd w:id="8"/>
      <w:r w:rsidR="00ED3D7D">
        <w:t xml:space="preserve">. </w:t>
      </w:r>
    </w:p>
    <w:p w14:paraId="3FBB7676" w14:textId="0D2124E8" w:rsidR="00ED3D7D" w:rsidRDefault="00ED3D7D" w:rsidP="002D5FC3">
      <w:pPr>
        <w:rPr>
          <w:b/>
          <w:bCs/>
        </w:rPr>
      </w:pPr>
    </w:p>
    <w:p w14:paraId="2D784F21" w14:textId="23641E67" w:rsidR="00213950" w:rsidRDefault="00213950" w:rsidP="004047CC">
      <w:pPr>
        <w:spacing w:line="360" w:lineRule="auto"/>
        <w:jc w:val="both"/>
      </w:pPr>
      <w:bookmarkStart w:id="9" w:name="_Hlk117672625"/>
      <w:r>
        <w:rPr>
          <w:b/>
          <w:bCs/>
        </w:rPr>
        <w:t>Statement of ethical approval:</w:t>
      </w:r>
      <w:r w:rsidRPr="00213950">
        <w:t xml:space="preserve"> </w:t>
      </w:r>
      <w:r>
        <w:t>No ethical approval was needed as this was an analysis of publicly available data, with no personally identifiable information. Patients were not involved in the design, nor participated in the research, of this study.</w:t>
      </w:r>
    </w:p>
    <w:p w14:paraId="45471261" w14:textId="77777777" w:rsidR="00E95E16" w:rsidRPr="006F3560" w:rsidRDefault="00E95E16" w:rsidP="00E95E16">
      <w:pPr>
        <w:spacing w:line="360" w:lineRule="auto"/>
        <w:jc w:val="both"/>
        <w:rPr>
          <w:b/>
          <w:bCs/>
        </w:rPr>
      </w:pPr>
      <w:r w:rsidRPr="006F3560">
        <w:rPr>
          <w:b/>
          <w:bCs/>
        </w:rPr>
        <w:t xml:space="preserve">Funding: </w:t>
      </w:r>
      <w:r w:rsidRPr="006F3560">
        <w:t>JT none, CW none</w:t>
      </w:r>
      <w:r>
        <w:t>,</w:t>
      </w:r>
      <w:r w:rsidRPr="006F3560">
        <w:t xml:space="preserve"> JAO’s PhD studentship is funded by the Dogs Trust</w:t>
      </w:r>
      <w:r w:rsidRPr="006F3560">
        <w:rPr>
          <w:b/>
          <w:bCs/>
        </w:rPr>
        <w:t xml:space="preserve"> </w:t>
      </w:r>
    </w:p>
    <w:p w14:paraId="5298DFBD" w14:textId="77777777" w:rsidR="00E95E16" w:rsidRDefault="00E95E16" w:rsidP="00E95E16">
      <w:pPr>
        <w:spacing w:line="360" w:lineRule="auto"/>
        <w:jc w:val="both"/>
        <w:rPr>
          <w:bCs/>
        </w:rPr>
      </w:pPr>
      <w:r w:rsidRPr="006F3560">
        <w:rPr>
          <w:b/>
          <w:bCs/>
        </w:rPr>
        <w:t>Competing interests</w:t>
      </w:r>
      <w:r w:rsidRPr="006F3560">
        <w:t xml:space="preserve">: JT </w:t>
      </w:r>
      <w:r>
        <w:t xml:space="preserve">and RC </w:t>
      </w:r>
      <w:r w:rsidRPr="006F3560">
        <w:t>none, JAO is employed as a scientific officer at the PDSA</w:t>
      </w:r>
      <w:r>
        <w:t>,</w:t>
      </w:r>
      <w:r w:rsidRPr="00E361AC">
        <w:t xml:space="preserve"> </w:t>
      </w:r>
      <w:r w:rsidRPr="006F3560">
        <w:rPr>
          <w:bCs/>
        </w:rPr>
        <w:t xml:space="preserve">CW </w:t>
      </w:r>
      <w:r>
        <w:rPr>
          <w:bCs/>
        </w:rPr>
        <w:t>has been a consultant for</w:t>
      </w:r>
      <w:r w:rsidRPr="006F3560">
        <w:rPr>
          <w:bCs/>
        </w:rPr>
        <w:t xml:space="preserve"> Forthglade Pet Food</w:t>
      </w:r>
      <w:r>
        <w:rPr>
          <w:bCs/>
        </w:rPr>
        <w:t xml:space="preserve">, </w:t>
      </w:r>
      <w:r w:rsidRPr="006F3560">
        <w:rPr>
          <w:bCs/>
        </w:rPr>
        <w:t>Royal Canin</w:t>
      </w:r>
      <w:r>
        <w:rPr>
          <w:bCs/>
        </w:rPr>
        <w:t xml:space="preserve"> and the Waltham Petcare Science Institute and has received financial renumeration</w:t>
      </w:r>
      <w:r w:rsidRPr="006F3560">
        <w:rPr>
          <w:bCs/>
        </w:rPr>
        <w:t>.</w:t>
      </w:r>
    </w:p>
    <w:p w14:paraId="52EF0DEA" w14:textId="77777777" w:rsidR="00E95E16" w:rsidRPr="00213950" w:rsidRDefault="00E95E16" w:rsidP="004047CC">
      <w:pPr>
        <w:spacing w:line="360" w:lineRule="auto"/>
        <w:jc w:val="both"/>
        <w:rPr>
          <w:b/>
          <w:bCs/>
        </w:rPr>
      </w:pPr>
    </w:p>
    <w:bookmarkEnd w:id="9"/>
    <w:p w14:paraId="17C381DF" w14:textId="77777777" w:rsidR="00213950" w:rsidRDefault="00213950" w:rsidP="004047CC">
      <w:pPr>
        <w:spacing w:line="360" w:lineRule="auto"/>
        <w:jc w:val="both"/>
        <w:rPr>
          <w:b/>
          <w:bCs/>
        </w:rPr>
      </w:pPr>
    </w:p>
    <w:p w14:paraId="313A2B46" w14:textId="18DAAA49" w:rsidR="00A816AF" w:rsidRDefault="00A816AF" w:rsidP="004047CC">
      <w:pPr>
        <w:spacing w:line="360" w:lineRule="auto"/>
        <w:jc w:val="both"/>
        <w:rPr>
          <w:b/>
          <w:bCs/>
        </w:rPr>
      </w:pPr>
      <w:r>
        <w:rPr>
          <w:b/>
          <w:bCs/>
        </w:rPr>
        <w:t>References</w:t>
      </w:r>
    </w:p>
    <w:p w14:paraId="4023355F" w14:textId="2F723458" w:rsidR="00213950" w:rsidRPr="00213950" w:rsidRDefault="00A816AF" w:rsidP="00213950">
      <w:pPr>
        <w:widowControl w:val="0"/>
        <w:autoSpaceDE w:val="0"/>
        <w:autoSpaceDN w:val="0"/>
        <w:adjustRightInd w:val="0"/>
        <w:spacing w:line="360" w:lineRule="auto"/>
        <w:ind w:left="640" w:hanging="640"/>
        <w:rPr>
          <w:rFonts w:ascii="Calibri" w:hAnsi="Calibri" w:cs="Calibri"/>
          <w:noProof/>
          <w:szCs w:val="24"/>
        </w:rPr>
      </w:pPr>
      <w:r>
        <w:rPr>
          <w:b/>
          <w:bCs/>
        </w:rPr>
        <w:fldChar w:fldCharType="begin" w:fldLock="1"/>
      </w:r>
      <w:r>
        <w:rPr>
          <w:b/>
          <w:bCs/>
        </w:rPr>
        <w:instrText xml:space="preserve">ADDIN Mendeley Bibliography CSL_BIBLIOGRAPHY </w:instrText>
      </w:r>
      <w:r>
        <w:rPr>
          <w:b/>
          <w:bCs/>
        </w:rPr>
        <w:fldChar w:fldCharType="separate"/>
      </w:r>
      <w:r w:rsidR="00213950" w:rsidRPr="00213950">
        <w:rPr>
          <w:rFonts w:ascii="Calibri" w:hAnsi="Calibri" w:cs="Calibri"/>
          <w:noProof/>
          <w:szCs w:val="24"/>
        </w:rPr>
        <w:t xml:space="preserve">1. </w:t>
      </w:r>
      <w:r w:rsidR="00213950" w:rsidRPr="00213950">
        <w:rPr>
          <w:rFonts w:ascii="Calibri" w:hAnsi="Calibri" w:cs="Calibri"/>
          <w:noProof/>
          <w:szCs w:val="24"/>
        </w:rPr>
        <w:tab/>
      </w:r>
      <w:r w:rsidR="006B3CC3">
        <w:rPr>
          <w:rFonts w:ascii="Calibri" w:hAnsi="Calibri" w:cs="Calibri"/>
          <w:noProof/>
          <w:szCs w:val="24"/>
        </w:rPr>
        <w:t xml:space="preserve">Defra </w:t>
      </w:r>
      <w:r w:rsidR="00213950" w:rsidRPr="00213950">
        <w:rPr>
          <w:rFonts w:ascii="Calibri" w:hAnsi="Calibri" w:cs="Calibri"/>
          <w:noProof/>
          <w:szCs w:val="24"/>
        </w:rPr>
        <w:t>P</w:t>
      </w:r>
      <w:r w:rsidR="006B3CC3">
        <w:rPr>
          <w:rFonts w:ascii="Calibri" w:hAnsi="Calibri" w:cs="Calibri"/>
          <w:noProof/>
          <w:szCs w:val="24"/>
        </w:rPr>
        <w:t>ress Office</w:t>
      </w:r>
      <w:r w:rsidR="00213950" w:rsidRPr="00213950">
        <w:rPr>
          <w:rFonts w:ascii="Calibri" w:hAnsi="Calibri" w:cs="Calibri"/>
          <w:noProof/>
          <w:szCs w:val="24"/>
        </w:rPr>
        <w:t>. Defra response to reported recent increase in fatal dog attacks</w:t>
      </w:r>
      <w:r w:rsidR="006B3CC3">
        <w:rPr>
          <w:rFonts w:ascii="Calibri" w:hAnsi="Calibri" w:cs="Calibri"/>
          <w:noProof/>
          <w:szCs w:val="24"/>
        </w:rPr>
        <w:t>,</w:t>
      </w:r>
      <w:r w:rsidR="00213950" w:rsidRPr="00213950">
        <w:rPr>
          <w:rFonts w:ascii="Calibri" w:hAnsi="Calibri" w:cs="Calibri"/>
          <w:noProof/>
          <w:szCs w:val="24"/>
        </w:rPr>
        <w:t xml:space="preserve"> https://deframedia.blog.gov.uk/2022/10/06/defra-response-to-reported-recent-increase-in-fatal-dog-attacks/</w:t>
      </w:r>
      <w:r w:rsidR="006B3CC3">
        <w:rPr>
          <w:rFonts w:ascii="Calibri" w:hAnsi="Calibri" w:cs="Calibri"/>
          <w:noProof/>
          <w:szCs w:val="24"/>
        </w:rPr>
        <w:t>;2022 [accessed 10 October 2022]</w:t>
      </w:r>
    </w:p>
    <w:p w14:paraId="21C360F2" w14:textId="251C0334" w:rsidR="00213950" w:rsidRPr="00213950" w:rsidRDefault="00213950" w:rsidP="00213950">
      <w:pPr>
        <w:widowControl w:val="0"/>
        <w:autoSpaceDE w:val="0"/>
        <w:autoSpaceDN w:val="0"/>
        <w:adjustRightInd w:val="0"/>
        <w:spacing w:line="360" w:lineRule="auto"/>
        <w:ind w:left="640" w:hanging="640"/>
        <w:rPr>
          <w:rFonts w:ascii="Calibri" w:hAnsi="Calibri" w:cs="Calibri"/>
          <w:noProof/>
          <w:szCs w:val="24"/>
        </w:rPr>
      </w:pPr>
      <w:r w:rsidRPr="00213950">
        <w:rPr>
          <w:rFonts w:ascii="Calibri" w:hAnsi="Calibri" w:cs="Calibri"/>
          <w:noProof/>
          <w:szCs w:val="24"/>
        </w:rPr>
        <w:t xml:space="preserve">2. </w:t>
      </w:r>
      <w:r w:rsidRPr="00213950">
        <w:rPr>
          <w:rFonts w:ascii="Calibri" w:hAnsi="Calibri" w:cs="Calibri"/>
          <w:noProof/>
          <w:szCs w:val="24"/>
        </w:rPr>
        <w:tab/>
        <w:t xml:space="preserve">Tulloch JSP, Owczarczak-Garstecka SC, Fleming KM, Vivancos R, Westgarth C. English hospital episode data analysis (1998 – 2018) reveal that the rise in dog bite hospital admissions is driven by adult cases. </w:t>
      </w:r>
      <w:r w:rsidRPr="006B3CC3">
        <w:rPr>
          <w:rFonts w:ascii="Calibri" w:hAnsi="Calibri" w:cs="Calibri"/>
          <w:i/>
          <w:iCs/>
          <w:noProof/>
          <w:szCs w:val="24"/>
        </w:rPr>
        <w:t>Sci Rep</w:t>
      </w:r>
      <w:r w:rsidR="006B3CC3">
        <w:rPr>
          <w:rFonts w:ascii="Calibri" w:hAnsi="Calibri" w:cs="Calibri"/>
          <w:noProof/>
          <w:szCs w:val="24"/>
        </w:rPr>
        <w:t xml:space="preserve"> </w:t>
      </w:r>
      <w:r w:rsidRPr="00213950">
        <w:rPr>
          <w:rFonts w:ascii="Calibri" w:hAnsi="Calibri" w:cs="Calibri"/>
          <w:noProof/>
          <w:szCs w:val="24"/>
        </w:rPr>
        <w:t>2021;</w:t>
      </w:r>
      <w:r w:rsidR="006B3CC3" w:rsidRPr="006B3CC3">
        <w:rPr>
          <w:rFonts w:ascii="Calibri" w:hAnsi="Calibri" w:cs="Calibri"/>
          <w:b/>
          <w:bCs/>
          <w:noProof/>
          <w:szCs w:val="24"/>
        </w:rPr>
        <w:t>11</w:t>
      </w:r>
      <w:r w:rsidR="006B3CC3">
        <w:rPr>
          <w:rFonts w:ascii="Calibri" w:hAnsi="Calibri" w:cs="Calibri"/>
          <w:noProof/>
          <w:szCs w:val="24"/>
        </w:rPr>
        <w:t>(1):1767. doi:</w:t>
      </w:r>
      <w:r w:rsidR="006B3CC3" w:rsidRPr="006E34D7">
        <w:t xml:space="preserve"> </w:t>
      </w:r>
      <w:r w:rsidR="006B3CC3" w:rsidRPr="006E34D7">
        <w:rPr>
          <w:rFonts w:ascii="Calibri" w:hAnsi="Calibri" w:cs="Calibri"/>
          <w:noProof/>
          <w:szCs w:val="24"/>
        </w:rPr>
        <w:t>10.1038/s41598-021-81527-7</w:t>
      </w:r>
    </w:p>
    <w:p w14:paraId="5F6AD8D0" w14:textId="7AEACD71" w:rsidR="00213950" w:rsidRPr="00213950" w:rsidRDefault="00213950" w:rsidP="00213950">
      <w:pPr>
        <w:widowControl w:val="0"/>
        <w:autoSpaceDE w:val="0"/>
        <w:autoSpaceDN w:val="0"/>
        <w:adjustRightInd w:val="0"/>
        <w:spacing w:line="360" w:lineRule="auto"/>
        <w:ind w:left="640" w:hanging="640"/>
        <w:rPr>
          <w:rFonts w:ascii="Calibri" w:hAnsi="Calibri" w:cs="Calibri"/>
          <w:noProof/>
          <w:szCs w:val="24"/>
        </w:rPr>
      </w:pPr>
      <w:r w:rsidRPr="00213950">
        <w:rPr>
          <w:rFonts w:ascii="Calibri" w:hAnsi="Calibri" w:cs="Calibri"/>
          <w:noProof/>
          <w:szCs w:val="24"/>
        </w:rPr>
        <w:t xml:space="preserve">3. </w:t>
      </w:r>
      <w:r w:rsidRPr="00213950">
        <w:rPr>
          <w:rFonts w:ascii="Calibri" w:hAnsi="Calibri" w:cs="Calibri"/>
          <w:noProof/>
          <w:szCs w:val="24"/>
        </w:rPr>
        <w:tab/>
        <w:t xml:space="preserve">Tulloch JSP, Minford S, Vicky P, Rotheram M, Christley RM, Westgarth C. Paediatric Emergency Department dog bite attendance during the COVID-19 pandemic: an audit at a tertiary children’s hospital. </w:t>
      </w:r>
      <w:r w:rsidRPr="006B3CC3">
        <w:rPr>
          <w:rFonts w:ascii="Calibri" w:hAnsi="Calibri" w:cs="Calibri"/>
          <w:i/>
          <w:iCs/>
          <w:noProof/>
          <w:szCs w:val="24"/>
        </w:rPr>
        <w:t>BMJ Paediatr Open</w:t>
      </w:r>
      <w:r w:rsidR="006B3CC3">
        <w:rPr>
          <w:rFonts w:ascii="Calibri" w:hAnsi="Calibri" w:cs="Calibri"/>
          <w:noProof/>
          <w:szCs w:val="24"/>
        </w:rPr>
        <w:t xml:space="preserve"> </w:t>
      </w:r>
      <w:r w:rsidRPr="00213950">
        <w:rPr>
          <w:rFonts w:ascii="Calibri" w:hAnsi="Calibri" w:cs="Calibri"/>
          <w:noProof/>
          <w:szCs w:val="24"/>
        </w:rPr>
        <w:t>2021;</w:t>
      </w:r>
      <w:r w:rsidR="006B3CC3" w:rsidRPr="006B3CC3">
        <w:rPr>
          <w:rFonts w:ascii="Calibri" w:hAnsi="Calibri" w:cs="Calibri"/>
          <w:noProof/>
          <w:szCs w:val="24"/>
        </w:rPr>
        <w:t xml:space="preserve"> </w:t>
      </w:r>
      <w:r w:rsidR="006B3CC3" w:rsidRPr="006B3CC3">
        <w:rPr>
          <w:rFonts w:ascii="Calibri" w:hAnsi="Calibri" w:cs="Calibri"/>
          <w:b/>
          <w:bCs/>
          <w:noProof/>
          <w:szCs w:val="24"/>
        </w:rPr>
        <w:t>5</w:t>
      </w:r>
      <w:r w:rsidR="006B3CC3" w:rsidRPr="006E34D7">
        <w:rPr>
          <w:rFonts w:ascii="Calibri" w:hAnsi="Calibri" w:cs="Calibri"/>
          <w:noProof/>
          <w:szCs w:val="24"/>
        </w:rPr>
        <w:t>(1):e001040. doi: 10.1136/bmjpo-2021-001040</w:t>
      </w:r>
      <w:r w:rsidRPr="00213950">
        <w:rPr>
          <w:rFonts w:ascii="Calibri" w:hAnsi="Calibri" w:cs="Calibri"/>
          <w:noProof/>
          <w:szCs w:val="24"/>
        </w:rPr>
        <w:t xml:space="preserve">. </w:t>
      </w:r>
    </w:p>
    <w:p w14:paraId="210C868C" w14:textId="26686018" w:rsidR="00213950" w:rsidRPr="00213950" w:rsidRDefault="00213950" w:rsidP="00213950">
      <w:pPr>
        <w:widowControl w:val="0"/>
        <w:autoSpaceDE w:val="0"/>
        <w:autoSpaceDN w:val="0"/>
        <w:adjustRightInd w:val="0"/>
        <w:spacing w:line="360" w:lineRule="auto"/>
        <w:ind w:left="640" w:hanging="640"/>
        <w:rPr>
          <w:rFonts w:ascii="Calibri" w:hAnsi="Calibri" w:cs="Calibri"/>
          <w:noProof/>
          <w:szCs w:val="24"/>
        </w:rPr>
      </w:pPr>
      <w:r w:rsidRPr="00213950">
        <w:rPr>
          <w:rFonts w:ascii="Calibri" w:hAnsi="Calibri" w:cs="Calibri"/>
          <w:noProof/>
          <w:szCs w:val="24"/>
        </w:rPr>
        <w:t xml:space="preserve">4. </w:t>
      </w:r>
      <w:r w:rsidRPr="00213950">
        <w:rPr>
          <w:rFonts w:ascii="Calibri" w:hAnsi="Calibri" w:cs="Calibri"/>
          <w:noProof/>
          <w:szCs w:val="24"/>
        </w:rPr>
        <w:tab/>
        <w:t xml:space="preserve">Office for National Statistics. Deaths registered in England and Wales – 21st century </w:t>
      </w:r>
      <w:r w:rsidRPr="00213950">
        <w:rPr>
          <w:rFonts w:ascii="Calibri" w:hAnsi="Calibri" w:cs="Calibri"/>
          <w:noProof/>
          <w:szCs w:val="24"/>
        </w:rPr>
        <w:lastRenderedPageBreak/>
        <w:t>mortality</w:t>
      </w:r>
      <w:r w:rsidR="006B3CC3">
        <w:rPr>
          <w:rFonts w:ascii="Calibri" w:hAnsi="Calibri" w:cs="Calibri"/>
          <w:noProof/>
          <w:szCs w:val="24"/>
        </w:rPr>
        <w:t xml:space="preserve">, </w:t>
      </w:r>
      <w:r w:rsidRPr="00213950">
        <w:rPr>
          <w:rFonts w:ascii="Calibri" w:hAnsi="Calibri" w:cs="Calibri"/>
          <w:noProof/>
          <w:szCs w:val="24"/>
        </w:rPr>
        <w:t>https://www.ons.gov.uk/peoplepopulationandcommunity/birthsdeathsandmarriages/deaths/datasets/the21stcenturymortalityfilesdeathsdataset</w:t>
      </w:r>
      <w:r w:rsidR="006B3CC3">
        <w:rPr>
          <w:rFonts w:ascii="Calibri" w:hAnsi="Calibri" w:cs="Calibri"/>
          <w:noProof/>
          <w:szCs w:val="24"/>
        </w:rPr>
        <w:t xml:space="preserve">; </w:t>
      </w:r>
      <w:r w:rsidR="006B3CC3" w:rsidRPr="00213950">
        <w:rPr>
          <w:rFonts w:ascii="Calibri" w:hAnsi="Calibri" w:cs="Calibri"/>
          <w:noProof/>
          <w:szCs w:val="24"/>
        </w:rPr>
        <w:t>2022 [</w:t>
      </w:r>
      <w:r w:rsidR="006B3CC3">
        <w:rPr>
          <w:rFonts w:ascii="Calibri" w:hAnsi="Calibri" w:cs="Calibri"/>
          <w:noProof/>
          <w:szCs w:val="24"/>
        </w:rPr>
        <w:t xml:space="preserve">accessed 20 September </w:t>
      </w:r>
      <w:r w:rsidR="006B3CC3" w:rsidRPr="00213950">
        <w:rPr>
          <w:rFonts w:ascii="Calibri" w:hAnsi="Calibri" w:cs="Calibri"/>
          <w:noProof/>
          <w:szCs w:val="24"/>
        </w:rPr>
        <w:t>2022]</w:t>
      </w:r>
    </w:p>
    <w:p w14:paraId="78925A4F" w14:textId="6C3B6CB4" w:rsidR="00213950" w:rsidRPr="00213950" w:rsidRDefault="00213950" w:rsidP="00213950">
      <w:pPr>
        <w:widowControl w:val="0"/>
        <w:autoSpaceDE w:val="0"/>
        <w:autoSpaceDN w:val="0"/>
        <w:adjustRightInd w:val="0"/>
        <w:spacing w:line="360" w:lineRule="auto"/>
        <w:ind w:left="640" w:hanging="640"/>
        <w:rPr>
          <w:rFonts w:ascii="Calibri" w:hAnsi="Calibri" w:cs="Calibri"/>
          <w:noProof/>
          <w:szCs w:val="24"/>
        </w:rPr>
      </w:pPr>
      <w:r w:rsidRPr="00213950">
        <w:rPr>
          <w:rFonts w:ascii="Calibri" w:hAnsi="Calibri" w:cs="Calibri"/>
          <w:noProof/>
          <w:szCs w:val="24"/>
        </w:rPr>
        <w:t xml:space="preserve">5. </w:t>
      </w:r>
      <w:r w:rsidRPr="00213950">
        <w:rPr>
          <w:rFonts w:ascii="Calibri" w:hAnsi="Calibri" w:cs="Calibri"/>
          <w:noProof/>
          <w:szCs w:val="24"/>
        </w:rPr>
        <w:tab/>
        <w:t>Office for National Statistics. Mortality statistics in England and Wales QMI</w:t>
      </w:r>
      <w:r w:rsidR="006B3CC3">
        <w:rPr>
          <w:rFonts w:ascii="Calibri" w:hAnsi="Calibri" w:cs="Calibri"/>
          <w:noProof/>
          <w:szCs w:val="24"/>
        </w:rPr>
        <w:t xml:space="preserve">, </w:t>
      </w:r>
      <w:r w:rsidRPr="00213950">
        <w:rPr>
          <w:rFonts w:ascii="Calibri" w:hAnsi="Calibri" w:cs="Calibri"/>
          <w:noProof/>
          <w:szCs w:val="24"/>
        </w:rPr>
        <w:t>https://www.ons.gov.uk/peoplepopulationandcommunity/birthsdeathsandmarriages/deaths/methodologies/mortalitystatisticsinenglandandwalesqmi</w:t>
      </w:r>
      <w:r w:rsidR="006B3CC3">
        <w:rPr>
          <w:rFonts w:ascii="Calibri" w:hAnsi="Calibri" w:cs="Calibri"/>
          <w:noProof/>
          <w:szCs w:val="24"/>
        </w:rPr>
        <w:t xml:space="preserve">; </w:t>
      </w:r>
      <w:r w:rsidR="006B3CC3" w:rsidRPr="00213950">
        <w:rPr>
          <w:rFonts w:ascii="Calibri" w:hAnsi="Calibri" w:cs="Calibri"/>
          <w:noProof/>
          <w:szCs w:val="24"/>
        </w:rPr>
        <w:t>2022 [</w:t>
      </w:r>
      <w:r w:rsidR="006B3CC3">
        <w:rPr>
          <w:rFonts w:ascii="Calibri" w:hAnsi="Calibri" w:cs="Calibri"/>
          <w:noProof/>
          <w:szCs w:val="24"/>
        </w:rPr>
        <w:t xml:space="preserve">accessed 20 September </w:t>
      </w:r>
      <w:r w:rsidR="006B3CC3" w:rsidRPr="00213950">
        <w:rPr>
          <w:rFonts w:ascii="Calibri" w:hAnsi="Calibri" w:cs="Calibri"/>
          <w:noProof/>
          <w:szCs w:val="24"/>
        </w:rPr>
        <w:t>2022]</w:t>
      </w:r>
    </w:p>
    <w:p w14:paraId="219F8468" w14:textId="53CC67EF" w:rsidR="00213950" w:rsidRPr="00213950" w:rsidRDefault="00213950" w:rsidP="00213950">
      <w:pPr>
        <w:widowControl w:val="0"/>
        <w:autoSpaceDE w:val="0"/>
        <w:autoSpaceDN w:val="0"/>
        <w:adjustRightInd w:val="0"/>
        <w:spacing w:line="360" w:lineRule="auto"/>
        <w:ind w:left="640" w:hanging="640"/>
        <w:rPr>
          <w:rFonts w:ascii="Calibri" w:hAnsi="Calibri" w:cs="Calibri"/>
          <w:noProof/>
          <w:szCs w:val="24"/>
        </w:rPr>
      </w:pPr>
      <w:r w:rsidRPr="00213950">
        <w:rPr>
          <w:rFonts w:ascii="Calibri" w:hAnsi="Calibri" w:cs="Calibri"/>
          <w:noProof/>
          <w:szCs w:val="24"/>
        </w:rPr>
        <w:t xml:space="preserve">6. </w:t>
      </w:r>
      <w:r w:rsidRPr="00213950">
        <w:rPr>
          <w:rFonts w:ascii="Calibri" w:hAnsi="Calibri" w:cs="Calibri"/>
          <w:noProof/>
          <w:szCs w:val="24"/>
        </w:rPr>
        <w:tab/>
      </w:r>
      <w:r w:rsidR="006B3CC3">
        <w:rPr>
          <w:rFonts w:ascii="Calibri" w:hAnsi="Calibri" w:cs="Calibri"/>
          <w:noProof/>
          <w:szCs w:val="24"/>
        </w:rPr>
        <w:t>Department for Transport.</w:t>
      </w:r>
      <w:r w:rsidRPr="00213950">
        <w:rPr>
          <w:rFonts w:ascii="Calibri" w:hAnsi="Calibri" w:cs="Calibri"/>
          <w:noProof/>
          <w:szCs w:val="24"/>
        </w:rPr>
        <w:t xml:space="preserve"> Reported road accidents, vehicles and casualties tables for Great Britain</w:t>
      </w:r>
      <w:r w:rsidR="006B3CC3">
        <w:rPr>
          <w:rFonts w:ascii="Calibri" w:hAnsi="Calibri" w:cs="Calibri"/>
          <w:noProof/>
          <w:szCs w:val="24"/>
        </w:rPr>
        <w:t xml:space="preserve">, </w:t>
      </w:r>
      <w:r w:rsidRPr="00213950">
        <w:rPr>
          <w:rFonts w:ascii="Calibri" w:hAnsi="Calibri" w:cs="Calibri"/>
          <w:noProof/>
          <w:szCs w:val="24"/>
        </w:rPr>
        <w:t>https://www.gov.uk/government/statistical-data-sets/reported-road-accidents-vehicles-and-casualties-tables-for-great-britain</w:t>
      </w:r>
      <w:r w:rsidR="006B3CC3">
        <w:rPr>
          <w:rFonts w:ascii="Calibri" w:hAnsi="Calibri" w:cs="Calibri"/>
          <w:noProof/>
          <w:szCs w:val="24"/>
        </w:rPr>
        <w:t xml:space="preserve">; </w:t>
      </w:r>
      <w:r w:rsidR="006B3CC3" w:rsidRPr="00213950">
        <w:rPr>
          <w:rFonts w:ascii="Calibri" w:hAnsi="Calibri" w:cs="Calibri"/>
          <w:noProof/>
          <w:szCs w:val="24"/>
        </w:rPr>
        <w:t>2022 [</w:t>
      </w:r>
      <w:r w:rsidR="006B3CC3">
        <w:rPr>
          <w:rFonts w:ascii="Calibri" w:hAnsi="Calibri" w:cs="Calibri"/>
          <w:noProof/>
          <w:szCs w:val="24"/>
        </w:rPr>
        <w:t xml:space="preserve">accessed 20 September </w:t>
      </w:r>
      <w:r w:rsidR="006B3CC3" w:rsidRPr="00213950">
        <w:rPr>
          <w:rFonts w:ascii="Calibri" w:hAnsi="Calibri" w:cs="Calibri"/>
          <w:noProof/>
          <w:szCs w:val="24"/>
        </w:rPr>
        <w:t>2022]</w:t>
      </w:r>
    </w:p>
    <w:p w14:paraId="7FA75F6C" w14:textId="49509DE0" w:rsidR="00213950" w:rsidRPr="00213950" w:rsidRDefault="00213950" w:rsidP="00213950">
      <w:pPr>
        <w:widowControl w:val="0"/>
        <w:autoSpaceDE w:val="0"/>
        <w:autoSpaceDN w:val="0"/>
        <w:adjustRightInd w:val="0"/>
        <w:spacing w:line="360" w:lineRule="auto"/>
        <w:ind w:left="640" w:hanging="640"/>
        <w:rPr>
          <w:rFonts w:ascii="Calibri" w:hAnsi="Calibri" w:cs="Calibri"/>
          <w:noProof/>
          <w:szCs w:val="24"/>
        </w:rPr>
      </w:pPr>
      <w:r w:rsidRPr="00213950">
        <w:rPr>
          <w:rFonts w:ascii="Calibri" w:hAnsi="Calibri" w:cs="Calibri"/>
          <w:noProof/>
          <w:szCs w:val="24"/>
        </w:rPr>
        <w:t xml:space="preserve">7. </w:t>
      </w:r>
      <w:r w:rsidRPr="00213950">
        <w:rPr>
          <w:rFonts w:ascii="Calibri" w:hAnsi="Calibri" w:cs="Calibri"/>
          <w:noProof/>
          <w:szCs w:val="24"/>
        </w:rPr>
        <w:tab/>
      </w:r>
      <w:r w:rsidR="006B3CC3">
        <w:rPr>
          <w:rFonts w:ascii="Calibri" w:hAnsi="Calibri" w:cs="Calibri"/>
          <w:noProof/>
          <w:szCs w:val="24"/>
        </w:rPr>
        <w:t>Centers for Disease Control and Prevention</w:t>
      </w:r>
      <w:r w:rsidR="006B3CC3" w:rsidRPr="00F307AB">
        <w:rPr>
          <w:rFonts w:ascii="Calibri" w:hAnsi="Calibri" w:cs="Calibri"/>
          <w:noProof/>
          <w:szCs w:val="24"/>
        </w:rPr>
        <w:t>.</w:t>
      </w:r>
      <w:r w:rsidRPr="00213950">
        <w:rPr>
          <w:rFonts w:ascii="Calibri" w:hAnsi="Calibri" w:cs="Calibri"/>
          <w:noProof/>
          <w:szCs w:val="24"/>
        </w:rPr>
        <w:t xml:space="preserve"> and. National Center for Health Statistics Mortality Data on CDC WONDER</w:t>
      </w:r>
      <w:r w:rsidR="006B3CC3">
        <w:rPr>
          <w:rFonts w:ascii="Calibri" w:hAnsi="Calibri" w:cs="Calibri"/>
          <w:noProof/>
          <w:szCs w:val="24"/>
        </w:rPr>
        <w:t xml:space="preserve">, </w:t>
      </w:r>
      <w:r w:rsidRPr="00213950">
        <w:rPr>
          <w:rFonts w:ascii="Calibri" w:hAnsi="Calibri" w:cs="Calibri"/>
          <w:noProof/>
          <w:szCs w:val="24"/>
        </w:rPr>
        <w:t>https://wonder.cdc.gov/Deaths-by-Underlying-Cause.html</w:t>
      </w:r>
      <w:r w:rsidR="006B3CC3">
        <w:rPr>
          <w:rFonts w:ascii="Calibri" w:hAnsi="Calibri" w:cs="Calibri"/>
          <w:noProof/>
          <w:szCs w:val="24"/>
        </w:rPr>
        <w:t xml:space="preserve">; </w:t>
      </w:r>
      <w:r w:rsidR="006B3CC3" w:rsidRPr="00213950">
        <w:rPr>
          <w:rFonts w:ascii="Calibri" w:hAnsi="Calibri" w:cs="Calibri"/>
          <w:noProof/>
          <w:szCs w:val="24"/>
        </w:rPr>
        <w:t>2022 [</w:t>
      </w:r>
      <w:r w:rsidR="006B3CC3">
        <w:rPr>
          <w:rFonts w:ascii="Calibri" w:hAnsi="Calibri" w:cs="Calibri"/>
          <w:noProof/>
          <w:szCs w:val="24"/>
        </w:rPr>
        <w:t xml:space="preserve">accessed 20 September </w:t>
      </w:r>
      <w:r w:rsidR="006B3CC3" w:rsidRPr="00213950">
        <w:rPr>
          <w:rFonts w:ascii="Calibri" w:hAnsi="Calibri" w:cs="Calibri"/>
          <w:noProof/>
          <w:szCs w:val="24"/>
        </w:rPr>
        <w:t>2022</w:t>
      </w:r>
    </w:p>
    <w:p w14:paraId="5304A3AD" w14:textId="34359004" w:rsidR="00213950" w:rsidRPr="00213950" w:rsidRDefault="00213950" w:rsidP="00213950">
      <w:pPr>
        <w:widowControl w:val="0"/>
        <w:autoSpaceDE w:val="0"/>
        <w:autoSpaceDN w:val="0"/>
        <w:adjustRightInd w:val="0"/>
        <w:spacing w:line="360" w:lineRule="auto"/>
        <w:ind w:left="640" w:hanging="640"/>
        <w:rPr>
          <w:rFonts w:ascii="Calibri" w:hAnsi="Calibri" w:cs="Calibri"/>
          <w:noProof/>
          <w:szCs w:val="24"/>
        </w:rPr>
      </w:pPr>
      <w:r w:rsidRPr="00213950">
        <w:rPr>
          <w:rFonts w:ascii="Calibri" w:hAnsi="Calibri" w:cs="Calibri"/>
          <w:noProof/>
          <w:szCs w:val="24"/>
        </w:rPr>
        <w:t xml:space="preserve">8. </w:t>
      </w:r>
      <w:r w:rsidRPr="00213950">
        <w:rPr>
          <w:rFonts w:ascii="Calibri" w:hAnsi="Calibri" w:cs="Calibri"/>
          <w:noProof/>
          <w:szCs w:val="24"/>
        </w:rPr>
        <w:tab/>
        <w:t xml:space="preserve">Sarenbo S, Svensson PA. Bitten or struck by dog: A rising number of fatalities in Europe, 1995–2016. </w:t>
      </w:r>
      <w:r w:rsidRPr="006B3CC3">
        <w:rPr>
          <w:rFonts w:ascii="Calibri" w:hAnsi="Calibri" w:cs="Calibri"/>
          <w:i/>
          <w:iCs/>
          <w:noProof/>
          <w:szCs w:val="24"/>
        </w:rPr>
        <w:t>Forensic Sci Int</w:t>
      </w:r>
      <w:r w:rsidRPr="00213950">
        <w:rPr>
          <w:rFonts w:ascii="Calibri" w:hAnsi="Calibri" w:cs="Calibri"/>
          <w:noProof/>
          <w:szCs w:val="24"/>
        </w:rPr>
        <w:t xml:space="preserve"> 2021</w:t>
      </w:r>
      <w:r w:rsidR="0074608C" w:rsidRPr="00F307AB">
        <w:rPr>
          <w:rFonts w:ascii="Calibri" w:hAnsi="Calibri" w:cs="Calibri"/>
          <w:noProof/>
          <w:szCs w:val="24"/>
        </w:rPr>
        <w:t>;</w:t>
      </w:r>
      <w:r w:rsidR="0074608C" w:rsidRPr="0074608C">
        <w:rPr>
          <w:rFonts w:ascii="Calibri" w:hAnsi="Calibri" w:cs="Calibri"/>
          <w:b/>
          <w:bCs/>
          <w:noProof/>
          <w:szCs w:val="24"/>
        </w:rPr>
        <w:t>318</w:t>
      </w:r>
      <w:r w:rsidR="0074608C" w:rsidRPr="00F307AB">
        <w:rPr>
          <w:rFonts w:ascii="Calibri" w:hAnsi="Calibri" w:cs="Calibri"/>
          <w:noProof/>
          <w:szCs w:val="24"/>
        </w:rPr>
        <w:t>:110592. doi:10.1016/j.forsciint.2020.110592</w:t>
      </w:r>
    </w:p>
    <w:p w14:paraId="7407FDFC" w14:textId="1C406709" w:rsidR="00213950" w:rsidRPr="00213950" w:rsidRDefault="00213950" w:rsidP="00213950">
      <w:pPr>
        <w:widowControl w:val="0"/>
        <w:autoSpaceDE w:val="0"/>
        <w:autoSpaceDN w:val="0"/>
        <w:adjustRightInd w:val="0"/>
        <w:spacing w:line="360" w:lineRule="auto"/>
        <w:ind w:left="640" w:hanging="640"/>
        <w:rPr>
          <w:rFonts w:ascii="Calibri" w:hAnsi="Calibri" w:cs="Calibri"/>
          <w:noProof/>
          <w:szCs w:val="24"/>
        </w:rPr>
      </w:pPr>
      <w:r w:rsidRPr="00213950">
        <w:rPr>
          <w:rFonts w:ascii="Calibri" w:hAnsi="Calibri" w:cs="Calibri"/>
          <w:noProof/>
          <w:szCs w:val="24"/>
        </w:rPr>
        <w:t xml:space="preserve">9. </w:t>
      </w:r>
      <w:r w:rsidRPr="00213950">
        <w:rPr>
          <w:rFonts w:ascii="Calibri" w:hAnsi="Calibri" w:cs="Calibri"/>
          <w:noProof/>
          <w:szCs w:val="24"/>
        </w:rPr>
        <w:tab/>
        <w:t xml:space="preserve">Forrester JA, Weiser TG, Forrester JD. An Update on Fatalities Due to Venomous and Nonvenomous Animals in the United States (2008–2015). </w:t>
      </w:r>
      <w:r w:rsidRPr="0074608C">
        <w:rPr>
          <w:rFonts w:ascii="Calibri" w:hAnsi="Calibri" w:cs="Calibri"/>
          <w:i/>
          <w:iCs/>
          <w:noProof/>
          <w:szCs w:val="24"/>
        </w:rPr>
        <w:t>Wilderness Environ Med</w:t>
      </w:r>
      <w:r w:rsidR="0074608C">
        <w:rPr>
          <w:rFonts w:ascii="Calibri" w:hAnsi="Calibri" w:cs="Calibri"/>
          <w:noProof/>
          <w:szCs w:val="24"/>
        </w:rPr>
        <w:t xml:space="preserve"> </w:t>
      </w:r>
      <w:r w:rsidR="0074608C" w:rsidRPr="00F307AB">
        <w:rPr>
          <w:rFonts w:ascii="Calibri" w:hAnsi="Calibri" w:cs="Calibri"/>
          <w:noProof/>
          <w:szCs w:val="24"/>
        </w:rPr>
        <w:t>2018;</w:t>
      </w:r>
      <w:r w:rsidR="0074608C" w:rsidRPr="0074608C">
        <w:rPr>
          <w:rFonts w:ascii="Calibri" w:hAnsi="Calibri" w:cs="Calibri"/>
          <w:b/>
          <w:bCs/>
          <w:noProof/>
          <w:szCs w:val="24"/>
        </w:rPr>
        <w:t>29</w:t>
      </w:r>
      <w:r w:rsidR="0074608C" w:rsidRPr="00F307AB">
        <w:rPr>
          <w:rFonts w:ascii="Calibri" w:hAnsi="Calibri" w:cs="Calibri"/>
          <w:noProof/>
          <w:szCs w:val="24"/>
        </w:rPr>
        <w:t>:36–44. doi:10.1016/j.wem.2017.10.004</w:t>
      </w:r>
    </w:p>
    <w:p w14:paraId="71A79A17" w14:textId="569143DD" w:rsidR="00213950" w:rsidRPr="00213950" w:rsidRDefault="00213950" w:rsidP="00213950">
      <w:pPr>
        <w:widowControl w:val="0"/>
        <w:autoSpaceDE w:val="0"/>
        <w:autoSpaceDN w:val="0"/>
        <w:adjustRightInd w:val="0"/>
        <w:spacing w:line="360" w:lineRule="auto"/>
        <w:ind w:left="640" w:hanging="640"/>
        <w:rPr>
          <w:rFonts w:ascii="Calibri" w:hAnsi="Calibri" w:cs="Calibri"/>
          <w:noProof/>
        </w:rPr>
      </w:pPr>
      <w:r w:rsidRPr="00213950">
        <w:rPr>
          <w:rFonts w:ascii="Calibri" w:hAnsi="Calibri" w:cs="Calibri"/>
          <w:noProof/>
          <w:szCs w:val="24"/>
        </w:rPr>
        <w:t xml:space="preserve">10. </w:t>
      </w:r>
      <w:r w:rsidRPr="00213950">
        <w:rPr>
          <w:rFonts w:ascii="Calibri" w:hAnsi="Calibri" w:cs="Calibri"/>
          <w:noProof/>
          <w:szCs w:val="24"/>
        </w:rPr>
        <w:tab/>
        <w:t xml:space="preserve">Raghavan M. Fatal dog attacks in Canada, 1990-2007. </w:t>
      </w:r>
      <w:r w:rsidRPr="0074608C">
        <w:rPr>
          <w:rFonts w:ascii="Calibri" w:hAnsi="Calibri" w:cs="Calibri"/>
          <w:i/>
          <w:iCs/>
          <w:noProof/>
          <w:szCs w:val="24"/>
        </w:rPr>
        <w:t>Can Vet J</w:t>
      </w:r>
      <w:r w:rsidR="0074608C" w:rsidRPr="0074608C">
        <w:rPr>
          <w:rFonts w:ascii="Calibri" w:hAnsi="Calibri" w:cs="Calibri"/>
          <w:noProof/>
          <w:szCs w:val="24"/>
        </w:rPr>
        <w:t xml:space="preserve"> </w:t>
      </w:r>
      <w:r w:rsidR="0074608C" w:rsidRPr="00F307AB">
        <w:rPr>
          <w:rFonts w:ascii="Calibri" w:hAnsi="Calibri" w:cs="Calibri"/>
          <w:noProof/>
          <w:szCs w:val="24"/>
        </w:rPr>
        <w:t>2008;</w:t>
      </w:r>
      <w:r w:rsidR="0074608C" w:rsidRPr="0074608C">
        <w:rPr>
          <w:rFonts w:ascii="Calibri" w:hAnsi="Calibri" w:cs="Calibri"/>
          <w:b/>
          <w:bCs/>
          <w:noProof/>
          <w:szCs w:val="24"/>
        </w:rPr>
        <w:t>49</w:t>
      </w:r>
      <w:r w:rsidR="0074608C" w:rsidRPr="00F307AB">
        <w:rPr>
          <w:rFonts w:ascii="Calibri" w:hAnsi="Calibri" w:cs="Calibri"/>
          <w:noProof/>
          <w:szCs w:val="24"/>
        </w:rPr>
        <w:t>:577–81</w:t>
      </w:r>
      <w:r w:rsidRPr="00213950">
        <w:rPr>
          <w:rFonts w:ascii="Calibri" w:hAnsi="Calibri" w:cs="Calibri"/>
          <w:noProof/>
          <w:szCs w:val="24"/>
        </w:rPr>
        <w:t xml:space="preserve">. </w:t>
      </w:r>
    </w:p>
    <w:p w14:paraId="1B46C402" w14:textId="5763FFDB" w:rsidR="009D7D5A" w:rsidRDefault="00A816AF" w:rsidP="004047CC">
      <w:pPr>
        <w:spacing w:line="360" w:lineRule="auto"/>
        <w:jc w:val="both"/>
        <w:rPr>
          <w:b/>
          <w:bCs/>
        </w:rPr>
      </w:pPr>
      <w:r>
        <w:rPr>
          <w:b/>
          <w:bCs/>
        </w:rPr>
        <w:fldChar w:fldCharType="end"/>
      </w:r>
    </w:p>
    <w:p w14:paraId="4A026230" w14:textId="249B45FF" w:rsidR="00AD75EE" w:rsidRDefault="00AD75EE" w:rsidP="004047CC">
      <w:pPr>
        <w:spacing w:line="360" w:lineRule="auto"/>
        <w:jc w:val="both"/>
        <w:rPr>
          <w:b/>
          <w:bCs/>
        </w:rPr>
      </w:pPr>
      <w:r>
        <w:rPr>
          <w:b/>
          <w:bCs/>
        </w:rPr>
        <w:t>Figure Legend</w:t>
      </w:r>
    </w:p>
    <w:p w14:paraId="1BE81EA4" w14:textId="7A429C16" w:rsidR="002D04CF" w:rsidRDefault="00AD75EE" w:rsidP="00AD75EE">
      <w:r w:rsidRPr="004D2C43">
        <w:rPr>
          <w:b/>
          <w:bCs/>
        </w:rPr>
        <w:t>Figure 1.</w:t>
      </w:r>
      <w:r>
        <w:t xml:space="preserve"> </w:t>
      </w:r>
      <w:r w:rsidR="002D04CF">
        <w:t>Annual incidence annual incidence (cases per 10 million population per year) of dog-related deaths in England and Wales, stratified by region (2013-2021), year, and age groups (2001-2021)</w:t>
      </w:r>
    </w:p>
    <w:sectPr w:rsidR="002D04CF" w:rsidSect="00AD75E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ABA"/>
    <w:multiLevelType w:val="hybridMultilevel"/>
    <w:tmpl w:val="18A4C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F2676"/>
    <w:multiLevelType w:val="hybridMultilevel"/>
    <w:tmpl w:val="8B50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971DF"/>
    <w:multiLevelType w:val="multilevel"/>
    <w:tmpl w:val="88DCC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419C5"/>
    <w:multiLevelType w:val="hybridMultilevel"/>
    <w:tmpl w:val="BD528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5B38D7"/>
    <w:multiLevelType w:val="hybridMultilevel"/>
    <w:tmpl w:val="C476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D240C"/>
    <w:multiLevelType w:val="hybridMultilevel"/>
    <w:tmpl w:val="2736B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7643D3"/>
    <w:multiLevelType w:val="hybridMultilevel"/>
    <w:tmpl w:val="526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CxMLe0tDA1NzYxMDZS0lEKTi0uzszPAykwqgUAnVjQvSwAAAA="/>
  </w:docVars>
  <w:rsids>
    <w:rsidRoot w:val="00D624B2"/>
    <w:rsid w:val="000161FD"/>
    <w:rsid w:val="000244C1"/>
    <w:rsid w:val="00033D1D"/>
    <w:rsid w:val="000419DF"/>
    <w:rsid w:val="00043131"/>
    <w:rsid w:val="00045AFB"/>
    <w:rsid w:val="00047BE9"/>
    <w:rsid w:val="00051095"/>
    <w:rsid w:val="00062BAB"/>
    <w:rsid w:val="00063F2B"/>
    <w:rsid w:val="0007257D"/>
    <w:rsid w:val="000855C6"/>
    <w:rsid w:val="000A1D4D"/>
    <w:rsid w:val="000A4310"/>
    <w:rsid w:val="000A7C00"/>
    <w:rsid w:val="000B79FD"/>
    <w:rsid w:val="000D6420"/>
    <w:rsid w:val="000D6864"/>
    <w:rsid w:val="000F78C6"/>
    <w:rsid w:val="00117963"/>
    <w:rsid w:val="001225BD"/>
    <w:rsid w:val="00130A7F"/>
    <w:rsid w:val="00166BAC"/>
    <w:rsid w:val="00182F01"/>
    <w:rsid w:val="001A6DB8"/>
    <w:rsid w:val="001B6794"/>
    <w:rsid w:val="001C4765"/>
    <w:rsid w:val="001C4DDB"/>
    <w:rsid w:val="001D0C33"/>
    <w:rsid w:val="001D31A6"/>
    <w:rsid w:val="001D39B8"/>
    <w:rsid w:val="001D4B8D"/>
    <w:rsid w:val="002001CA"/>
    <w:rsid w:val="00213950"/>
    <w:rsid w:val="00221C4B"/>
    <w:rsid w:val="00222A55"/>
    <w:rsid w:val="00223883"/>
    <w:rsid w:val="0022754B"/>
    <w:rsid w:val="00227906"/>
    <w:rsid w:val="002314AC"/>
    <w:rsid w:val="00275747"/>
    <w:rsid w:val="00277714"/>
    <w:rsid w:val="00277AC8"/>
    <w:rsid w:val="002801A4"/>
    <w:rsid w:val="00280459"/>
    <w:rsid w:val="00284919"/>
    <w:rsid w:val="00285DC8"/>
    <w:rsid w:val="002A0A20"/>
    <w:rsid w:val="002A23AF"/>
    <w:rsid w:val="002C79E6"/>
    <w:rsid w:val="002D04CF"/>
    <w:rsid w:val="002D5FC3"/>
    <w:rsid w:val="002E3EC5"/>
    <w:rsid w:val="002E783C"/>
    <w:rsid w:val="002F3C1C"/>
    <w:rsid w:val="003145B2"/>
    <w:rsid w:val="00314F5B"/>
    <w:rsid w:val="00321073"/>
    <w:rsid w:val="00335FAA"/>
    <w:rsid w:val="00340FD0"/>
    <w:rsid w:val="0034392F"/>
    <w:rsid w:val="00346F1B"/>
    <w:rsid w:val="00352CA8"/>
    <w:rsid w:val="00356688"/>
    <w:rsid w:val="00356CA3"/>
    <w:rsid w:val="00367DF4"/>
    <w:rsid w:val="003740AE"/>
    <w:rsid w:val="0038121A"/>
    <w:rsid w:val="00384667"/>
    <w:rsid w:val="003871EF"/>
    <w:rsid w:val="00392718"/>
    <w:rsid w:val="003C09F5"/>
    <w:rsid w:val="003D2B1F"/>
    <w:rsid w:val="003D781D"/>
    <w:rsid w:val="003E4B2A"/>
    <w:rsid w:val="003E57D9"/>
    <w:rsid w:val="003F39BE"/>
    <w:rsid w:val="003F6158"/>
    <w:rsid w:val="004047CC"/>
    <w:rsid w:val="004070B6"/>
    <w:rsid w:val="004133C6"/>
    <w:rsid w:val="00462C39"/>
    <w:rsid w:val="0048136C"/>
    <w:rsid w:val="004907F5"/>
    <w:rsid w:val="004958EA"/>
    <w:rsid w:val="004A1303"/>
    <w:rsid w:val="004A334A"/>
    <w:rsid w:val="004C241C"/>
    <w:rsid w:val="004D2C43"/>
    <w:rsid w:val="004D4C2E"/>
    <w:rsid w:val="004F28DB"/>
    <w:rsid w:val="00503C27"/>
    <w:rsid w:val="00513FA3"/>
    <w:rsid w:val="00531A29"/>
    <w:rsid w:val="00542BA7"/>
    <w:rsid w:val="0054645F"/>
    <w:rsid w:val="005545F8"/>
    <w:rsid w:val="00571671"/>
    <w:rsid w:val="00577E9E"/>
    <w:rsid w:val="005A2B2D"/>
    <w:rsid w:val="005A3B4D"/>
    <w:rsid w:val="005C287E"/>
    <w:rsid w:val="005C5947"/>
    <w:rsid w:val="005C796E"/>
    <w:rsid w:val="005D105F"/>
    <w:rsid w:val="005D211C"/>
    <w:rsid w:val="005E2A45"/>
    <w:rsid w:val="005E4B40"/>
    <w:rsid w:val="005F04EA"/>
    <w:rsid w:val="006051B0"/>
    <w:rsid w:val="00611664"/>
    <w:rsid w:val="00613A0E"/>
    <w:rsid w:val="00634C10"/>
    <w:rsid w:val="00637C9C"/>
    <w:rsid w:val="00640A1D"/>
    <w:rsid w:val="00646EFA"/>
    <w:rsid w:val="00672C59"/>
    <w:rsid w:val="006817BC"/>
    <w:rsid w:val="00690335"/>
    <w:rsid w:val="0069169B"/>
    <w:rsid w:val="00692F64"/>
    <w:rsid w:val="006953C9"/>
    <w:rsid w:val="006B3CC3"/>
    <w:rsid w:val="006C195C"/>
    <w:rsid w:val="006C494B"/>
    <w:rsid w:val="006E0FA3"/>
    <w:rsid w:val="006E34D7"/>
    <w:rsid w:val="006F3560"/>
    <w:rsid w:val="006F4629"/>
    <w:rsid w:val="00707892"/>
    <w:rsid w:val="00723ECC"/>
    <w:rsid w:val="00726F2F"/>
    <w:rsid w:val="00727E37"/>
    <w:rsid w:val="0074608C"/>
    <w:rsid w:val="007850DD"/>
    <w:rsid w:val="007916D8"/>
    <w:rsid w:val="007A62C6"/>
    <w:rsid w:val="007C4850"/>
    <w:rsid w:val="007D4572"/>
    <w:rsid w:val="007D6CD5"/>
    <w:rsid w:val="007D7482"/>
    <w:rsid w:val="007F33C1"/>
    <w:rsid w:val="007F5163"/>
    <w:rsid w:val="007F75E4"/>
    <w:rsid w:val="00811392"/>
    <w:rsid w:val="008225BC"/>
    <w:rsid w:val="00832BBE"/>
    <w:rsid w:val="00833C52"/>
    <w:rsid w:val="0083520F"/>
    <w:rsid w:val="00841786"/>
    <w:rsid w:val="00843862"/>
    <w:rsid w:val="00861478"/>
    <w:rsid w:val="00867D50"/>
    <w:rsid w:val="00870CCB"/>
    <w:rsid w:val="008741CC"/>
    <w:rsid w:val="00881FAC"/>
    <w:rsid w:val="00891738"/>
    <w:rsid w:val="008968D0"/>
    <w:rsid w:val="008D236D"/>
    <w:rsid w:val="008D5BB1"/>
    <w:rsid w:val="008F1869"/>
    <w:rsid w:val="008F24ED"/>
    <w:rsid w:val="008F4C32"/>
    <w:rsid w:val="008F669C"/>
    <w:rsid w:val="008F6DC2"/>
    <w:rsid w:val="009070E9"/>
    <w:rsid w:val="00914A24"/>
    <w:rsid w:val="00931392"/>
    <w:rsid w:val="009378CA"/>
    <w:rsid w:val="00945176"/>
    <w:rsid w:val="00951CD4"/>
    <w:rsid w:val="00966E5D"/>
    <w:rsid w:val="00983E62"/>
    <w:rsid w:val="009A62AD"/>
    <w:rsid w:val="009B0FC0"/>
    <w:rsid w:val="009B60AC"/>
    <w:rsid w:val="009C0F23"/>
    <w:rsid w:val="009D7D5A"/>
    <w:rsid w:val="009E1C1E"/>
    <w:rsid w:val="009E6953"/>
    <w:rsid w:val="009F2E47"/>
    <w:rsid w:val="00A21FAA"/>
    <w:rsid w:val="00A37DA0"/>
    <w:rsid w:val="00A5223D"/>
    <w:rsid w:val="00A6024C"/>
    <w:rsid w:val="00A70FF7"/>
    <w:rsid w:val="00A71358"/>
    <w:rsid w:val="00A806BF"/>
    <w:rsid w:val="00A816AF"/>
    <w:rsid w:val="00A911FB"/>
    <w:rsid w:val="00AA503F"/>
    <w:rsid w:val="00AC4AE3"/>
    <w:rsid w:val="00AD23AD"/>
    <w:rsid w:val="00AD482A"/>
    <w:rsid w:val="00AD75EE"/>
    <w:rsid w:val="00AE5F1A"/>
    <w:rsid w:val="00AF33DD"/>
    <w:rsid w:val="00B03993"/>
    <w:rsid w:val="00B0475F"/>
    <w:rsid w:val="00B11A46"/>
    <w:rsid w:val="00B15562"/>
    <w:rsid w:val="00B216B3"/>
    <w:rsid w:val="00B30CC7"/>
    <w:rsid w:val="00B36C91"/>
    <w:rsid w:val="00B40F07"/>
    <w:rsid w:val="00B4644E"/>
    <w:rsid w:val="00B52DC8"/>
    <w:rsid w:val="00B53FDA"/>
    <w:rsid w:val="00B6009E"/>
    <w:rsid w:val="00B65475"/>
    <w:rsid w:val="00B65ED0"/>
    <w:rsid w:val="00B7045D"/>
    <w:rsid w:val="00B70B51"/>
    <w:rsid w:val="00B74EB2"/>
    <w:rsid w:val="00B77488"/>
    <w:rsid w:val="00B81524"/>
    <w:rsid w:val="00B82A01"/>
    <w:rsid w:val="00B9442D"/>
    <w:rsid w:val="00BA5330"/>
    <w:rsid w:val="00BA5A1F"/>
    <w:rsid w:val="00BB2E52"/>
    <w:rsid w:val="00BB559B"/>
    <w:rsid w:val="00BB624F"/>
    <w:rsid w:val="00BC0814"/>
    <w:rsid w:val="00BC337E"/>
    <w:rsid w:val="00BE180A"/>
    <w:rsid w:val="00BE6DFC"/>
    <w:rsid w:val="00BF2FE2"/>
    <w:rsid w:val="00C02588"/>
    <w:rsid w:val="00C154A4"/>
    <w:rsid w:val="00C27C9E"/>
    <w:rsid w:val="00C27F4E"/>
    <w:rsid w:val="00C33D4C"/>
    <w:rsid w:val="00C53149"/>
    <w:rsid w:val="00C563B4"/>
    <w:rsid w:val="00C56BC7"/>
    <w:rsid w:val="00C57DAE"/>
    <w:rsid w:val="00C57E72"/>
    <w:rsid w:val="00C70CF2"/>
    <w:rsid w:val="00C8336E"/>
    <w:rsid w:val="00C84680"/>
    <w:rsid w:val="00CA6B08"/>
    <w:rsid w:val="00CB1AC0"/>
    <w:rsid w:val="00CB32CE"/>
    <w:rsid w:val="00CC105B"/>
    <w:rsid w:val="00CC1384"/>
    <w:rsid w:val="00CD0EDB"/>
    <w:rsid w:val="00CE2298"/>
    <w:rsid w:val="00CE60A9"/>
    <w:rsid w:val="00CE6613"/>
    <w:rsid w:val="00CE7C4E"/>
    <w:rsid w:val="00D00196"/>
    <w:rsid w:val="00D01D5D"/>
    <w:rsid w:val="00D07C00"/>
    <w:rsid w:val="00D35EFC"/>
    <w:rsid w:val="00D47628"/>
    <w:rsid w:val="00D52C6A"/>
    <w:rsid w:val="00D55C0F"/>
    <w:rsid w:val="00D624B2"/>
    <w:rsid w:val="00D62E0E"/>
    <w:rsid w:val="00D71DBC"/>
    <w:rsid w:val="00D7373E"/>
    <w:rsid w:val="00D75F91"/>
    <w:rsid w:val="00D92C3B"/>
    <w:rsid w:val="00D97239"/>
    <w:rsid w:val="00DA214B"/>
    <w:rsid w:val="00DA2CDF"/>
    <w:rsid w:val="00DA3CFD"/>
    <w:rsid w:val="00DB06D7"/>
    <w:rsid w:val="00DB6AFE"/>
    <w:rsid w:val="00DD036A"/>
    <w:rsid w:val="00DD4A93"/>
    <w:rsid w:val="00DE0A7D"/>
    <w:rsid w:val="00DE699B"/>
    <w:rsid w:val="00DF3E77"/>
    <w:rsid w:val="00E06814"/>
    <w:rsid w:val="00E075E5"/>
    <w:rsid w:val="00E119A4"/>
    <w:rsid w:val="00E220EB"/>
    <w:rsid w:val="00E2527E"/>
    <w:rsid w:val="00E361AC"/>
    <w:rsid w:val="00E37E45"/>
    <w:rsid w:val="00E477A9"/>
    <w:rsid w:val="00E51974"/>
    <w:rsid w:val="00E6018A"/>
    <w:rsid w:val="00E66FE9"/>
    <w:rsid w:val="00E83556"/>
    <w:rsid w:val="00E83579"/>
    <w:rsid w:val="00E95E16"/>
    <w:rsid w:val="00EA219D"/>
    <w:rsid w:val="00EA392A"/>
    <w:rsid w:val="00ED2A6B"/>
    <w:rsid w:val="00ED3D7D"/>
    <w:rsid w:val="00ED67C8"/>
    <w:rsid w:val="00EE0962"/>
    <w:rsid w:val="00EF04FB"/>
    <w:rsid w:val="00F00A54"/>
    <w:rsid w:val="00F00A61"/>
    <w:rsid w:val="00F17ADB"/>
    <w:rsid w:val="00F307AB"/>
    <w:rsid w:val="00F34BFC"/>
    <w:rsid w:val="00F379DB"/>
    <w:rsid w:val="00F37F68"/>
    <w:rsid w:val="00F44FF7"/>
    <w:rsid w:val="00F606CC"/>
    <w:rsid w:val="00F73D2B"/>
    <w:rsid w:val="00F86B80"/>
    <w:rsid w:val="00F90B24"/>
    <w:rsid w:val="00F90DD6"/>
    <w:rsid w:val="00F96DA6"/>
    <w:rsid w:val="00FC7C90"/>
    <w:rsid w:val="00FD3E8D"/>
    <w:rsid w:val="00FE03AD"/>
    <w:rsid w:val="00FE6195"/>
    <w:rsid w:val="00FE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2054"/>
  <w15:chartTrackingRefBased/>
  <w15:docId w15:val="{DECE602A-1516-4E6C-85BB-31950236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4B2"/>
    <w:rPr>
      <w:color w:val="0563C1" w:themeColor="hyperlink"/>
      <w:u w:val="single"/>
    </w:rPr>
  </w:style>
  <w:style w:type="character" w:customStyle="1" w:styleId="UnresolvedMention1">
    <w:name w:val="Unresolved Mention1"/>
    <w:basedOn w:val="DefaultParagraphFont"/>
    <w:uiPriority w:val="99"/>
    <w:semiHidden/>
    <w:unhideWhenUsed/>
    <w:rsid w:val="00D624B2"/>
    <w:rPr>
      <w:color w:val="605E5C"/>
      <w:shd w:val="clear" w:color="auto" w:fill="E1DFDD"/>
    </w:rPr>
  </w:style>
  <w:style w:type="character" w:styleId="CommentReference">
    <w:name w:val="annotation reference"/>
    <w:basedOn w:val="DefaultParagraphFont"/>
    <w:uiPriority w:val="99"/>
    <w:semiHidden/>
    <w:unhideWhenUsed/>
    <w:rsid w:val="00E075E5"/>
    <w:rPr>
      <w:sz w:val="16"/>
      <w:szCs w:val="16"/>
    </w:rPr>
  </w:style>
  <w:style w:type="paragraph" w:styleId="CommentText">
    <w:name w:val="annotation text"/>
    <w:basedOn w:val="Normal"/>
    <w:link w:val="CommentTextChar"/>
    <w:uiPriority w:val="99"/>
    <w:unhideWhenUsed/>
    <w:rsid w:val="00E075E5"/>
    <w:pPr>
      <w:spacing w:line="240" w:lineRule="auto"/>
    </w:pPr>
    <w:rPr>
      <w:sz w:val="20"/>
      <w:szCs w:val="20"/>
    </w:rPr>
  </w:style>
  <w:style w:type="character" w:customStyle="1" w:styleId="CommentTextChar">
    <w:name w:val="Comment Text Char"/>
    <w:basedOn w:val="DefaultParagraphFont"/>
    <w:link w:val="CommentText"/>
    <w:uiPriority w:val="99"/>
    <w:rsid w:val="00E075E5"/>
    <w:rPr>
      <w:sz w:val="20"/>
      <w:szCs w:val="20"/>
    </w:rPr>
  </w:style>
  <w:style w:type="paragraph" w:styleId="CommentSubject">
    <w:name w:val="annotation subject"/>
    <w:basedOn w:val="CommentText"/>
    <w:next w:val="CommentText"/>
    <w:link w:val="CommentSubjectChar"/>
    <w:uiPriority w:val="99"/>
    <w:semiHidden/>
    <w:unhideWhenUsed/>
    <w:rsid w:val="00E075E5"/>
    <w:rPr>
      <w:b/>
      <w:bCs/>
    </w:rPr>
  </w:style>
  <w:style w:type="character" w:customStyle="1" w:styleId="CommentSubjectChar">
    <w:name w:val="Comment Subject Char"/>
    <w:basedOn w:val="CommentTextChar"/>
    <w:link w:val="CommentSubject"/>
    <w:uiPriority w:val="99"/>
    <w:semiHidden/>
    <w:rsid w:val="00E075E5"/>
    <w:rPr>
      <w:b/>
      <w:bCs/>
      <w:sz w:val="20"/>
      <w:szCs w:val="20"/>
    </w:rPr>
  </w:style>
  <w:style w:type="paragraph" w:styleId="ListParagraph">
    <w:name w:val="List Paragraph"/>
    <w:basedOn w:val="Normal"/>
    <w:uiPriority w:val="34"/>
    <w:qFormat/>
    <w:rsid w:val="00F86B80"/>
    <w:pPr>
      <w:ind w:left="720"/>
      <w:contextualSpacing/>
    </w:pPr>
  </w:style>
  <w:style w:type="table" w:styleId="GridTable1Light">
    <w:name w:val="Grid Table 1 Light"/>
    <w:basedOn w:val="TableNormal"/>
    <w:uiPriority w:val="46"/>
    <w:rsid w:val="00C53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85DC8"/>
    <w:rPr>
      <w:b/>
      <w:bCs/>
    </w:rPr>
  </w:style>
  <w:style w:type="character" w:styleId="Emphasis">
    <w:name w:val="Emphasis"/>
    <w:basedOn w:val="DefaultParagraphFont"/>
    <w:uiPriority w:val="20"/>
    <w:qFormat/>
    <w:rsid w:val="00F606CC"/>
    <w:rPr>
      <w:i/>
      <w:iCs/>
    </w:rPr>
  </w:style>
  <w:style w:type="paragraph" w:styleId="BalloonText">
    <w:name w:val="Balloon Text"/>
    <w:basedOn w:val="Normal"/>
    <w:link w:val="BalloonTextChar"/>
    <w:uiPriority w:val="99"/>
    <w:semiHidden/>
    <w:unhideWhenUsed/>
    <w:rsid w:val="00B15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62"/>
    <w:rPr>
      <w:rFonts w:ascii="Segoe UI" w:hAnsi="Segoe UI" w:cs="Segoe UI"/>
      <w:sz w:val="18"/>
      <w:szCs w:val="18"/>
    </w:rPr>
  </w:style>
  <w:style w:type="character" w:styleId="PlaceholderText">
    <w:name w:val="Placeholder Text"/>
    <w:basedOn w:val="DefaultParagraphFont"/>
    <w:uiPriority w:val="99"/>
    <w:semiHidden/>
    <w:rsid w:val="00DD036A"/>
    <w:rPr>
      <w:color w:val="808080"/>
    </w:rPr>
  </w:style>
  <w:style w:type="character" w:styleId="FollowedHyperlink">
    <w:name w:val="FollowedHyperlink"/>
    <w:basedOn w:val="DefaultParagraphFont"/>
    <w:uiPriority w:val="99"/>
    <w:semiHidden/>
    <w:unhideWhenUsed/>
    <w:rsid w:val="001D39B8"/>
    <w:rPr>
      <w:color w:val="954F72" w:themeColor="followedHyperlink"/>
      <w:u w:val="single"/>
    </w:rPr>
  </w:style>
  <w:style w:type="paragraph" w:styleId="Revision">
    <w:name w:val="Revision"/>
    <w:hidden/>
    <w:uiPriority w:val="99"/>
    <w:semiHidden/>
    <w:rsid w:val="00B77488"/>
    <w:pPr>
      <w:spacing w:after="0" w:line="240" w:lineRule="auto"/>
    </w:pPr>
  </w:style>
  <w:style w:type="character" w:customStyle="1" w:styleId="UnresolvedMention2">
    <w:name w:val="Unresolved Mention2"/>
    <w:basedOn w:val="DefaultParagraphFont"/>
    <w:uiPriority w:val="99"/>
    <w:semiHidden/>
    <w:unhideWhenUsed/>
    <w:rsid w:val="00692F64"/>
    <w:rPr>
      <w:color w:val="605E5C"/>
      <w:shd w:val="clear" w:color="auto" w:fill="E1DFDD"/>
    </w:rPr>
  </w:style>
  <w:style w:type="character" w:styleId="LineNumber">
    <w:name w:val="line number"/>
    <w:basedOn w:val="DefaultParagraphFont"/>
    <w:uiPriority w:val="99"/>
    <w:semiHidden/>
    <w:unhideWhenUsed/>
    <w:rsid w:val="00FC7C90"/>
  </w:style>
  <w:style w:type="paragraph" w:styleId="NormalWeb">
    <w:name w:val="Normal (Web)"/>
    <w:basedOn w:val="Normal"/>
    <w:uiPriority w:val="99"/>
    <w:semiHidden/>
    <w:unhideWhenUsed/>
    <w:rsid w:val="00BE6DF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025858">
      <w:bodyDiv w:val="1"/>
      <w:marLeft w:val="0"/>
      <w:marRight w:val="0"/>
      <w:marTop w:val="0"/>
      <w:marBottom w:val="0"/>
      <w:divBdr>
        <w:top w:val="none" w:sz="0" w:space="0" w:color="auto"/>
        <w:left w:val="none" w:sz="0" w:space="0" w:color="auto"/>
        <w:bottom w:val="none" w:sz="0" w:space="0" w:color="auto"/>
        <w:right w:val="none" w:sz="0" w:space="0" w:color="auto"/>
      </w:divBdr>
      <w:divsChild>
        <w:div w:id="549072246">
          <w:marLeft w:val="0"/>
          <w:marRight w:val="0"/>
          <w:marTop w:val="0"/>
          <w:marBottom w:val="0"/>
          <w:divBdr>
            <w:top w:val="none" w:sz="0" w:space="0" w:color="auto"/>
            <w:left w:val="none" w:sz="0" w:space="0" w:color="auto"/>
            <w:bottom w:val="none" w:sz="0" w:space="0" w:color="auto"/>
            <w:right w:val="none" w:sz="0" w:space="0" w:color="auto"/>
          </w:divBdr>
          <w:divsChild>
            <w:div w:id="156848415">
              <w:marLeft w:val="0"/>
              <w:marRight w:val="0"/>
              <w:marTop w:val="0"/>
              <w:marBottom w:val="0"/>
              <w:divBdr>
                <w:top w:val="none" w:sz="0" w:space="0" w:color="auto"/>
                <w:left w:val="none" w:sz="0" w:space="0" w:color="auto"/>
                <w:bottom w:val="none" w:sz="0" w:space="0" w:color="auto"/>
                <w:right w:val="none" w:sz="0" w:space="0" w:color="auto"/>
              </w:divBdr>
              <w:divsChild>
                <w:div w:id="2094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21782">
      <w:bodyDiv w:val="1"/>
      <w:marLeft w:val="0"/>
      <w:marRight w:val="0"/>
      <w:marTop w:val="0"/>
      <w:marBottom w:val="0"/>
      <w:divBdr>
        <w:top w:val="none" w:sz="0" w:space="0" w:color="auto"/>
        <w:left w:val="none" w:sz="0" w:space="0" w:color="auto"/>
        <w:bottom w:val="none" w:sz="0" w:space="0" w:color="auto"/>
        <w:right w:val="none" w:sz="0" w:space="0" w:color="auto"/>
      </w:divBdr>
      <w:divsChild>
        <w:div w:id="418478764">
          <w:marLeft w:val="0"/>
          <w:marRight w:val="0"/>
          <w:marTop w:val="0"/>
          <w:marBottom w:val="0"/>
          <w:divBdr>
            <w:top w:val="none" w:sz="0" w:space="0" w:color="auto"/>
            <w:left w:val="none" w:sz="0" w:space="0" w:color="auto"/>
            <w:bottom w:val="none" w:sz="0" w:space="0" w:color="auto"/>
            <w:right w:val="none" w:sz="0" w:space="0" w:color="auto"/>
          </w:divBdr>
          <w:divsChild>
            <w:div w:id="2059743019">
              <w:marLeft w:val="0"/>
              <w:marRight w:val="0"/>
              <w:marTop w:val="0"/>
              <w:marBottom w:val="0"/>
              <w:divBdr>
                <w:top w:val="none" w:sz="0" w:space="0" w:color="auto"/>
                <w:left w:val="none" w:sz="0" w:space="0" w:color="auto"/>
                <w:bottom w:val="none" w:sz="0" w:space="0" w:color="auto"/>
                <w:right w:val="none" w:sz="0" w:space="0" w:color="auto"/>
              </w:divBdr>
              <w:divsChild>
                <w:div w:id="674041934">
                  <w:marLeft w:val="0"/>
                  <w:marRight w:val="0"/>
                  <w:marTop w:val="0"/>
                  <w:marBottom w:val="0"/>
                  <w:divBdr>
                    <w:top w:val="none" w:sz="0" w:space="0" w:color="auto"/>
                    <w:left w:val="none" w:sz="0" w:space="0" w:color="auto"/>
                    <w:bottom w:val="none" w:sz="0" w:space="0" w:color="auto"/>
                    <w:right w:val="none" w:sz="0" w:space="0" w:color="auto"/>
                  </w:divBdr>
                  <w:divsChild>
                    <w:div w:id="1753042073">
                      <w:marLeft w:val="0"/>
                      <w:marRight w:val="0"/>
                      <w:marTop w:val="0"/>
                      <w:marBottom w:val="0"/>
                      <w:divBdr>
                        <w:top w:val="none" w:sz="0" w:space="0" w:color="auto"/>
                        <w:left w:val="none" w:sz="0" w:space="0" w:color="auto"/>
                        <w:bottom w:val="none" w:sz="0" w:space="0" w:color="auto"/>
                        <w:right w:val="none" w:sz="0" w:space="0" w:color="auto"/>
                      </w:divBdr>
                      <w:divsChild>
                        <w:div w:id="349842404">
                          <w:marLeft w:val="0"/>
                          <w:marRight w:val="0"/>
                          <w:marTop w:val="0"/>
                          <w:marBottom w:val="0"/>
                          <w:divBdr>
                            <w:top w:val="none" w:sz="0" w:space="0" w:color="auto"/>
                            <w:left w:val="none" w:sz="0" w:space="0" w:color="auto"/>
                            <w:bottom w:val="none" w:sz="0" w:space="0" w:color="auto"/>
                            <w:right w:val="none" w:sz="0" w:space="0" w:color="auto"/>
                          </w:divBdr>
                          <w:divsChild>
                            <w:div w:id="1105808043">
                              <w:marLeft w:val="0"/>
                              <w:marRight w:val="0"/>
                              <w:marTop w:val="0"/>
                              <w:marBottom w:val="0"/>
                              <w:divBdr>
                                <w:top w:val="none" w:sz="0" w:space="0" w:color="auto"/>
                                <w:left w:val="none" w:sz="0" w:space="0" w:color="auto"/>
                                <w:bottom w:val="none" w:sz="0" w:space="0" w:color="auto"/>
                                <w:right w:val="none" w:sz="0" w:space="0" w:color="auto"/>
                              </w:divBdr>
                              <w:divsChild>
                                <w:div w:id="516697293">
                                  <w:marLeft w:val="0"/>
                                  <w:marRight w:val="0"/>
                                  <w:marTop w:val="0"/>
                                  <w:marBottom w:val="0"/>
                                  <w:divBdr>
                                    <w:top w:val="single" w:sz="6" w:space="0" w:color="CCCDCD"/>
                                    <w:left w:val="none" w:sz="0" w:space="0" w:color="auto"/>
                                    <w:bottom w:val="none" w:sz="0" w:space="0" w:color="auto"/>
                                    <w:right w:val="none" w:sz="0" w:space="0" w:color="auto"/>
                                  </w:divBdr>
                                  <w:divsChild>
                                    <w:div w:id="217784610">
                                      <w:marLeft w:val="0"/>
                                      <w:marRight w:val="0"/>
                                      <w:marTop w:val="0"/>
                                      <w:marBottom w:val="0"/>
                                      <w:divBdr>
                                        <w:top w:val="none" w:sz="0" w:space="0" w:color="auto"/>
                                        <w:left w:val="none" w:sz="0" w:space="0" w:color="auto"/>
                                        <w:bottom w:val="none" w:sz="0" w:space="0" w:color="auto"/>
                                        <w:right w:val="none" w:sz="0" w:space="0" w:color="auto"/>
                                      </w:divBdr>
                                      <w:divsChild>
                                        <w:div w:id="9535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619296">
      <w:bodyDiv w:val="1"/>
      <w:marLeft w:val="0"/>
      <w:marRight w:val="0"/>
      <w:marTop w:val="0"/>
      <w:marBottom w:val="0"/>
      <w:divBdr>
        <w:top w:val="none" w:sz="0" w:space="0" w:color="auto"/>
        <w:left w:val="none" w:sz="0" w:space="0" w:color="auto"/>
        <w:bottom w:val="none" w:sz="0" w:space="0" w:color="auto"/>
        <w:right w:val="none" w:sz="0" w:space="0" w:color="auto"/>
      </w:divBdr>
    </w:div>
    <w:div w:id="1756828564">
      <w:bodyDiv w:val="1"/>
      <w:marLeft w:val="0"/>
      <w:marRight w:val="0"/>
      <w:marTop w:val="0"/>
      <w:marBottom w:val="0"/>
      <w:divBdr>
        <w:top w:val="none" w:sz="0" w:space="0" w:color="auto"/>
        <w:left w:val="none" w:sz="0" w:space="0" w:color="auto"/>
        <w:bottom w:val="none" w:sz="0" w:space="0" w:color="auto"/>
        <w:right w:val="none" w:sz="0" w:space="0" w:color="auto"/>
      </w:divBdr>
      <w:divsChild>
        <w:div w:id="1783068813">
          <w:marLeft w:val="0"/>
          <w:marRight w:val="0"/>
          <w:marTop w:val="0"/>
          <w:marBottom w:val="0"/>
          <w:divBdr>
            <w:top w:val="none" w:sz="0" w:space="0" w:color="auto"/>
            <w:left w:val="none" w:sz="0" w:space="0" w:color="auto"/>
            <w:bottom w:val="none" w:sz="0" w:space="0" w:color="auto"/>
            <w:right w:val="none" w:sz="0" w:space="0" w:color="auto"/>
          </w:divBdr>
          <w:divsChild>
            <w:div w:id="1785341851">
              <w:marLeft w:val="0"/>
              <w:marRight w:val="0"/>
              <w:marTop w:val="0"/>
              <w:marBottom w:val="0"/>
              <w:divBdr>
                <w:top w:val="none" w:sz="0" w:space="0" w:color="auto"/>
                <w:left w:val="none" w:sz="0" w:space="0" w:color="auto"/>
                <w:bottom w:val="none" w:sz="0" w:space="0" w:color="auto"/>
                <w:right w:val="none" w:sz="0" w:space="0" w:color="auto"/>
              </w:divBdr>
              <w:divsChild>
                <w:div w:id="1599942081">
                  <w:marLeft w:val="0"/>
                  <w:marRight w:val="0"/>
                  <w:marTop w:val="0"/>
                  <w:marBottom w:val="0"/>
                  <w:divBdr>
                    <w:top w:val="none" w:sz="0" w:space="0" w:color="auto"/>
                    <w:left w:val="none" w:sz="0" w:space="0" w:color="auto"/>
                    <w:bottom w:val="none" w:sz="0" w:space="0" w:color="auto"/>
                    <w:right w:val="none" w:sz="0" w:space="0" w:color="auto"/>
                  </w:divBdr>
                  <w:divsChild>
                    <w:div w:id="967664176">
                      <w:marLeft w:val="0"/>
                      <w:marRight w:val="0"/>
                      <w:marTop w:val="0"/>
                      <w:marBottom w:val="0"/>
                      <w:divBdr>
                        <w:top w:val="none" w:sz="0" w:space="0" w:color="auto"/>
                        <w:left w:val="none" w:sz="0" w:space="0" w:color="auto"/>
                        <w:bottom w:val="none" w:sz="0" w:space="0" w:color="auto"/>
                        <w:right w:val="none" w:sz="0" w:space="0" w:color="auto"/>
                      </w:divBdr>
                      <w:divsChild>
                        <w:div w:id="83065609">
                          <w:marLeft w:val="0"/>
                          <w:marRight w:val="0"/>
                          <w:marTop w:val="0"/>
                          <w:marBottom w:val="0"/>
                          <w:divBdr>
                            <w:top w:val="none" w:sz="0" w:space="0" w:color="auto"/>
                            <w:left w:val="none" w:sz="0" w:space="0" w:color="auto"/>
                            <w:bottom w:val="none" w:sz="0" w:space="0" w:color="auto"/>
                            <w:right w:val="none" w:sz="0" w:space="0" w:color="auto"/>
                          </w:divBdr>
                          <w:divsChild>
                            <w:div w:id="1214929860">
                              <w:marLeft w:val="0"/>
                              <w:marRight w:val="0"/>
                              <w:marTop w:val="0"/>
                              <w:marBottom w:val="0"/>
                              <w:divBdr>
                                <w:top w:val="none" w:sz="0" w:space="0" w:color="auto"/>
                                <w:left w:val="none" w:sz="0" w:space="0" w:color="auto"/>
                                <w:bottom w:val="none" w:sz="0" w:space="0" w:color="auto"/>
                                <w:right w:val="none" w:sz="0" w:space="0" w:color="auto"/>
                              </w:divBdr>
                              <w:divsChild>
                                <w:div w:id="1936589756">
                                  <w:marLeft w:val="0"/>
                                  <w:marRight w:val="0"/>
                                  <w:marTop w:val="0"/>
                                  <w:marBottom w:val="0"/>
                                  <w:divBdr>
                                    <w:top w:val="single" w:sz="6" w:space="0" w:color="CCCDCD"/>
                                    <w:left w:val="none" w:sz="0" w:space="0" w:color="auto"/>
                                    <w:bottom w:val="none" w:sz="0" w:space="0" w:color="auto"/>
                                    <w:right w:val="none" w:sz="0" w:space="0" w:color="auto"/>
                                  </w:divBdr>
                                  <w:divsChild>
                                    <w:div w:id="1268656431">
                                      <w:marLeft w:val="0"/>
                                      <w:marRight w:val="0"/>
                                      <w:marTop w:val="0"/>
                                      <w:marBottom w:val="0"/>
                                      <w:divBdr>
                                        <w:top w:val="none" w:sz="0" w:space="0" w:color="auto"/>
                                        <w:left w:val="none" w:sz="0" w:space="0" w:color="auto"/>
                                        <w:bottom w:val="none" w:sz="0" w:space="0" w:color="auto"/>
                                        <w:right w:val="none" w:sz="0" w:space="0" w:color="auto"/>
                                      </w:divBdr>
                                      <w:divsChild>
                                        <w:div w:id="2946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EE45FA47CA8459DEF81D5C05E3114" ma:contentTypeVersion="11" ma:contentTypeDescription="Create a new document." ma:contentTypeScope="" ma:versionID="8b2cc3b189339711aef92a62e0cfeb4b">
  <xsd:schema xmlns:xsd="http://www.w3.org/2001/XMLSchema" xmlns:xs="http://www.w3.org/2001/XMLSchema" xmlns:p="http://schemas.microsoft.com/office/2006/metadata/properties" xmlns:ns3="ff300565-16ec-47ad-9db1-54503e3c2986" xmlns:ns4="d7bdfca0-74d2-4ba9-9495-7bb48b4a84ee" targetNamespace="http://schemas.microsoft.com/office/2006/metadata/properties" ma:root="true" ma:fieldsID="bd217a487f9db4e1be5662b7ae0287d0" ns3:_="" ns4:_="">
    <xsd:import namespace="ff300565-16ec-47ad-9db1-54503e3c2986"/>
    <xsd:import namespace="d7bdfca0-74d2-4ba9-9495-7bb48b4a84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00565-16ec-47ad-9db1-54503e3c2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bdfca0-74d2-4ba9-9495-7bb48b4a84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319AB-1040-4537-AF04-6766F8DAC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00565-16ec-47ad-9db1-54503e3c2986"/>
    <ds:schemaRef ds:uri="d7bdfca0-74d2-4ba9-9495-7bb48b4a8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64733-36C1-4874-9BFD-BB9932C2B2E9}">
  <ds:schemaRefs>
    <ds:schemaRef ds:uri="http://schemas.openxmlformats.org/officeDocument/2006/bibliography"/>
  </ds:schemaRefs>
</ds:datastoreItem>
</file>

<file path=customXml/itemProps3.xml><?xml version="1.0" encoding="utf-8"?>
<ds:datastoreItem xmlns:ds="http://schemas.openxmlformats.org/officeDocument/2006/customXml" ds:itemID="{58E1D92A-A738-4A62-AD12-BCCB53AF9013}">
  <ds:schemaRefs>
    <ds:schemaRef ds:uri="http://schemas.microsoft.com/sharepoint/v3/contenttype/forms"/>
  </ds:schemaRefs>
</ds:datastoreItem>
</file>

<file path=customXml/itemProps4.xml><?xml version="1.0" encoding="utf-8"?>
<ds:datastoreItem xmlns:ds="http://schemas.openxmlformats.org/officeDocument/2006/customXml" ds:itemID="{0D3CC870-16F7-4C45-BDAA-5B7E8DF657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5731</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Tulloch</dc:creator>
  <cp:keywords/>
  <dc:description/>
  <cp:lastModifiedBy>John Tulloch</cp:lastModifiedBy>
  <cp:revision>3</cp:revision>
  <dcterms:created xsi:type="dcterms:W3CDTF">2022-12-05T10:45:00Z</dcterms:created>
  <dcterms:modified xsi:type="dcterms:W3CDTF">2022-12-05T10:47:00Z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0x01010031DEE45FA47CA8459DEF81D5C05E3114</vt:lpwstr>
  </property>
  <property fmtid="{D5CDD505-2E9C-101B-9397-08002B2CF9AE}" pid="3" name="Mendeley Recent Style Id 0_1">
    <vt:lpwstr>http://www.zotero.org/styles/age-and-ageing</vt:lpwstr>
  </property>
  <property fmtid="{D5CDD505-2E9C-101B-9397-08002B2CF9AE}" pid="4" name="Mendeley Recent Style Name 0_1">
    <vt:lpwstr>Age and Ageing</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http://www.zotero.org/styles/bmj</vt:lpwstr>
  </property>
  <property fmtid="{D5CDD505-2E9C-101B-9397-08002B2CF9AE}" pid="12" name="Mendeley Recent Style Name 4_1">
    <vt:lpwstr>BMJ</vt:lpwstr>
  </property>
  <property fmtid="{D5CDD505-2E9C-101B-9397-08002B2CF9AE}" pid="13" name="Mendeley Recent Style Id 5_1">
    <vt:lpwstr>http://www.zotero.org/styles/clinical-infectious-diseases</vt:lpwstr>
  </property>
  <property fmtid="{D5CDD505-2E9C-101B-9397-08002B2CF9AE}" pid="14" name="Mendeley Recent Style Name 5_1">
    <vt:lpwstr>Clinical Infectious Diseases</vt:lpwstr>
  </property>
  <property fmtid="{D5CDD505-2E9C-101B-9397-08002B2CF9AE}" pid="15" name="Mendeley Recent Style Id 6_1">
    <vt:lpwstr>http://www.zotero.org/styles/journal-of-biomedical-informatics</vt:lpwstr>
  </property>
  <property fmtid="{D5CDD505-2E9C-101B-9397-08002B2CF9AE}" pid="16" name="Mendeley Recent Style Name 6_1">
    <vt:lpwstr>Journal of Biomedical Informatics</vt:lpwstr>
  </property>
  <property fmtid="{D5CDD505-2E9C-101B-9397-08002B2CF9AE}" pid="17" name="Mendeley Recent Style Id 7_1">
    <vt:lpwstr>http://www.zotero.org/styles/public-health</vt:lpwstr>
  </property>
  <property fmtid="{D5CDD505-2E9C-101B-9397-08002B2CF9AE}" pid="18" name="Mendeley Recent Style Name 7_1">
    <vt:lpwstr>Public Health</vt:lpwstr>
  </property>
  <property fmtid="{D5CDD505-2E9C-101B-9397-08002B2CF9AE}" pid="19" name="Mendeley Recent Style Id 8_1">
    <vt:lpwstr>http://www.zotero.org/styles/scientific-reports</vt:lpwstr>
  </property>
  <property fmtid="{D5CDD505-2E9C-101B-9397-08002B2CF9AE}" pid="20" name="Mendeley Recent Style Name 8_1">
    <vt:lpwstr>Scientific Reports</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2831b07d-3915-321e-b60f-be08efeaa05e</vt:lpwstr>
  </property>
  <property fmtid="{D5CDD505-2E9C-101B-9397-08002B2CF9AE}" pid="25" name="Mendeley Citation Style_1">
    <vt:lpwstr>http://www.zotero.org/styles/public-health</vt:lpwstr>
  </property>
</Properties>
</file>